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2085802" w:displacedByCustomXml="next"/>
    <w:bookmarkStart w:id="1" w:name="_Toc167653118" w:displacedByCustomXml="next"/>
    <w:bookmarkStart w:id="2" w:name="_Toc126050693" w:displacedByCustomXml="next"/>
    <w:bookmarkStart w:id="3" w:name="_Toc125867336" w:displacedByCustomXml="next"/>
    <w:bookmarkStart w:id="4" w:name="_Toc527818794" w:displacedByCustomXml="next"/>
    <w:bookmarkStart w:id="5" w:name="_Toc527818356" w:displacedByCustomXml="next"/>
    <w:sdt>
      <w:sdtPr>
        <w:rPr>
          <w:rFonts w:ascii="Arial" w:hAnsi="Arial" w:cs="Arial"/>
          <w:color w:val="000000"/>
          <w:sz w:val="32"/>
          <w:szCs w:val="32"/>
        </w:rPr>
        <w:id w:val="1545025346"/>
        <w:docPartObj>
          <w:docPartGallery w:val="Cover Pages"/>
          <w:docPartUnique/>
        </w:docPartObj>
      </w:sdtPr>
      <w:sdtEndPr>
        <w:rPr>
          <w:color w:val="auto"/>
          <w:sz w:val="24"/>
          <w:szCs w:val="24"/>
        </w:rPr>
      </w:sdtEndPr>
      <w:sdtContent>
        <w:p w14:paraId="11682A71" w14:textId="3971ACB7" w:rsidR="001277E9" w:rsidRPr="000020F0" w:rsidRDefault="00A72DE4" w:rsidP="001277E9">
          <w:pPr>
            <w:spacing w:line="276" w:lineRule="auto"/>
            <w:jc w:val="right"/>
            <w:rPr>
              <w:rFonts w:ascii="Arial" w:hAnsi="Arial" w:cs="Arial"/>
              <w:color w:val="000000"/>
              <w:sz w:val="32"/>
              <w:szCs w:val="32"/>
            </w:rPr>
          </w:pPr>
          <w:r w:rsidRPr="000020F0">
            <w:rPr>
              <w:noProof/>
            </w:rPr>
            <w:drawing>
              <wp:inline distT="0" distB="0" distL="0" distR="0" wp14:anchorId="58FBC89D" wp14:editId="0D3A86C7">
                <wp:extent cx="5970815" cy="4288155"/>
                <wp:effectExtent l="0" t="0" r="0" b="0"/>
                <wp:docPr id="190604524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45247" name=""/>
                        <pic:cNvPicPr/>
                      </pic:nvPicPr>
                      <pic:blipFill>
                        <a:blip r:embed="rId9"/>
                        <a:stretch>
                          <a:fillRect/>
                        </a:stretch>
                      </pic:blipFill>
                      <pic:spPr>
                        <a:xfrm>
                          <a:off x="0" y="0"/>
                          <a:ext cx="6002037" cy="4310578"/>
                        </a:xfrm>
                        <a:prstGeom prst="rect">
                          <a:avLst/>
                        </a:prstGeom>
                      </pic:spPr>
                    </pic:pic>
                  </a:graphicData>
                </a:graphic>
              </wp:inline>
            </w:drawing>
          </w:r>
          <w:r w:rsidR="001277E9" w:rsidRPr="000020F0">
            <w:rPr>
              <w:rFonts w:ascii="Arial" w:hAnsi="Arial" w:cs="Arial"/>
              <w:noProof/>
            </w:rPr>
            <w:drawing>
              <wp:anchor distT="0" distB="0" distL="114300" distR="114300" simplePos="0" relativeHeight="251659776" behindDoc="1" locked="0" layoutInCell="1" allowOverlap="1" wp14:anchorId="4546CB79" wp14:editId="66F09349">
                <wp:simplePos x="0" y="0"/>
                <wp:positionH relativeFrom="column">
                  <wp:posOffset>-4445</wp:posOffset>
                </wp:positionH>
                <wp:positionV relativeFrom="paragraph">
                  <wp:posOffset>-547370</wp:posOffset>
                </wp:positionV>
                <wp:extent cx="5761355" cy="5121275"/>
                <wp:effectExtent l="1028700" t="0" r="868045" b="3175"/>
                <wp:wrapNone/>
                <wp:docPr id="281544873" name="Picture 1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44873" name="Picture 19" descr="A map of a city&#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5121275"/>
                        </a:xfrm>
                        <a:prstGeom prst="rect">
                          <a:avLst/>
                        </a:prstGeom>
                        <a:noFill/>
                        <a:effectLst>
                          <a:outerShdw blurRad="76200" dir="18900000" sy="23000" kx="-1200000" algn="bl" rotWithShape="0">
                            <a:prstClr val="black">
                              <a:alpha val="20000"/>
                            </a:prstClr>
                          </a:outerShdw>
                        </a:effectLst>
                        <a:scene3d>
                          <a:camera prst="isometricBottomDown"/>
                          <a:lightRig rig="threePt" dir="t"/>
                        </a:scene3d>
                      </pic:spPr>
                    </pic:pic>
                  </a:graphicData>
                </a:graphic>
                <wp14:sizeRelH relativeFrom="margin">
                  <wp14:pctWidth>0</wp14:pctWidth>
                </wp14:sizeRelH>
                <wp14:sizeRelV relativeFrom="margin">
                  <wp14:pctHeight>0</wp14:pctHeight>
                </wp14:sizeRelV>
              </wp:anchor>
            </w:drawing>
          </w:r>
          <w:r w:rsidR="001277E9" w:rsidRPr="000020F0">
            <w:rPr>
              <w:rFonts w:ascii="Arial" w:hAnsi="Arial" w:cs="Arial"/>
              <w:noProof/>
              <w:color w:val="EEECE1"/>
              <w:sz w:val="32"/>
              <w:szCs w:val="32"/>
            </w:rPr>
            <mc:AlternateContent>
              <mc:Choice Requires="wps">
                <w:drawing>
                  <wp:anchor distT="0" distB="0" distL="114300" distR="114300" simplePos="0" relativeHeight="251658752" behindDoc="0" locked="0" layoutInCell="0" allowOverlap="1" wp14:anchorId="2B28E109" wp14:editId="5A4DD68F">
                    <wp:simplePos x="0" y="0"/>
                    <wp:positionH relativeFrom="margin">
                      <wp:posOffset>-617220</wp:posOffset>
                    </wp:positionH>
                    <wp:positionV relativeFrom="page">
                      <wp:posOffset>5252085</wp:posOffset>
                    </wp:positionV>
                    <wp:extent cx="6995160" cy="2635885"/>
                    <wp:effectExtent l="0" t="0" r="0" b="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263588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062"/>
                                  <w:gridCol w:w="8249"/>
                                </w:tblGrid>
                                <w:tr w:rsidR="001277E9" w14:paraId="0BFAD7E9" w14:textId="77777777" w:rsidTr="006B1969">
                                  <w:trPr>
                                    <w:trHeight w:val="1080"/>
                                  </w:trPr>
                                  <w:sdt>
                                    <w:sdtPr>
                                      <w:rPr>
                                        <w:smallCaps/>
                                        <w:sz w:val="40"/>
                                        <w:szCs w:val="40"/>
                                      </w:rPr>
                                      <w:alias w:val="Company"/>
                                      <w:id w:val="-2130157940"/>
                                      <w:showingPlcHd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vAlign w:val="center"/>
                                        </w:tcPr>
                                        <w:p w14:paraId="7CC68B77" w14:textId="77777777" w:rsidR="001277E9" w:rsidRDefault="001277E9" w:rsidP="003509F8">
                                          <w:pPr>
                                            <w:pStyle w:val="Brezrazmikov"/>
                                            <w:rPr>
                                              <w:smallCaps/>
                                              <w:sz w:val="40"/>
                                              <w:szCs w:val="40"/>
                                            </w:rPr>
                                          </w:pPr>
                                          <w:r>
                                            <w:rPr>
                                              <w:smallCaps/>
                                              <w:sz w:val="40"/>
                                              <w:szCs w:val="40"/>
                                            </w:rPr>
                                            <w:t xml:space="preserve">     </w:t>
                                          </w:r>
                                        </w:p>
                                      </w:tc>
                                    </w:sdtContent>
                                  </w:sdt>
                                  <w:tc>
                                    <w:tcPr>
                                      <w:tcW w:w="4000" w:type="pct"/>
                                      <w:vAlign w:val="center"/>
                                    </w:tcPr>
                                    <w:p w14:paraId="67E15D6C" w14:textId="65E1AD85" w:rsidR="001277E9" w:rsidRPr="006B1969" w:rsidRDefault="00F70FDB" w:rsidP="003509F8">
                                      <w:pPr>
                                        <w:pStyle w:val="Brezrazmikov"/>
                                        <w:jc w:val="center"/>
                                        <w:rPr>
                                          <w:rFonts w:ascii="Arial" w:hAnsi="Arial" w:cs="Arial"/>
                                          <w:smallCaps/>
                                          <w:color w:val="FFFFFF"/>
                                          <w:sz w:val="40"/>
                                          <w:szCs w:val="40"/>
                                        </w:rPr>
                                      </w:pPr>
                                      <w:r>
                                        <w:rPr>
                                          <w:rFonts w:ascii="Arial" w:hAnsi="Arial" w:cs="Arial"/>
                                          <w:smallCaps/>
                                          <w:color w:val="FFFFFF"/>
                                          <w:sz w:val="40"/>
                                          <w:szCs w:val="40"/>
                                        </w:rPr>
                                        <w:t xml:space="preserve">NOVELACIJA </w:t>
                                      </w:r>
                                      <w:r w:rsidR="00DE0D0F">
                                        <w:rPr>
                                          <w:rFonts w:ascii="Arial" w:hAnsi="Arial" w:cs="Arial"/>
                                          <w:smallCaps/>
                                          <w:color w:val="FFFFFF"/>
                                          <w:sz w:val="40"/>
                                          <w:szCs w:val="40"/>
                                        </w:rPr>
                                        <w:t>INVESTICIJSK</w:t>
                                      </w:r>
                                      <w:r>
                                        <w:rPr>
                                          <w:rFonts w:ascii="Arial" w:hAnsi="Arial" w:cs="Arial"/>
                                          <w:smallCaps/>
                                          <w:color w:val="FFFFFF"/>
                                          <w:sz w:val="40"/>
                                          <w:szCs w:val="40"/>
                                        </w:rPr>
                                        <w:t>EGA</w:t>
                                      </w:r>
                                      <w:r w:rsidR="00DE0D0F">
                                        <w:rPr>
                                          <w:rFonts w:ascii="Arial" w:hAnsi="Arial" w:cs="Arial"/>
                                          <w:smallCaps/>
                                          <w:color w:val="FFFFFF"/>
                                          <w:sz w:val="40"/>
                                          <w:szCs w:val="40"/>
                                        </w:rPr>
                                        <w:t xml:space="preserve"> PROGRAM</w:t>
                                      </w:r>
                                      <w:r>
                                        <w:rPr>
                                          <w:rFonts w:ascii="Arial" w:hAnsi="Arial" w:cs="Arial"/>
                                          <w:smallCaps/>
                                          <w:color w:val="FFFFFF"/>
                                          <w:sz w:val="40"/>
                                          <w:szCs w:val="40"/>
                                        </w:rPr>
                                        <w:t>A ŠT. 1</w:t>
                                      </w:r>
                                      <w:r w:rsidR="001277E9" w:rsidRPr="00A22298">
                                        <w:rPr>
                                          <w:rFonts w:ascii="Arial" w:hAnsi="Arial" w:cs="Arial"/>
                                          <w:smallCaps/>
                                          <w:color w:val="FFFFFF"/>
                                          <w:sz w:val="40"/>
                                          <w:szCs w:val="40"/>
                                        </w:rPr>
                                        <w:t>:</w:t>
                                      </w:r>
                                    </w:p>
                                    <w:p w14:paraId="4BC9E88D" w14:textId="77777777" w:rsidR="001277E9" w:rsidRPr="006B1969" w:rsidRDefault="001277E9" w:rsidP="003509F8">
                                      <w:pPr>
                                        <w:pStyle w:val="Brezrazmikov"/>
                                        <w:jc w:val="center"/>
                                        <w:rPr>
                                          <w:rFonts w:ascii="Arial" w:hAnsi="Arial" w:cs="Arial"/>
                                          <w:smallCaps/>
                                          <w:color w:val="FFFFFF"/>
                                          <w:sz w:val="40"/>
                                          <w:szCs w:val="40"/>
                                        </w:rPr>
                                      </w:pPr>
                                    </w:p>
                                    <w:p w14:paraId="1BEB4DC7" w14:textId="77777777" w:rsidR="001277E9" w:rsidRPr="006B1969" w:rsidRDefault="001277E9" w:rsidP="006A68A6">
                                      <w:pPr>
                                        <w:pStyle w:val="Brezrazmikov"/>
                                        <w:jc w:val="center"/>
                                        <w:rPr>
                                          <w:rFonts w:ascii="Arial" w:hAnsi="Arial" w:cs="Arial"/>
                                          <w:b/>
                                          <w:smallCaps/>
                                          <w:color w:val="FFFFFF"/>
                                          <w:sz w:val="40"/>
                                          <w:szCs w:val="40"/>
                                        </w:rPr>
                                      </w:pPr>
                                      <w:r w:rsidRPr="006B1969">
                                        <w:rPr>
                                          <w:rFonts w:ascii="Arial" w:hAnsi="Arial" w:cs="Arial"/>
                                          <w:b/>
                                          <w:smallCaps/>
                                          <w:color w:val="FFFFFF"/>
                                          <w:sz w:val="40"/>
                                          <w:szCs w:val="40"/>
                                        </w:rPr>
                                        <w:t>CELOVITA UREDITEV CENTRA IG – UKREPI TRAJNOSTNE MOBILNOSTI</w:t>
                                      </w:r>
                                    </w:p>
                                    <w:p w14:paraId="2D139BFE" w14:textId="77777777" w:rsidR="001277E9" w:rsidRPr="006B1969" w:rsidRDefault="001277E9" w:rsidP="006A68A6">
                                      <w:pPr>
                                        <w:pStyle w:val="Brezrazmikov"/>
                                        <w:jc w:val="center"/>
                                        <w:rPr>
                                          <w:rFonts w:ascii="Arial" w:hAnsi="Arial" w:cs="Arial"/>
                                          <w:b/>
                                          <w:smallCaps/>
                                          <w:color w:val="FFFFFF"/>
                                          <w:sz w:val="40"/>
                                          <w:szCs w:val="40"/>
                                        </w:rPr>
                                      </w:pPr>
                                    </w:p>
                                    <w:p w14:paraId="64542ACD" w14:textId="77777777" w:rsidR="001277E9" w:rsidRPr="006B1969" w:rsidRDefault="001277E9" w:rsidP="006A68A6">
                                      <w:pPr>
                                        <w:pStyle w:val="Brezrazmikov"/>
                                        <w:jc w:val="center"/>
                                        <w:rPr>
                                          <w:rFonts w:ascii="Arial" w:hAnsi="Arial" w:cs="Arial"/>
                                          <w:smallCaps/>
                                          <w:color w:val="FFFFFF"/>
                                          <w:sz w:val="40"/>
                                          <w:szCs w:val="40"/>
                                        </w:rPr>
                                      </w:pPr>
                                    </w:p>
                                  </w:tc>
                                </w:tr>
                              </w:tbl>
                              <w:p w14:paraId="3139CC87" w14:textId="77777777" w:rsidR="001277E9" w:rsidRDefault="001277E9" w:rsidP="001277E9">
                                <w:pPr>
                                  <w:pStyle w:val="Brezrazmikov"/>
                                  <w:spacing w:line="14" w:lineRule="exact"/>
                                </w:pPr>
                              </w:p>
                            </w:txbxContent>
                          </wps:txbx>
                          <wps:bodyPr rot="0" vert="horz" wrap="square" lIns="228600" tIns="0" rIns="228600" bIns="0" anchor="t" anchorCtr="0" upright="1">
                            <a:noAutofit/>
                          </wps:bodyPr>
                        </wps:wsp>
                      </a:graphicData>
                    </a:graphic>
                    <wp14:sizeRelH relativeFrom="page">
                      <wp14:pctWidth>90000</wp14:pctWidth>
                    </wp14:sizeRelH>
                    <wp14:sizeRelV relativeFrom="page">
                      <wp14:pctHeight>0</wp14:pctHeight>
                    </wp14:sizeRelV>
                  </wp:anchor>
                </w:drawing>
              </mc:Choice>
              <mc:Fallback>
                <w:pict>
                  <v:rect w14:anchorId="2B28E109" id="Rectangle 42" o:spid="_x0000_s1026" style="position:absolute;left:0;text-align:left;margin-left:-48.6pt;margin-top:413.55pt;width:550.8pt;height:207.55pt;z-index:251658752;visibility:visible;mso-wrap-style:square;mso-width-percent:900;mso-height-percent:0;mso-wrap-distance-left:9pt;mso-wrap-distance-top:0;mso-wrap-distance-right:9pt;mso-wrap-distance-bottom:0;mso-position-horizontal:absolute;mso-position-horizontal-relative:margin;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" o:allowincell="f" fillcolor="#a5a5a5" stroked="f">
                    <v:fill opacity="58853f"/>
                    <v:textbox inset="18pt,0,18pt,0">
                      <w:txbxContent>
                        <w:tbl>
                          <w:tblPr>
                            <w:tblW w:w="5000" w:type="pct"/>
                            <w:tblCellMar>
                              <w:left w:w="360" w:type="dxa"/>
                              <w:right w:w="360" w:type="dxa"/>
                            </w:tblCellMar>
                            <w:tblLook w:val="04A0" w:firstRow="1" w:lastRow="0" w:firstColumn="1" w:lastColumn="0" w:noHBand="0" w:noVBand="1"/>
                          </w:tblPr>
                          <w:tblGrid>
                            <w:gridCol w:w="2062"/>
                            <w:gridCol w:w="8249"/>
                          </w:tblGrid>
                          <w:tr w:rsidR="001277E9" w14:paraId="0BFAD7E9" w14:textId="77777777" w:rsidTr="006B1969">
                            <w:trPr>
                              <w:trHeight w:val="1080"/>
                            </w:trPr>
                            <w:sdt>
                              <w:sdtPr>
                                <w:rPr>
                                  <w:smallCaps/>
                                  <w:sz w:val="40"/>
                                  <w:szCs w:val="40"/>
                                </w:rPr>
                                <w:alias w:val="Company"/>
                                <w:id w:val="-2130157940"/>
                                <w:showingPlcHd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vAlign w:val="center"/>
                                  </w:tcPr>
                                  <w:p w14:paraId="7CC68B77" w14:textId="77777777" w:rsidR="001277E9" w:rsidRDefault="001277E9" w:rsidP="003509F8">
                                    <w:pPr>
                                      <w:pStyle w:val="Brezrazmikov"/>
                                      <w:rPr>
                                        <w:smallCaps/>
                                        <w:sz w:val="40"/>
                                        <w:szCs w:val="40"/>
                                      </w:rPr>
                                    </w:pPr>
                                    <w:r>
                                      <w:rPr>
                                        <w:smallCaps/>
                                        <w:sz w:val="40"/>
                                        <w:szCs w:val="40"/>
                                      </w:rPr>
                                      <w:t xml:space="preserve">     </w:t>
                                    </w:r>
                                  </w:p>
                                </w:tc>
                              </w:sdtContent>
                            </w:sdt>
                            <w:tc>
                              <w:tcPr>
                                <w:tcW w:w="4000" w:type="pct"/>
                                <w:vAlign w:val="center"/>
                              </w:tcPr>
                              <w:p w14:paraId="67E15D6C" w14:textId="65E1AD85" w:rsidR="001277E9" w:rsidRPr="006B1969" w:rsidRDefault="00F70FDB" w:rsidP="003509F8">
                                <w:pPr>
                                  <w:pStyle w:val="Brezrazmikov"/>
                                  <w:jc w:val="center"/>
                                  <w:rPr>
                                    <w:rFonts w:ascii="Arial" w:hAnsi="Arial" w:cs="Arial"/>
                                    <w:smallCaps/>
                                    <w:color w:val="FFFFFF"/>
                                    <w:sz w:val="40"/>
                                    <w:szCs w:val="40"/>
                                  </w:rPr>
                                </w:pPr>
                                <w:r>
                                  <w:rPr>
                                    <w:rFonts w:ascii="Arial" w:hAnsi="Arial" w:cs="Arial"/>
                                    <w:smallCaps/>
                                    <w:color w:val="FFFFFF"/>
                                    <w:sz w:val="40"/>
                                    <w:szCs w:val="40"/>
                                  </w:rPr>
                                  <w:t xml:space="preserve">NOVELACIJA </w:t>
                                </w:r>
                                <w:r w:rsidR="00DE0D0F">
                                  <w:rPr>
                                    <w:rFonts w:ascii="Arial" w:hAnsi="Arial" w:cs="Arial"/>
                                    <w:smallCaps/>
                                    <w:color w:val="FFFFFF"/>
                                    <w:sz w:val="40"/>
                                    <w:szCs w:val="40"/>
                                  </w:rPr>
                                  <w:t>INVESTICIJSK</w:t>
                                </w:r>
                                <w:r>
                                  <w:rPr>
                                    <w:rFonts w:ascii="Arial" w:hAnsi="Arial" w:cs="Arial"/>
                                    <w:smallCaps/>
                                    <w:color w:val="FFFFFF"/>
                                    <w:sz w:val="40"/>
                                    <w:szCs w:val="40"/>
                                  </w:rPr>
                                  <w:t>EGA</w:t>
                                </w:r>
                                <w:r w:rsidR="00DE0D0F">
                                  <w:rPr>
                                    <w:rFonts w:ascii="Arial" w:hAnsi="Arial" w:cs="Arial"/>
                                    <w:smallCaps/>
                                    <w:color w:val="FFFFFF"/>
                                    <w:sz w:val="40"/>
                                    <w:szCs w:val="40"/>
                                  </w:rPr>
                                  <w:t xml:space="preserve"> PROGRAM</w:t>
                                </w:r>
                                <w:r>
                                  <w:rPr>
                                    <w:rFonts w:ascii="Arial" w:hAnsi="Arial" w:cs="Arial"/>
                                    <w:smallCaps/>
                                    <w:color w:val="FFFFFF"/>
                                    <w:sz w:val="40"/>
                                    <w:szCs w:val="40"/>
                                  </w:rPr>
                                  <w:t>A ŠT. 1</w:t>
                                </w:r>
                                <w:r w:rsidR="001277E9" w:rsidRPr="00A22298">
                                  <w:rPr>
                                    <w:rFonts w:ascii="Arial" w:hAnsi="Arial" w:cs="Arial"/>
                                    <w:smallCaps/>
                                    <w:color w:val="FFFFFF"/>
                                    <w:sz w:val="40"/>
                                    <w:szCs w:val="40"/>
                                  </w:rPr>
                                  <w:t>:</w:t>
                                </w:r>
                              </w:p>
                              <w:p w14:paraId="4BC9E88D" w14:textId="77777777" w:rsidR="001277E9" w:rsidRPr="006B1969" w:rsidRDefault="001277E9" w:rsidP="003509F8">
                                <w:pPr>
                                  <w:pStyle w:val="Brezrazmikov"/>
                                  <w:jc w:val="center"/>
                                  <w:rPr>
                                    <w:rFonts w:ascii="Arial" w:hAnsi="Arial" w:cs="Arial"/>
                                    <w:smallCaps/>
                                    <w:color w:val="FFFFFF"/>
                                    <w:sz w:val="40"/>
                                    <w:szCs w:val="40"/>
                                  </w:rPr>
                                </w:pPr>
                              </w:p>
                              <w:p w14:paraId="1BEB4DC7" w14:textId="77777777" w:rsidR="001277E9" w:rsidRPr="006B1969" w:rsidRDefault="001277E9" w:rsidP="006A68A6">
                                <w:pPr>
                                  <w:pStyle w:val="Brezrazmikov"/>
                                  <w:jc w:val="center"/>
                                  <w:rPr>
                                    <w:rFonts w:ascii="Arial" w:hAnsi="Arial" w:cs="Arial"/>
                                    <w:b/>
                                    <w:smallCaps/>
                                    <w:color w:val="FFFFFF"/>
                                    <w:sz w:val="40"/>
                                    <w:szCs w:val="40"/>
                                  </w:rPr>
                                </w:pPr>
                                <w:r w:rsidRPr="006B1969">
                                  <w:rPr>
                                    <w:rFonts w:ascii="Arial" w:hAnsi="Arial" w:cs="Arial"/>
                                    <w:b/>
                                    <w:smallCaps/>
                                    <w:color w:val="FFFFFF"/>
                                    <w:sz w:val="40"/>
                                    <w:szCs w:val="40"/>
                                  </w:rPr>
                                  <w:t>CELOVITA UREDITEV CENTRA IG – UKREPI TRAJNOSTNE MOBILNOSTI</w:t>
                                </w:r>
                              </w:p>
                              <w:p w14:paraId="2D139BFE" w14:textId="77777777" w:rsidR="001277E9" w:rsidRPr="006B1969" w:rsidRDefault="001277E9" w:rsidP="006A68A6">
                                <w:pPr>
                                  <w:pStyle w:val="Brezrazmikov"/>
                                  <w:jc w:val="center"/>
                                  <w:rPr>
                                    <w:rFonts w:ascii="Arial" w:hAnsi="Arial" w:cs="Arial"/>
                                    <w:b/>
                                    <w:smallCaps/>
                                    <w:color w:val="FFFFFF"/>
                                    <w:sz w:val="40"/>
                                    <w:szCs w:val="40"/>
                                  </w:rPr>
                                </w:pPr>
                              </w:p>
                              <w:p w14:paraId="64542ACD" w14:textId="77777777" w:rsidR="001277E9" w:rsidRPr="006B1969" w:rsidRDefault="001277E9" w:rsidP="006A68A6">
                                <w:pPr>
                                  <w:pStyle w:val="Brezrazmikov"/>
                                  <w:jc w:val="center"/>
                                  <w:rPr>
                                    <w:rFonts w:ascii="Arial" w:hAnsi="Arial" w:cs="Arial"/>
                                    <w:smallCaps/>
                                    <w:color w:val="FFFFFF"/>
                                    <w:sz w:val="40"/>
                                    <w:szCs w:val="40"/>
                                  </w:rPr>
                                </w:pPr>
                              </w:p>
                            </w:tc>
                          </w:tr>
                        </w:tbl>
                        <w:p w14:paraId="3139CC87" w14:textId="77777777" w:rsidR="001277E9" w:rsidRDefault="001277E9" w:rsidP="001277E9">
                          <w:pPr>
                            <w:pStyle w:val="Brezrazmikov"/>
                            <w:spacing w:line="14" w:lineRule="exact"/>
                          </w:pPr>
                        </w:p>
                      </w:txbxContent>
                    </v:textbox>
                    <w10:wrap anchorx="margin" anchory="page"/>
                  </v:rect>
                </w:pict>
              </mc:Fallback>
            </mc:AlternateContent>
          </w:r>
          <w:r w:rsidR="001277E9" w:rsidRPr="000020F0">
            <w:rPr>
              <w:rFonts w:ascii="Arial" w:hAnsi="Arial" w:cs="Arial"/>
              <w:noProof/>
              <w:color w:val="EEECE1"/>
              <w:sz w:val="32"/>
              <w:szCs w:val="32"/>
            </w:rPr>
            <mc:AlternateContent>
              <mc:Choice Requires="wpg">
                <w:drawing>
                  <wp:anchor distT="0" distB="0" distL="114300" distR="114300" simplePos="0" relativeHeight="251656704" behindDoc="1" locked="0" layoutInCell="0" allowOverlap="1" wp14:anchorId="772CFFF1" wp14:editId="1463B225">
                    <wp:simplePos x="0" y="0"/>
                    <wp:positionH relativeFrom="page">
                      <wp:posOffset>-59377</wp:posOffset>
                    </wp:positionH>
                    <wp:positionV relativeFrom="page">
                      <wp:align>center</wp:align>
                    </wp:positionV>
                    <wp:extent cx="7772400" cy="10058400"/>
                    <wp:effectExtent l="0" t="0" r="2540"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rgbClr val="4F81BD">
                                  <a:lumMod val="40000"/>
                                  <a:lumOff val="60000"/>
                                </a:srgb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5801AC00" id="Group 39" o:spid="_x0000_s1026" style="position:absolute;margin-left:-4.7pt;margin-top:0;width:612pt;height:11in;z-index:-251659776;mso-width-percent:1000;mso-height-percent:1000;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" fillcolor="#b9cde5" stroked="f"/>
                    <v:rect id="Rectangle 41" o:spid="_x0000_s1028" style="position:absolute;left:612;top:638;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072"/>
          </w:tblGrid>
          <w:tr w:rsidR="001277E9" w:rsidRPr="000020F0" w14:paraId="43B035B9" w14:textId="77777777" w:rsidTr="0093689D">
            <w:trPr>
              <w:trHeight w:val="360"/>
            </w:trPr>
            <w:tc>
              <w:tcPr>
                <w:tcW w:w="9072" w:type="dxa"/>
              </w:tcPr>
              <w:p w14:paraId="6430EAE5" w14:textId="77777777" w:rsidR="001277E9" w:rsidRPr="000020F0" w:rsidRDefault="001277E9" w:rsidP="0093689D">
                <w:pPr>
                  <w:spacing w:line="276" w:lineRule="auto"/>
                  <w:jc w:val="center"/>
                  <w:rPr>
                    <w:rFonts w:ascii="Arial" w:hAnsi="Arial" w:cs="Arial"/>
                    <w:color w:val="000000"/>
                    <w:sz w:val="32"/>
                    <w:szCs w:val="32"/>
                    <w:lang w:eastAsia="zh-TW"/>
                  </w:rPr>
                </w:pPr>
                <w:r w:rsidRPr="000020F0">
                  <w:rPr>
                    <w:rFonts w:ascii="Arial" w:hAnsi="Arial" w:cs="Arial"/>
                    <w:color w:val="000000"/>
                    <w:sz w:val="32"/>
                    <w:szCs w:val="32"/>
                    <w:lang w:eastAsia="zh-TW"/>
                  </w:rPr>
                  <w:t xml:space="preserve">Naročnik: </w:t>
                </w:r>
                <w:r w:rsidRPr="000020F0">
                  <w:rPr>
                    <w:rFonts w:ascii="Arial" w:hAnsi="Arial" w:cs="Arial"/>
                    <w:b/>
                    <w:color w:val="000000"/>
                    <w:sz w:val="32"/>
                    <w:szCs w:val="32"/>
                    <w:lang w:eastAsia="zh-TW"/>
                  </w:rPr>
                  <w:t>OBČINA IG</w:t>
                </w:r>
                <w:r w:rsidRPr="000020F0">
                  <w:rPr>
                    <w:rFonts w:ascii="Arial" w:hAnsi="Arial" w:cs="Arial"/>
                    <w:color w:val="000000"/>
                    <w:sz w:val="32"/>
                    <w:szCs w:val="32"/>
                    <w:lang w:eastAsia="zh-TW"/>
                  </w:rPr>
                  <w:t>, Govekarjeva cesta 6, 1292 Ig</w:t>
                </w:r>
              </w:p>
            </w:tc>
          </w:tr>
        </w:tbl>
        <w:p w14:paraId="5A09CE93" w14:textId="77777777" w:rsidR="001277E9" w:rsidRPr="000020F0" w:rsidRDefault="001277E9" w:rsidP="001277E9">
          <w:pPr>
            <w:spacing w:line="276" w:lineRule="auto"/>
            <w:rPr>
              <w:rFonts w:ascii="Arial" w:hAnsi="Arial" w:cs="Arial"/>
            </w:rPr>
          </w:pPr>
          <w:r w:rsidRPr="000020F0">
            <w:rPr>
              <w:rFonts w:ascii="Arial" w:hAnsi="Arial" w:cs="Arial"/>
            </w:rPr>
            <w:br w:type="page"/>
          </w:r>
        </w:p>
      </w:sdtContent>
    </w:sdt>
    <w:bookmarkEnd w:id="5"/>
    <w:bookmarkEnd w:id="4"/>
    <w:bookmarkEnd w:id="3"/>
    <w:bookmarkEnd w:id="2"/>
    <w:bookmarkEnd w:id="1"/>
    <w:bookmarkEnd w:id="0"/>
    <w:p w14:paraId="3AEF574C" w14:textId="77777777" w:rsidR="005972E8" w:rsidRPr="000020F0" w:rsidRDefault="005972E8" w:rsidP="005972E8">
      <w:pPr>
        <w:rPr>
          <w:rFonts w:ascii="Arial" w:hAnsi="Arial" w:cs="Arial"/>
        </w:rPr>
      </w:pPr>
    </w:p>
    <w:p w14:paraId="6FC152B2" w14:textId="77777777" w:rsidR="005972E8" w:rsidRPr="000020F0" w:rsidRDefault="005972E8" w:rsidP="005972E8">
      <w:pPr>
        <w:spacing w:line="276" w:lineRule="auto"/>
        <w:rPr>
          <w:rFonts w:ascii="Arial" w:hAnsi="Arial" w:cs="Arial"/>
          <w:highlight w:val="yellow"/>
        </w:rPr>
      </w:pPr>
    </w:p>
    <w:p w14:paraId="668E6050" w14:textId="77777777" w:rsidR="005972E8" w:rsidRPr="000020F0" w:rsidRDefault="005972E8" w:rsidP="005972E8">
      <w:pPr>
        <w:spacing w:line="276" w:lineRule="auto"/>
        <w:rPr>
          <w:rFonts w:ascii="Arial" w:hAnsi="Arial" w:cs="Arial"/>
          <w:highlight w:val="yellow"/>
        </w:rPr>
      </w:pPr>
    </w:p>
    <w:p w14:paraId="7F11BB65" w14:textId="77777777" w:rsidR="005972E8" w:rsidRPr="000020F0" w:rsidRDefault="005972E8" w:rsidP="005972E8">
      <w:pPr>
        <w:spacing w:line="276" w:lineRule="auto"/>
        <w:rPr>
          <w:rFonts w:ascii="Arial" w:hAnsi="Arial" w:cs="Arial"/>
          <w:highlight w:val="yellow"/>
        </w:rPr>
      </w:pPr>
    </w:p>
    <w:p w14:paraId="664F05D4" w14:textId="77777777" w:rsidR="005972E8" w:rsidRPr="000020F0" w:rsidRDefault="005972E8" w:rsidP="005972E8">
      <w:pPr>
        <w:spacing w:line="276" w:lineRule="auto"/>
        <w:rPr>
          <w:rFonts w:ascii="Arial" w:hAnsi="Arial" w:cs="Arial"/>
          <w:highlight w:val="yellow"/>
        </w:rPr>
      </w:pPr>
    </w:p>
    <w:p w14:paraId="009F84D7" w14:textId="77777777" w:rsidR="005972E8" w:rsidRPr="000020F0" w:rsidRDefault="005972E8" w:rsidP="005972E8">
      <w:pPr>
        <w:spacing w:line="276" w:lineRule="auto"/>
        <w:rPr>
          <w:rFonts w:ascii="Arial" w:hAnsi="Arial" w:cs="Arial"/>
          <w:highlight w:val="yellow"/>
        </w:rPr>
      </w:pPr>
    </w:p>
    <w:p w14:paraId="02B7D206" w14:textId="77777777" w:rsidR="005972E8" w:rsidRPr="000020F0" w:rsidRDefault="005972E8" w:rsidP="005972E8">
      <w:pPr>
        <w:spacing w:line="276" w:lineRule="auto"/>
        <w:rPr>
          <w:rFonts w:ascii="Arial" w:hAnsi="Arial" w:cs="Arial"/>
          <w:highlight w:val="yellow"/>
        </w:rPr>
      </w:pPr>
    </w:p>
    <w:p w14:paraId="6100E035" w14:textId="77777777" w:rsidR="005972E8" w:rsidRPr="000020F0" w:rsidRDefault="005972E8" w:rsidP="005972E8">
      <w:pPr>
        <w:spacing w:line="276" w:lineRule="auto"/>
        <w:rPr>
          <w:rFonts w:ascii="Arial" w:hAnsi="Arial" w:cs="Arial"/>
          <w:highlight w:val="yellow"/>
        </w:rPr>
      </w:pPr>
    </w:p>
    <w:p w14:paraId="79A64726" w14:textId="77777777" w:rsidR="005972E8" w:rsidRPr="000020F0" w:rsidRDefault="005972E8" w:rsidP="005972E8">
      <w:pPr>
        <w:spacing w:line="276" w:lineRule="auto"/>
        <w:rPr>
          <w:rFonts w:ascii="Arial" w:hAnsi="Arial" w:cs="Arial"/>
          <w:highlight w:val="yellow"/>
        </w:rPr>
      </w:pPr>
    </w:p>
    <w:p w14:paraId="7B0471FD" w14:textId="77777777" w:rsidR="005972E8" w:rsidRPr="000020F0" w:rsidRDefault="005972E8" w:rsidP="005972E8">
      <w:pPr>
        <w:spacing w:line="276" w:lineRule="auto"/>
        <w:rPr>
          <w:rFonts w:ascii="Arial" w:hAnsi="Arial" w:cs="Arial"/>
          <w:highlight w:val="yellow"/>
        </w:rPr>
      </w:pPr>
    </w:p>
    <w:p w14:paraId="7495FA68" w14:textId="77777777" w:rsidR="005972E8" w:rsidRPr="000020F0" w:rsidRDefault="005972E8" w:rsidP="005972E8">
      <w:pPr>
        <w:spacing w:line="276" w:lineRule="auto"/>
        <w:rPr>
          <w:rFonts w:ascii="Arial" w:hAnsi="Arial" w:cs="Arial"/>
          <w:highlight w:val="yellow"/>
        </w:rPr>
      </w:pPr>
    </w:p>
    <w:p w14:paraId="38B45F98" w14:textId="77777777" w:rsidR="005972E8" w:rsidRPr="000020F0" w:rsidRDefault="005972E8" w:rsidP="005972E8">
      <w:pPr>
        <w:spacing w:line="276" w:lineRule="auto"/>
        <w:rPr>
          <w:rFonts w:ascii="Arial" w:hAnsi="Arial" w:cs="Arial"/>
          <w:highlight w:val="yellow"/>
        </w:rPr>
      </w:pPr>
    </w:p>
    <w:p w14:paraId="7AC40EC6" w14:textId="77777777" w:rsidR="005972E8" w:rsidRPr="000020F0" w:rsidRDefault="005972E8" w:rsidP="005972E8">
      <w:pPr>
        <w:spacing w:line="276" w:lineRule="auto"/>
        <w:rPr>
          <w:rFonts w:ascii="Arial" w:hAnsi="Arial" w:cs="Arial"/>
          <w:highlight w:val="yellow"/>
        </w:rPr>
      </w:pPr>
    </w:p>
    <w:p w14:paraId="4E77C9D9" w14:textId="77777777" w:rsidR="005972E8" w:rsidRPr="000020F0" w:rsidRDefault="005972E8" w:rsidP="005972E8">
      <w:pPr>
        <w:spacing w:line="276" w:lineRule="auto"/>
        <w:rPr>
          <w:rFonts w:ascii="Arial" w:hAnsi="Arial" w:cs="Arial"/>
          <w:highlight w:val="yellow"/>
        </w:rPr>
      </w:pPr>
    </w:p>
    <w:p w14:paraId="648776DA" w14:textId="77777777" w:rsidR="005972E8" w:rsidRPr="000020F0" w:rsidRDefault="005972E8" w:rsidP="005972E8">
      <w:pPr>
        <w:spacing w:line="276" w:lineRule="auto"/>
        <w:rPr>
          <w:rFonts w:ascii="Arial" w:hAnsi="Arial" w:cs="Arial"/>
          <w:highlight w:val="yellow"/>
        </w:rPr>
      </w:pPr>
    </w:p>
    <w:p w14:paraId="3BE76E0D" w14:textId="77777777" w:rsidR="005972E8" w:rsidRPr="000020F0" w:rsidRDefault="005972E8" w:rsidP="005972E8">
      <w:pPr>
        <w:spacing w:line="276" w:lineRule="auto"/>
        <w:rPr>
          <w:rFonts w:ascii="Arial" w:hAnsi="Arial" w:cs="Arial"/>
          <w:highlight w:val="yellow"/>
        </w:rPr>
      </w:pPr>
    </w:p>
    <w:p w14:paraId="3875AEEE" w14:textId="77777777" w:rsidR="005972E8" w:rsidRPr="000020F0" w:rsidRDefault="005972E8" w:rsidP="005972E8">
      <w:pPr>
        <w:spacing w:line="276" w:lineRule="auto"/>
        <w:rPr>
          <w:rFonts w:ascii="Arial" w:hAnsi="Arial" w:cs="Arial"/>
          <w:highlight w:val="yellow"/>
        </w:rPr>
      </w:pPr>
    </w:p>
    <w:p w14:paraId="15C4C1DF" w14:textId="77777777" w:rsidR="005972E8" w:rsidRPr="000020F0" w:rsidRDefault="005972E8" w:rsidP="005972E8">
      <w:pPr>
        <w:spacing w:line="276" w:lineRule="auto"/>
        <w:rPr>
          <w:rFonts w:ascii="Arial" w:hAnsi="Arial" w:cs="Arial"/>
          <w:highlight w:val="yellow"/>
        </w:rPr>
      </w:pPr>
    </w:p>
    <w:p w14:paraId="384E4095" w14:textId="77777777" w:rsidR="005972E8" w:rsidRPr="000020F0" w:rsidRDefault="005972E8" w:rsidP="005972E8">
      <w:pPr>
        <w:spacing w:line="276" w:lineRule="auto"/>
        <w:rPr>
          <w:rFonts w:ascii="Arial" w:hAnsi="Arial" w:cs="Arial"/>
          <w:highlight w:val="yellow"/>
        </w:rPr>
      </w:pPr>
    </w:p>
    <w:p w14:paraId="2D10734A" w14:textId="77777777" w:rsidR="005972E8" w:rsidRPr="000020F0" w:rsidRDefault="005972E8" w:rsidP="005972E8">
      <w:pPr>
        <w:spacing w:line="276" w:lineRule="auto"/>
        <w:rPr>
          <w:rFonts w:ascii="Arial" w:hAnsi="Arial" w:cs="Arial"/>
          <w:highlight w:val="yellow"/>
        </w:rPr>
      </w:pPr>
    </w:p>
    <w:p w14:paraId="6B23AB95" w14:textId="77777777" w:rsidR="005972E8" w:rsidRPr="000020F0" w:rsidRDefault="005972E8" w:rsidP="005972E8">
      <w:pPr>
        <w:spacing w:line="276" w:lineRule="auto"/>
        <w:rPr>
          <w:rFonts w:ascii="Arial" w:hAnsi="Arial" w:cs="Arial"/>
          <w:highlight w:val="yellow"/>
        </w:rPr>
      </w:pPr>
    </w:p>
    <w:p w14:paraId="527A5AD4" w14:textId="77777777" w:rsidR="005972E8" w:rsidRPr="000020F0" w:rsidRDefault="005972E8" w:rsidP="005972E8">
      <w:pPr>
        <w:spacing w:line="276" w:lineRule="auto"/>
        <w:rPr>
          <w:rFonts w:ascii="Arial" w:hAnsi="Arial" w:cs="Arial"/>
          <w:highlight w:val="yellow"/>
        </w:rPr>
      </w:pPr>
    </w:p>
    <w:p w14:paraId="3AFB5FD7" w14:textId="77777777" w:rsidR="005972E8" w:rsidRPr="000020F0" w:rsidRDefault="005972E8" w:rsidP="005972E8">
      <w:pPr>
        <w:spacing w:line="276" w:lineRule="auto"/>
        <w:rPr>
          <w:rFonts w:ascii="Arial" w:hAnsi="Arial" w:cs="Arial"/>
          <w:highlight w:val="yellow"/>
        </w:rPr>
      </w:pPr>
    </w:p>
    <w:p w14:paraId="5898995D" w14:textId="77777777" w:rsidR="005972E8" w:rsidRPr="000020F0" w:rsidRDefault="005972E8" w:rsidP="005972E8">
      <w:pPr>
        <w:spacing w:line="276" w:lineRule="auto"/>
        <w:rPr>
          <w:rFonts w:ascii="Arial" w:hAnsi="Arial" w:cs="Arial"/>
          <w:highlight w:val="yellow"/>
        </w:rPr>
      </w:pPr>
    </w:p>
    <w:p w14:paraId="714071F4" w14:textId="77777777" w:rsidR="005972E8" w:rsidRPr="000020F0" w:rsidRDefault="005972E8" w:rsidP="005972E8">
      <w:pPr>
        <w:spacing w:line="276" w:lineRule="auto"/>
        <w:rPr>
          <w:rFonts w:ascii="Arial" w:hAnsi="Arial" w:cs="Arial"/>
          <w:highlight w:val="yellow"/>
        </w:rPr>
      </w:pPr>
    </w:p>
    <w:p w14:paraId="5060906E" w14:textId="77777777" w:rsidR="005972E8" w:rsidRPr="000020F0" w:rsidRDefault="005972E8" w:rsidP="005972E8">
      <w:pPr>
        <w:spacing w:line="276" w:lineRule="auto"/>
        <w:rPr>
          <w:rFonts w:ascii="Arial" w:hAnsi="Arial" w:cs="Arial"/>
          <w:highlight w:val="yellow"/>
        </w:rPr>
      </w:pPr>
    </w:p>
    <w:p w14:paraId="2391B04B" w14:textId="77777777" w:rsidR="005972E8" w:rsidRPr="000020F0" w:rsidRDefault="005972E8" w:rsidP="005972E8">
      <w:pPr>
        <w:spacing w:line="276" w:lineRule="auto"/>
        <w:rPr>
          <w:rFonts w:ascii="Arial" w:hAnsi="Arial" w:cs="Arial"/>
          <w:highlight w:val="yellow"/>
        </w:rPr>
      </w:pPr>
    </w:p>
    <w:p w14:paraId="2724E90A" w14:textId="77777777" w:rsidR="005972E8" w:rsidRPr="000020F0" w:rsidRDefault="005972E8" w:rsidP="005972E8">
      <w:pPr>
        <w:spacing w:line="276" w:lineRule="auto"/>
        <w:rPr>
          <w:rFonts w:ascii="Arial" w:hAnsi="Arial" w:cs="Arial"/>
          <w:highlight w:val="yellow"/>
        </w:rPr>
      </w:pPr>
    </w:p>
    <w:p w14:paraId="4E0CFC86" w14:textId="77777777" w:rsidR="005972E8" w:rsidRPr="000020F0" w:rsidRDefault="005972E8" w:rsidP="005972E8">
      <w:pPr>
        <w:spacing w:line="276" w:lineRule="auto"/>
        <w:rPr>
          <w:rFonts w:ascii="Arial" w:hAnsi="Arial" w:cs="Arial"/>
          <w:highlight w:val="yellow"/>
        </w:rPr>
      </w:pPr>
    </w:p>
    <w:p w14:paraId="63407CFD" w14:textId="77777777" w:rsidR="005972E8" w:rsidRPr="000020F0" w:rsidRDefault="005972E8" w:rsidP="005972E8">
      <w:pPr>
        <w:spacing w:line="276" w:lineRule="auto"/>
        <w:rPr>
          <w:rFonts w:ascii="Arial" w:hAnsi="Arial" w:cs="Arial"/>
          <w:highlight w:val="yellow"/>
        </w:rPr>
      </w:pPr>
    </w:p>
    <w:p w14:paraId="3C07EDB9" w14:textId="77777777" w:rsidR="005972E8" w:rsidRPr="000020F0" w:rsidRDefault="005972E8" w:rsidP="005972E8">
      <w:pPr>
        <w:spacing w:line="276" w:lineRule="auto"/>
        <w:rPr>
          <w:rFonts w:ascii="Arial" w:hAnsi="Arial" w:cs="Arial"/>
        </w:rPr>
      </w:pPr>
    </w:p>
    <w:p w14:paraId="173796B2" w14:textId="77777777" w:rsidR="005972E8" w:rsidRPr="000020F0" w:rsidRDefault="005972E8" w:rsidP="005972E8">
      <w:pPr>
        <w:spacing w:line="276" w:lineRule="auto"/>
        <w:rPr>
          <w:rFonts w:ascii="Arial" w:hAnsi="Arial"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10"/>
        <w:gridCol w:w="4652"/>
      </w:tblGrid>
      <w:tr w:rsidR="005972E8" w:rsidRPr="000020F0" w14:paraId="7A9BAE0B" w14:textId="77777777" w:rsidTr="0093689D">
        <w:tc>
          <w:tcPr>
            <w:tcW w:w="4555" w:type="dxa"/>
          </w:tcPr>
          <w:p w14:paraId="4A9CDEE4" w14:textId="77777777" w:rsidR="005972E8" w:rsidRPr="000020F0" w:rsidRDefault="005972E8" w:rsidP="005972E8">
            <w:pPr>
              <w:spacing w:line="276" w:lineRule="auto"/>
              <w:jc w:val="center"/>
              <w:rPr>
                <w:rFonts w:ascii="Arial" w:hAnsi="Arial" w:cs="Arial"/>
                <w:i/>
              </w:rPr>
            </w:pPr>
            <w:r w:rsidRPr="000020F0">
              <w:rPr>
                <w:rFonts w:ascii="Arial" w:hAnsi="Arial" w:cs="Arial"/>
                <w:i/>
              </w:rPr>
              <w:t>Naročnik dokumenta:</w:t>
            </w:r>
          </w:p>
        </w:tc>
        <w:tc>
          <w:tcPr>
            <w:tcW w:w="4733" w:type="dxa"/>
          </w:tcPr>
          <w:p w14:paraId="7F1F9B74" w14:textId="77777777" w:rsidR="005972E8" w:rsidRPr="000020F0" w:rsidRDefault="005972E8" w:rsidP="005972E8">
            <w:pPr>
              <w:spacing w:line="276" w:lineRule="auto"/>
              <w:jc w:val="center"/>
              <w:rPr>
                <w:rFonts w:ascii="Arial" w:hAnsi="Arial" w:cs="Arial"/>
                <w:i/>
              </w:rPr>
            </w:pPr>
            <w:r w:rsidRPr="000020F0">
              <w:rPr>
                <w:rFonts w:ascii="Arial" w:hAnsi="Arial" w:cs="Arial"/>
                <w:i/>
              </w:rPr>
              <w:t>Izdelovalec dokumenta:</w:t>
            </w:r>
          </w:p>
        </w:tc>
      </w:tr>
      <w:tr w:rsidR="005972E8" w:rsidRPr="000020F0" w14:paraId="2FE56B2A" w14:textId="77777777" w:rsidTr="0093689D">
        <w:tc>
          <w:tcPr>
            <w:tcW w:w="4555" w:type="dxa"/>
          </w:tcPr>
          <w:p w14:paraId="7A5B3E7A" w14:textId="5B4807D9" w:rsidR="00D90899" w:rsidRPr="000020F0" w:rsidRDefault="00D90899" w:rsidP="005972E8">
            <w:pPr>
              <w:spacing w:line="276" w:lineRule="auto"/>
              <w:jc w:val="center"/>
              <w:rPr>
                <w:rFonts w:ascii="Arial" w:hAnsi="Arial" w:cs="Arial"/>
                <w:b/>
              </w:rPr>
            </w:pPr>
            <w:r w:rsidRPr="000020F0">
              <w:rPr>
                <w:rFonts w:ascii="Arial" w:hAnsi="Arial" w:cs="Arial"/>
                <w:b/>
                <w:noProof/>
              </w:rPr>
              <w:drawing>
                <wp:inline distT="0" distB="0" distL="0" distR="0" wp14:anchorId="6D780183" wp14:editId="3151F5AF">
                  <wp:extent cx="762000" cy="906264"/>
                  <wp:effectExtent l="0" t="0" r="0" b="8255"/>
                  <wp:docPr id="4630598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2501" cy="918753"/>
                          </a:xfrm>
                          <a:prstGeom prst="rect">
                            <a:avLst/>
                          </a:prstGeom>
                          <a:noFill/>
                        </pic:spPr>
                      </pic:pic>
                    </a:graphicData>
                  </a:graphic>
                </wp:inline>
              </w:drawing>
            </w:r>
          </w:p>
          <w:p w14:paraId="4170D468" w14:textId="0607F554" w:rsidR="005972E8" w:rsidRPr="000020F0" w:rsidRDefault="005972E8" w:rsidP="005972E8">
            <w:pPr>
              <w:spacing w:line="276" w:lineRule="auto"/>
              <w:jc w:val="center"/>
              <w:rPr>
                <w:rFonts w:ascii="Arial" w:hAnsi="Arial" w:cs="Arial"/>
                <w:b/>
              </w:rPr>
            </w:pPr>
            <w:r w:rsidRPr="000020F0">
              <w:rPr>
                <w:rFonts w:ascii="Arial" w:hAnsi="Arial" w:cs="Arial"/>
                <w:b/>
              </w:rPr>
              <w:t xml:space="preserve">OBČINA IG, Govekarjeva cesta 6, 1292 Ig </w:t>
            </w:r>
          </w:p>
        </w:tc>
        <w:tc>
          <w:tcPr>
            <w:tcW w:w="4733" w:type="dxa"/>
          </w:tcPr>
          <w:p w14:paraId="20916FBA" w14:textId="77777777" w:rsidR="005972E8" w:rsidRPr="000020F0" w:rsidRDefault="005972E8" w:rsidP="005972E8">
            <w:pPr>
              <w:spacing w:line="276" w:lineRule="auto"/>
              <w:jc w:val="center"/>
              <w:rPr>
                <w:rFonts w:ascii="Arial" w:hAnsi="Arial" w:cs="Arial"/>
                <w:b/>
              </w:rPr>
            </w:pPr>
            <w:r w:rsidRPr="000020F0">
              <w:rPr>
                <w:rFonts w:ascii="Arial" w:hAnsi="Arial" w:cs="Arial"/>
                <w:b/>
                <w:noProof/>
              </w:rPr>
              <w:drawing>
                <wp:inline distT="0" distB="0" distL="0" distR="0" wp14:anchorId="2EC4842D" wp14:editId="178135AB">
                  <wp:extent cx="1835150" cy="8223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82" t="5051" r="73343" b="12145"/>
                          <a:stretch/>
                        </pic:blipFill>
                        <pic:spPr bwMode="auto">
                          <a:xfrm>
                            <a:off x="0" y="0"/>
                            <a:ext cx="1857861" cy="832482"/>
                          </a:xfrm>
                          <a:prstGeom prst="rect">
                            <a:avLst/>
                          </a:prstGeom>
                          <a:noFill/>
                          <a:ln>
                            <a:noFill/>
                          </a:ln>
                          <a:extLst>
                            <a:ext uri="{53640926-AAD7-44D8-BBD7-CCE9431645EC}">
                              <a14:shadowObscured xmlns:a14="http://schemas.microsoft.com/office/drawing/2010/main"/>
                            </a:ext>
                          </a:extLst>
                        </pic:spPr>
                      </pic:pic>
                    </a:graphicData>
                  </a:graphic>
                </wp:inline>
              </w:drawing>
            </w:r>
          </w:p>
          <w:p w14:paraId="0677F32A" w14:textId="77777777" w:rsidR="005972E8" w:rsidRPr="000020F0" w:rsidRDefault="005972E8" w:rsidP="005972E8">
            <w:pPr>
              <w:spacing w:line="276" w:lineRule="auto"/>
              <w:jc w:val="center"/>
              <w:rPr>
                <w:rFonts w:ascii="Arial" w:hAnsi="Arial" w:cs="Arial"/>
                <w:b/>
              </w:rPr>
            </w:pPr>
            <w:proofErr w:type="spellStart"/>
            <w:r w:rsidRPr="000020F0">
              <w:rPr>
                <w:rFonts w:ascii="Arial" w:hAnsi="Arial" w:cs="Arial"/>
                <w:b/>
              </w:rPr>
              <w:t>ProSVET</w:t>
            </w:r>
            <w:proofErr w:type="spellEnd"/>
            <w:r w:rsidRPr="000020F0">
              <w:rPr>
                <w:rFonts w:ascii="Arial" w:hAnsi="Arial" w:cs="Arial"/>
                <w:b/>
              </w:rPr>
              <w:t xml:space="preserve">, Martina Magajna </w:t>
            </w:r>
            <w:proofErr w:type="spellStart"/>
            <w:r w:rsidRPr="000020F0">
              <w:rPr>
                <w:rFonts w:ascii="Arial" w:hAnsi="Arial" w:cs="Arial"/>
                <w:b/>
              </w:rPr>
              <w:t>s.p</w:t>
            </w:r>
            <w:proofErr w:type="spellEnd"/>
            <w:r w:rsidRPr="000020F0">
              <w:rPr>
                <w:rFonts w:ascii="Arial" w:hAnsi="Arial" w:cs="Arial"/>
                <w:b/>
              </w:rPr>
              <w:t>.</w:t>
            </w:r>
          </w:p>
          <w:p w14:paraId="42B83566" w14:textId="77777777" w:rsidR="005972E8" w:rsidRPr="000020F0" w:rsidRDefault="005972E8" w:rsidP="005972E8">
            <w:pPr>
              <w:spacing w:line="276" w:lineRule="auto"/>
              <w:jc w:val="center"/>
              <w:rPr>
                <w:rFonts w:ascii="Arial" w:hAnsi="Arial" w:cs="Arial"/>
                <w:b/>
              </w:rPr>
            </w:pPr>
            <w:r w:rsidRPr="000020F0">
              <w:rPr>
                <w:rFonts w:ascii="Arial" w:hAnsi="Arial" w:cs="Arial"/>
                <w:b/>
              </w:rPr>
              <w:t>Dilce 40, 6230 Postojna</w:t>
            </w:r>
          </w:p>
        </w:tc>
      </w:tr>
      <w:tr w:rsidR="005972E8" w:rsidRPr="000020F0" w14:paraId="4D5C7ABE" w14:textId="77777777" w:rsidTr="0093689D">
        <w:tc>
          <w:tcPr>
            <w:tcW w:w="4555" w:type="dxa"/>
          </w:tcPr>
          <w:p w14:paraId="0F4CED52" w14:textId="77777777" w:rsidR="005972E8" w:rsidRPr="000020F0" w:rsidRDefault="005972E8" w:rsidP="005972E8">
            <w:pPr>
              <w:spacing w:line="276" w:lineRule="auto"/>
              <w:jc w:val="center"/>
              <w:rPr>
                <w:rFonts w:ascii="Arial" w:hAnsi="Arial" w:cs="Arial"/>
              </w:rPr>
            </w:pPr>
          </w:p>
        </w:tc>
        <w:tc>
          <w:tcPr>
            <w:tcW w:w="4733" w:type="dxa"/>
            <w:vAlign w:val="center"/>
          </w:tcPr>
          <w:p w14:paraId="15392C12" w14:textId="77777777" w:rsidR="005972E8" w:rsidRPr="000020F0" w:rsidRDefault="005972E8" w:rsidP="005972E8">
            <w:pPr>
              <w:spacing w:line="276" w:lineRule="auto"/>
              <w:jc w:val="center"/>
              <w:rPr>
                <w:rFonts w:ascii="Arial" w:hAnsi="Arial" w:cs="Arial"/>
              </w:rPr>
            </w:pPr>
          </w:p>
        </w:tc>
      </w:tr>
    </w:tbl>
    <w:p w14:paraId="6FDD9A72" w14:textId="77777777" w:rsidR="005972E8" w:rsidRPr="000020F0" w:rsidRDefault="005972E8" w:rsidP="005972E8">
      <w:pPr>
        <w:spacing w:line="276" w:lineRule="auto"/>
        <w:jc w:val="center"/>
        <w:rPr>
          <w:rFonts w:ascii="Arial" w:hAnsi="Arial" w:cs="Arial"/>
        </w:rPr>
      </w:pPr>
    </w:p>
    <w:p w14:paraId="237AF5EF" w14:textId="03026994" w:rsidR="005972E8" w:rsidRPr="000020F0" w:rsidRDefault="005972E8" w:rsidP="005972E8">
      <w:pPr>
        <w:spacing w:line="276" w:lineRule="auto"/>
        <w:jc w:val="center"/>
        <w:rPr>
          <w:rFonts w:ascii="Arial" w:hAnsi="Arial" w:cs="Arial"/>
        </w:rPr>
      </w:pPr>
      <w:r w:rsidRPr="000020F0">
        <w:rPr>
          <w:rFonts w:ascii="Arial" w:hAnsi="Arial" w:cs="Arial"/>
        </w:rPr>
        <w:t xml:space="preserve">Datum izdelave: </w:t>
      </w:r>
      <w:r w:rsidR="001D6981" w:rsidRPr="000020F0">
        <w:rPr>
          <w:rFonts w:ascii="Arial" w:hAnsi="Arial" w:cs="Arial"/>
        </w:rPr>
        <w:t>maj</w:t>
      </w:r>
      <w:r w:rsidRPr="000020F0">
        <w:rPr>
          <w:rFonts w:ascii="Arial" w:hAnsi="Arial" w:cs="Arial"/>
        </w:rPr>
        <w:t xml:space="preserve"> 202</w:t>
      </w:r>
      <w:r w:rsidR="001D6981" w:rsidRPr="000020F0">
        <w:rPr>
          <w:rFonts w:ascii="Arial" w:hAnsi="Arial" w:cs="Arial"/>
        </w:rPr>
        <w:t>6</w:t>
      </w:r>
    </w:p>
    <w:p w14:paraId="22086F9B" w14:textId="77777777" w:rsidR="005972E8" w:rsidRPr="000020F0" w:rsidRDefault="005972E8" w:rsidP="005972E8">
      <w:pPr>
        <w:spacing w:after="200" w:line="276" w:lineRule="auto"/>
        <w:rPr>
          <w:rFonts w:ascii="Arial" w:hAnsi="Arial" w:cs="Arial"/>
          <w:b/>
          <w:bCs/>
          <w:color w:val="244061"/>
          <w:szCs w:val="26"/>
          <w:lang w:eastAsia="zh-TW"/>
        </w:rPr>
      </w:pPr>
      <w:r w:rsidRPr="000020F0">
        <w:rPr>
          <w:rFonts w:ascii="Arial" w:hAnsi="Arial" w:cs="Arial"/>
          <w:color w:val="244061"/>
        </w:rPr>
        <w:br w:type="page"/>
      </w:r>
    </w:p>
    <w:p w14:paraId="38AE4BBA" w14:textId="77777777" w:rsidR="005972E8" w:rsidRPr="000020F0" w:rsidRDefault="005972E8" w:rsidP="005972E8">
      <w:pPr>
        <w:keepNext/>
        <w:keepLines/>
        <w:spacing w:before="120" w:after="120" w:line="276" w:lineRule="auto"/>
        <w:ind w:left="576" w:hanging="576"/>
        <w:jc w:val="both"/>
        <w:outlineLvl w:val="1"/>
        <w:rPr>
          <w:rFonts w:ascii="Arial" w:hAnsi="Arial" w:cs="Arial"/>
          <w:b/>
          <w:bCs/>
          <w:color w:val="244061"/>
          <w:szCs w:val="26"/>
          <w:lang w:eastAsia="zh-TW"/>
        </w:rPr>
      </w:pPr>
      <w:bookmarkStart w:id="6" w:name="_Toc174967845"/>
      <w:bookmarkStart w:id="7" w:name="_Toc207218338"/>
      <w:bookmarkStart w:id="8" w:name="_Toc207740020"/>
      <w:bookmarkStart w:id="9" w:name="_Toc209026533"/>
      <w:bookmarkStart w:id="10" w:name="_Toc209029117"/>
      <w:bookmarkStart w:id="11" w:name="_Toc209277115"/>
      <w:bookmarkStart w:id="12" w:name="_Toc209365789"/>
      <w:bookmarkStart w:id="13" w:name="_Toc209528167"/>
      <w:bookmarkStart w:id="14" w:name="_Toc210033758"/>
      <w:bookmarkStart w:id="15" w:name="_Toc229661139"/>
      <w:bookmarkStart w:id="16" w:name="_Toc230255867"/>
      <w:bookmarkStart w:id="17" w:name="_Toc230594599"/>
      <w:bookmarkStart w:id="18" w:name="_Toc230882160"/>
      <w:r w:rsidRPr="000020F0">
        <w:rPr>
          <w:rFonts w:ascii="Arial" w:hAnsi="Arial" w:cs="Arial"/>
          <w:b/>
          <w:bCs/>
          <w:color w:val="244061"/>
          <w:szCs w:val="26"/>
          <w:lang w:eastAsia="zh-TW"/>
        </w:rPr>
        <w:lastRenderedPageBreak/>
        <w:t>Naročnik, investitor in upravljavec:</w:t>
      </w:r>
      <w:bookmarkEnd w:id="6"/>
      <w:bookmarkEnd w:id="7"/>
      <w:bookmarkEnd w:id="8"/>
      <w:bookmarkEnd w:id="9"/>
      <w:bookmarkEnd w:id="10"/>
      <w:bookmarkEnd w:id="11"/>
      <w:bookmarkEnd w:id="12"/>
      <w:bookmarkEnd w:id="13"/>
      <w:bookmarkEnd w:id="14"/>
      <w:bookmarkEnd w:id="15"/>
      <w:bookmarkEnd w:id="16"/>
      <w:bookmarkEnd w:id="17"/>
      <w:bookmarkEnd w:id="18"/>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528"/>
        <w:gridCol w:w="4498"/>
      </w:tblGrid>
      <w:tr w:rsidR="005972E8" w:rsidRPr="000020F0" w14:paraId="2002E5AC" w14:textId="77777777" w:rsidTr="0093689D">
        <w:tc>
          <w:tcPr>
            <w:tcW w:w="4747" w:type="dxa"/>
            <w:shd w:val="clear" w:color="auto" w:fill="DBE5F1"/>
          </w:tcPr>
          <w:p w14:paraId="119BDDD0" w14:textId="77777777" w:rsidR="005972E8" w:rsidRPr="000020F0" w:rsidRDefault="005972E8" w:rsidP="005972E8">
            <w:pPr>
              <w:spacing w:line="276" w:lineRule="auto"/>
              <w:rPr>
                <w:rFonts w:ascii="Arial" w:hAnsi="Arial" w:cs="Arial"/>
                <w:b/>
              </w:rPr>
            </w:pPr>
            <w:r w:rsidRPr="000020F0">
              <w:rPr>
                <w:rFonts w:ascii="Arial" w:hAnsi="Arial" w:cs="Arial"/>
                <w:b/>
              </w:rPr>
              <w:t>OBČINA IG</w:t>
            </w:r>
          </w:p>
        </w:tc>
        <w:tc>
          <w:tcPr>
            <w:tcW w:w="4748" w:type="dxa"/>
            <w:shd w:val="clear" w:color="auto" w:fill="DBE5F1"/>
          </w:tcPr>
          <w:p w14:paraId="239933BB" w14:textId="77777777" w:rsidR="005972E8" w:rsidRPr="000020F0" w:rsidRDefault="005972E8" w:rsidP="005972E8">
            <w:pPr>
              <w:spacing w:line="276" w:lineRule="auto"/>
              <w:rPr>
                <w:rFonts w:ascii="Arial" w:hAnsi="Arial" w:cs="Arial"/>
                <w:b/>
              </w:rPr>
            </w:pPr>
            <w:r w:rsidRPr="000020F0">
              <w:rPr>
                <w:rFonts w:ascii="Arial" w:hAnsi="Arial" w:cs="Arial"/>
                <w:b/>
              </w:rPr>
              <w:t xml:space="preserve">Odgovorna oseba: </w:t>
            </w:r>
          </w:p>
          <w:p w14:paraId="47624521" w14:textId="77777777" w:rsidR="005972E8" w:rsidRPr="000020F0" w:rsidRDefault="005972E8" w:rsidP="005972E8">
            <w:pPr>
              <w:spacing w:line="276" w:lineRule="auto"/>
              <w:rPr>
                <w:rFonts w:ascii="Arial" w:hAnsi="Arial" w:cs="Arial"/>
                <w:b/>
              </w:rPr>
            </w:pPr>
            <w:r w:rsidRPr="000020F0">
              <w:rPr>
                <w:rFonts w:ascii="Arial" w:hAnsi="Arial" w:cs="Arial"/>
                <w:b/>
              </w:rPr>
              <w:t>Zlatko Usenik, župan</w:t>
            </w:r>
          </w:p>
        </w:tc>
      </w:tr>
      <w:tr w:rsidR="005972E8" w:rsidRPr="000020F0" w14:paraId="538B6BB9" w14:textId="77777777" w:rsidTr="0093689D">
        <w:tc>
          <w:tcPr>
            <w:tcW w:w="4747" w:type="dxa"/>
          </w:tcPr>
          <w:p w14:paraId="2A31B36E" w14:textId="77777777" w:rsidR="005972E8" w:rsidRPr="000020F0" w:rsidRDefault="005972E8" w:rsidP="005972E8">
            <w:pPr>
              <w:spacing w:line="276" w:lineRule="auto"/>
              <w:rPr>
                <w:rFonts w:ascii="Arial" w:hAnsi="Arial" w:cs="Arial"/>
              </w:rPr>
            </w:pPr>
            <w:r w:rsidRPr="000020F0">
              <w:rPr>
                <w:rFonts w:ascii="Arial" w:hAnsi="Arial" w:cs="Arial"/>
              </w:rPr>
              <w:t>Govekarjeva cesta 6, 1292 Ig</w:t>
            </w:r>
          </w:p>
        </w:tc>
        <w:tc>
          <w:tcPr>
            <w:tcW w:w="4748" w:type="dxa"/>
            <w:vMerge w:val="restart"/>
          </w:tcPr>
          <w:p w14:paraId="4FBD426D" w14:textId="77777777" w:rsidR="005972E8" w:rsidRPr="000020F0" w:rsidRDefault="005972E8" w:rsidP="005972E8">
            <w:pPr>
              <w:spacing w:before="120" w:line="276" w:lineRule="auto"/>
              <w:jc w:val="center"/>
              <w:rPr>
                <w:rFonts w:ascii="Arial" w:hAnsi="Arial" w:cs="Arial"/>
              </w:rPr>
            </w:pPr>
            <w:r w:rsidRPr="000020F0">
              <w:rPr>
                <w:rFonts w:ascii="Arial" w:hAnsi="Arial" w:cs="Arial"/>
              </w:rPr>
              <w:t>(podpis in žig)</w:t>
            </w:r>
          </w:p>
          <w:p w14:paraId="2AAA23AB" w14:textId="77777777" w:rsidR="005972E8" w:rsidRPr="000020F0" w:rsidRDefault="005972E8" w:rsidP="005972E8">
            <w:pPr>
              <w:spacing w:line="276" w:lineRule="auto"/>
              <w:jc w:val="center"/>
              <w:rPr>
                <w:rFonts w:ascii="Arial" w:hAnsi="Arial" w:cs="Arial"/>
              </w:rPr>
            </w:pPr>
          </w:p>
          <w:p w14:paraId="5C272951" w14:textId="77777777" w:rsidR="005972E8" w:rsidRPr="000020F0" w:rsidRDefault="005972E8" w:rsidP="005972E8">
            <w:pPr>
              <w:spacing w:line="276" w:lineRule="auto"/>
              <w:jc w:val="center"/>
              <w:rPr>
                <w:rFonts w:ascii="Arial" w:hAnsi="Arial" w:cs="Arial"/>
              </w:rPr>
            </w:pPr>
          </w:p>
          <w:p w14:paraId="6568EC3A" w14:textId="77777777" w:rsidR="005972E8" w:rsidRPr="000020F0" w:rsidRDefault="005972E8" w:rsidP="005972E8">
            <w:pPr>
              <w:spacing w:line="276" w:lineRule="auto"/>
              <w:jc w:val="center"/>
              <w:rPr>
                <w:rFonts w:ascii="Arial" w:hAnsi="Arial" w:cs="Arial"/>
              </w:rPr>
            </w:pPr>
          </w:p>
          <w:p w14:paraId="053B6B2E" w14:textId="77777777" w:rsidR="005972E8" w:rsidRPr="000020F0" w:rsidRDefault="005972E8" w:rsidP="005972E8">
            <w:pPr>
              <w:spacing w:line="276" w:lineRule="auto"/>
              <w:jc w:val="center"/>
              <w:rPr>
                <w:rFonts w:ascii="Arial" w:hAnsi="Arial" w:cs="Arial"/>
              </w:rPr>
            </w:pPr>
          </w:p>
        </w:tc>
      </w:tr>
      <w:tr w:rsidR="005972E8" w:rsidRPr="000020F0" w14:paraId="70F82083" w14:textId="77777777" w:rsidTr="0093689D">
        <w:tc>
          <w:tcPr>
            <w:tcW w:w="4747" w:type="dxa"/>
          </w:tcPr>
          <w:p w14:paraId="26B071E6" w14:textId="77777777" w:rsidR="005972E8" w:rsidRPr="000020F0" w:rsidRDefault="005972E8" w:rsidP="005972E8">
            <w:pPr>
              <w:spacing w:before="120" w:line="276" w:lineRule="auto"/>
              <w:jc w:val="center"/>
              <w:rPr>
                <w:rFonts w:ascii="Arial" w:hAnsi="Arial" w:cs="Arial"/>
              </w:rPr>
            </w:pPr>
            <w:r w:rsidRPr="000020F0">
              <w:rPr>
                <w:rFonts w:ascii="Arial" w:hAnsi="Arial" w:cs="Arial"/>
                <w:noProof/>
              </w:rPr>
              <w:drawing>
                <wp:inline distT="0" distB="0" distL="0" distR="0" wp14:anchorId="21AA7452" wp14:editId="233D387F">
                  <wp:extent cx="1061720" cy="1262197"/>
                  <wp:effectExtent l="0" t="0" r="5080" b="0"/>
                  <wp:docPr id="1814597049" name="Picture 6" descr="Nov grb in zastava občine Ig | Občina Ig | MojaObč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 grb in zastava občine Ig | Občina Ig | MojaObčina.s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3846" cy="1276613"/>
                          </a:xfrm>
                          <a:prstGeom prst="rect">
                            <a:avLst/>
                          </a:prstGeom>
                          <a:noFill/>
                          <a:ln>
                            <a:noFill/>
                          </a:ln>
                        </pic:spPr>
                      </pic:pic>
                    </a:graphicData>
                  </a:graphic>
                </wp:inline>
              </w:drawing>
            </w:r>
          </w:p>
        </w:tc>
        <w:tc>
          <w:tcPr>
            <w:tcW w:w="4748" w:type="dxa"/>
            <w:vMerge/>
          </w:tcPr>
          <w:p w14:paraId="5A0E484A" w14:textId="77777777" w:rsidR="005972E8" w:rsidRPr="000020F0" w:rsidRDefault="005972E8" w:rsidP="005972E8">
            <w:pPr>
              <w:spacing w:line="276" w:lineRule="auto"/>
              <w:jc w:val="center"/>
              <w:rPr>
                <w:rFonts w:ascii="Arial" w:hAnsi="Arial" w:cs="Arial"/>
              </w:rPr>
            </w:pPr>
          </w:p>
        </w:tc>
      </w:tr>
    </w:tbl>
    <w:p w14:paraId="7A04356D" w14:textId="77777777" w:rsidR="005972E8" w:rsidRPr="000020F0" w:rsidRDefault="005972E8" w:rsidP="005972E8">
      <w:pPr>
        <w:spacing w:line="276" w:lineRule="auto"/>
        <w:rPr>
          <w:rFonts w:ascii="Arial" w:hAnsi="Arial" w:cs="Arial"/>
        </w:rPr>
      </w:pPr>
    </w:p>
    <w:p w14:paraId="0E828FE9" w14:textId="77777777" w:rsidR="005972E8" w:rsidRPr="000020F0" w:rsidRDefault="005972E8" w:rsidP="005972E8">
      <w:pPr>
        <w:keepNext/>
        <w:keepLines/>
        <w:spacing w:before="120" w:after="120" w:line="276" w:lineRule="auto"/>
        <w:ind w:left="576" w:hanging="576"/>
        <w:jc w:val="both"/>
        <w:outlineLvl w:val="1"/>
        <w:rPr>
          <w:rFonts w:ascii="Arial" w:hAnsi="Arial" w:cs="Arial"/>
          <w:b/>
          <w:bCs/>
          <w:color w:val="244061"/>
          <w:szCs w:val="26"/>
          <w:lang w:eastAsia="zh-TW"/>
        </w:rPr>
      </w:pPr>
      <w:bookmarkStart w:id="19" w:name="_Toc174914298"/>
      <w:bookmarkStart w:id="20" w:name="_Toc174967846"/>
      <w:bookmarkStart w:id="21" w:name="_Toc207218339"/>
      <w:bookmarkStart w:id="22" w:name="_Toc207740021"/>
      <w:bookmarkStart w:id="23" w:name="_Toc209026534"/>
      <w:bookmarkStart w:id="24" w:name="_Toc209029118"/>
      <w:bookmarkStart w:id="25" w:name="_Toc209277116"/>
      <w:bookmarkStart w:id="26" w:name="_Toc209365790"/>
      <w:bookmarkStart w:id="27" w:name="_Toc209528168"/>
      <w:bookmarkStart w:id="28" w:name="_Toc210033759"/>
      <w:bookmarkStart w:id="29" w:name="_Toc229661140"/>
      <w:bookmarkStart w:id="30" w:name="_Toc230255868"/>
      <w:bookmarkStart w:id="31" w:name="_Toc230594600"/>
      <w:bookmarkStart w:id="32" w:name="_Toc230882161"/>
      <w:r w:rsidRPr="000020F0">
        <w:rPr>
          <w:rFonts w:ascii="Arial" w:hAnsi="Arial" w:cs="Arial"/>
          <w:b/>
          <w:bCs/>
          <w:color w:val="244061"/>
          <w:szCs w:val="26"/>
          <w:lang w:eastAsia="zh-TW"/>
        </w:rPr>
        <w:t>Izdelovalec investicijske dokumentacije</w:t>
      </w:r>
      <w:bookmarkEnd w:id="19"/>
      <w:bookmarkEnd w:id="20"/>
      <w:bookmarkEnd w:id="21"/>
      <w:bookmarkEnd w:id="22"/>
      <w:bookmarkEnd w:id="23"/>
      <w:bookmarkEnd w:id="24"/>
      <w:bookmarkEnd w:id="25"/>
      <w:bookmarkEnd w:id="26"/>
      <w:bookmarkEnd w:id="27"/>
      <w:bookmarkEnd w:id="28"/>
      <w:bookmarkEnd w:id="29"/>
      <w:bookmarkEnd w:id="30"/>
      <w:bookmarkEnd w:id="31"/>
      <w:bookmarkEnd w:id="32"/>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643"/>
        <w:gridCol w:w="4383"/>
      </w:tblGrid>
      <w:tr w:rsidR="005972E8" w:rsidRPr="000020F0" w14:paraId="1D3CD152" w14:textId="77777777" w:rsidTr="0093689D">
        <w:tc>
          <w:tcPr>
            <w:tcW w:w="4770" w:type="dxa"/>
            <w:shd w:val="clear" w:color="auto" w:fill="DBE5F1"/>
          </w:tcPr>
          <w:p w14:paraId="41D7941E" w14:textId="77777777" w:rsidR="005972E8" w:rsidRPr="000020F0" w:rsidRDefault="005972E8" w:rsidP="005972E8">
            <w:pPr>
              <w:spacing w:line="276" w:lineRule="auto"/>
              <w:rPr>
                <w:rFonts w:ascii="Arial" w:hAnsi="Arial" w:cs="Arial"/>
                <w:b/>
              </w:rPr>
            </w:pPr>
            <w:proofErr w:type="spellStart"/>
            <w:r w:rsidRPr="000020F0">
              <w:rPr>
                <w:rFonts w:ascii="Arial" w:hAnsi="Arial" w:cs="Arial"/>
                <w:b/>
              </w:rPr>
              <w:t>ProSVET</w:t>
            </w:r>
            <w:proofErr w:type="spellEnd"/>
            <w:r w:rsidRPr="000020F0">
              <w:rPr>
                <w:rFonts w:ascii="Arial" w:hAnsi="Arial" w:cs="Arial"/>
                <w:b/>
              </w:rPr>
              <w:t xml:space="preserve">, Martina Magajna </w:t>
            </w:r>
            <w:proofErr w:type="spellStart"/>
            <w:r w:rsidRPr="000020F0">
              <w:rPr>
                <w:rFonts w:ascii="Arial" w:hAnsi="Arial" w:cs="Arial"/>
                <w:b/>
              </w:rPr>
              <w:t>s.p</w:t>
            </w:r>
            <w:proofErr w:type="spellEnd"/>
            <w:r w:rsidRPr="000020F0">
              <w:rPr>
                <w:rFonts w:ascii="Arial" w:hAnsi="Arial" w:cs="Arial"/>
                <w:b/>
              </w:rPr>
              <w:t>.</w:t>
            </w:r>
          </w:p>
        </w:tc>
        <w:tc>
          <w:tcPr>
            <w:tcW w:w="4518" w:type="dxa"/>
            <w:shd w:val="clear" w:color="auto" w:fill="DBE5F1"/>
          </w:tcPr>
          <w:p w14:paraId="065A1EC4" w14:textId="77777777" w:rsidR="005972E8" w:rsidRPr="000020F0" w:rsidRDefault="005972E8" w:rsidP="005972E8">
            <w:pPr>
              <w:spacing w:line="276" w:lineRule="auto"/>
              <w:rPr>
                <w:rFonts w:ascii="Arial" w:hAnsi="Arial" w:cs="Arial"/>
                <w:b/>
              </w:rPr>
            </w:pPr>
            <w:r w:rsidRPr="000020F0">
              <w:rPr>
                <w:rFonts w:ascii="Arial" w:hAnsi="Arial" w:cs="Arial"/>
                <w:b/>
              </w:rPr>
              <w:t xml:space="preserve">Odgovorna oseba: </w:t>
            </w:r>
          </w:p>
          <w:p w14:paraId="4A5AECD7" w14:textId="77777777" w:rsidR="005972E8" w:rsidRPr="000020F0" w:rsidRDefault="005972E8" w:rsidP="005972E8">
            <w:pPr>
              <w:spacing w:line="276" w:lineRule="auto"/>
              <w:rPr>
                <w:rFonts w:ascii="Arial" w:hAnsi="Arial" w:cs="Arial"/>
                <w:b/>
                <w:sz w:val="18"/>
                <w:szCs w:val="18"/>
              </w:rPr>
            </w:pPr>
            <w:r w:rsidRPr="000020F0">
              <w:rPr>
                <w:rFonts w:ascii="Arial" w:hAnsi="Arial" w:cs="Arial"/>
                <w:b/>
              </w:rPr>
              <w:t>Martina Magajna, direktorica</w:t>
            </w:r>
          </w:p>
        </w:tc>
      </w:tr>
      <w:tr w:rsidR="005972E8" w:rsidRPr="000020F0" w14:paraId="3C5CF8B4" w14:textId="77777777" w:rsidTr="0093689D">
        <w:tc>
          <w:tcPr>
            <w:tcW w:w="4770" w:type="dxa"/>
          </w:tcPr>
          <w:p w14:paraId="4136E8C4" w14:textId="77777777" w:rsidR="005972E8" w:rsidRPr="000020F0" w:rsidRDefault="005972E8" w:rsidP="005972E8">
            <w:pPr>
              <w:spacing w:line="276" w:lineRule="auto"/>
              <w:rPr>
                <w:rFonts w:ascii="Arial" w:hAnsi="Arial" w:cs="Arial"/>
              </w:rPr>
            </w:pPr>
            <w:r w:rsidRPr="000020F0">
              <w:rPr>
                <w:rFonts w:ascii="Arial" w:hAnsi="Arial" w:cs="Arial"/>
              </w:rPr>
              <w:t>Dilce 40, 6230 Postojna</w:t>
            </w:r>
          </w:p>
        </w:tc>
        <w:tc>
          <w:tcPr>
            <w:tcW w:w="4518" w:type="dxa"/>
            <w:vMerge w:val="restart"/>
          </w:tcPr>
          <w:p w14:paraId="728C86F5" w14:textId="77777777" w:rsidR="005972E8" w:rsidRPr="000020F0" w:rsidRDefault="005972E8" w:rsidP="005972E8">
            <w:pPr>
              <w:spacing w:before="120" w:line="276" w:lineRule="auto"/>
              <w:jc w:val="center"/>
              <w:rPr>
                <w:rFonts w:ascii="Arial" w:hAnsi="Arial" w:cs="Arial"/>
              </w:rPr>
            </w:pPr>
            <w:r w:rsidRPr="000020F0">
              <w:rPr>
                <w:rFonts w:ascii="Arial" w:hAnsi="Arial" w:cs="Arial"/>
              </w:rPr>
              <w:t>(podpis in žig)</w:t>
            </w:r>
          </w:p>
          <w:p w14:paraId="14226A74" w14:textId="77777777" w:rsidR="005972E8" w:rsidRPr="000020F0" w:rsidRDefault="005972E8" w:rsidP="005972E8">
            <w:pPr>
              <w:spacing w:line="276" w:lineRule="auto"/>
              <w:jc w:val="center"/>
              <w:rPr>
                <w:rFonts w:ascii="Arial" w:hAnsi="Arial" w:cs="Arial"/>
              </w:rPr>
            </w:pPr>
            <w:r w:rsidRPr="000020F0">
              <w:rPr>
                <w:rFonts w:ascii="Arial" w:hAnsi="Arial" w:cs="Arial"/>
                <w:noProof/>
              </w:rPr>
              <w:drawing>
                <wp:inline distT="0" distB="0" distL="0" distR="0" wp14:anchorId="7EAD1748" wp14:editId="5163195F">
                  <wp:extent cx="2547635" cy="1095375"/>
                  <wp:effectExtent l="0" t="0" r="5080" b="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r="6151"/>
                          <a:stretch/>
                        </pic:blipFill>
                        <pic:spPr bwMode="auto">
                          <a:xfrm>
                            <a:off x="0" y="0"/>
                            <a:ext cx="2547635" cy="1095375"/>
                          </a:xfrm>
                          <a:prstGeom prst="rect">
                            <a:avLst/>
                          </a:prstGeom>
                          <a:ln>
                            <a:noFill/>
                          </a:ln>
                          <a:extLst>
                            <a:ext uri="{53640926-AAD7-44D8-BBD7-CCE9431645EC}">
                              <a14:shadowObscured xmlns:a14="http://schemas.microsoft.com/office/drawing/2010/main"/>
                            </a:ext>
                          </a:extLst>
                        </pic:spPr>
                      </pic:pic>
                    </a:graphicData>
                  </a:graphic>
                </wp:inline>
              </w:drawing>
            </w:r>
          </w:p>
          <w:p w14:paraId="075AAAF4" w14:textId="77777777" w:rsidR="005972E8" w:rsidRPr="000020F0" w:rsidRDefault="005972E8" w:rsidP="005972E8">
            <w:pPr>
              <w:spacing w:line="276" w:lineRule="auto"/>
              <w:jc w:val="center"/>
              <w:rPr>
                <w:rFonts w:ascii="Arial" w:hAnsi="Arial" w:cs="Arial"/>
              </w:rPr>
            </w:pPr>
          </w:p>
        </w:tc>
      </w:tr>
      <w:tr w:rsidR="005972E8" w:rsidRPr="000020F0" w14:paraId="36DEBE66" w14:textId="77777777" w:rsidTr="0093689D">
        <w:tc>
          <w:tcPr>
            <w:tcW w:w="4770" w:type="dxa"/>
          </w:tcPr>
          <w:p w14:paraId="55BDF5B8" w14:textId="77777777" w:rsidR="005972E8" w:rsidRPr="000020F0" w:rsidRDefault="005972E8" w:rsidP="005972E8">
            <w:pPr>
              <w:spacing w:line="276" w:lineRule="auto"/>
              <w:jc w:val="center"/>
              <w:rPr>
                <w:rFonts w:ascii="Arial" w:hAnsi="Arial" w:cs="Arial"/>
              </w:rPr>
            </w:pPr>
          </w:p>
          <w:p w14:paraId="738875FF" w14:textId="77777777" w:rsidR="005972E8" w:rsidRPr="000020F0" w:rsidRDefault="005972E8" w:rsidP="005972E8">
            <w:pPr>
              <w:spacing w:line="276" w:lineRule="auto"/>
              <w:rPr>
                <w:rFonts w:ascii="Arial" w:hAnsi="Arial" w:cs="Arial"/>
                <w:sz w:val="8"/>
                <w:szCs w:val="8"/>
              </w:rPr>
            </w:pPr>
          </w:p>
          <w:p w14:paraId="5523B5E4" w14:textId="77777777" w:rsidR="005972E8" w:rsidRPr="000020F0" w:rsidRDefault="005972E8" w:rsidP="005972E8">
            <w:pPr>
              <w:spacing w:line="276" w:lineRule="auto"/>
              <w:jc w:val="center"/>
              <w:rPr>
                <w:rFonts w:ascii="Arial" w:hAnsi="Arial" w:cs="Arial"/>
              </w:rPr>
            </w:pPr>
            <w:r w:rsidRPr="000020F0">
              <w:rPr>
                <w:rFonts w:ascii="Arial" w:hAnsi="Arial" w:cs="Arial"/>
                <w:noProof/>
              </w:rPr>
              <w:drawing>
                <wp:inline distT="0" distB="0" distL="0" distR="0" wp14:anchorId="61D120DC" wp14:editId="2EE67F79">
                  <wp:extent cx="2695575" cy="809625"/>
                  <wp:effectExtent l="19050" t="0" r="9525" b="0"/>
                  <wp:docPr id="5" name="Picture 2" descr="proSvet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vet logo +.jpg"/>
                          <pic:cNvPicPr/>
                        </pic:nvPicPr>
                        <pic:blipFill>
                          <a:blip r:embed="rId15" cstate="print"/>
                          <a:srcRect b="35606"/>
                          <a:stretch>
                            <a:fillRect/>
                          </a:stretch>
                        </pic:blipFill>
                        <pic:spPr>
                          <a:xfrm>
                            <a:off x="0" y="0"/>
                            <a:ext cx="2695575" cy="809625"/>
                          </a:xfrm>
                          <a:prstGeom prst="rect">
                            <a:avLst/>
                          </a:prstGeom>
                        </pic:spPr>
                      </pic:pic>
                    </a:graphicData>
                  </a:graphic>
                </wp:inline>
              </w:drawing>
            </w:r>
          </w:p>
        </w:tc>
        <w:tc>
          <w:tcPr>
            <w:tcW w:w="4518" w:type="dxa"/>
            <w:vMerge/>
          </w:tcPr>
          <w:p w14:paraId="5605C837" w14:textId="77777777" w:rsidR="005972E8" w:rsidRPr="000020F0" w:rsidRDefault="005972E8" w:rsidP="005972E8">
            <w:pPr>
              <w:spacing w:line="276" w:lineRule="auto"/>
              <w:jc w:val="center"/>
              <w:rPr>
                <w:rFonts w:ascii="Arial" w:hAnsi="Arial" w:cs="Arial"/>
              </w:rPr>
            </w:pPr>
          </w:p>
        </w:tc>
      </w:tr>
    </w:tbl>
    <w:p w14:paraId="1A3B0F6C" w14:textId="77777777" w:rsidR="005972E8" w:rsidRPr="000020F0" w:rsidRDefault="005972E8" w:rsidP="005972E8">
      <w:pPr>
        <w:spacing w:line="276" w:lineRule="auto"/>
        <w:rPr>
          <w:rFonts w:ascii="Arial" w:hAnsi="Arial" w:cs="Arial"/>
          <w:highlight w:val="yellow"/>
        </w:rPr>
      </w:pPr>
    </w:p>
    <w:p w14:paraId="66CB56D5" w14:textId="77777777" w:rsidR="005972E8" w:rsidRPr="000020F0" w:rsidRDefault="005972E8" w:rsidP="005972E8">
      <w:pPr>
        <w:keepNext/>
        <w:keepLines/>
        <w:spacing w:before="120" w:after="120" w:line="276" w:lineRule="auto"/>
        <w:jc w:val="both"/>
        <w:outlineLvl w:val="1"/>
        <w:rPr>
          <w:rFonts w:ascii="Arial" w:hAnsi="Arial" w:cs="Arial"/>
          <w:b/>
          <w:bCs/>
          <w:color w:val="244061"/>
          <w:szCs w:val="26"/>
          <w:lang w:eastAsia="zh-TW"/>
        </w:rPr>
      </w:pPr>
      <w:bookmarkStart w:id="33" w:name="_Toc174914299"/>
      <w:bookmarkStart w:id="34" w:name="_Toc174967847"/>
      <w:bookmarkStart w:id="35" w:name="_Toc207218340"/>
      <w:bookmarkStart w:id="36" w:name="_Toc207740022"/>
      <w:bookmarkStart w:id="37" w:name="_Toc209026535"/>
      <w:bookmarkStart w:id="38" w:name="_Toc209029119"/>
      <w:bookmarkStart w:id="39" w:name="_Toc209277117"/>
      <w:bookmarkStart w:id="40" w:name="_Toc209365791"/>
      <w:bookmarkStart w:id="41" w:name="_Toc209528169"/>
      <w:bookmarkStart w:id="42" w:name="_Toc210033760"/>
      <w:bookmarkStart w:id="43" w:name="_Toc229661141"/>
      <w:bookmarkStart w:id="44" w:name="_Toc230255869"/>
      <w:bookmarkStart w:id="45" w:name="_Toc230594601"/>
      <w:bookmarkStart w:id="46" w:name="_Toc230882162"/>
      <w:r w:rsidRPr="000020F0">
        <w:rPr>
          <w:rFonts w:ascii="Arial" w:hAnsi="Arial" w:cs="Arial"/>
          <w:b/>
          <w:bCs/>
          <w:color w:val="244061"/>
          <w:szCs w:val="26"/>
          <w:lang w:eastAsia="zh-TW"/>
        </w:rPr>
        <w:t>Osebe odgovorne za pripravo in nadzor nad pripravo ustrezne investicijske, projektne, tehnične in druge dokumentacije</w:t>
      </w:r>
      <w:bookmarkEnd w:id="33"/>
      <w:bookmarkEnd w:id="34"/>
      <w:bookmarkEnd w:id="35"/>
      <w:bookmarkEnd w:id="36"/>
      <w:bookmarkEnd w:id="37"/>
      <w:bookmarkEnd w:id="38"/>
      <w:bookmarkEnd w:id="39"/>
      <w:bookmarkEnd w:id="40"/>
      <w:bookmarkEnd w:id="41"/>
      <w:bookmarkEnd w:id="42"/>
      <w:bookmarkEnd w:id="43"/>
      <w:bookmarkEnd w:id="44"/>
      <w:bookmarkEnd w:id="45"/>
      <w:bookmarkEnd w:id="46"/>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528"/>
        <w:gridCol w:w="4498"/>
      </w:tblGrid>
      <w:tr w:rsidR="005972E8" w:rsidRPr="000020F0" w14:paraId="60FE20D1" w14:textId="77777777" w:rsidTr="0093689D">
        <w:tc>
          <w:tcPr>
            <w:tcW w:w="4747" w:type="dxa"/>
            <w:shd w:val="clear" w:color="auto" w:fill="DBE5F1"/>
          </w:tcPr>
          <w:p w14:paraId="21CF16DA" w14:textId="77777777" w:rsidR="005972E8" w:rsidRPr="000020F0" w:rsidRDefault="005972E8" w:rsidP="005972E8">
            <w:pPr>
              <w:spacing w:line="276" w:lineRule="auto"/>
              <w:rPr>
                <w:rFonts w:ascii="Arial" w:hAnsi="Arial" w:cs="Arial"/>
                <w:b/>
              </w:rPr>
            </w:pPr>
            <w:r w:rsidRPr="000020F0">
              <w:rPr>
                <w:rFonts w:ascii="Arial" w:hAnsi="Arial" w:cs="Arial"/>
                <w:b/>
              </w:rPr>
              <w:t>OBČINA IG</w:t>
            </w:r>
          </w:p>
        </w:tc>
        <w:tc>
          <w:tcPr>
            <w:tcW w:w="4748" w:type="dxa"/>
            <w:shd w:val="clear" w:color="auto" w:fill="DBE5F1"/>
          </w:tcPr>
          <w:p w14:paraId="20AC6B22" w14:textId="77777777" w:rsidR="005972E8" w:rsidRPr="000020F0" w:rsidRDefault="005972E8" w:rsidP="005972E8">
            <w:pPr>
              <w:spacing w:line="276" w:lineRule="auto"/>
              <w:rPr>
                <w:rFonts w:ascii="Arial" w:hAnsi="Arial" w:cs="Arial"/>
                <w:b/>
              </w:rPr>
            </w:pPr>
            <w:r w:rsidRPr="000020F0">
              <w:rPr>
                <w:rFonts w:ascii="Arial" w:hAnsi="Arial" w:cs="Arial"/>
                <w:b/>
              </w:rPr>
              <w:t xml:space="preserve">Odgovorna oseba: </w:t>
            </w:r>
          </w:p>
          <w:p w14:paraId="1196CB33" w14:textId="77777777" w:rsidR="005972E8" w:rsidRPr="000020F0" w:rsidRDefault="005972E8" w:rsidP="005972E8">
            <w:pPr>
              <w:spacing w:line="276" w:lineRule="auto"/>
              <w:rPr>
                <w:rFonts w:ascii="Arial" w:hAnsi="Arial" w:cs="Arial"/>
                <w:b/>
              </w:rPr>
            </w:pPr>
            <w:r w:rsidRPr="000020F0">
              <w:rPr>
                <w:rFonts w:ascii="Arial" w:hAnsi="Arial" w:cs="Arial"/>
                <w:b/>
              </w:rPr>
              <w:t>Marjetka Pintarič Župec, višja svetovalka</w:t>
            </w:r>
          </w:p>
        </w:tc>
      </w:tr>
      <w:tr w:rsidR="005972E8" w:rsidRPr="000020F0" w14:paraId="26F3B033" w14:textId="77777777" w:rsidTr="0093689D">
        <w:tc>
          <w:tcPr>
            <w:tcW w:w="4747" w:type="dxa"/>
          </w:tcPr>
          <w:p w14:paraId="103DE219" w14:textId="77777777" w:rsidR="005972E8" w:rsidRPr="000020F0" w:rsidRDefault="005972E8" w:rsidP="005972E8">
            <w:pPr>
              <w:spacing w:line="276" w:lineRule="auto"/>
              <w:rPr>
                <w:rFonts w:ascii="Arial" w:hAnsi="Arial" w:cs="Arial"/>
              </w:rPr>
            </w:pPr>
            <w:r w:rsidRPr="000020F0">
              <w:rPr>
                <w:rFonts w:ascii="Arial" w:hAnsi="Arial" w:cs="Arial"/>
              </w:rPr>
              <w:t>Govekarjeva cesta 6, 1292 Ig</w:t>
            </w:r>
          </w:p>
        </w:tc>
        <w:tc>
          <w:tcPr>
            <w:tcW w:w="4748" w:type="dxa"/>
            <w:vMerge w:val="restart"/>
          </w:tcPr>
          <w:p w14:paraId="31178956" w14:textId="77777777" w:rsidR="005972E8" w:rsidRPr="000020F0" w:rsidRDefault="005972E8" w:rsidP="005972E8">
            <w:pPr>
              <w:spacing w:before="120" w:line="276" w:lineRule="auto"/>
              <w:jc w:val="center"/>
              <w:rPr>
                <w:rFonts w:ascii="Arial" w:hAnsi="Arial" w:cs="Arial"/>
              </w:rPr>
            </w:pPr>
            <w:r w:rsidRPr="000020F0">
              <w:rPr>
                <w:rFonts w:ascii="Arial" w:hAnsi="Arial" w:cs="Arial"/>
              </w:rPr>
              <w:t>(podpis in žig)</w:t>
            </w:r>
          </w:p>
          <w:p w14:paraId="6EFC812E" w14:textId="77777777" w:rsidR="005972E8" w:rsidRPr="000020F0" w:rsidRDefault="005972E8" w:rsidP="005972E8">
            <w:pPr>
              <w:spacing w:line="276" w:lineRule="auto"/>
              <w:jc w:val="center"/>
              <w:rPr>
                <w:rFonts w:ascii="Arial" w:hAnsi="Arial" w:cs="Arial"/>
              </w:rPr>
            </w:pPr>
          </w:p>
          <w:p w14:paraId="67F4B2DA" w14:textId="77777777" w:rsidR="005972E8" w:rsidRPr="000020F0" w:rsidRDefault="005972E8" w:rsidP="005972E8">
            <w:pPr>
              <w:spacing w:line="276" w:lineRule="auto"/>
              <w:jc w:val="center"/>
              <w:rPr>
                <w:rFonts w:ascii="Arial" w:hAnsi="Arial" w:cs="Arial"/>
              </w:rPr>
            </w:pPr>
          </w:p>
          <w:p w14:paraId="317E39D3" w14:textId="77777777" w:rsidR="005972E8" w:rsidRPr="000020F0" w:rsidRDefault="005972E8" w:rsidP="005972E8">
            <w:pPr>
              <w:spacing w:line="276" w:lineRule="auto"/>
              <w:jc w:val="center"/>
              <w:rPr>
                <w:rFonts w:ascii="Arial" w:hAnsi="Arial" w:cs="Arial"/>
              </w:rPr>
            </w:pPr>
          </w:p>
          <w:p w14:paraId="527D2B51" w14:textId="77777777" w:rsidR="005972E8" w:rsidRPr="000020F0" w:rsidRDefault="005972E8" w:rsidP="005972E8">
            <w:pPr>
              <w:spacing w:line="276" w:lineRule="auto"/>
              <w:jc w:val="center"/>
              <w:rPr>
                <w:rFonts w:ascii="Arial" w:hAnsi="Arial" w:cs="Arial"/>
              </w:rPr>
            </w:pPr>
          </w:p>
        </w:tc>
      </w:tr>
      <w:tr w:rsidR="005972E8" w:rsidRPr="000020F0" w14:paraId="545BBEF0" w14:textId="77777777" w:rsidTr="0093689D">
        <w:tc>
          <w:tcPr>
            <w:tcW w:w="4747" w:type="dxa"/>
          </w:tcPr>
          <w:p w14:paraId="6DBB4BF9" w14:textId="77777777" w:rsidR="005972E8" w:rsidRPr="000020F0" w:rsidRDefault="005972E8" w:rsidP="005972E8">
            <w:pPr>
              <w:spacing w:before="120" w:line="276" w:lineRule="auto"/>
              <w:jc w:val="center"/>
              <w:rPr>
                <w:rFonts w:ascii="Arial" w:hAnsi="Arial" w:cs="Arial"/>
              </w:rPr>
            </w:pPr>
            <w:r w:rsidRPr="000020F0">
              <w:rPr>
                <w:rFonts w:ascii="Arial" w:hAnsi="Arial" w:cs="Arial"/>
                <w:noProof/>
              </w:rPr>
              <w:drawing>
                <wp:inline distT="0" distB="0" distL="0" distR="0" wp14:anchorId="5BB51FD8" wp14:editId="4E9387F8">
                  <wp:extent cx="1061720" cy="1262197"/>
                  <wp:effectExtent l="0" t="0" r="5080" b="0"/>
                  <wp:docPr id="1722615334" name="Picture 6" descr="Nov grb in zastava občine Ig | Občina Ig | MojaObč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 grb in zastava občine Ig | Občina Ig | MojaObčina.s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3846" cy="1276613"/>
                          </a:xfrm>
                          <a:prstGeom prst="rect">
                            <a:avLst/>
                          </a:prstGeom>
                          <a:noFill/>
                          <a:ln>
                            <a:noFill/>
                          </a:ln>
                        </pic:spPr>
                      </pic:pic>
                    </a:graphicData>
                  </a:graphic>
                </wp:inline>
              </w:drawing>
            </w:r>
          </w:p>
        </w:tc>
        <w:tc>
          <w:tcPr>
            <w:tcW w:w="4748" w:type="dxa"/>
            <w:vMerge/>
          </w:tcPr>
          <w:p w14:paraId="455E792E" w14:textId="77777777" w:rsidR="005972E8" w:rsidRPr="000020F0" w:rsidRDefault="005972E8" w:rsidP="005972E8">
            <w:pPr>
              <w:spacing w:line="276" w:lineRule="auto"/>
              <w:jc w:val="center"/>
              <w:rPr>
                <w:rFonts w:ascii="Arial" w:hAnsi="Arial" w:cs="Arial"/>
              </w:rPr>
            </w:pPr>
          </w:p>
        </w:tc>
      </w:tr>
    </w:tbl>
    <w:p w14:paraId="5EB8E63C" w14:textId="77777777" w:rsidR="005972E8" w:rsidRPr="000020F0" w:rsidRDefault="005972E8" w:rsidP="005972E8">
      <w:pPr>
        <w:rPr>
          <w:rFonts w:ascii="Arial" w:eastAsia="Arial" w:hAnsi="Arial" w:cs="Arial"/>
          <w:b/>
          <w:color w:val="366091"/>
        </w:rPr>
      </w:pPr>
    </w:p>
    <w:p w14:paraId="76657EF5" w14:textId="77777777" w:rsidR="005972E8" w:rsidRPr="000020F0" w:rsidRDefault="005972E8" w:rsidP="005972E8">
      <w:pPr>
        <w:spacing w:after="200" w:line="276" w:lineRule="auto"/>
        <w:rPr>
          <w:rFonts w:ascii="Arial" w:eastAsia="Arial" w:hAnsi="Arial" w:cs="Arial"/>
          <w:b/>
          <w:color w:val="366091"/>
        </w:rPr>
      </w:pPr>
      <w:r w:rsidRPr="000020F0">
        <w:rPr>
          <w:rFonts w:ascii="Arial" w:eastAsia="Arial" w:hAnsi="Arial" w:cs="Arial"/>
          <w:b/>
          <w:color w:val="366091"/>
        </w:rPr>
        <w:br w:type="page"/>
      </w:r>
    </w:p>
    <w:p w14:paraId="144475C4" w14:textId="77777777" w:rsidR="008B6353" w:rsidRPr="000020F0" w:rsidRDefault="008B6353" w:rsidP="00BD1D20">
      <w:pPr>
        <w:spacing w:line="276" w:lineRule="auto"/>
        <w:rPr>
          <w:rFonts w:asciiTheme="majorHAnsi" w:hAnsiTheme="majorHAnsi" w:cstheme="majorHAnsi"/>
          <w:highlight w:val="yellow"/>
        </w:rPr>
      </w:pPr>
    </w:p>
    <w:sdt>
      <w:sdtPr>
        <w:rPr>
          <w:rFonts w:ascii="Times New Roman" w:eastAsiaTheme="minorHAnsi" w:hAnsi="Times New Roman" w:cstheme="majorHAnsi"/>
          <w:b w:val="0"/>
          <w:bCs w:val="0"/>
          <w:color w:val="auto"/>
          <w:sz w:val="22"/>
          <w:szCs w:val="22"/>
          <w:lang w:val="sl-SI"/>
        </w:rPr>
        <w:id w:val="101358167"/>
        <w:docPartObj>
          <w:docPartGallery w:val="Table of Contents"/>
          <w:docPartUnique/>
        </w:docPartObj>
      </w:sdtPr>
      <w:sdtEndPr>
        <w:rPr>
          <w:rFonts w:eastAsia="Times New Roman"/>
          <w:sz w:val="24"/>
          <w:szCs w:val="24"/>
        </w:rPr>
      </w:sdtEndPr>
      <w:sdtContent>
        <w:p w14:paraId="05FCBB52" w14:textId="77777777" w:rsidR="003836D1" w:rsidRPr="000020F0" w:rsidRDefault="003836D1" w:rsidP="00BD1D20">
          <w:pPr>
            <w:pStyle w:val="NaslovTOC"/>
            <w:spacing w:before="0"/>
            <w:rPr>
              <w:rFonts w:cstheme="majorHAnsi"/>
              <w:lang w:val="sl-SI"/>
            </w:rPr>
          </w:pPr>
          <w:r w:rsidRPr="000020F0">
            <w:rPr>
              <w:rFonts w:cstheme="majorHAnsi"/>
              <w:sz w:val="24"/>
              <w:szCs w:val="24"/>
              <w:lang w:val="sl-SI"/>
            </w:rPr>
            <w:t>KAZALO VSEBINE</w:t>
          </w:r>
        </w:p>
        <w:p w14:paraId="10DC2923" w14:textId="47717E72" w:rsidR="00BD7903" w:rsidRDefault="00050C93">
          <w:pPr>
            <w:pStyle w:val="Kazalovsebine2"/>
            <w:tabs>
              <w:tab w:val="right" w:leader="dot" w:pos="9062"/>
            </w:tabs>
            <w:rPr>
              <w:smallCaps w:val="0"/>
              <w:noProof/>
              <w:kern w:val="2"/>
              <w:sz w:val="24"/>
              <w:szCs w:val="24"/>
              <w14:ligatures w14:val="standardContextual"/>
            </w:rPr>
          </w:pPr>
          <w:r w:rsidRPr="000020F0">
            <w:rPr>
              <w:rFonts w:asciiTheme="majorHAnsi" w:hAnsiTheme="majorHAnsi" w:cstheme="majorHAnsi"/>
              <w:b/>
              <w:bCs/>
              <w:caps/>
            </w:rPr>
            <w:fldChar w:fldCharType="begin"/>
          </w:r>
          <w:r w:rsidR="003836D1" w:rsidRPr="000020F0">
            <w:rPr>
              <w:rFonts w:asciiTheme="majorHAnsi" w:hAnsiTheme="majorHAnsi" w:cstheme="majorHAnsi"/>
            </w:rPr>
            <w:instrText xml:space="preserve"> TOC \o "1-3" \h \z \u </w:instrText>
          </w:r>
          <w:r w:rsidRPr="000020F0">
            <w:rPr>
              <w:rFonts w:asciiTheme="majorHAnsi" w:hAnsiTheme="majorHAnsi" w:cstheme="majorHAnsi"/>
              <w:b/>
              <w:bCs/>
              <w:caps/>
            </w:rPr>
            <w:fldChar w:fldCharType="separate"/>
          </w:r>
        </w:p>
        <w:p w14:paraId="6922D47E" w14:textId="5865BAEC"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163" w:history="1">
            <w:r w:rsidRPr="00815C99">
              <w:rPr>
                <w:rStyle w:val="Hiperpovezava"/>
                <w:rFonts w:cstheme="majorHAnsi"/>
                <w:noProof/>
              </w:rPr>
              <w:t>1</w:t>
            </w:r>
            <w:r>
              <w:rPr>
                <w:b w:val="0"/>
                <w:bCs w:val="0"/>
                <w:caps w:val="0"/>
                <w:noProof/>
                <w:kern w:val="2"/>
                <w:sz w:val="24"/>
                <w:szCs w:val="24"/>
                <w14:ligatures w14:val="standardContextual"/>
              </w:rPr>
              <w:tab/>
            </w:r>
            <w:r w:rsidRPr="00815C99">
              <w:rPr>
                <w:rStyle w:val="Hiperpovezava"/>
                <w:rFonts w:cstheme="majorHAnsi"/>
                <w:noProof/>
              </w:rPr>
              <w:t>UVODNO POJASNILO</w:t>
            </w:r>
            <w:r>
              <w:rPr>
                <w:noProof/>
                <w:webHidden/>
              </w:rPr>
              <w:tab/>
            </w:r>
            <w:r>
              <w:rPr>
                <w:noProof/>
                <w:webHidden/>
              </w:rPr>
              <w:fldChar w:fldCharType="begin"/>
            </w:r>
            <w:r>
              <w:rPr>
                <w:noProof/>
                <w:webHidden/>
              </w:rPr>
              <w:instrText xml:space="preserve"> PAGEREF _Toc230882163 \h </w:instrText>
            </w:r>
            <w:r>
              <w:rPr>
                <w:noProof/>
                <w:webHidden/>
              </w:rPr>
            </w:r>
            <w:r>
              <w:rPr>
                <w:noProof/>
                <w:webHidden/>
              </w:rPr>
              <w:fldChar w:fldCharType="separate"/>
            </w:r>
            <w:r w:rsidR="00BB0C0C">
              <w:rPr>
                <w:noProof/>
                <w:webHidden/>
              </w:rPr>
              <w:t>8</w:t>
            </w:r>
            <w:r>
              <w:rPr>
                <w:noProof/>
                <w:webHidden/>
              </w:rPr>
              <w:fldChar w:fldCharType="end"/>
            </w:r>
          </w:hyperlink>
        </w:p>
        <w:p w14:paraId="783EC920" w14:textId="59BD08AA"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64" w:history="1">
            <w:r w:rsidRPr="00815C99">
              <w:rPr>
                <w:rStyle w:val="Hiperpovezava"/>
                <w:rFonts w:asciiTheme="majorHAnsi" w:eastAsiaTheme="majorEastAsia" w:hAnsiTheme="majorHAnsi" w:cstheme="majorHAnsi"/>
                <w:noProof/>
              </w:rPr>
              <w:t>1.1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 investitorju, upravljavcu in naročniku</w:t>
            </w:r>
            <w:r>
              <w:rPr>
                <w:noProof/>
                <w:webHidden/>
              </w:rPr>
              <w:tab/>
            </w:r>
            <w:r>
              <w:rPr>
                <w:noProof/>
                <w:webHidden/>
              </w:rPr>
              <w:fldChar w:fldCharType="begin"/>
            </w:r>
            <w:r>
              <w:rPr>
                <w:noProof/>
                <w:webHidden/>
              </w:rPr>
              <w:instrText xml:space="preserve"> PAGEREF _Toc230882164 \h </w:instrText>
            </w:r>
            <w:r>
              <w:rPr>
                <w:noProof/>
                <w:webHidden/>
              </w:rPr>
            </w:r>
            <w:r>
              <w:rPr>
                <w:noProof/>
                <w:webHidden/>
              </w:rPr>
              <w:fldChar w:fldCharType="separate"/>
            </w:r>
            <w:r w:rsidR="00BB0C0C">
              <w:rPr>
                <w:noProof/>
                <w:webHidden/>
              </w:rPr>
              <w:t>18</w:t>
            </w:r>
            <w:r>
              <w:rPr>
                <w:noProof/>
                <w:webHidden/>
              </w:rPr>
              <w:fldChar w:fldCharType="end"/>
            </w:r>
          </w:hyperlink>
        </w:p>
        <w:p w14:paraId="1BB6CB49" w14:textId="26F9D422"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65" w:history="1">
            <w:r w:rsidRPr="00815C99">
              <w:rPr>
                <w:rStyle w:val="Hiperpovezava"/>
                <w:rFonts w:asciiTheme="majorHAnsi" w:eastAsiaTheme="majorEastAsia" w:hAnsiTheme="majorHAnsi" w:cstheme="majorHAnsi"/>
                <w:noProof/>
              </w:rPr>
              <w:t>1.2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Predstavitev izdelovalca novelacije investicijskega programa št. 1</w:t>
            </w:r>
            <w:r>
              <w:rPr>
                <w:noProof/>
                <w:webHidden/>
              </w:rPr>
              <w:tab/>
            </w:r>
            <w:r>
              <w:rPr>
                <w:noProof/>
                <w:webHidden/>
              </w:rPr>
              <w:fldChar w:fldCharType="begin"/>
            </w:r>
            <w:r>
              <w:rPr>
                <w:noProof/>
                <w:webHidden/>
              </w:rPr>
              <w:instrText xml:space="preserve"> PAGEREF _Toc230882165 \h </w:instrText>
            </w:r>
            <w:r>
              <w:rPr>
                <w:noProof/>
                <w:webHidden/>
              </w:rPr>
            </w:r>
            <w:r>
              <w:rPr>
                <w:noProof/>
                <w:webHidden/>
              </w:rPr>
              <w:fldChar w:fldCharType="separate"/>
            </w:r>
            <w:r w:rsidR="00BB0C0C">
              <w:rPr>
                <w:noProof/>
                <w:webHidden/>
              </w:rPr>
              <w:t>19</w:t>
            </w:r>
            <w:r>
              <w:rPr>
                <w:noProof/>
                <w:webHidden/>
              </w:rPr>
              <w:fldChar w:fldCharType="end"/>
            </w:r>
          </w:hyperlink>
        </w:p>
        <w:p w14:paraId="4EA17055" w14:textId="4E1A368C"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66" w:history="1">
            <w:r w:rsidRPr="00815C99">
              <w:rPr>
                <w:rStyle w:val="Hiperpovezava"/>
                <w:rFonts w:asciiTheme="majorHAnsi" w:eastAsiaTheme="majorEastAsia" w:hAnsiTheme="majorHAnsi" w:cstheme="majorHAnsi"/>
                <w:noProof/>
              </w:rPr>
              <w:t>1.3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Namen in cilj investicijskega projekta</w:t>
            </w:r>
            <w:r>
              <w:rPr>
                <w:noProof/>
                <w:webHidden/>
              </w:rPr>
              <w:tab/>
            </w:r>
            <w:r>
              <w:rPr>
                <w:noProof/>
                <w:webHidden/>
              </w:rPr>
              <w:fldChar w:fldCharType="begin"/>
            </w:r>
            <w:r>
              <w:rPr>
                <w:noProof/>
                <w:webHidden/>
              </w:rPr>
              <w:instrText xml:space="preserve"> PAGEREF _Toc230882166 \h </w:instrText>
            </w:r>
            <w:r>
              <w:rPr>
                <w:noProof/>
                <w:webHidden/>
              </w:rPr>
            </w:r>
            <w:r>
              <w:rPr>
                <w:noProof/>
                <w:webHidden/>
              </w:rPr>
              <w:fldChar w:fldCharType="separate"/>
            </w:r>
            <w:r w:rsidR="00BB0C0C">
              <w:rPr>
                <w:noProof/>
                <w:webHidden/>
              </w:rPr>
              <w:t>20</w:t>
            </w:r>
            <w:r>
              <w:rPr>
                <w:noProof/>
                <w:webHidden/>
              </w:rPr>
              <w:fldChar w:fldCharType="end"/>
            </w:r>
          </w:hyperlink>
        </w:p>
        <w:p w14:paraId="225F4B4A" w14:textId="72E048BF"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67" w:history="1">
            <w:r w:rsidRPr="00815C99">
              <w:rPr>
                <w:rStyle w:val="Hiperpovezava"/>
                <w:rFonts w:asciiTheme="majorHAnsi" w:eastAsiaTheme="majorEastAsia" w:hAnsiTheme="majorHAnsi" w:cstheme="majorHAnsi"/>
                <w:noProof/>
              </w:rPr>
              <w:t>1.4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Obdelava variant</w:t>
            </w:r>
            <w:r>
              <w:rPr>
                <w:noProof/>
                <w:webHidden/>
              </w:rPr>
              <w:tab/>
            </w:r>
            <w:r>
              <w:rPr>
                <w:noProof/>
                <w:webHidden/>
              </w:rPr>
              <w:fldChar w:fldCharType="begin"/>
            </w:r>
            <w:r>
              <w:rPr>
                <w:noProof/>
                <w:webHidden/>
              </w:rPr>
              <w:instrText xml:space="preserve"> PAGEREF _Toc230882167 \h </w:instrText>
            </w:r>
            <w:r>
              <w:rPr>
                <w:noProof/>
                <w:webHidden/>
              </w:rPr>
            </w:r>
            <w:r>
              <w:rPr>
                <w:noProof/>
                <w:webHidden/>
              </w:rPr>
              <w:fldChar w:fldCharType="separate"/>
            </w:r>
            <w:r w:rsidR="00BB0C0C">
              <w:rPr>
                <w:noProof/>
                <w:webHidden/>
              </w:rPr>
              <w:t>24</w:t>
            </w:r>
            <w:r>
              <w:rPr>
                <w:noProof/>
                <w:webHidden/>
              </w:rPr>
              <w:fldChar w:fldCharType="end"/>
            </w:r>
          </w:hyperlink>
        </w:p>
        <w:p w14:paraId="3CD82AA1" w14:textId="2661BA8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68" w:history="1">
            <w:r w:rsidRPr="00815C99">
              <w:rPr>
                <w:rStyle w:val="Hiperpovezava"/>
                <w:rFonts w:asciiTheme="majorHAnsi" w:eastAsiaTheme="majorEastAsia" w:hAnsiTheme="majorHAnsi" w:cstheme="majorHAnsi"/>
                <w:noProof/>
              </w:rPr>
              <w:t>1.4.1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Varianta 0 – brez projekta</w:t>
            </w:r>
            <w:r>
              <w:rPr>
                <w:noProof/>
                <w:webHidden/>
              </w:rPr>
              <w:tab/>
            </w:r>
            <w:r>
              <w:rPr>
                <w:noProof/>
                <w:webHidden/>
              </w:rPr>
              <w:fldChar w:fldCharType="begin"/>
            </w:r>
            <w:r>
              <w:rPr>
                <w:noProof/>
                <w:webHidden/>
              </w:rPr>
              <w:instrText xml:space="preserve"> PAGEREF _Toc230882168 \h </w:instrText>
            </w:r>
            <w:r>
              <w:rPr>
                <w:noProof/>
                <w:webHidden/>
              </w:rPr>
            </w:r>
            <w:r>
              <w:rPr>
                <w:noProof/>
                <w:webHidden/>
              </w:rPr>
              <w:fldChar w:fldCharType="separate"/>
            </w:r>
            <w:r w:rsidR="00BB0C0C">
              <w:rPr>
                <w:noProof/>
                <w:webHidden/>
              </w:rPr>
              <w:t>24</w:t>
            </w:r>
            <w:r>
              <w:rPr>
                <w:noProof/>
                <w:webHidden/>
              </w:rPr>
              <w:fldChar w:fldCharType="end"/>
            </w:r>
          </w:hyperlink>
        </w:p>
        <w:p w14:paraId="4BE826AC" w14:textId="43A1084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69" w:history="1">
            <w:r w:rsidRPr="00815C99">
              <w:rPr>
                <w:rStyle w:val="Hiperpovezava"/>
                <w:rFonts w:asciiTheme="majorHAnsi" w:eastAsiaTheme="majorEastAsia" w:hAnsiTheme="majorHAnsi" w:cstheme="majorHAnsi"/>
                <w:noProof/>
              </w:rPr>
              <w:t>1.4.2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Varianta 1 – izvedba projekta z nepovratnimi sredstvi</w:t>
            </w:r>
            <w:r>
              <w:rPr>
                <w:noProof/>
                <w:webHidden/>
              </w:rPr>
              <w:tab/>
            </w:r>
            <w:r>
              <w:rPr>
                <w:noProof/>
                <w:webHidden/>
              </w:rPr>
              <w:fldChar w:fldCharType="begin"/>
            </w:r>
            <w:r>
              <w:rPr>
                <w:noProof/>
                <w:webHidden/>
              </w:rPr>
              <w:instrText xml:space="preserve"> PAGEREF _Toc230882169 \h </w:instrText>
            </w:r>
            <w:r>
              <w:rPr>
                <w:noProof/>
                <w:webHidden/>
              </w:rPr>
            </w:r>
            <w:r>
              <w:rPr>
                <w:noProof/>
                <w:webHidden/>
              </w:rPr>
              <w:fldChar w:fldCharType="separate"/>
            </w:r>
            <w:r w:rsidR="00BB0C0C">
              <w:rPr>
                <w:noProof/>
                <w:webHidden/>
              </w:rPr>
              <w:t>24</w:t>
            </w:r>
            <w:r>
              <w:rPr>
                <w:noProof/>
                <w:webHidden/>
              </w:rPr>
              <w:fldChar w:fldCharType="end"/>
            </w:r>
          </w:hyperlink>
        </w:p>
        <w:p w14:paraId="24207991" w14:textId="0E57BCE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70" w:history="1">
            <w:r w:rsidRPr="00815C99">
              <w:rPr>
                <w:rStyle w:val="Hiperpovezava"/>
                <w:rFonts w:asciiTheme="majorHAnsi" w:eastAsiaTheme="majorEastAsia" w:hAnsiTheme="majorHAnsi" w:cstheme="majorHAnsi"/>
                <w:noProof/>
              </w:rPr>
              <w:t>1.4.3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Varianta 2 – izvedba projekta z lastnimi sredstvi</w:t>
            </w:r>
            <w:r>
              <w:rPr>
                <w:noProof/>
                <w:webHidden/>
              </w:rPr>
              <w:tab/>
            </w:r>
            <w:r>
              <w:rPr>
                <w:noProof/>
                <w:webHidden/>
              </w:rPr>
              <w:fldChar w:fldCharType="begin"/>
            </w:r>
            <w:r>
              <w:rPr>
                <w:noProof/>
                <w:webHidden/>
              </w:rPr>
              <w:instrText xml:space="preserve"> PAGEREF _Toc230882170 \h </w:instrText>
            </w:r>
            <w:r>
              <w:rPr>
                <w:noProof/>
                <w:webHidden/>
              </w:rPr>
            </w:r>
            <w:r>
              <w:rPr>
                <w:noProof/>
                <w:webHidden/>
              </w:rPr>
              <w:fldChar w:fldCharType="separate"/>
            </w:r>
            <w:r w:rsidR="00BB0C0C">
              <w:rPr>
                <w:noProof/>
                <w:webHidden/>
              </w:rPr>
              <w:t>25</w:t>
            </w:r>
            <w:r>
              <w:rPr>
                <w:noProof/>
                <w:webHidden/>
              </w:rPr>
              <w:fldChar w:fldCharType="end"/>
            </w:r>
          </w:hyperlink>
        </w:p>
        <w:p w14:paraId="0CE4646E" w14:textId="6F741C19"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1" w:history="1">
            <w:r w:rsidRPr="00815C99">
              <w:rPr>
                <w:rStyle w:val="Hiperpovezava"/>
                <w:rFonts w:asciiTheme="majorHAnsi" w:eastAsiaTheme="majorEastAsia" w:hAnsiTheme="majorHAnsi" w:cstheme="majorHAnsi"/>
                <w:noProof/>
              </w:rPr>
              <w:t>1.5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Povzetek dokumenta identifikacije investicijskega projekta</w:t>
            </w:r>
            <w:r>
              <w:rPr>
                <w:noProof/>
                <w:webHidden/>
              </w:rPr>
              <w:tab/>
            </w:r>
            <w:r>
              <w:rPr>
                <w:noProof/>
                <w:webHidden/>
              </w:rPr>
              <w:fldChar w:fldCharType="begin"/>
            </w:r>
            <w:r>
              <w:rPr>
                <w:noProof/>
                <w:webHidden/>
              </w:rPr>
              <w:instrText xml:space="preserve"> PAGEREF _Toc230882171 \h </w:instrText>
            </w:r>
            <w:r>
              <w:rPr>
                <w:noProof/>
                <w:webHidden/>
              </w:rPr>
            </w:r>
            <w:r>
              <w:rPr>
                <w:noProof/>
                <w:webHidden/>
              </w:rPr>
              <w:fldChar w:fldCharType="separate"/>
            </w:r>
            <w:r w:rsidR="00BB0C0C">
              <w:rPr>
                <w:noProof/>
                <w:webHidden/>
              </w:rPr>
              <w:t>26</w:t>
            </w:r>
            <w:r>
              <w:rPr>
                <w:noProof/>
                <w:webHidden/>
              </w:rPr>
              <w:fldChar w:fldCharType="end"/>
            </w:r>
          </w:hyperlink>
        </w:p>
        <w:p w14:paraId="30ED7EA4" w14:textId="0B3D829E"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2" w:history="1">
            <w:r w:rsidRPr="00815C99">
              <w:rPr>
                <w:rStyle w:val="Hiperpovezava"/>
                <w:rFonts w:asciiTheme="majorHAnsi" w:eastAsiaTheme="majorEastAsia" w:hAnsiTheme="majorHAnsi" w:cstheme="majorHAnsi"/>
                <w:noProof/>
              </w:rPr>
              <w:t>1.6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Povzetek predinvesticijske zasnove</w:t>
            </w:r>
            <w:r>
              <w:rPr>
                <w:noProof/>
                <w:webHidden/>
              </w:rPr>
              <w:tab/>
            </w:r>
            <w:r>
              <w:rPr>
                <w:noProof/>
                <w:webHidden/>
              </w:rPr>
              <w:fldChar w:fldCharType="begin"/>
            </w:r>
            <w:r>
              <w:rPr>
                <w:noProof/>
                <w:webHidden/>
              </w:rPr>
              <w:instrText xml:space="preserve"> PAGEREF _Toc230882172 \h </w:instrText>
            </w:r>
            <w:r>
              <w:rPr>
                <w:noProof/>
                <w:webHidden/>
              </w:rPr>
            </w:r>
            <w:r>
              <w:rPr>
                <w:noProof/>
                <w:webHidden/>
              </w:rPr>
              <w:fldChar w:fldCharType="separate"/>
            </w:r>
            <w:r w:rsidR="00BB0C0C">
              <w:rPr>
                <w:noProof/>
                <w:webHidden/>
              </w:rPr>
              <w:t>26</w:t>
            </w:r>
            <w:r>
              <w:rPr>
                <w:noProof/>
                <w:webHidden/>
              </w:rPr>
              <w:fldChar w:fldCharType="end"/>
            </w:r>
          </w:hyperlink>
        </w:p>
        <w:p w14:paraId="222039A3" w14:textId="18E469CC"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3" w:history="1">
            <w:r w:rsidRPr="00815C99">
              <w:rPr>
                <w:rStyle w:val="Hiperpovezava"/>
                <w:rFonts w:asciiTheme="majorHAnsi" w:eastAsiaTheme="majorEastAsia" w:hAnsiTheme="majorHAnsi" w:cstheme="majorHAnsi"/>
                <w:noProof/>
              </w:rPr>
              <w:t>1.7</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Spremembe v fazi izdelave investicijske dokumentacije</w:t>
            </w:r>
            <w:r>
              <w:rPr>
                <w:noProof/>
                <w:webHidden/>
              </w:rPr>
              <w:tab/>
            </w:r>
            <w:r>
              <w:rPr>
                <w:noProof/>
                <w:webHidden/>
              </w:rPr>
              <w:fldChar w:fldCharType="begin"/>
            </w:r>
            <w:r>
              <w:rPr>
                <w:noProof/>
                <w:webHidden/>
              </w:rPr>
              <w:instrText xml:space="preserve"> PAGEREF _Toc230882173 \h </w:instrText>
            </w:r>
            <w:r>
              <w:rPr>
                <w:noProof/>
                <w:webHidden/>
              </w:rPr>
            </w:r>
            <w:r>
              <w:rPr>
                <w:noProof/>
                <w:webHidden/>
              </w:rPr>
              <w:fldChar w:fldCharType="separate"/>
            </w:r>
            <w:r w:rsidR="00BB0C0C">
              <w:rPr>
                <w:noProof/>
                <w:webHidden/>
              </w:rPr>
              <w:t>27</w:t>
            </w:r>
            <w:r>
              <w:rPr>
                <w:noProof/>
                <w:webHidden/>
              </w:rPr>
              <w:fldChar w:fldCharType="end"/>
            </w:r>
          </w:hyperlink>
        </w:p>
        <w:p w14:paraId="494FF6CF" w14:textId="6DA6839D"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174" w:history="1">
            <w:r w:rsidRPr="00815C99">
              <w:rPr>
                <w:rStyle w:val="Hiperpovezava"/>
                <w:rFonts w:cstheme="majorHAnsi"/>
                <w:noProof/>
              </w:rPr>
              <w:t>2</w:t>
            </w:r>
            <w:r>
              <w:rPr>
                <w:b w:val="0"/>
                <w:bCs w:val="0"/>
                <w:caps w:val="0"/>
                <w:noProof/>
                <w:kern w:val="2"/>
                <w:sz w:val="24"/>
                <w:szCs w:val="24"/>
                <w14:ligatures w14:val="standardContextual"/>
              </w:rPr>
              <w:tab/>
            </w:r>
            <w:r w:rsidRPr="00815C99">
              <w:rPr>
                <w:rStyle w:val="Hiperpovezava"/>
                <w:rFonts w:cstheme="majorHAnsi"/>
                <w:noProof/>
              </w:rPr>
              <w:t>POVZETEK NOVELACIJE INVESTICIJSKEGA PROGRAMA ŠT. 1</w:t>
            </w:r>
            <w:r>
              <w:rPr>
                <w:noProof/>
                <w:webHidden/>
              </w:rPr>
              <w:tab/>
            </w:r>
            <w:r>
              <w:rPr>
                <w:noProof/>
                <w:webHidden/>
              </w:rPr>
              <w:fldChar w:fldCharType="begin"/>
            </w:r>
            <w:r>
              <w:rPr>
                <w:noProof/>
                <w:webHidden/>
              </w:rPr>
              <w:instrText xml:space="preserve"> PAGEREF _Toc230882174 \h </w:instrText>
            </w:r>
            <w:r>
              <w:rPr>
                <w:noProof/>
                <w:webHidden/>
              </w:rPr>
            </w:r>
            <w:r>
              <w:rPr>
                <w:noProof/>
                <w:webHidden/>
              </w:rPr>
              <w:fldChar w:fldCharType="separate"/>
            </w:r>
            <w:r w:rsidR="00BB0C0C">
              <w:rPr>
                <w:noProof/>
                <w:webHidden/>
              </w:rPr>
              <w:t>29</w:t>
            </w:r>
            <w:r>
              <w:rPr>
                <w:noProof/>
                <w:webHidden/>
              </w:rPr>
              <w:fldChar w:fldCharType="end"/>
            </w:r>
          </w:hyperlink>
        </w:p>
        <w:p w14:paraId="1BBC3FD0" w14:textId="24D09364"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5" w:history="1">
            <w:r w:rsidRPr="00815C99">
              <w:rPr>
                <w:rStyle w:val="Hiperpovezava"/>
                <w:rFonts w:asciiTheme="majorHAnsi" w:eastAsiaTheme="majorEastAsia" w:hAnsiTheme="majorHAnsi" w:cstheme="majorHAnsi"/>
                <w:noProof/>
              </w:rPr>
              <w:t>2.1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Spisek strokovnih podlag</w:t>
            </w:r>
            <w:r>
              <w:rPr>
                <w:noProof/>
                <w:webHidden/>
              </w:rPr>
              <w:tab/>
            </w:r>
            <w:r>
              <w:rPr>
                <w:noProof/>
                <w:webHidden/>
              </w:rPr>
              <w:fldChar w:fldCharType="begin"/>
            </w:r>
            <w:r>
              <w:rPr>
                <w:noProof/>
                <w:webHidden/>
              </w:rPr>
              <w:instrText xml:space="preserve"> PAGEREF _Toc230882175 \h </w:instrText>
            </w:r>
            <w:r>
              <w:rPr>
                <w:noProof/>
                <w:webHidden/>
              </w:rPr>
            </w:r>
            <w:r>
              <w:rPr>
                <w:noProof/>
                <w:webHidden/>
              </w:rPr>
              <w:fldChar w:fldCharType="separate"/>
            </w:r>
            <w:r w:rsidR="00BB0C0C">
              <w:rPr>
                <w:noProof/>
                <w:webHidden/>
              </w:rPr>
              <w:t>29</w:t>
            </w:r>
            <w:r>
              <w:rPr>
                <w:noProof/>
                <w:webHidden/>
              </w:rPr>
              <w:fldChar w:fldCharType="end"/>
            </w:r>
          </w:hyperlink>
        </w:p>
        <w:p w14:paraId="1FE8D586" w14:textId="261099E0"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6" w:history="1">
            <w:r w:rsidRPr="00815C99">
              <w:rPr>
                <w:rStyle w:val="Hiperpovezava"/>
                <w:rFonts w:asciiTheme="majorHAnsi" w:eastAsiaTheme="majorEastAsia" w:hAnsiTheme="majorHAnsi" w:cstheme="majorHAnsi"/>
                <w:noProof/>
              </w:rPr>
              <w:t>2.2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Opredelitev vrste projekta</w:t>
            </w:r>
            <w:r>
              <w:rPr>
                <w:noProof/>
                <w:webHidden/>
              </w:rPr>
              <w:tab/>
            </w:r>
            <w:r>
              <w:rPr>
                <w:noProof/>
                <w:webHidden/>
              </w:rPr>
              <w:fldChar w:fldCharType="begin"/>
            </w:r>
            <w:r>
              <w:rPr>
                <w:noProof/>
                <w:webHidden/>
              </w:rPr>
              <w:instrText xml:space="preserve"> PAGEREF _Toc230882176 \h </w:instrText>
            </w:r>
            <w:r>
              <w:rPr>
                <w:noProof/>
                <w:webHidden/>
              </w:rPr>
            </w:r>
            <w:r>
              <w:rPr>
                <w:noProof/>
                <w:webHidden/>
              </w:rPr>
              <w:fldChar w:fldCharType="separate"/>
            </w:r>
            <w:r w:rsidR="00BB0C0C">
              <w:rPr>
                <w:noProof/>
                <w:webHidden/>
              </w:rPr>
              <w:t>33</w:t>
            </w:r>
            <w:r>
              <w:rPr>
                <w:noProof/>
                <w:webHidden/>
              </w:rPr>
              <w:fldChar w:fldCharType="end"/>
            </w:r>
          </w:hyperlink>
        </w:p>
        <w:p w14:paraId="425429AE" w14:textId="259E0006"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77" w:history="1">
            <w:r w:rsidRPr="00815C99">
              <w:rPr>
                <w:rStyle w:val="Hiperpovezava"/>
                <w:rFonts w:asciiTheme="majorHAnsi" w:eastAsiaTheme="majorEastAsia" w:hAnsiTheme="majorHAnsi" w:cstheme="majorHAnsi"/>
                <w:noProof/>
              </w:rPr>
              <w:t>2.2.1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Opredelitev vrste investicijskega naročila (ukrepa)</w:t>
            </w:r>
            <w:r>
              <w:rPr>
                <w:noProof/>
                <w:webHidden/>
              </w:rPr>
              <w:tab/>
            </w:r>
            <w:r>
              <w:rPr>
                <w:noProof/>
                <w:webHidden/>
              </w:rPr>
              <w:fldChar w:fldCharType="begin"/>
            </w:r>
            <w:r>
              <w:rPr>
                <w:noProof/>
                <w:webHidden/>
              </w:rPr>
              <w:instrText xml:space="preserve"> PAGEREF _Toc230882177 \h </w:instrText>
            </w:r>
            <w:r>
              <w:rPr>
                <w:noProof/>
                <w:webHidden/>
              </w:rPr>
            </w:r>
            <w:r>
              <w:rPr>
                <w:noProof/>
                <w:webHidden/>
              </w:rPr>
              <w:fldChar w:fldCharType="separate"/>
            </w:r>
            <w:r w:rsidR="00BB0C0C">
              <w:rPr>
                <w:noProof/>
                <w:webHidden/>
              </w:rPr>
              <w:t>33</w:t>
            </w:r>
            <w:r>
              <w:rPr>
                <w:noProof/>
                <w:webHidden/>
              </w:rPr>
              <w:fldChar w:fldCharType="end"/>
            </w:r>
          </w:hyperlink>
        </w:p>
        <w:p w14:paraId="31CFD44D" w14:textId="23CC08D7"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8" w:history="1">
            <w:r w:rsidRPr="00815C99">
              <w:rPr>
                <w:rStyle w:val="Hiperpovezava"/>
                <w:rFonts w:asciiTheme="majorHAnsi" w:eastAsiaTheme="majorEastAsia" w:hAnsiTheme="majorHAnsi" w:cstheme="majorHAnsi"/>
                <w:noProof/>
              </w:rPr>
              <w:t>2.3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Navedba odgovornih oseb</w:t>
            </w:r>
            <w:r>
              <w:rPr>
                <w:noProof/>
                <w:webHidden/>
              </w:rPr>
              <w:tab/>
            </w:r>
            <w:r>
              <w:rPr>
                <w:noProof/>
                <w:webHidden/>
              </w:rPr>
              <w:fldChar w:fldCharType="begin"/>
            </w:r>
            <w:r>
              <w:rPr>
                <w:noProof/>
                <w:webHidden/>
              </w:rPr>
              <w:instrText xml:space="preserve"> PAGEREF _Toc230882178 \h </w:instrText>
            </w:r>
            <w:r>
              <w:rPr>
                <w:noProof/>
                <w:webHidden/>
              </w:rPr>
            </w:r>
            <w:r>
              <w:rPr>
                <w:noProof/>
                <w:webHidden/>
              </w:rPr>
              <w:fldChar w:fldCharType="separate"/>
            </w:r>
            <w:r w:rsidR="00BB0C0C">
              <w:rPr>
                <w:noProof/>
                <w:webHidden/>
              </w:rPr>
              <w:t>33</w:t>
            </w:r>
            <w:r>
              <w:rPr>
                <w:noProof/>
                <w:webHidden/>
              </w:rPr>
              <w:fldChar w:fldCharType="end"/>
            </w:r>
          </w:hyperlink>
        </w:p>
        <w:p w14:paraId="0D104A85" w14:textId="5FFCCCEA"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79" w:history="1">
            <w:r w:rsidRPr="00815C99">
              <w:rPr>
                <w:rStyle w:val="Hiperpovezava"/>
                <w:rFonts w:asciiTheme="majorHAnsi" w:eastAsiaTheme="majorEastAsia" w:hAnsiTheme="majorHAnsi" w:cstheme="majorHAnsi"/>
                <w:noProof/>
              </w:rPr>
              <w:t>2.4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Predvidena organizacija in izvedba projekta</w:t>
            </w:r>
            <w:r>
              <w:rPr>
                <w:noProof/>
                <w:webHidden/>
              </w:rPr>
              <w:tab/>
            </w:r>
            <w:r>
              <w:rPr>
                <w:noProof/>
                <w:webHidden/>
              </w:rPr>
              <w:fldChar w:fldCharType="begin"/>
            </w:r>
            <w:r>
              <w:rPr>
                <w:noProof/>
                <w:webHidden/>
              </w:rPr>
              <w:instrText xml:space="preserve"> PAGEREF _Toc230882179 \h </w:instrText>
            </w:r>
            <w:r>
              <w:rPr>
                <w:noProof/>
                <w:webHidden/>
              </w:rPr>
            </w:r>
            <w:r>
              <w:rPr>
                <w:noProof/>
                <w:webHidden/>
              </w:rPr>
              <w:fldChar w:fldCharType="separate"/>
            </w:r>
            <w:r w:rsidR="00BB0C0C">
              <w:rPr>
                <w:noProof/>
                <w:webHidden/>
              </w:rPr>
              <w:t>34</w:t>
            </w:r>
            <w:r>
              <w:rPr>
                <w:noProof/>
                <w:webHidden/>
              </w:rPr>
              <w:fldChar w:fldCharType="end"/>
            </w:r>
          </w:hyperlink>
        </w:p>
        <w:p w14:paraId="45077ACD" w14:textId="4BF689AD"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0" w:history="1">
            <w:r w:rsidRPr="00815C99">
              <w:rPr>
                <w:rStyle w:val="Hiperpovezava"/>
                <w:rFonts w:asciiTheme="majorHAnsi" w:eastAsiaTheme="majorEastAsia" w:hAnsiTheme="majorHAnsi" w:cstheme="majorHAnsi"/>
                <w:noProof/>
              </w:rPr>
              <w:t>2.5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Prikaz ocenjene vrednosti investicije ter predvidena finančna konstrukcija</w:t>
            </w:r>
            <w:r>
              <w:rPr>
                <w:noProof/>
                <w:webHidden/>
              </w:rPr>
              <w:tab/>
            </w:r>
            <w:r>
              <w:rPr>
                <w:noProof/>
                <w:webHidden/>
              </w:rPr>
              <w:fldChar w:fldCharType="begin"/>
            </w:r>
            <w:r>
              <w:rPr>
                <w:noProof/>
                <w:webHidden/>
              </w:rPr>
              <w:instrText xml:space="preserve"> PAGEREF _Toc230882180 \h </w:instrText>
            </w:r>
            <w:r>
              <w:rPr>
                <w:noProof/>
                <w:webHidden/>
              </w:rPr>
            </w:r>
            <w:r>
              <w:rPr>
                <w:noProof/>
                <w:webHidden/>
              </w:rPr>
              <w:fldChar w:fldCharType="separate"/>
            </w:r>
            <w:r w:rsidR="00BB0C0C">
              <w:rPr>
                <w:noProof/>
                <w:webHidden/>
              </w:rPr>
              <w:t>34</w:t>
            </w:r>
            <w:r>
              <w:rPr>
                <w:noProof/>
                <w:webHidden/>
              </w:rPr>
              <w:fldChar w:fldCharType="end"/>
            </w:r>
          </w:hyperlink>
        </w:p>
        <w:p w14:paraId="4AFEE3F0" w14:textId="19FB6C1E"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1" w:history="1">
            <w:r w:rsidRPr="00815C99">
              <w:rPr>
                <w:rStyle w:val="Hiperpovezava"/>
                <w:rFonts w:asciiTheme="majorHAnsi" w:eastAsiaTheme="majorEastAsia" w:hAnsiTheme="majorHAnsi" w:cstheme="majorHAnsi"/>
                <w:noProof/>
              </w:rPr>
              <w:t>2.6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Način in postopek izbire izvajalcev</w:t>
            </w:r>
            <w:r>
              <w:rPr>
                <w:noProof/>
                <w:webHidden/>
              </w:rPr>
              <w:tab/>
            </w:r>
            <w:r>
              <w:rPr>
                <w:noProof/>
                <w:webHidden/>
              </w:rPr>
              <w:fldChar w:fldCharType="begin"/>
            </w:r>
            <w:r>
              <w:rPr>
                <w:noProof/>
                <w:webHidden/>
              </w:rPr>
              <w:instrText xml:space="preserve"> PAGEREF _Toc230882181 \h </w:instrText>
            </w:r>
            <w:r>
              <w:rPr>
                <w:noProof/>
                <w:webHidden/>
              </w:rPr>
            </w:r>
            <w:r>
              <w:rPr>
                <w:noProof/>
                <w:webHidden/>
              </w:rPr>
              <w:fldChar w:fldCharType="separate"/>
            </w:r>
            <w:r w:rsidR="00BB0C0C">
              <w:rPr>
                <w:noProof/>
                <w:webHidden/>
              </w:rPr>
              <w:t>37</w:t>
            </w:r>
            <w:r>
              <w:rPr>
                <w:noProof/>
                <w:webHidden/>
              </w:rPr>
              <w:fldChar w:fldCharType="end"/>
            </w:r>
          </w:hyperlink>
        </w:p>
        <w:p w14:paraId="2F7B4362" w14:textId="17F29EA7"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2" w:history="1">
            <w:r w:rsidRPr="00815C99">
              <w:rPr>
                <w:rStyle w:val="Hiperpovezava"/>
                <w:rFonts w:asciiTheme="majorHAnsi" w:eastAsiaTheme="majorEastAsia" w:hAnsiTheme="majorHAnsi" w:cstheme="majorHAnsi"/>
                <w:noProof/>
              </w:rPr>
              <w:t>2.7</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Časovni načrt vseh aktivnosti</w:t>
            </w:r>
            <w:r>
              <w:rPr>
                <w:noProof/>
                <w:webHidden/>
              </w:rPr>
              <w:tab/>
            </w:r>
            <w:r>
              <w:rPr>
                <w:noProof/>
                <w:webHidden/>
              </w:rPr>
              <w:fldChar w:fldCharType="begin"/>
            </w:r>
            <w:r>
              <w:rPr>
                <w:noProof/>
                <w:webHidden/>
              </w:rPr>
              <w:instrText xml:space="preserve"> PAGEREF _Toc230882182 \h </w:instrText>
            </w:r>
            <w:r>
              <w:rPr>
                <w:noProof/>
                <w:webHidden/>
              </w:rPr>
            </w:r>
            <w:r>
              <w:rPr>
                <w:noProof/>
                <w:webHidden/>
              </w:rPr>
              <w:fldChar w:fldCharType="separate"/>
            </w:r>
            <w:r w:rsidR="00BB0C0C">
              <w:rPr>
                <w:noProof/>
                <w:webHidden/>
              </w:rPr>
              <w:t>37</w:t>
            </w:r>
            <w:r>
              <w:rPr>
                <w:noProof/>
                <w:webHidden/>
              </w:rPr>
              <w:fldChar w:fldCharType="end"/>
            </w:r>
          </w:hyperlink>
        </w:p>
        <w:p w14:paraId="26D4CE3C" w14:textId="60223621"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3" w:history="1">
            <w:r w:rsidRPr="00815C99">
              <w:rPr>
                <w:rStyle w:val="Hiperpovezava"/>
                <w:rFonts w:asciiTheme="majorHAnsi" w:eastAsiaTheme="majorEastAsia" w:hAnsiTheme="majorHAnsi" w:cstheme="majorHAnsi"/>
                <w:noProof/>
              </w:rPr>
              <w:t>2.8</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Seznam že pripravljene in potrebne dokumentacije</w:t>
            </w:r>
            <w:r>
              <w:rPr>
                <w:noProof/>
                <w:webHidden/>
              </w:rPr>
              <w:tab/>
            </w:r>
            <w:r>
              <w:rPr>
                <w:noProof/>
                <w:webHidden/>
              </w:rPr>
              <w:fldChar w:fldCharType="begin"/>
            </w:r>
            <w:r>
              <w:rPr>
                <w:noProof/>
                <w:webHidden/>
              </w:rPr>
              <w:instrText xml:space="preserve"> PAGEREF _Toc230882183 \h </w:instrText>
            </w:r>
            <w:r>
              <w:rPr>
                <w:noProof/>
                <w:webHidden/>
              </w:rPr>
            </w:r>
            <w:r>
              <w:rPr>
                <w:noProof/>
                <w:webHidden/>
              </w:rPr>
              <w:fldChar w:fldCharType="separate"/>
            </w:r>
            <w:r w:rsidR="00BB0C0C">
              <w:rPr>
                <w:noProof/>
                <w:webHidden/>
              </w:rPr>
              <w:t>37</w:t>
            </w:r>
            <w:r>
              <w:rPr>
                <w:noProof/>
                <w:webHidden/>
              </w:rPr>
              <w:fldChar w:fldCharType="end"/>
            </w:r>
          </w:hyperlink>
        </w:p>
        <w:p w14:paraId="4CF8A026" w14:textId="1C93AF46"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4" w:history="1">
            <w:r w:rsidRPr="00815C99">
              <w:rPr>
                <w:rStyle w:val="Hiperpovezava"/>
                <w:rFonts w:asciiTheme="majorHAnsi" w:eastAsiaTheme="majorEastAsia" w:hAnsiTheme="majorHAnsi" w:cstheme="majorHAnsi"/>
                <w:noProof/>
              </w:rPr>
              <w:t>2.9</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Način končnega prevzema in vzpostavitve obratovanja in vzdrževanja</w:t>
            </w:r>
            <w:r>
              <w:rPr>
                <w:noProof/>
                <w:webHidden/>
              </w:rPr>
              <w:tab/>
            </w:r>
            <w:r>
              <w:rPr>
                <w:noProof/>
                <w:webHidden/>
              </w:rPr>
              <w:fldChar w:fldCharType="begin"/>
            </w:r>
            <w:r>
              <w:rPr>
                <w:noProof/>
                <w:webHidden/>
              </w:rPr>
              <w:instrText xml:space="preserve"> PAGEREF _Toc230882184 \h </w:instrText>
            </w:r>
            <w:r>
              <w:rPr>
                <w:noProof/>
                <w:webHidden/>
              </w:rPr>
            </w:r>
            <w:r>
              <w:rPr>
                <w:noProof/>
                <w:webHidden/>
              </w:rPr>
              <w:fldChar w:fldCharType="separate"/>
            </w:r>
            <w:r w:rsidR="00BB0C0C">
              <w:rPr>
                <w:noProof/>
                <w:webHidden/>
              </w:rPr>
              <w:t>37</w:t>
            </w:r>
            <w:r>
              <w:rPr>
                <w:noProof/>
                <w:webHidden/>
              </w:rPr>
              <w:fldChar w:fldCharType="end"/>
            </w:r>
          </w:hyperlink>
        </w:p>
        <w:p w14:paraId="7924AF2A" w14:textId="70C6003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85" w:history="1">
            <w:r w:rsidRPr="00815C99">
              <w:rPr>
                <w:rStyle w:val="Hiperpovezava"/>
                <w:rFonts w:asciiTheme="majorHAnsi" w:eastAsiaTheme="majorEastAsia" w:hAnsiTheme="majorHAnsi" w:cstheme="majorHAnsi"/>
                <w:noProof/>
              </w:rPr>
              <w:t>2.10</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Zbirni prikaz rezultatov izračunov ter utemeljitev upravičenosti investicijskega projekta</w:t>
            </w:r>
            <w:r>
              <w:rPr>
                <w:noProof/>
                <w:webHidden/>
              </w:rPr>
              <w:tab/>
            </w:r>
            <w:r>
              <w:rPr>
                <w:noProof/>
                <w:webHidden/>
              </w:rPr>
              <w:fldChar w:fldCharType="begin"/>
            </w:r>
            <w:r>
              <w:rPr>
                <w:noProof/>
                <w:webHidden/>
              </w:rPr>
              <w:instrText xml:space="preserve"> PAGEREF _Toc230882185 \h </w:instrText>
            </w:r>
            <w:r>
              <w:rPr>
                <w:noProof/>
                <w:webHidden/>
              </w:rPr>
            </w:r>
            <w:r>
              <w:rPr>
                <w:noProof/>
                <w:webHidden/>
              </w:rPr>
              <w:fldChar w:fldCharType="separate"/>
            </w:r>
            <w:r w:rsidR="00BB0C0C">
              <w:rPr>
                <w:noProof/>
                <w:webHidden/>
              </w:rPr>
              <w:t>37</w:t>
            </w:r>
            <w:r>
              <w:rPr>
                <w:noProof/>
                <w:webHidden/>
              </w:rPr>
              <w:fldChar w:fldCharType="end"/>
            </w:r>
          </w:hyperlink>
        </w:p>
        <w:p w14:paraId="0F60C48A" w14:textId="402DB55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86" w:history="1">
            <w:r w:rsidRPr="00815C99">
              <w:rPr>
                <w:rStyle w:val="Hiperpovezava"/>
                <w:rFonts w:asciiTheme="majorHAnsi" w:eastAsiaTheme="majorEastAsia" w:hAnsiTheme="majorHAnsi" w:cstheme="majorHAnsi"/>
                <w:noProof/>
              </w:rPr>
              <w:t>2.11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Utemeljitev izpolnjevanja pogojev javnega razpisa JR EKP UTM 2025</w:t>
            </w:r>
            <w:r>
              <w:rPr>
                <w:noProof/>
                <w:webHidden/>
              </w:rPr>
              <w:tab/>
            </w:r>
            <w:r>
              <w:rPr>
                <w:noProof/>
                <w:webHidden/>
              </w:rPr>
              <w:fldChar w:fldCharType="begin"/>
            </w:r>
            <w:r>
              <w:rPr>
                <w:noProof/>
                <w:webHidden/>
              </w:rPr>
              <w:instrText xml:space="preserve"> PAGEREF _Toc230882186 \h </w:instrText>
            </w:r>
            <w:r>
              <w:rPr>
                <w:noProof/>
                <w:webHidden/>
              </w:rPr>
            </w:r>
            <w:r>
              <w:rPr>
                <w:noProof/>
                <w:webHidden/>
              </w:rPr>
              <w:fldChar w:fldCharType="separate"/>
            </w:r>
            <w:r w:rsidR="00BB0C0C">
              <w:rPr>
                <w:noProof/>
                <w:webHidden/>
              </w:rPr>
              <w:t>38</w:t>
            </w:r>
            <w:r>
              <w:rPr>
                <w:noProof/>
                <w:webHidden/>
              </w:rPr>
              <w:fldChar w:fldCharType="end"/>
            </w:r>
          </w:hyperlink>
        </w:p>
        <w:p w14:paraId="0E60935D" w14:textId="1B8A6A2E"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187" w:history="1">
            <w:r w:rsidRPr="00815C99">
              <w:rPr>
                <w:rStyle w:val="Hiperpovezava"/>
                <w:rFonts w:cstheme="majorHAnsi"/>
                <w:noProof/>
              </w:rPr>
              <w:t>3</w:t>
            </w:r>
            <w:r>
              <w:rPr>
                <w:b w:val="0"/>
                <w:bCs w:val="0"/>
                <w:caps w:val="0"/>
                <w:noProof/>
                <w:kern w:val="2"/>
                <w:sz w:val="24"/>
                <w:szCs w:val="24"/>
                <w14:ligatures w14:val="standardContextual"/>
              </w:rPr>
              <w:tab/>
            </w:r>
            <w:r w:rsidRPr="00815C99">
              <w:rPr>
                <w:rStyle w:val="Hiperpovezava"/>
                <w:rFonts w:cstheme="majorHAnsi"/>
                <w:noProof/>
              </w:rPr>
              <w:t>OSNOVNI PODATKI O INVESTITORJU IN UPRAVLJAVCU, PARTNERJU IN IZDELOVALCU INVESTICIJSKE DOKUMENTACIJE</w:t>
            </w:r>
            <w:r>
              <w:rPr>
                <w:noProof/>
                <w:webHidden/>
              </w:rPr>
              <w:tab/>
            </w:r>
            <w:r>
              <w:rPr>
                <w:noProof/>
                <w:webHidden/>
              </w:rPr>
              <w:fldChar w:fldCharType="begin"/>
            </w:r>
            <w:r>
              <w:rPr>
                <w:noProof/>
                <w:webHidden/>
              </w:rPr>
              <w:instrText xml:space="preserve"> PAGEREF _Toc230882187 \h </w:instrText>
            </w:r>
            <w:r>
              <w:rPr>
                <w:noProof/>
                <w:webHidden/>
              </w:rPr>
            </w:r>
            <w:r>
              <w:rPr>
                <w:noProof/>
                <w:webHidden/>
              </w:rPr>
              <w:fldChar w:fldCharType="separate"/>
            </w:r>
            <w:r w:rsidR="00BB0C0C">
              <w:rPr>
                <w:noProof/>
                <w:webHidden/>
              </w:rPr>
              <w:t>43</w:t>
            </w:r>
            <w:r>
              <w:rPr>
                <w:noProof/>
                <w:webHidden/>
              </w:rPr>
              <w:fldChar w:fldCharType="end"/>
            </w:r>
          </w:hyperlink>
        </w:p>
        <w:p w14:paraId="2A02173A" w14:textId="3F94B667"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8" w:history="1">
            <w:r w:rsidRPr="00815C99">
              <w:rPr>
                <w:rStyle w:val="Hiperpovezava"/>
                <w:rFonts w:asciiTheme="majorHAnsi" w:eastAsiaTheme="majorEastAsia" w:hAnsiTheme="majorHAnsi" w:cstheme="majorHAnsi"/>
                <w:noProof/>
              </w:rPr>
              <w:t>3.1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Osnovni podatki o naročniku, investitorju in upravljavcu</w:t>
            </w:r>
            <w:r>
              <w:rPr>
                <w:noProof/>
                <w:webHidden/>
              </w:rPr>
              <w:tab/>
            </w:r>
            <w:r>
              <w:rPr>
                <w:noProof/>
                <w:webHidden/>
              </w:rPr>
              <w:fldChar w:fldCharType="begin"/>
            </w:r>
            <w:r>
              <w:rPr>
                <w:noProof/>
                <w:webHidden/>
              </w:rPr>
              <w:instrText xml:space="preserve"> PAGEREF _Toc230882188 \h </w:instrText>
            </w:r>
            <w:r>
              <w:rPr>
                <w:noProof/>
                <w:webHidden/>
              </w:rPr>
            </w:r>
            <w:r>
              <w:rPr>
                <w:noProof/>
                <w:webHidden/>
              </w:rPr>
              <w:fldChar w:fldCharType="separate"/>
            </w:r>
            <w:r w:rsidR="00BB0C0C">
              <w:rPr>
                <w:noProof/>
                <w:webHidden/>
              </w:rPr>
              <w:t>43</w:t>
            </w:r>
            <w:r>
              <w:rPr>
                <w:noProof/>
                <w:webHidden/>
              </w:rPr>
              <w:fldChar w:fldCharType="end"/>
            </w:r>
          </w:hyperlink>
        </w:p>
        <w:p w14:paraId="2D41C7A4" w14:textId="27B01C83"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89" w:history="1">
            <w:r w:rsidRPr="00815C99">
              <w:rPr>
                <w:rStyle w:val="Hiperpovezava"/>
                <w:rFonts w:asciiTheme="majorHAnsi" w:eastAsiaTheme="majorEastAsia" w:hAnsiTheme="majorHAnsi" w:cstheme="majorHAnsi"/>
                <w:noProof/>
              </w:rPr>
              <w:t>3.2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Osnovni podatki o izdelovalcu investicijske dokumentacije</w:t>
            </w:r>
            <w:r>
              <w:rPr>
                <w:noProof/>
                <w:webHidden/>
              </w:rPr>
              <w:tab/>
            </w:r>
            <w:r>
              <w:rPr>
                <w:noProof/>
                <w:webHidden/>
              </w:rPr>
              <w:fldChar w:fldCharType="begin"/>
            </w:r>
            <w:r>
              <w:rPr>
                <w:noProof/>
                <w:webHidden/>
              </w:rPr>
              <w:instrText xml:space="preserve"> PAGEREF _Toc230882189 \h </w:instrText>
            </w:r>
            <w:r>
              <w:rPr>
                <w:noProof/>
                <w:webHidden/>
              </w:rPr>
            </w:r>
            <w:r>
              <w:rPr>
                <w:noProof/>
                <w:webHidden/>
              </w:rPr>
              <w:fldChar w:fldCharType="separate"/>
            </w:r>
            <w:r w:rsidR="00BB0C0C">
              <w:rPr>
                <w:noProof/>
                <w:webHidden/>
              </w:rPr>
              <w:t>43</w:t>
            </w:r>
            <w:r>
              <w:rPr>
                <w:noProof/>
                <w:webHidden/>
              </w:rPr>
              <w:fldChar w:fldCharType="end"/>
            </w:r>
          </w:hyperlink>
        </w:p>
        <w:p w14:paraId="4F94A190" w14:textId="5788D660"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190" w:history="1">
            <w:r w:rsidRPr="00815C99">
              <w:rPr>
                <w:rStyle w:val="Hiperpovezava"/>
                <w:rFonts w:cstheme="majorHAnsi"/>
                <w:noProof/>
              </w:rPr>
              <w:t>4</w:t>
            </w:r>
            <w:r>
              <w:rPr>
                <w:b w:val="0"/>
                <w:bCs w:val="0"/>
                <w:caps w:val="0"/>
                <w:noProof/>
                <w:kern w:val="2"/>
                <w:sz w:val="24"/>
                <w:szCs w:val="24"/>
                <w14:ligatures w14:val="standardContextual"/>
              </w:rPr>
              <w:tab/>
            </w:r>
            <w:r w:rsidRPr="00815C99">
              <w:rPr>
                <w:rStyle w:val="Hiperpovezava"/>
                <w:rFonts w:cstheme="majorHAnsi"/>
                <w:noProof/>
              </w:rPr>
              <w:t>ANALIZA OBSTOJEČEGA STANJA</w:t>
            </w:r>
            <w:r>
              <w:rPr>
                <w:noProof/>
                <w:webHidden/>
              </w:rPr>
              <w:tab/>
            </w:r>
            <w:r>
              <w:rPr>
                <w:noProof/>
                <w:webHidden/>
              </w:rPr>
              <w:fldChar w:fldCharType="begin"/>
            </w:r>
            <w:r>
              <w:rPr>
                <w:noProof/>
                <w:webHidden/>
              </w:rPr>
              <w:instrText xml:space="preserve"> PAGEREF _Toc230882190 \h </w:instrText>
            </w:r>
            <w:r>
              <w:rPr>
                <w:noProof/>
                <w:webHidden/>
              </w:rPr>
            </w:r>
            <w:r>
              <w:rPr>
                <w:noProof/>
                <w:webHidden/>
              </w:rPr>
              <w:fldChar w:fldCharType="separate"/>
            </w:r>
            <w:r w:rsidR="00BB0C0C">
              <w:rPr>
                <w:noProof/>
                <w:webHidden/>
              </w:rPr>
              <w:t>44</w:t>
            </w:r>
            <w:r>
              <w:rPr>
                <w:noProof/>
                <w:webHidden/>
              </w:rPr>
              <w:fldChar w:fldCharType="end"/>
            </w:r>
          </w:hyperlink>
        </w:p>
        <w:p w14:paraId="1406F9FE" w14:textId="6D62621C"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91" w:history="1">
            <w:r w:rsidRPr="00815C99">
              <w:rPr>
                <w:rStyle w:val="Hiperpovezava"/>
                <w:rFonts w:asciiTheme="majorHAnsi" w:eastAsiaTheme="majorEastAsia" w:hAnsiTheme="majorHAnsi" w:cstheme="majorHAnsi"/>
                <w:noProof/>
              </w:rPr>
              <w:t>4.1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Trajnostna mobilnost v Sloveniji</w:t>
            </w:r>
            <w:r>
              <w:rPr>
                <w:noProof/>
                <w:webHidden/>
              </w:rPr>
              <w:tab/>
            </w:r>
            <w:r>
              <w:rPr>
                <w:noProof/>
                <w:webHidden/>
              </w:rPr>
              <w:fldChar w:fldCharType="begin"/>
            </w:r>
            <w:r>
              <w:rPr>
                <w:noProof/>
                <w:webHidden/>
              </w:rPr>
              <w:instrText xml:space="preserve"> PAGEREF _Toc230882191 \h </w:instrText>
            </w:r>
            <w:r>
              <w:rPr>
                <w:noProof/>
                <w:webHidden/>
              </w:rPr>
            </w:r>
            <w:r>
              <w:rPr>
                <w:noProof/>
                <w:webHidden/>
              </w:rPr>
              <w:fldChar w:fldCharType="separate"/>
            </w:r>
            <w:r w:rsidR="00BB0C0C">
              <w:rPr>
                <w:noProof/>
                <w:webHidden/>
              </w:rPr>
              <w:t>44</w:t>
            </w:r>
            <w:r>
              <w:rPr>
                <w:noProof/>
                <w:webHidden/>
              </w:rPr>
              <w:fldChar w:fldCharType="end"/>
            </w:r>
          </w:hyperlink>
        </w:p>
        <w:p w14:paraId="6AB12F3B" w14:textId="1EE9A170"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92" w:history="1">
            <w:r w:rsidRPr="00815C99">
              <w:rPr>
                <w:rStyle w:val="Hiperpovezava"/>
                <w:rFonts w:asciiTheme="majorHAnsi" w:eastAsiaTheme="majorEastAsia" w:hAnsiTheme="majorHAnsi" w:cstheme="majorHAnsi"/>
                <w:noProof/>
              </w:rPr>
              <w:t>4.2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Trajnostna mobilnost v Osrednjeslovenski regiji</w:t>
            </w:r>
            <w:r>
              <w:rPr>
                <w:noProof/>
                <w:webHidden/>
              </w:rPr>
              <w:tab/>
            </w:r>
            <w:r>
              <w:rPr>
                <w:noProof/>
                <w:webHidden/>
              </w:rPr>
              <w:fldChar w:fldCharType="begin"/>
            </w:r>
            <w:r>
              <w:rPr>
                <w:noProof/>
                <w:webHidden/>
              </w:rPr>
              <w:instrText xml:space="preserve"> PAGEREF _Toc230882192 \h </w:instrText>
            </w:r>
            <w:r>
              <w:rPr>
                <w:noProof/>
                <w:webHidden/>
              </w:rPr>
            </w:r>
            <w:r>
              <w:rPr>
                <w:noProof/>
                <w:webHidden/>
              </w:rPr>
              <w:fldChar w:fldCharType="separate"/>
            </w:r>
            <w:r w:rsidR="00BB0C0C">
              <w:rPr>
                <w:noProof/>
                <w:webHidden/>
              </w:rPr>
              <w:t>45</w:t>
            </w:r>
            <w:r>
              <w:rPr>
                <w:noProof/>
                <w:webHidden/>
              </w:rPr>
              <w:fldChar w:fldCharType="end"/>
            </w:r>
          </w:hyperlink>
        </w:p>
        <w:p w14:paraId="2A6DDFD9" w14:textId="3646C8E1"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93" w:history="1">
            <w:r w:rsidRPr="00815C99">
              <w:rPr>
                <w:rStyle w:val="Hiperpovezava"/>
                <w:rFonts w:asciiTheme="majorHAnsi" w:eastAsiaTheme="majorEastAsia" w:hAnsiTheme="majorHAnsi" w:cstheme="majorHAnsi"/>
                <w:noProof/>
              </w:rPr>
              <w:t>4.3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Analiza stanja</w:t>
            </w:r>
            <w:r>
              <w:rPr>
                <w:noProof/>
                <w:webHidden/>
              </w:rPr>
              <w:tab/>
            </w:r>
            <w:r>
              <w:rPr>
                <w:noProof/>
                <w:webHidden/>
              </w:rPr>
              <w:fldChar w:fldCharType="begin"/>
            </w:r>
            <w:r>
              <w:rPr>
                <w:noProof/>
                <w:webHidden/>
              </w:rPr>
              <w:instrText xml:space="preserve"> PAGEREF _Toc230882193 \h </w:instrText>
            </w:r>
            <w:r>
              <w:rPr>
                <w:noProof/>
                <w:webHidden/>
              </w:rPr>
            </w:r>
            <w:r>
              <w:rPr>
                <w:noProof/>
                <w:webHidden/>
              </w:rPr>
              <w:fldChar w:fldCharType="separate"/>
            </w:r>
            <w:r w:rsidR="00BB0C0C">
              <w:rPr>
                <w:noProof/>
                <w:webHidden/>
              </w:rPr>
              <w:t>45</w:t>
            </w:r>
            <w:r>
              <w:rPr>
                <w:noProof/>
                <w:webHidden/>
              </w:rPr>
              <w:fldChar w:fldCharType="end"/>
            </w:r>
          </w:hyperlink>
        </w:p>
        <w:p w14:paraId="54315382" w14:textId="78C0D79C"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94" w:history="1">
            <w:r w:rsidRPr="00815C99">
              <w:rPr>
                <w:rStyle w:val="Hiperpovezava"/>
                <w:rFonts w:asciiTheme="majorHAnsi" w:eastAsiaTheme="majorEastAsia" w:hAnsiTheme="majorHAnsi" w:cstheme="majorHAnsi"/>
                <w:noProof/>
              </w:rPr>
              <w:t>4.4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Razlogi za investicijsko namero in prikaz potreb, ki jih bo zadovoljevala investicija</w:t>
            </w:r>
            <w:r>
              <w:rPr>
                <w:noProof/>
                <w:webHidden/>
              </w:rPr>
              <w:tab/>
            </w:r>
            <w:r>
              <w:rPr>
                <w:noProof/>
                <w:webHidden/>
              </w:rPr>
              <w:fldChar w:fldCharType="begin"/>
            </w:r>
            <w:r>
              <w:rPr>
                <w:noProof/>
                <w:webHidden/>
              </w:rPr>
              <w:instrText xml:space="preserve"> PAGEREF _Toc230882194 \h </w:instrText>
            </w:r>
            <w:r>
              <w:rPr>
                <w:noProof/>
                <w:webHidden/>
              </w:rPr>
            </w:r>
            <w:r>
              <w:rPr>
                <w:noProof/>
                <w:webHidden/>
              </w:rPr>
              <w:fldChar w:fldCharType="separate"/>
            </w:r>
            <w:r w:rsidR="00BB0C0C">
              <w:rPr>
                <w:noProof/>
                <w:webHidden/>
              </w:rPr>
              <w:t>53</w:t>
            </w:r>
            <w:r>
              <w:rPr>
                <w:noProof/>
                <w:webHidden/>
              </w:rPr>
              <w:fldChar w:fldCharType="end"/>
            </w:r>
          </w:hyperlink>
        </w:p>
        <w:p w14:paraId="035D8D9A" w14:textId="75F9C469"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195" w:history="1">
            <w:r w:rsidRPr="00815C99">
              <w:rPr>
                <w:rStyle w:val="Hiperpovezava"/>
                <w:rFonts w:asciiTheme="majorHAnsi" w:eastAsiaTheme="majorEastAsia" w:hAnsiTheme="majorHAnsi" w:cstheme="majorHAnsi"/>
                <w:noProof/>
              </w:rPr>
              <w:t>4.5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Usklajenosti investicijskega projekta z državnim strateškim razvojnim dokumentom in drugimi razvojnimi dokumenti, usmeritvami Skupnosti ter strategijami in izvedbenimi dokumenti strategij posameznih področij in dejavnosti</w:t>
            </w:r>
            <w:r>
              <w:rPr>
                <w:noProof/>
                <w:webHidden/>
              </w:rPr>
              <w:tab/>
            </w:r>
            <w:r>
              <w:rPr>
                <w:noProof/>
                <w:webHidden/>
              </w:rPr>
              <w:fldChar w:fldCharType="begin"/>
            </w:r>
            <w:r>
              <w:rPr>
                <w:noProof/>
                <w:webHidden/>
              </w:rPr>
              <w:instrText xml:space="preserve"> PAGEREF _Toc230882195 \h </w:instrText>
            </w:r>
            <w:r>
              <w:rPr>
                <w:noProof/>
                <w:webHidden/>
              </w:rPr>
            </w:r>
            <w:r>
              <w:rPr>
                <w:noProof/>
                <w:webHidden/>
              </w:rPr>
              <w:fldChar w:fldCharType="separate"/>
            </w:r>
            <w:r w:rsidR="00BB0C0C">
              <w:rPr>
                <w:noProof/>
                <w:webHidden/>
              </w:rPr>
              <w:t>53</w:t>
            </w:r>
            <w:r>
              <w:rPr>
                <w:noProof/>
                <w:webHidden/>
              </w:rPr>
              <w:fldChar w:fldCharType="end"/>
            </w:r>
          </w:hyperlink>
        </w:p>
        <w:p w14:paraId="370E0B96" w14:textId="7A02465B"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96" w:history="1">
            <w:r w:rsidRPr="00815C99">
              <w:rPr>
                <w:rStyle w:val="Hiperpovezava"/>
                <w:rFonts w:asciiTheme="majorHAnsi" w:eastAsiaTheme="majorEastAsia" w:hAnsiTheme="majorHAnsi" w:cstheme="majorHAnsi"/>
                <w:noProof/>
              </w:rPr>
              <w:t>4.5.1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Strategija razvoja Slovenije 2030</w:t>
            </w:r>
            <w:r>
              <w:rPr>
                <w:noProof/>
                <w:webHidden/>
              </w:rPr>
              <w:tab/>
            </w:r>
            <w:r>
              <w:rPr>
                <w:noProof/>
                <w:webHidden/>
              </w:rPr>
              <w:fldChar w:fldCharType="begin"/>
            </w:r>
            <w:r>
              <w:rPr>
                <w:noProof/>
                <w:webHidden/>
              </w:rPr>
              <w:instrText xml:space="preserve"> PAGEREF _Toc230882196 \h </w:instrText>
            </w:r>
            <w:r>
              <w:rPr>
                <w:noProof/>
                <w:webHidden/>
              </w:rPr>
            </w:r>
            <w:r>
              <w:rPr>
                <w:noProof/>
                <w:webHidden/>
              </w:rPr>
              <w:fldChar w:fldCharType="separate"/>
            </w:r>
            <w:r w:rsidR="00BB0C0C">
              <w:rPr>
                <w:noProof/>
                <w:webHidden/>
              </w:rPr>
              <w:t>54</w:t>
            </w:r>
            <w:r>
              <w:rPr>
                <w:noProof/>
                <w:webHidden/>
              </w:rPr>
              <w:fldChar w:fldCharType="end"/>
            </w:r>
          </w:hyperlink>
        </w:p>
        <w:p w14:paraId="30DF4DA3" w14:textId="1AEBAEFC"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97" w:history="1">
            <w:r w:rsidRPr="00815C99">
              <w:rPr>
                <w:rStyle w:val="Hiperpovezava"/>
                <w:rFonts w:asciiTheme="majorHAnsi" w:eastAsiaTheme="majorEastAsia" w:hAnsiTheme="majorHAnsi" w:cstheme="majorHAnsi"/>
                <w:noProof/>
              </w:rPr>
              <w:t>4.5.2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Slovenska strategija trajnostne pametne specializacije S5</w:t>
            </w:r>
            <w:r>
              <w:rPr>
                <w:noProof/>
                <w:webHidden/>
              </w:rPr>
              <w:tab/>
            </w:r>
            <w:r>
              <w:rPr>
                <w:noProof/>
                <w:webHidden/>
              </w:rPr>
              <w:fldChar w:fldCharType="begin"/>
            </w:r>
            <w:r>
              <w:rPr>
                <w:noProof/>
                <w:webHidden/>
              </w:rPr>
              <w:instrText xml:space="preserve"> PAGEREF _Toc230882197 \h </w:instrText>
            </w:r>
            <w:r>
              <w:rPr>
                <w:noProof/>
                <w:webHidden/>
              </w:rPr>
            </w:r>
            <w:r>
              <w:rPr>
                <w:noProof/>
                <w:webHidden/>
              </w:rPr>
              <w:fldChar w:fldCharType="separate"/>
            </w:r>
            <w:r w:rsidR="00BB0C0C">
              <w:rPr>
                <w:noProof/>
                <w:webHidden/>
              </w:rPr>
              <w:t>55</w:t>
            </w:r>
            <w:r>
              <w:rPr>
                <w:noProof/>
                <w:webHidden/>
              </w:rPr>
              <w:fldChar w:fldCharType="end"/>
            </w:r>
          </w:hyperlink>
        </w:p>
        <w:p w14:paraId="01B23F62" w14:textId="6F9FA49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98" w:history="1">
            <w:r w:rsidRPr="00815C99">
              <w:rPr>
                <w:rStyle w:val="Hiperpovezava"/>
                <w:rFonts w:asciiTheme="majorHAnsi" w:eastAsiaTheme="majorEastAsia" w:hAnsiTheme="majorHAnsi" w:cstheme="majorHAnsi"/>
                <w:noProof/>
              </w:rPr>
              <w:t>4.5.3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Strategija prostorskega razvoja Slovenije 2050</w:t>
            </w:r>
            <w:r>
              <w:rPr>
                <w:noProof/>
                <w:webHidden/>
              </w:rPr>
              <w:tab/>
            </w:r>
            <w:r>
              <w:rPr>
                <w:noProof/>
                <w:webHidden/>
              </w:rPr>
              <w:fldChar w:fldCharType="begin"/>
            </w:r>
            <w:r>
              <w:rPr>
                <w:noProof/>
                <w:webHidden/>
              </w:rPr>
              <w:instrText xml:space="preserve"> PAGEREF _Toc230882198 \h </w:instrText>
            </w:r>
            <w:r>
              <w:rPr>
                <w:noProof/>
                <w:webHidden/>
              </w:rPr>
            </w:r>
            <w:r>
              <w:rPr>
                <w:noProof/>
                <w:webHidden/>
              </w:rPr>
              <w:fldChar w:fldCharType="separate"/>
            </w:r>
            <w:r w:rsidR="00BB0C0C">
              <w:rPr>
                <w:noProof/>
                <w:webHidden/>
              </w:rPr>
              <w:t>55</w:t>
            </w:r>
            <w:r>
              <w:rPr>
                <w:noProof/>
                <w:webHidden/>
              </w:rPr>
              <w:fldChar w:fldCharType="end"/>
            </w:r>
          </w:hyperlink>
        </w:p>
        <w:p w14:paraId="2E364BEC" w14:textId="73D50FFA"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199" w:history="1">
            <w:r w:rsidRPr="00815C99">
              <w:rPr>
                <w:rStyle w:val="Hiperpovezava"/>
                <w:rFonts w:asciiTheme="majorHAnsi" w:eastAsiaTheme="majorEastAsia" w:hAnsiTheme="majorHAnsi" w:cstheme="majorHAnsi"/>
                <w:noProof/>
              </w:rPr>
              <w:t>4.5.4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Celoviti nacionalni energetski in podnebni načrt Republike Slovenije (NEPN)</w:t>
            </w:r>
            <w:r>
              <w:rPr>
                <w:noProof/>
                <w:webHidden/>
              </w:rPr>
              <w:tab/>
            </w:r>
            <w:r>
              <w:rPr>
                <w:noProof/>
                <w:webHidden/>
              </w:rPr>
              <w:fldChar w:fldCharType="begin"/>
            </w:r>
            <w:r>
              <w:rPr>
                <w:noProof/>
                <w:webHidden/>
              </w:rPr>
              <w:instrText xml:space="preserve"> PAGEREF _Toc230882199 \h </w:instrText>
            </w:r>
            <w:r>
              <w:rPr>
                <w:noProof/>
                <w:webHidden/>
              </w:rPr>
            </w:r>
            <w:r>
              <w:rPr>
                <w:noProof/>
                <w:webHidden/>
              </w:rPr>
              <w:fldChar w:fldCharType="separate"/>
            </w:r>
            <w:r w:rsidR="00BB0C0C">
              <w:rPr>
                <w:noProof/>
                <w:webHidden/>
              </w:rPr>
              <w:t>57</w:t>
            </w:r>
            <w:r>
              <w:rPr>
                <w:noProof/>
                <w:webHidden/>
              </w:rPr>
              <w:fldChar w:fldCharType="end"/>
            </w:r>
          </w:hyperlink>
        </w:p>
        <w:p w14:paraId="740B74D9" w14:textId="68E75FD2"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0" w:history="1">
            <w:r w:rsidRPr="00815C99">
              <w:rPr>
                <w:rStyle w:val="Hiperpovezava"/>
                <w:rFonts w:asciiTheme="majorHAnsi" w:eastAsiaTheme="majorEastAsia" w:hAnsiTheme="majorHAnsi" w:cstheme="majorHAnsi"/>
                <w:noProof/>
              </w:rPr>
              <w:t>4.5.5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Program Evropske kohezijske politike v obdobju 2021-2027 (PEKP 21-27)</w:t>
            </w:r>
            <w:r>
              <w:rPr>
                <w:noProof/>
                <w:webHidden/>
              </w:rPr>
              <w:tab/>
            </w:r>
            <w:r>
              <w:rPr>
                <w:noProof/>
                <w:webHidden/>
              </w:rPr>
              <w:fldChar w:fldCharType="begin"/>
            </w:r>
            <w:r>
              <w:rPr>
                <w:noProof/>
                <w:webHidden/>
              </w:rPr>
              <w:instrText xml:space="preserve"> PAGEREF _Toc230882200 \h </w:instrText>
            </w:r>
            <w:r>
              <w:rPr>
                <w:noProof/>
                <w:webHidden/>
              </w:rPr>
            </w:r>
            <w:r>
              <w:rPr>
                <w:noProof/>
                <w:webHidden/>
              </w:rPr>
              <w:fldChar w:fldCharType="separate"/>
            </w:r>
            <w:r w:rsidR="00BB0C0C">
              <w:rPr>
                <w:noProof/>
                <w:webHidden/>
              </w:rPr>
              <w:t>57</w:t>
            </w:r>
            <w:r>
              <w:rPr>
                <w:noProof/>
                <w:webHidden/>
              </w:rPr>
              <w:fldChar w:fldCharType="end"/>
            </w:r>
          </w:hyperlink>
        </w:p>
        <w:p w14:paraId="768EB10C" w14:textId="1F35386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1" w:history="1">
            <w:r w:rsidRPr="00815C99">
              <w:rPr>
                <w:rStyle w:val="Hiperpovezava"/>
                <w:rFonts w:asciiTheme="majorHAnsi" w:eastAsiaTheme="majorEastAsia" w:hAnsiTheme="majorHAnsi" w:cstheme="majorHAnsi"/>
                <w:noProof/>
              </w:rPr>
              <w:t>4.5.6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Regionalni razvojni program Ljubljanske urbane regije 2021-2027 (RRP LUR)</w:t>
            </w:r>
            <w:r>
              <w:rPr>
                <w:noProof/>
                <w:webHidden/>
              </w:rPr>
              <w:tab/>
            </w:r>
            <w:r>
              <w:rPr>
                <w:noProof/>
                <w:webHidden/>
              </w:rPr>
              <w:fldChar w:fldCharType="begin"/>
            </w:r>
            <w:r>
              <w:rPr>
                <w:noProof/>
                <w:webHidden/>
              </w:rPr>
              <w:instrText xml:space="preserve"> PAGEREF _Toc230882201 \h </w:instrText>
            </w:r>
            <w:r>
              <w:rPr>
                <w:noProof/>
                <w:webHidden/>
              </w:rPr>
            </w:r>
            <w:r>
              <w:rPr>
                <w:noProof/>
                <w:webHidden/>
              </w:rPr>
              <w:fldChar w:fldCharType="separate"/>
            </w:r>
            <w:r w:rsidR="00BB0C0C">
              <w:rPr>
                <w:noProof/>
                <w:webHidden/>
              </w:rPr>
              <w:t>58</w:t>
            </w:r>
            <w:r>
              <w:rPr>
                <w:noProof/>
                <w:webHidden/>
              </w:rPr>
              <w:fldChar w:fldCharType="end"/>
            </w:r>
          </w:hyperlink>
        </w:p>
        <w:p w14:paraId="5B2B2241" w14:textId="10D6F083"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2" w:history="1">
            <w:r w:rsidRPr="00815C99">
              <w:rPr>
                <w:rStyle w:val="Hiperpovezava"/>
                <w:rFonts w:asciiTheme="majorHAnsi" w:eastAsiaTheme="majorEastAsia" w:hAnsiTheme="majorHAnsi" w:cstheme="majorHAnsi"/>
                <w:noProof/>
              </w:rPr>
              <w:t>4.5.7</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Celostna prometna strategija Občine Ig</w:t>
            </w:r>
            <w:r>
              <w:rPr>
                <w:noProof/>
                <w:webHidden/>
              </w:rPr>
              <w:tab/>
            </w:r>
            <w:r>
              <w:rPr>
                <w:noProof/>
                <w:webHidden/>
              </w:rPr>
              <w:fldChar w:fldCharType="begin"/>
            </w:r>
            <w:r>
              <w:rPr>
                <w:noProof/>
                <w:webHidden/>
              </w:rPr>
              <w:instrText xml:space="preserve"> PAGEREF _Toc230882202 \h </w:instrText>
            </w:r>
            <w:r>
              <w:rPr>
                <w:noProof/>
                <w:webHidden/>
              </w:rPr>
            </w:r>
            <w:r>
              <w:rPr>
                <w:noProof/>
                <w:webHidden/>
              </w:rPr>
              <w:fldChar w:fldCharType="separate"/>
            </w:r>
            <w:r w:rsidR="00BB0C0C">
              <w:rPr>
                <w:noProof/>
                <w:webHidden/>
              </w:rPr>
              <w:t>59</w:t>
            </w:r>
            <w:r>
              <w:rPr>
                <w:noProof/>
                <w:webHidden/>
              </w:rPr>
              <w:fldChar w:fldCharType="end"/>
            </w:r>
          </w:hyperlink>
        </w:p>
        <w:p w14:paraId="20CDEC0F" w14:textId="39DD54AB"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3" w:history="1">
            <w:r w:rsidRPr="00815C99">
              <w:rPr>
                <w:rStyle w:val="Hiperpovezava"/>
                <w:rFonts w:asciiTheme="majorHAnsi" w:eastAsiaTheme="majorEastAsia" w:hAnsiTheme="majorHAnsi" w:cstheme="majorHAnsi"/>
                <w:noProof/>
              </w:rPr>
              <w:t>4.5.8</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Spisek strokovnih podlag</w:t>
            </w:r>
            <w:r>
              <w:rPr>
                <w:noProof/>
                <w:webHidden/>
              </w:rPr>
              <w:tab/>
            </w:r>
            <w:r>
              <w:rPr>
                <w:noProof/>
                <w:webHidden/>
              </w:rPr>
              <w:fldChar w:fldCharType="begin"/>
            </w:r>
            <w:r>
              <w:rPr>
                <w:noProof/>
                <w:webHidden/>
              </w:rPr>
              <w:instrText xml:space="preserve"> PAGEREF _Toc230882203 \h </w:instrText>
            </w:r>
            <w:r>
              <w:rPr>
                <w:noProof/>
                <w:webHidden/>
              </w:rPr>
            </w:r>
            <w:r>
              <w:rPr>
                <w:noProof/>
                <w:webHidden/>
              </w:rPr>
              <w:fldChar w:fldCharType="separate"/>
            </w:r>
            <w:r w:rsidR="00BB0C0C">
              <w:rPr>
                <w:noProof/>
                <w:webHidden/>
              </w:rPr>
              <w:t>61</w:t>
            </w:r>
            <w:r>
              <w:rPr>
                <w:noProof/>
                <w:webHidden/>
              </w:rPr>
              <w:fldChar w:fldCharType="end"/>
            </w:r>
          </w:hyperlink>
        </w:p>
        <w:p w14:paraId="16E5CA20" w14:textId="2EE703CF"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204" w:history="1">
            <w:r w:rsidRPr="00815C99">
              <w:rPr>
                <w:rStyle w:val="Hiperpovezava"/>
                <w:rFonts w:cstheme="majorHAnsi"/>
                <w:noProof/>
              </w:rPr>
              <w:t>5</w:t>
            </w:r>
            <w:r>
              <w:rPr>
                <w:b w:val="0"/>
                <w:bCs w:val="0"/>
                <w:caps w:val="0"/>
                <w:noProof/>
                <w:kern w:val="2"/>
                <w:sz w:val="24"/>
                <w:szCs w:val="24"/>
                <w14:ligatures w14:val="standardContextual"/>
              </w:rPr>
              <w:tab/>
            </w:r>
            <w:r w:rsidRPr="00815C99">
              <w:rPr>
                <w:rStyle w:val="Hiperpovezava"/>
                <w:rFonts w:cstheme="majorHAnsi"/>
                <w:noProof/>
              </w:rPr>
              <w:t>ANALIZA TRŽNIH MOŽNOSTI</w:t>
            </w:r>
            <w:r>
              <w:rPr>
                <w:noProof/>
                <w:webHidden/>
              </w:rPr>
              <w:tab/>
            </w:r>
            <w:r>
              <w:rPr>
                <w:noProof/>
                <w:webHidden/>
              </w:rPr>
              <w:fldChar w:fldCharType="begin"/>
            </w:r>
            <w:r>
              <w:rPr>
                <w:noProof/>
                <w:webHidden/>
              </w:rPr>
              <w:instrText xml:space="preserve"> PAGEREF _Toc230882204 \h </w:instrText>
            </w:r>
            <w:r>
              <w:rPr>
                <w:noProof/>
                <w:webHidden/>
              </w:rPr>
            </w:r>
            <w:r>
              <w:rPr>
                <w:noProof/>
                <w:webHidden/>
              </w:rPr>
              <w:fldChar w:fldCharType="separate"/>
            </w:r>
            <w:r w:rsidR="00BB0C0C">
              <w:rPr>
                <w:noProof/>
                <w:webHidden/>
              </w:rPr>
              <w:t>64</w:t>
            </w:r>
            <w:r>
              <w:rPr>
                <w:noProof/>
                <w:webHidden/>
              </w:rPr>
              <w:fldChar w:fldCharType="end"/>
            </w:r>
          </w:hyperlink>
        </w:p>
        <w:p w14:paraId="0887FCD4" w14:textId="1957BED4"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205" w:history="1">
            <w:r w:rsidRPr="00815C99">
              <w:rPr>
                <w:rStyle w:val="Hiperpovezava"/>
                <w:rFonts w:cstheme="majorHAnsi"/>
                <w:noProof/>
              </w:rPr>
              <w:t>6</w:t>
            </w:r>
            <w:r>
              <w:rPr>
                <w:b w:val="0"/>
                <w:bCs w:val="0"/>
                <w:caps w:val="0"/>
                <w:noProof/>
                <w:kern w:val="2"/>
                <w:sz w:val="24"/>
                <w:szCs w:val="24"/>
                <w14:ligatures w14:val="standardContextual"/>
              </w:rPr>
              <w:tab/>
            </w:r>
            <w:r w:rsidRPr="00815C99">
              <w:rPr>
                <w:rStyle w:val="Hiperpovezava"/>
                <w:rFonts w:cstheme="majorHAnsi"/>
                <w:noProof/>
              </w:rPr>
              <w:t>TEHNIČNO-TEHNOLOŠKI DEL</w:t>
            </w:r>
            <w:r>
              <w:rPr>
                <w:noProof/>
                <w:webHidden/>
              </w:rPr>
              <w:tab/>
            </w:r>
            <w:r>
              <w:rPr>
                <w:noProof/>
                <w:webHidden/>
              </w:rPr>
              <w:fldChar w:fldCharType="begin"/>
            </w:r>
            <w:r>
              <w:rPr>
                <w:noProof/>
                <w:webHidden/>
              </w:rPr>
              <w:instrText xml:space="preserve"> PAGEREF _Toc230882205 \h </w:instrText>
            </w:r>
            <w:r>
              <w:rPr>
                <w:noProof/>
                <w:webHidden/>
              </w:rPr>
            </w:r>
            <w:r>
              <w:rPr>
                <w:noProof/>
                <w:webHidden/>
              </w:rPr>
              <w:fldChar w:fldCharType="separate"/>
            </w:r>
            <w:r w:rsidR="00BB0C0C">
              <w:rPr>
                <w:noProof/>
                <w:webHidden/>
              </w:rPr>
              <w:t>66</w:t>
            </w:r>
            <w:r>
              <w:rPr>
                <w:noProof/>
                <w:webHidden/>
              </w:rPr>
              <w:fldChar w:fldCharType="end"/>
            </w:r>
          </w:hyperlink>
        </w:p>
        <w:p w14:paraId="63FB0444" w14:textId="02950135"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06" w:history="1">
            <w:r w:rsidRPr="00815C99">
              <w:rPr>
                <w:rStyle w:val="Hiperpovezava"/>
                <w:rFonts w:asciiTheme="majorHAnsi" w:eastAsiaTheme="majorEastAsia" w:hAnsiTheme="majorHAnsi" w:cstheme="majorHAnsi"/>
                <w:noProof/>
              </w:rPr>
              <w:t>6.1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Zelena infrastruktura</w:t>
            </w:r>
            <w:r>
              <w:rPr>
                <w:noProof/>
                <w:webHidden/>
              </w:rPr>
              <w:tab/>
            </w:r>
            <w:r>
              <w:rPr>
                <w:noProof/>
                <w:webHidden/>
              </w:rPr>
              <w:fldChar w:fldCharType="begin"/>
            </w:r>
            <w:r>
              <w:rPr>
                <w:noProof/>
                <w:webHidden/>
              </w:rPr>
              <w:instrText xml:space="preserve"> PAGEREF _Toc230882206 \h </w:instrText>
            </w:r>
            <w:r>
              <w:rPr>
                <w:noProof/>
                <w:webHidden/>
              </w:rPr>
            </w:r>
            <w:r>
              <w:rPr>
                <w:noProof/>
                <w:webHidden/>
              </w:rPr>
              <w:fldChar w:fldCharType="separate"/>
            </w:r>
            <w:r w:rsidR="00BB0C0C">
              <w:rPr>
                <w:noProof/>
                <w:webHidden/>
              </w:rPr>
              <w:t>67</w:t>
            </w:r>
            <w:r>
              <w:rPr>
                <w:noProof/>
                <w:webHidden/>
              </w:rPr>
              <w:fldChar w:fldCharType="end"/>
            </w:r>
          </w:hyperlink>
        </w:p>
        <w:p w14:paraId="2FDF87D6" w14:textId="4C3957E6"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07" w:history="1">
            <w:r w:rsidRPr="00815C99">
              <w:rPr>
                <w:rStyle w:val="Hiperpovezava"/>
                <w:rFonts w:asciiTheme="majorHAnsi" w:eastAsiaTheme="majorEastAsia" w:hAnsiTheme="majorHAnsi" w:cstheme="majorHAnsi"/>
                <w:noProof/>
              </w:rPr>
              <w:t>6.2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Trajnostna mobilnost</w:t>
            </w:r>
            <w:r>
              <w:rPr>
                <w:noProof/>
                <w:webHidden/>
              </w:rPr>
              <w:tab/>
            </w:r>
            <w:r>
              <w:rPr>
                <w:noProof/>
                <w:webHidden/>
              </w:rPr>
              <w:fldChar w:fldCharType="begin"/>
            </w:r>
            <w:r>
              <w:rPr>
                <w:noProof/>
                <w:webHidden/>
              </w:rPr>
              <w:instrText xml:space="preserve"> PAGEREF _Toc230882207 \h </w:instrText>
            </w:r>
            <w:r>
              <w:rPr>
                <w:noProof/>
                <w:webHidden/>
              </w:rPr>
            </w:r>
            <w:r>
              <w:rPr>
                <w:noProof/>
                <w:webHidden/>
              </w:rPr>
              <w:fldChar w:fldCharType="separate"/>
            </w:r>
            <w:r w:rsidR="00BB0C0C">
              <w:rPr>
                <w:noProof/>
                <w:webHidden/>
              </w:rPr>
              <w:t>67</w:t>
            </w:r>
            <w:r>
              <w:rPr>
                <w:noProof/>
                <w:webHidden/>
              </w:rPr>
              <w:fldChar w:fldCharType="end"/>
            </w:r>
          </w:hyperlink>
        </w:p>
        <w:p w14:paraId="2D6ADC22" w14:textId="17146191"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8" w:history="1">
            <w:r w:rsidRPr="00815C99">
              <w:rPr>
                <w:rStyle w:val="Hiperpovezava"/>
                <w:rFonts w:asciiTheme="majorHAnsi" w:eastAsiaTheme="majorEastAsia" w:hAnsiTheme="majorHAnsi" w:cstheme="majorHAnsi"/>
                <w:noProof/>
              </w:rPr>
              <w:t>6.2.1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Govekarjeva cesta</w:t>
            </w:r>
            <w:r>
              <w:rPr>
                <w:noProof/>
                <w:webHidden/>
              </w:rPr>
              <w:tab/>
            </w:r>
            <w:r>
              <w:rPr>
                <w:noProof/>
                <w:webHidden/>
              </w:rPr>
              <w:fldChar w:fldCharType="begin"/>
            </w:r>
            <w:r>
              <w:rPr>
                <w:noProof/>
                <w:webHidden/>
              </w:rPr>
              <w:instrText xml:space="preserve"> PAGEREF _Toc230882208 \h </w:instrText>
            </w:r>
            <w:r>
              <w:rPr>
                <w:noProof/>
                <w:webHidden/>
              </w:rPr>
            </w:r>
            <w:r>
              <w:rPr>
                <w:noProof/>
                <w:webHidden/>
              </w:rPr>
              <w:fldChar w:fldCharType="separate"/>
            </w:r>
            <w:r w:rsidR="00BB0C0C">
              <w:rPr>
                <w:noProof/>
                <w:webHidden/>
              </w:rPr>
              <w:t>68</w:t>
            </w:r>
            <w:r>
              <w:rPr>
                <w:noProof/>
                <w:webHidden/>
              </w:rPr>
              <w:fldChar w:fldCharType="end"/>
            </w:r>
          </w:hyperlink>
        </w:p>
        <w:p w14:paraId="778BD173" w14:textId="1E1B169B"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09" w:history="1">
            <w:r w:rsidRPr="00815C99">
              <w:rPr>
                <w:rStyle w:val="Hiperpovezava"/>
                <w:rFonts w:asciiTheme="majorHAnsi" w:eastAsiaTheme="majorEastAsia" w:hAnsiTheme="majorHAnsi" w:cstheme="majorHAnsi"/>
                <w:noProof/>
              </w:rPr>
              <w:t>6.2.2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Troštova ulica</w:t>
            </w:r>
            <w:r>
              <w:rPr>
                <w:noProof/>
                <w:webHidden/>
              </w:rPr>
              <w:tab/>
            </w:r>
            <w:r>
              <w:rPr>
                <w:noProof/>
                <w:webHidden/>
              </w:rPr>
              <w:fldChar w:fldCharType="begin"/>
            </w:r>
            <w:r>
              <w:rPr>
                <w:noProof/>
                <w:webHidden/>
              </w:rPr>
              <w:instrText xml:space="preserve"> PAGEREF _Toc230882209 \h </w:instrText>
            </w:r>
            <w:r>
              <w:rPr>
                <w:noProof/>
                <w:webHidden/>
              </w:rPr>
            </w:r>
            <w:r>
              <w:rPr>
                <w:noProof/>
                <w:webHidden/>
              </w:rPr>
              <w:fldChar w:fldCharType="separate"/>
            </w:r>
            <w:r w:rsidR="00BB0C0C">
              <w:rPr>
                <w:noProof/>
                <w:webHidden/>
              </w:rPr>
              <w:t>68</w:t>
            </w:r>
            <w:r>
              <w:rPr>
                <w:noProof/>
                <w:webHidden/>
              </w:rPr>
              <w:fldChar w:fldCharType="end"/>
            </w:r>
          </w:hyperlink>
        </w:p>
        <w:p w14:paraId="49EF2575" w14:textId="5DBF37F3"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0" w:history="1">
            <w:r w:rsidRPr="00815C99">
              <w:rPr>
                <w:rStyle w:val="Hiperpovezava"/>
                <w:rFonts w:asciiTheme="majorHAnsi" w:eastAsiaTheme="majorEastAsia" w:hAnsiTheme="majorHAnsi" w:cstheme="majorHAnsi"/>
                <w:noProof/>
              </w:rPr>
              <w:t>6.2.3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Avtobusno postajališče</w:t>
            </w:r>
            <w:r>
              <w:rPr>
                <w:noProof/>
                <w:webHidden/>
              </w:rPr>
              <w:tab/>
            </w:r>
            <w:r>
              <w:rPr>
                <w:noProof/>
                <w:webHidden/>
              </w:rPr>
              <w:fldChar w:fldCharType="begin"/>
            </w:r>
            <w:r>
              <w:rPr>
                <w:noProof/>
                <w:webHidden/>
              </w:rPr>
              <w:instrText xml:space="preserve"> PAGEREF _Toc230882210 \h </w:instrText>
            </w:r>
            <w:r>
              <w:rPr>
                <w:noProof/>
                <w:webHidden/>
              </w:rPr>
            </w:r>
            <w:r>
              <w:rPr>
                <w:noProof/>
                <w:webHidden/>
              </w:rPr>
              <w:fldChar w:fldCharType="separate"/>
            </w:r>
            <w:r w:rsidR="00BB0C0C">
              <w:rPr>
                <w:noProof/>
                <w:webHidden/>
              </w:rPr>
              <w:t>68</w:t>
            </w:r>
            <w:r>
              <w:rPr>
                <w:noProof/>
                <w:webHidden/>
              </w:rPr>
              <w:fldChar w:fldCharType="end"/>
            </w:r>
          </w:hyperlink>
        </w:p>
        <w:p w14:paraId="767CDCEE" w14:textId="1FC2E5EC"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1" w:history="1">
            <w:r w:rsidRPr="00815C99">
              <w:rPr>
                <w:rStyle w:val="Hiperpovezava"/>
                <w:rFonts w:asciiTheme="majorHAnsi" w:eastAsiaTheme="majorEastAsia" w:hAnsiTheme="majorHAnsi" w:cstheme="majorHAnsi"/>
                <w:noProof/>
              </w:rPr>
              <w:t>6.2.4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Mirujoči promet</w:t>
            </w:r>
            <w:r>
              <w:rPr>
                <w:noProof/>
                <w:webHidden/>
              </w:rPr>
              <w:tab/>
            </w:r>
            <w:r>
              <w:rPr>
                <w:noProof/>
                <w:webHidden/>
              </w:rPr>
              <w:fldChar w:fldCharType="begin"/>
            </w:r>
            <w:r>
              <w:rPr>
                <w:noProof/>
                <w:webHidden/>
              </w:rPr>
              <w:instrText xml:space="preserve"> PAGEREF _Toc230882211 \h </w:instrText>
            </w:r>
            <w:r>
              <w:rPr>
                <w:noProof/>
                <w:webHidden/>
              </w:rPr>
            </w:r>
            <w:r>
              <w:rPr>
                <w:noProof/>
                <w:webHidden/>
              </w:rPr>
              <w:fldChar w:fldCharType="separate"/>
            </w:r>
            <w:r w:rsidR="00BB0C0C">
              <w:rPr>
                <w:noProof/>
                <w:webHidden/>
              </w:rPr>
              <w:t>68</w:t>
            </w:r>
            <w:r>
              <w:rPr>
                <w:noProof/>
                <w:webHidden/>
              </w:rPr>
              <w:fldChar w:fldCharType="end"/>
            </w:r>
          </w:hyperlink>
        </w:p>
        <w:p w14:paraId="2F349817" w14:textId="4C8C7EC3"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2" w:history="1">
            <w:r w:rsidRPr="00815C99">
              <w:rPr>
                <w:rStyle w:val="Hiperpovezava"/>
                <w:rFonts w:asciiTheme="majorHAnsi" w:eastAsiaTheme="majorEastAsia" w:hAnsiTheme="majorHAnsi" w:cstheme="majorHAnsi"/>
                <w:noProof/>
              </w:rPr>
              <w:t>6.2.5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Kolesarska infrastruktura</w:t>
            </w:r>
            <w:r>
              <w:rPr>
                <w:noProof/>
                <w:webHidden/>
              </w:rPr>
              <w:tab/>
            </w:r>
            <w:r>
              <w:rPr>
                <w:noProof/>
                <w:webHidden/>
              </w:rPr>
              <w:fldChar w:fldCharType="begin"/>
            </w:r>
            <w:r>
              <w:rPr>
                <w:noProof/>
                <w:webHidden/>
              </w:rPr>
              <w:instrText xml:space="preserve"> PAGEREF _Toc230882212 \h </w:instrText>
            </w:r>
            <w:r>
              <w:rPr>
                <w:noProof/>
                <w:webHidden/>
              </w:rPr>
            </w:r>
            <w:r>
              <w:rPr>
                <w:noProof/>
                <w:webHidden/>
              </w:rPr>
              <w:fldChar w:fldCharType="separate"/>
            </w:r>
            <w:r w:rsidR="00BB0C0C">
              <w:rPr>
                <w:noProof/>
                <w:webHidden/>
              </w:rPr>
              <w:t>69</w:t>
            </w:r>
            <w:r>
              <w:rPr>
                <w:noProof/>
                <w:webHidden/>
              </w:rPr>
              <w:fldChar w:fldCharType="end"/>
            </w:r>
          </w:hyperlink>
        </w:p>
        <w:p w14:paraId="0FBB6720" w14:textId="0EC0ADC1"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13" w:history="1">
            <w:r w:rsidRPr="00815C99">
              <w:rPr>
                <w:rStyle w:val="Hiperpovezava"/>
                <w:rFonts w:asciiTheme="majorHAnsi" w:eastAsiaTheme="majorEastAsia" w:hAnsiTheme="majorHAnsi" w:cstheme="majorHAnsi"/>
                <w:noProof/>
              </w:rPr>
              <w:t>6.3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NOVI EUROPSKI BAUHAUS</w:t>
            </w:r>
            <w:r>
              <w:rPr>
                <w:noProof/>
                <w:webHidden/>
              </w:rPr>
              <w:tab/>
            </w:r>
            <w:r>
              <w:rPr>
                <w:noProof/>
                <w:webHidden/>
              </w:rPr>
              <w:fldChar w:fldCharType="begin"/>
            </w:r>
            <w:r>
              <w:rPr>
                <w:noProof/>
                <w:webHidden/>
              </w:rPr>
              <w:instrText xml:space="preserve"> PAGEREF _Toc230882213 \h </w:instrText>
            </w:r>
            <w:r>
              <w:rPr>
                <w:noProof/>
                <w:webHidden/>
              </w:rPr>
            </w:r>
            <w:r>
              <w:rPr>
                <w:noProof/>
                <w:webHidden/>
              </w:rPr>
              <w:fldChar w:fldCharType="separate"/>
            </w:r>
            <w:r w:rsidR="00BB0C0C">
              <w:rPr>
                <w:noProof/>
                <w:webHidden/>
              </w:rPr>
              <w:t>69</w:t>
            </w:r>
            <w:r>
              <w:rPr>
                <w:noProof/>
                <w:webHidden/>
              </w:rPr>
              <w:fldChar w:fldCharType="end"/>
            </w:r>
          </w:hyperlink>
        </w:p>
        <w:p w14:paraId="236FF604" w14:textId="11470EBA"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14" w:history="1">
            <w:r w:rsidRPr="00815C99">
              <w:rPr>
                <w:rStyle w:val="Hiperpovezava"/>
                <w:rFonts w:asciiTheme="majorHAnsi" w:eastAsiaTheme="majorEastAsia" w:hAnsiTheme="majorHAnsi" w:cstheme="majorHAnsi"/>
                <w:noProof/>
              </w:rPr>
              <w:t>6.4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EU RAZPIS TRAJNOSTNA MOBILNOST</w:t>
            </w:r>
            <w:r>
              <w:rPr>
                <w:noProof/>
                <w:webHidden/>
              </w:rPr>
              <w:tab/>
            </w:r>
            <w:r>
              <w:rPr>
                <w:noProof/>
                <w:webHidden/>
              </w:rPr>
              <w:fldChar w:fldCharType="begin"/>
            </w:r>
            <w:r>
              <w:rPr>
                <w:noProof/>
                <w:webHidden/>
              </w:rPr>
              <w:instrText xml:space="preserve"> PAGEREF _Toc230882214 \h </w:instrText>
            </w:r>
            <w:r>
              <w:rPr>
                <w:noProof/>
                <w:webHidden/>
              </w:rPr>
            </w:r>
            <w:r>
              <w:rPr>
                <w:noProof/>
                <w:webHidden/>
              </w:rPr>
              <w:fldChar w:fldCharType="separate"/>
            </w:r>
            <w:r w:rsidR="00BB0C0C">
              <w:rPr>
                <w:noProof/>
                <w:webHidden/>
              </w:rPr>
              <w:t>69</w:t>
            </w:r>
            <w:r>
              <w:rPr>
                <w:noProof/>
                <w:webHidden/>
              </w:rPr>
              <w:fldChar w:fldCharType="end"/>
            </w:r>
          </w:hyperlink>
        </w:p>
        <w:p w14:paraId="193DC48F" w14:textId="761FEA2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5" w:history="1">
            <w:r w:rsidRPr="00815C99">
              <w:rPr>
                <w:rStyle w:val="Hiperpovezava"/>
                <w:rFonts w:asciiTheme="majorHAnsi" w:eastAsiaTheme="majorEastAsia" w:hAnsiTheme="majorHAnsi" w:cstheme="majorHAnsi"/>
                <w:noProof/>
              </w:rPr>
              <w:t>6.4.1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Ukrep 1: Celovita preureditev ulic in cest skladno z načeli trajnostne mobilnosti</w:t>
            </w:r>
            <w:r>
              <w:rPr>
                <w:noProof/>
                <w:webHidden/>
              </w:rPr>
              <w:tab/>
            </w:r>
            <w:r>
              <w:rPr>
                <w:noProof/>
                <w:webHidden/>
              </w:rPr>
              <w:fldChar w:fldCharType="begin"/>
            </w:r>
            <w:r>
              <w:rPr>
                <w:noProof/>
                <w:webHidden/>
              </w:rPr>
              <w:instrText xml:space="preserve"> PAGEREF _Toc230882215 \h </w:instrText>
            </w:r>
            <w:r>
              <w:rPr>
                <w:noProof/>
                <w:webHidden/>
              </w:rPr>
            </w:r>
            <w:r>
              <w:rPr>
                <w:noProof/>
                <w:webHidden/>
              </w:rPr>
              <w:fldChar w:fldCharType="separate"/>
            </w:r>
            <w:r w:rsidR="00BB0C0C">
              <w:rPr>
                <w:noProof/>
                <w:webHidden/>
              </w:rPr>
              <w:t>69</w:t>
            </w:r>
            <w:r>
              <w:rPr>
                <w:noProof/>
                <w:webHidden/>
              </w:rPr>
              <w:fldChar w:fldCharType="end"/>
            </w:r>
          </w:hyperlink>
        </w:p>
        <w:p w14:paraId="71AA51E7" w14:textId="0FFF8DA2"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6" w:history="1">
            <w:r w:rsidRPr="00815C99">
              <w:rPr>
                <w:rStyle w:val="Hiperpovezava"/>
                <w:rFonts w:asciiTheme="majorHAnsi" w:eastAsiaTheme="majorEastAsia" w:hAnsiTheme="majorHAnsi" w:cstheme="majorHAnsi"/>
                <w:noProof/>
              </w:rPr>
              <w:t>6.4.2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Ukrep 2: Ureditev namenskih površin za JPP</w:t>
            </w:r>
            <w:r>
              <w:rPr>
                <w:noProof/>
                <w:webHidden/>
              </w:rPr>
              <w:tab/>
            </w:r>
            <w:r>
              <w:rPr>
                <w:noProof/>
                <w:webHidden/>
              </w:rPr>
              <w:fldChar w:fldCharType="begin"/>
            </w:r>
            <w:r>
              <w:rPr>
                <w:noProof/>
                <w:webHidden/>
              </w:rPr>
              <w:instrText xml:space="preserve"> PAGEREF _Toc230882216 \h </w:instrText>
            </w:r>
            <w:r>
              <w:rPr>
                <w:noProof/>
                <w:webHidden/>
              </w:rPr>
            </w:r>
            <w:r>
              <w:rPr>
                <w:noProof/>
                <w:webHidden/>
              </w:rPr>
              <w:fldChar w:fldCharType="separate"/>
            </w:r>
            <w:r w:rsidR="00BB0C0C">
              <w:rPr>
                <w:noProof/>
                <w:webHidden/>
              </w:rPr>
              <w:t>70</w:t>
            </w:r>
            <w:r>
              <w:rPr>
                <w:noProof/>
                <w:webHidden/>
              </w:rPr>
              <w:fldChar w:fldCharType="end"/>
            </w:r>
          </w:hyperlink>
        </w:p>
        <w:p w14:paraId="2E14EE59" w14:textId="60FB9F5A"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7" w:history="1">
            <w:r w:rsidRPr="00815C99">
              <w:rPr>
                <w:rStyle w:val="Hiperpovezava"/>
                <w:rFonts w:asciiTheme="majorHAnsi" w:eastAsiaTheme="majorEastAsia" w:hAnsiTheme="majorHAnsi" w:cstheme="majorHAnsi"/>
                <w:noProof/>
              </w:rPr>
              <w:t>6.4.3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Ukrep 4: Infrastruktura za kolesarje</w:t>
            </w:r>
            <w:r>
              <w:rPr>
                <w:noProof/>
                <w:webHidden/>
              </w:rPr>
              <w:tab/>
            </w:r>
            <w:r>
              <w:rPr>
                <w:noProof/>
                <w:webHidden/>
              </w:rPr>
              <w:fldChar w:fldCharType="begin"/>
            </w:r>
            <w:r>
              <w:rPr>
                <w:noProof/>
                <w:webHidden/>
              </w:rPr>
              <w:instrText xml:space="preserve"> PAGEREF _Toc230882217 \h </w:instrText>
            </w:r>
            <w:r>
              <w:rPr>
                <w:noProof/>
                <w:webHidden/>
              </w:rPr>
            </w:r>
            <w:r>
              <w:rPr>
                <w:noProof/>
                <w:webHidden/>
              </w:rPr>
              <w:fldChar w:fldCharType="separate"/>
            </w:r>
            <w:r w:rsidR="00BB0C0C">
              <w:rPr>
                <w:noProof/>
                <w:webHidden/>
              </w:rPr>
              <w:t>70</w:t>
            </w:r>
            <w:r>
              <w:rPr>
                <w:noProof/>
                <w:webHidden/>
              </w:rPr>
              <w:fldChar w:fldCharType="end"/>
            </w:r>
          </w:hyperlink>
        </w:p>
        <w:p w14:paraId="7408A7AB" w14:textId="69CDB2E5"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18" w:history="1">
            <w:r w:rsidRPr="00815C99">
              <w:rPr>
                <w:rStyle w:val="Hiperpovezava"/>
                <w:rFonts w:asciiTheme="majorHAnsi" w:eastAsiaTheme="majorEastAsia" w:hAnsiTheme="majorHAnsi" w:cstheme="majorHAnsi"/>
                <w:noProof/>
              </w:rPr>
              <w:t>6.5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Tehnične značilnosti predvidene gradnje</w:t>
            </w:r>
            <w:r>
              <w:rPr>
                <w:noProof/>
                <w:webHidden/>
              </w:rPr>
              <w:tab/>
            </w:r>
            <w:r>
              <w:rPr>
                <w:noProof/>
                <w:webHidden/>
              </w:rPr>
              <w:fldChar w:fldCharType="begin"/>
            </w:r>
            <w:r>
              <w:rPr>
                <w:noProof/>
                <w:webHidden/>
              </w:rPr>
              <w:instrText xml:space="preserve"> PAGEREF _Toc230882218 \h </w:instrText>
            </w:r>
            <w:r>
              <w:rPr>
                <w:noProof/>
                <w:webHidden/>
              </w:rPr>
            </w:r>
            <w:r>
              <w:rPr>
                <w:noProof/>
                <w:webHidden/>
              </w:rPr>
              <w:fldChar w:fldCharType="separate"/>
            </w:r>
            <w:r w:rsidR="00BB0C0C">
              <w:rPr>
                <w:noProof/>
                <w:webHidden/>
              </w:rPr>
              <w:t>71</w:t>
            </w:r>
            <w:r>
              <w:rPr>
                <w:noProof/>
                <w:webHidden/>
              </w:rPr>
              <w:fldChar w:fldCharType="end"/>
            </w:r>
          </w:hyperlink>
        </w:p>
        <w:p w14:paraId="0B153513" w14:textId="391B7E77"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19" w:history="1">
            <w:r w:rsidRPr="00815C99">
              <w:rPr>
                <w:rStyle w:val="Hiperpovezava"/>
                <w:rFonts w:asciiTheme="majorHAnsi" w:eastAsiaTheme="majorEastAsia" w:hAnsiTheme="majorHAnsi" w:cstheme="majorHAnsi"/>
                <w:noProof/>
              </w:rPr>
              <w:t>6.5.1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Ceste/ulice</w:t>
            </w:r>
            <w:r>
              <w:rPr>
                <w:noProof/>
                <w:webHidden/>
              </w:rPr>
              <w:tab/>
            </w:r>
            <w:r>
              <w:rPr>
                <w:noProof/>
                <w:webHidden/>
              </w:rPr>
              <w:fldChar w:fldCharType="begin"/>
            </w:r>
            <w:r>
              <w:rPr>
                <w:noProof/>
                <w:webHidden/>
              </w:rPr>
              <w:instrText xml:space="preserve"> PAGEREF _Toc230882219 \h </w:instrText>
            </w:r>
            <w:r>
              <w:rPr>
                <w:noProof/>
                <w:webHidden/>
              </w:rPr>
            </w:r>
            <w:r>
              <w:rPr>
                <w:noProof/>
                <w:webHidden/>
              </w:rPr>
              <w:fldChar w:fldCharType="separate"/>
            </w:r>
            <w:r w:rsidR="00BB0C0C">
              <w:rPr>
                <w:noProof/>
                <w:webHidden/>
              </w:rPr>
              <w:t>71</w:t>
            </w:r>
            <w:r>
              <w:rPr>
                <w:noProof/>
                <w:webHidden/>
              </w:rPr>
              <w:fldChar w:fldCharType="end"/>
            </w:r>
          </w:hyperlink>
        </w:p>
        <w:p w14:paraId="47A1C762" w14:textId="2840DFE9"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0" w:history="1">
            <w:r w:rsidRPr="00815C99">
              <w:rPr>
                <w:rStyle w:val="Hiperpovezava"/>
                <w:rFonts w:asciiTheme="majorHAnsi" w:eastAsiaTheme="majorEastAsia" w:hAnsiTheme="majorHAnsi" w:cstheme="majorHAnsi"/>
                <w:noProof/>
              </w:rPr>
              <w:t>6.5.2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Parkirišče</w:t>
            </w:r>
            <w:r>
              <w:rPr>
                <w:noProof/>
                <w:webHidden/>
              </w:rPr>
              <w:tab/>
            </w:r>
            <w:r>
              <w:rPr>
                <w:noProof/>
                <w:webHidden/>
              </w:rPr>
              <w:fldChar w:fldCharType="begin"/>
            </w:r>
            <w:r>
              <w:rPr>
                <w:noProof/>
                <w:webHidden/>
              </w:rPr>
              <w:instrText xml:space="preserve"> PAGEREF _Toc230882220 \h </w:instrText>
            </w:r>
            <w:r>
              <w:rPr>
                <w:noProof/>
                <w:webHidden/>
              </w:rPr>
            </w:r>
            <w:r>
              <w:rPr>
                <w:noProof/>
                <w:webHidden/>
              </w:rPr>
              <w:fldChar w:fldCharType="separate"/>
            </w:r>
            <w:r w:rsidR="00BB0C0C">
              <w:rPr>
                <w:noProof/>
                <w:webHidden/>
              </w:rPr>
              <w:t>72</w:t>
            </w:r>
            <w:r>
              <w:rPr>
                <w:noProof/>
                <w:webHidden/>
              </w:rPr>
              <w:fldChar w:fldCharType="end"/>
            </w:r>
          </w:hyperlink>
        </w:p>
        <w:p w14:paraId="246ADE42" w14:textId="70C24D22"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1" w:history="1">
            <w:r w:rsidRPr="00815C99">
              <w:rPr>
                <w:rStyle w:val="Hiperpovezava"/>
                <w:rFonts w:asciiTheme="majorHAnsi" w:eastAsiaTheme="majorEastAsia" w:hAnsiTheme="majorHAnsi" w:cstheme="majorHAnsi"/>
                <w:noProof/>
              </w:rPr>
              <w:t>6.5.3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Odprte pokrite kolesarnice</w:t>
            </w:r>
            <w:r>
              <w:rPr>
                <w:noProof/>
                <w:webHidden/>
              </w:rPr>
              <w:tab/>
            </w:r>
            <w:r>
              <w:rPr>
                <w:noProof/>
                <w:webHidden/>
              </w:rPr>
              <w:fldChar w:fldCharType="begin"/>
            </w:r>
            <w:r>
              <w:rPr>
                <w:noProof/>
                <w:webHidden/>
              </w:rPr>
              <w:instrText xml:space="preserve"> PAGEREF _Toc230882221 \h </w:instrText>
            </w:r>
            <w:r>
              <w:rPr>
                <w:noProof/>
                <w:webHidden/>
              </w:rPr>
            </w:r>
            <w:r>
              <w:rPr>
                <w:noProof/>
                <w:webHidden/>
              </w:rPr>
              <w:fldChar w:fldCharType="separate"/>
            </w:r>
            <w:r w:rsidR="00BB0C0C">
              <w:rPr>
                <w:noProof/>
                <w:webHidden/>
              </w:rPr>
              <w:t>72</w:t>
            </w:r>
            <w:r>
              <w:rPr>
                <w:noProof/>
                <w:webHidden/>
              </w:rPr>
              <w:fldChar w:fldCharType="end"/>
            </w:r>
          </w:hyperlink>
        </w:p>
        <w:p w14:paraId="32DD53C8" w14:textId="0D4D961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2" w:history="1">
            <w:r w:rsidRPr="00815C99">
              <w:rPr>
                <w:rStyle w:val="Hiperpovezava"/>
                <w:rFonts w:asciiTheme="majorHAnsi" w:eastAsiaTheme="majorEastAsia" w:hAnsiTheme="majorHAnsi" w:cstheme="majorHAnsi"/>
                <w:noProof/>
              </w:rPr>
              <w:t>6.5.4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Večnamenska objekta – kolesarnica in javne sanitarije</w:t>
            </w:r>
            <w:r>
              <w:rPr>
                <w:noProof/>
                <w:webHidden/>
              </w:rPr>
              <w:tab/>
            </w:r>
            <w:r>
              <w:rPr>
                <w:noProof/>
                <w:webHidden/>
              </w:rPr>
              <w:fldChar w:fldCharType="begin"/>
            </w:r>
            <w:r>
              <w:rPr>
                <w:noProof/>
                <w:webHidden/>
              </w:rPr>
              <w:instrText xml:space="preserve"> PAGEREF _Toc230882222 \h </w:instrText>
            </w:r>
            <w:r>
              <w:rPr>
                <w:noProof/>
                <w:webHidden/>
              </w:rPr>
            </w:r>
            <w:r>
              <w:rPr>
                <w:noProof/>
                <w:webHidden/>
              </w:rPr>
              <w:fldChar w:fldCharType="separate"/>
            </w:r>
            <w:r w:rsidR="00BB0C0C">
              <w:rPr>
                <w:noProof/>
                <w:webHidden/>
              </w:rPr>
              <w:t>72</w:t>
            </w:r>
            <w:r>
              <w:rPr>
                <w:noProof/>
                <w:webHidden/>
              </w:rPr>
              <w:fldChar w:fldCharType="end"/>
            </w:r>
          </w:hyperlink>
        </w:p>
        <w:p w14:paraId="6FE3F645" w14:textId="1D44B487"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3" w:history="1">
            <w:r w:rsidRPr="00815C99">
              <w:rPr>
                <w:rStyle w:val="Hiperpovezava"/>
                <w:rFonts w:asciiTheme="majorHAnsi" w:eastAsiaTheme="majorEastAsia" w:hAnsiTheme="majorHAnsi" w:cstheme="majorHAnsi"/>
                <w:noProof/>
              </w:rPr>
              <w:t>6.5.5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Nadstrešnica avtobusnega postajališča</w:t>
            </w:r>
            <w:r>
              <w:rPr>
                <w:noProof/>
                <w:webHidden/>
              </w:rPr>
              <w:tab/>
            </w:r>
            <w:r>
              <w:rPr>
                <w:noProof/>
                <w:webHidden/>
              </w:rPr>
              <w:fldChar w:fldCharType="begin"/>
            </w:r>
            <w:r>
              <w:rPr>
                <w:noProof/>
                <w:webHidden/>
              </w:rPr>
              <w:instrText xml:space="preserve"> PAGEREF _Toc230882223 \h </w:instrText>
            </w:r>
            <w:r>
              <w:rPr>
                <w:noProof/>
                <w:webHidden/>
              </w:rPr>
            </w:r>
            <w:r>
              <w:rPr>
                <w:noProof/>
                <w:webHidden/>
              </w:rPr>
              <w:fldChar w:fldCharType="separate"/>
            </w:r>
            <w:r w:rsidR="00BB0C0C">
              <w:rPr>
                <w:noProof/>
                <w:webHidden/>
              </w:rPr>
              <w:t>73</w:t>
            </w:r>
            <w:r>
              <w:rPr>
                <w:noProof/>
                <w:webHidden/>
              </w:rPr>
              <w:fldChar w:fldCharType="end"/>
            </w:r>
          </w:hyperlink>
        </w:p>
        <w:p w14:paraId="176BB45F" w14:textId="5E1A521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4" w:history="1">
            <w:r w:rsidRPr="00815C99">
              <w:rPr>
                <w:rStyle w:val="Hiperpovezava"/>
                <w:rFonts w:asciiTheme="majorHAnsi" w:eastAsiaTheme="majorEastAsia" w:hAnsiTheme="majorHAnsi" w:cstheme="majorHAnsi"/>
                <w:noProof/>
              </w:rPr>
              <w:t>6.5.6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Tlakovanje</w:t>
            </w:r>
            <w:r>
              <w:rPr>
                <w:noProof/>
                <w:webHidden/>
              </w:rPr>
              <w:tab/>
            </w:r>
            <w:r>
              <w:rPr>
                <w:noProof/>
                <w:webHidden/>
              </w:rPr>
              <w:fldChar w:fldCharType="begin"/>
            </w:r>
            <w:r>
              <w:rPr>
                <w:noProof/>
                <w:webHidden/>
              </w:rPr>
              <w:instrText xml:space="preserve"> PAGEREF _Toc230882224 \h </w:instrText>
            </w:r>
            <w:r>
              <w:rPr>
                <w:noProof/>
                <w:webHidden/>
              </w:rPr>
            </w:r>
            <w:r>
              <w:rPr>
                <w:noProof/>
                <w:webHidden/>
              </w:rPr>
              <w:fldChar w:fldCharType="separate"/>
            </w:r>
            <w:r w:rsidR="00BB0C0C">
              <w:rPr>
                <w:noProof/>
                <w:webHidden/>
              </w:rPr>
              <w:t>73</w:t>
            </w:r>
            <w:r>
              <w:rPr>
                <w:noProof/>
                <w:webHidden/>
              </w:rPr>
              <w:fldChar w:fldCharType="end"/>
            </w:r>
          </w:hyperlink>
        </w:p>
        <w:p w14:paraId="19F36B5E" w14:textId="0618D78A"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5" w:history="1">
            <w:r w:rsidRPr="00815C99">
              <w:rPr>
                <w:rStyle w:val="Hiperpovezava"/>
                <w:rFonts w:asciiTheme="majorHAnsi" w:eastAsiaTheme="majorEastAsia" w:hAnsiTheme="majorHAnsi" w:cstheme="majorHAnsi"/>
                <w:noProof/>
              </w:rPr>
              <w:t>6.5.7</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Urbana oprema</w:t>
            </w:r>
            <w:r>
              <w:rPr>
                <w:noProof/>
                <w:webHidden/>
              </w:rPr>
              <w:tab/>
            </w:r>
            <w:r>
              <w:rPr>
                <w:noProof/>
                <w:webHidden/>
              </w:rPr>
              <w:fldChar w:fldCharType="begin"/>
            </w:r>
            <w:r>
              <w:rPr>
                <w:noProof/>
                <w:webHidden/>
              </w:rPr>
              <w:instrText xml:space="preserve"> PAGEREF _Toc230882225 \h </w:instrText>
            </w:r>
            <w:r>
              <w:rPr>
                <w:noProof/>
                <w:webHidden/>
              </w:rPr>
            </w:r>
            <w:r>
              <w:rPr>
                <w:noProof/>
                <w:webHidden/>
              </w:rPr>
              <w:fldChar w:fldCharType="separate"/>
            </w:r>
            <w:r w:rsidR="00BB0C0C">
              <w:rPr>
                <w:noProof/>
                <w:webHidden/>
              </w:rPr>
              <w:t>74</w:t>
            </w:r>
            <w:r>
              <w:rPr>
                <w:noProof/>
                <w:webHidden/>
              </w:rPr>
              <w:fldChar w:fldCharType="end"/>
            </w:r>
          </w:hyperlink>
        </w:p>
        <w:p w14:paraId="2A6ABA3C" w14:textId="72878E1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26" w:history="1">
            <w:r w:rsidRPr="00815C99">
              <w:rPr>
                <w:rStyle w:val="Hiperpovezava"/>
                <w:rFonts w:asciiTheme="majorHAnsi" w:eastAsiaTheme="majorEastAsia" w:hAnsiTheme="majorHAnsi" w:cstheme="majorHAnsi"/>
                <w:noProof/>
              </w:rPr>
              <w:t>6.5.8</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Ostalo</w:t>
            </w:r>
            <w:r>
              <w:rPr>
                <w:noProof/>
                <w:webHidden/>
              </w:rPr>
              <w:tab/>
            </w:r>
            <w:r>
              <w:rPr>
                <w:noProof/>
                <w:webHidden/>
              </w:rPr>
              <w:fldChar w:fldCharType="begin"/>
            </w:r>
            <w:r>
              <w:rPr>
                <w:noProof/>
                <w:webHidden/>
              </w:rPr>
              <w:instrText xml:space="preserve"> PAGEREF _Toc230882226 \h </w:instrText>
            </w:r>
            <w:r>
              <w:rPr>
                <w:noProof/>
                <w:webHidden/>
              </w:rPr>
            </w:r>
            <w:r>
              <w:rPr>
                <w:noProof/>
                <w:webHidden/>
              </w:rPr>
              <w:fldChar w:fldCharType="separate"/>
            </w:r>
            <w:r w:rsidR="00BB0C0C">
              <w:rPr>
                <w:noProof/>
                <w:webHidden/>
              </w:rPr>
              <w:t>74</w:t>
            </w:r>
            <w:r>
              <w:rPr>
                <w:noProof/>
                <w:webHidden/>
              </w:rPr>
              <w:fldChar w:fldCharType="end"/>
            </w:r>
          </w:hyperlink>
        </w:p>
        <w:p w14:paraId="5B775567" w14:textId="7C1468E9"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27" w:history="1">
            <w:r w:rsidRPr="00815C99">
              <w:rPr>
                <w:rStyle w:val="Hiperpovezava"/>
                <w:rFonts w:asciiTheme="majorHAnsi" w:eastAsiaTheme="majorEastAsia" w:hAnsiTheme="majorHAnsi" w:cstheme="majorHAnsi"/>
                <w:noProof/>
              </w:rPr>
              <w:t>6.6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Skladnost projekta s horizontalnimi načeli</w:t>
            </w:r>
            <w:r>
              <w:rPr>
                <w:noProof/>
                <w:webHidden/>
              </w:rPr>
              <w:tab/>
            </w:r>
            <w:r>
              <w:rPr>
                <w:noProof/>
                <w:webHidden/>
              </w:rPr>
              <w:fldChar w:fldCharType="begin"/>
            </w:r>
            <w:r>
              <w:rPr>
                <w:noProof/>
                <w:webHidden/>
              </w:rPr>
              <w:instrText xml:space="preserve"> PAGEREF _Toc230882227 \h </w:instrText>
            </w:r>
            <w:r>
              <w:rPr>
                <w:noProof/>
                <w:webHidden/>
              </w:rPr>
            </w:r>
            <w:r>
              <w:rPr>
                <w:noProof/>
                <w:webHidden/>
              </w:rPr>
              <w:fldChar w:fldCharType="separate"/>
            </w:r>
            <w:r w:rsidR="00BB0C0C">
              <w:rPr>
                <w:noProof/>
                <w:webHidden/>
              </w:rPr>
              <w:t>76</w:t>
            </w:r>
            <w:r>
              <w:rPr>
                <w:noProof/>
                <w:webHidden/>
              </w:rPr>
              <w:fldChar w:fldCharType="end"/>
            </w:r>
          </w:hyperlink>
        </w:p>
        <w:p w14:paraId="0C1446CF" w14:textId="2ACBFB47"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228" w:history="1">
            <w:r w:rsidRPr="00815C99">
              <w:rPr>
                <w:rStyle w:val="Hiperpovezava"/>
                <w:rFonts w:cstheme="majorHAnsi"/>
                <w:noProof/>
              </w:rPr>
              <w:t>7</w:t>
            </w:r>
            <w:r>
              <w:rPr>
                <w:b w:val="0"/>
                <w:bCs w:val="0"/>
                <w:caps w:val="0"/>
                <w:noProof/>
                <w:kern w:val="2"/>
                <w:sz w:val="24"/>
                <w:szCs w:val="24"/>
                <w14:ligatures w14:val="standardContextual"/>
              </w:rPr>
              <w:tab/>
            </w:r>
            <w:r w:rsidRPr="00815C99">
              <w:rPr>
                <w:rStyle w:val="Hiperpovezava"/>
                <w:rFonts w:cstheme="majorHAnsi"/>
                <w:noProof/>
              </w:rPr>
              <w:t>ANALIZA ZAPOSLENIH</w:t>
            </w:r>
            <w:r>
              <w:rPr>
                <w:noProof/>
                <w:webHidden/>
              </w:rPr>
              <w:tab/>
            </w:r>
            <w:r>
              <w:rPr>
                <w:noProof/>
                <w:webHidden/>
              </w:rPr>
              <w:fldChar w:fldCharType="begin"/>
            </w:r>
            <w:r>
              <w:rPr>
                <w:noProof/>
                <w:webHidden/>
              </w:rPr>
              <w:instrText xml:space="preserve"> PAGEREF _Toc230882228 \h </w:instrText>
            </w:r>
            <w:r>
              <w:rPr>
                <w:noProof/>
                <w:webHidden/>
              </w:rPr>
            </w:r>
            <w:r>
              <w:rPr>
                <w:noProof/>
                <w:webHidden/>
              </w:rPr>
              <w:fldChar w:fldCharType="separate"/>
            </w:r>
            <w:r w:rsidR="00BB0C0C">
              <w:rPr>
                <w:noProof/>
                <w:webHidden/>
              </w:rPr>
              <w:t>78</w:t>
            </w:r>
            <w:r>
              <w:rPr>
                <w:noProof/>
                <w:webHidden/>
              </w:rPr>
              <w:fldChar w:fldCharType="end"/>
            </w:r>
          </w:hyperlink>
        </w:p>
        <w:p w14:paraId="00ED2661" w14:textId="623D67DD"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229" w:history="1">
            <w:r w:rsidRPr="00815C99">
              <w:rPr>
                <w:rStyle w:val="Hiperpovezava"/>
                <w:rFonts w:cstheme="majorHAnsi"/>
                <w:noProof/>
              </w:rPr>
              <w:t>8</w:t>
            </w:r>
            <w:r>
              <w:rPr>
                <w:b w:val="0"/>
                <w:bCs w:val="0"/>
                <w:caps w:val="0"/>
                <w:noProof/>
                <w:kern w:val="2"/>
                <w:sz w:val="24"/>
                <w:szCs w:val="24"/>
                <w14:ligatures w14:val="standardContextual"/>
              </w:rPr>
              <w:tab/>
            </w:r>
            <w:r w:rsidRPr="00815C99">
              <w:rPr>
                <w:rStyle w:val="Hiperpovezava"/>
                <w:rFonts w:cstheme="majorHAnsi"/>
                <w:noProof/>
              </w:rPr>
              <w:t>OCENA VREDNOSTI PROJEKTA PO STALNIH IN TEKOČIH CENAH</w:t>
            </w:r>
            <w:r>
              <w:rPr>
                <w:noProof/>
                <w:webHidden/>
              </w:rPr>
              <w:tab/>
            </w:r>
            <w:r>
              <w:rPr>
                <w:noProof/>
                <w:webHidden/>
              </w:rPr>
              <w:fldChar w:fldCharType="begin"/>
            </w:r>
            <w:r>
              <w:rPr>
                <w:noProof/>
                <w:webHidden/>
              </w:rPr>
              <w:instrText xml:space="preserve"> PAGEREF _Toc230882229 \h </w:instrText>
            </w:r>
            <w:r>
              <w:rPr>
                <w:noProof/>
                <w:webHidden/>
              </w:rPr>
            </w:r>
            <w:r>
              <w:rPr>
                <w:noProof/>
                <w:webHidden/>
              </w:rPr>
              <w:fldChar w:fldCharType="separate"/>
            </w:r>
            <w:r w:rsidR="00BB0C0C">
              <w:rPr>
                <w:noProof/>
                <w:webHidden/>
              </w:rPr>
              <w:t>79</w:t>
            </w:r>
            <w:r>
              <w:rPr>
                <w:noProof/>
                <w:webHidden/>
              </w:rPr>
              <w:fldChar w:fldCharType="end"/>
            </w:r>
          </w:hyperlink>
        </w:p>
        <w:p w14:paraId="24E60D0A" w14:textId="217EAA24"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30" w:history="1">
            <w:r w:rsidRPr="00815C99">
              <w:rPr>
                <w:rStyle w:val="Hiperpovezava"/>
                <w:rFonts w:asciiTheme="majorHAnsi" w:eastAsiaTheme="majorEastAsia" w:hAnsiTheme="majorHAnsi" w:cstheme="majorHAnsi"/>
                <w:noProof/>
              </w:rPr>
              <w:t>8.1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Vrednost investicije po stalnih cenah</w:t>
            </w:r>
            <w:r>
              <w:rPr>
                <w:noProof/>
                <w:webHidden/>
              </w:rPr>
              <w:tab/>
            </w:r>
            <w:r>
              <w:rPr>
                <w:noProof/>
                <w:webHidden/>
              </w:rPr>
              <w:fldChar w:fldCharType="begin"/>
            </w:r>
            <w:r>
              <w:rPr>
                <w:noProof/>
                <w:webHidden/>
              </w:rPr>
              <w:instrText xml:space="preserve"> PAGEREF _Toc230882230 \h </w:instrText>
            </w:r>
            <w:r>
              <w:rPr>
                <w:noProof/>
                <w:webHidden/>
              </w:rPr>
            </w:r>
            <w:r>
              <w:rPr>
                <w:noProof/>
                <w:webHidden/>
              </w:rPr>
              <w:fldChar w:fldCharType="separate"/>
            </w:r>
            <w:r w:rsidR="00BB0C0C">
              <w:rPr>
                <w:noProof/>
                <w:webHidden/>
              </w:rPr>
              <w:t>79</w:t>
            </w:r>
            <w:r>
              <w:rPr>
                <w:noProof/>
                <w:webHidden/>
              </w:rPr>
              <w:fldChar w:fldCharType="end"/>
            </w:r>
          </w:hyperlink>
        </w:p>
        <w:p w14:paraId="288EFC25" w14:textId="460C4D54"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31" w:history="1">
            <w:r w:rsidRPr="00815C99">
              <w:rPr>
                <w:rStyle w:val="Hiperpovezava"/>
                <w:rFonts w:asciiTheme="majorHAnsi" w:eastAsiaTheme="majorEastAsia" w:hAnsiTheme="majorHAnsi" w:cstheme="majorHAnsi"/>
                <w:noProof/>
              </w:rPr>
              <w:t>8.2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Vrednost investicije po tekočih cenah</w:t>
            </w:r>
            <w:r>
              <w:rPr>
                <w:noProof/>
                <w:webHidden/>
              </w:rPr>
              <w:tab/>
            </w:r>
            <w:r>
              <w:rPr>
                <w:noProof/>
                <w:webHidden/>
              </w:rPr>
              <w:fldChar w:fldCharType="begin"/>
            </w:r>
            <w:r>
              <w:rPr>
                <w:noProof/>
                <w:webHidden/>
              </w:rPr>
              <w:instrText xml:space="preserve"> PAGEREF _Toc230882231 \h </w:instrText>
            </w:r>
            <w:r>
              <w:rPr>
                <w:noProof/>
                <w:webHidden/>
              </w:rPr>
            </w:r>
            <w:r>
              <w:rPr>
                <w:noProof/>
                <w:webHidden/>
              </w:rPr>
              <w:fldChar w:fldCharType="separate"/>
            </w:r>
            <w:r w:rsidR="00BB0C0C">
              <w:rPr>
                <w:noProof/>
                <w:webHidden/>
              </w:rPr>
              <w:t>80</w:t>
            </w:r>
            <w:r>
              <w:rPr>
                <w:noProof/>
                <w:webHidden/>
              </w:rPr>
              <w:fldChar w:fldCharType="end"/>
            </w:r>
          </w:hyperlink>
        </w:p>
        <w:p w14:paraId="106BEFAC" w14:textId="3FCA6D21"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32" w:history="1">
            <w:r w:rsidRPr="00815C99">
              <w:rPr>
                <w:rStyle w:val="Hiperpovezava"/>
                <w:rFonts w:asciiTheme="majorHAnsi" w:eastAsiaTheme="majorEastAsia" w:hAnsiTheme="majorHAnsi" w:cstheme="majorHAnsi"/>
                <w:noProof/>
              </w:rPr>
              <w:t>8.3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Vrednost investicije glede na upravičenost</w:t>
            </w:r>
            <w:r>
              <w:rPr>
                <w:noProof/>
                <w:webHidden/>
              </w:rPr>
              <w:tab/>
            </w:r>
            <w:r>
              <w:rPr>
                <w:noProof/>
                <w:webHidden/>
              </w:rPr>
              <w:fldChar w:fldCharType="begin"/>
            </w:r>
            <w:r>
              <w:rPr>
                <w:noProof/>
                <w:webHidden/>
              </w:rPr>
              <w:instrText xml:space="preserve"> PAGEREF _Toc230882232 \h </w:instrText>
            </w:r>
            <w:r>
              <w:rPr>
                <w:noProof/>
                <w:webHidden/>
              </w:rPr>
            </w:r>
            <w:r>
              <w:rPr>
                <w:noProof/>
                <w:webHidden/>
              </w:rPr>
              <w:fldChar w:fldCharType="separate"/>
            </w:r>
            <w:r w:rsidR="00BB0C0C">
              <w:rPr>
                <w:noProof/>
                <w:webHidden/>
              </w:rPr>
              <w:t>81</w:t>
            </w:r>
            <w:r>
              <w:rPr>
                <w:noProof/>
                <w:webHidden/>
              </w:rPr>
              <w:fldChar w:fldCharType="end"/>
            </w:r>
          </w:hyperlink>
        </w:p>
        <w:p w14:paraId="17D65B9D" w14:textId="70C363F6" w:rsidR="00BD7903" w:rsidRDefault="00BD7903">
          <w:pPr>
            <w:pStyle w:val="Kazalovsebine1"/>
            <w:tabs>
              <w:tab w:val="left" w:pos="400"/>
              <w:tab w:val="right" w:leader="dot" w:pos="9062"/>
            </w:tabs>
            <w:rPr>
              <w:b w:val="0"/>
              <w:bCs w:val="0"/>
              <w:caps w:val="0"/>
              <w:noProof/>
              <w:kern w:val="2"/>
              <w:sz w:val="24"/>
              <w:szCs w:val="24"/>
              <w14:ligatures w14:val="standardContextual"/>
            </w:rPr>
          </w:pPr>
          <w:hyperlink w:anchor="_Toc230882233" w:history="1">
            <w:r w:rsidRPr="00815C99">
              <w:rPr>
                <w:rStyle w:val="Hiperpovezava"/>
                <w:rFonts w:cstheme="majorHAnsi"/>
                <w:noProof/>
              </w:rPr>
              <w:t>9</w:t>
            </w:r>
            <w:r>
              <w:rPr>
                <w:b w:val="0"/>
                <w:bCs w:val="0"/>
                <w:caps w:val="0"/>
                <w:noProof/>
                <w:kern w:val="2"/>
                <w:sz w:val="24"/>
                <w:szCs w:val="24"/>
                <w14:ligatures w14:val="standardContextual"/>
              </w:rPr>
              <w:tab/>
            </w:r>
            <w:r w:rsidRPr="00815C99">
              <w:rPr>
                <w:rStyle w:val="Hiperpovezava"/>
                <w:rFonts w:cstheme="majorHAnsi"/>
                <w:noProof/>
              </w:rPr>
              <w:t>ANALIZA LOKACIJE</w:t>
            </w:r>
            <w:r>
              <w:rPr>
                <w:noProof/>
                <w:webHidden/>
              </w:rPr>
              <w:tab/>
            </w:r>
            <w:r>
              <w:rPr>
                <w:noProof/>
                <w:webHidden/>
              </w:rPr>
              <w:fldChar w:fldCharType="begin"/>
            </w:r>
            <w:r>
              <w:rPr>
                <w:noProof/>
                <w:webHidden/>
              </w:rPr>
              <w:instrText xml:space="preserve"> PAGEREF _Toc230882233 \h </w:instrText>
            </w:r>
            <w:r>
              <w:rPr>
                <w:noProof/>
                <w:webHidden/>
              </w:rPr>
            </w:r>
            <w:r>
              <w:rPr>
                <w:noProof/>
                <w:webHidden/>
              </w:rPr>
              <w:fldChar w:fldCharType="separate"/>
            </w:r>
            <w:r w:rsidR="00BB0C0C">
              <w:rPr>
                <w:noProof/>
                <w:webHidden/>
              </w:rPr>
              <w:t>90</w:t>
            </w:r>
            <w:r>
              <w:rPr>
                <w:noProof/>
                <w:webHidden/>
              </w:rPr>
              <w:fldChar w:fldCharType="end"/>
            </w:r>
          </w:hyperlink>
        </w:p>
        <w:p w14:paraId="158541C2" w14:textId="061E1E5D"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34" w:history="1">
            <w:r w:rsidRPr="00815C99">
              <w:rPr>
                <w:rStyle w:val="Hiperpovezava"/>
                <w:rFonts w:asciiTheme="majorHAnsi" w:eastAsiaTheme="majorEastAsia" w:hAnsiTheme="majorHAnsi" w:cstheme="majorHAnsi"/>
                <w:noProof/>
              </w:rPr>
              <w:t>9.1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Makro lokacija</w:t>
            </w:r>
            <w:r>
              <w:rPr>
                <w:noProof/>
                <w:webHidden/>
              </w:rPr>
              <w:tab/>
            </w:r>
            <w:r>
              <w:rPr>
                <w:noProof/>
                <w:webHidden/>
              </w:rPr>
              <w:fldChar w:fldCharType="begin"/>
            </w:r>
            <w:r>
              <w:rPr>
                <w:noProof/>
                <w:webHidden/>
              </w:rPr>
              <w:instrText xml:space="preserve"> PAGEREF _Toc230882234 \h </w:instrText>
            </w:r>
            <w:r>
              <w:rPr>
                <w:noProof/>
                <w:webHidden/>
              </w:rPr>
            </w:r>
            <w:r>
              <w:rPr>
                <w:noProof/>
                <w:webHidden/>
              </w:rPr>
              <w:fldChar w:fldCharType="separate"/>
            </w:r>
            <w:r w:rsidR="00BB0C0C">
              <w:rPr>
                <w:noProof/>
                <w:webHidden/>
              </w:rPr>
              <w:t>90</w:t>
            </w:r>
            <w:r>
              <w:rPr>
                <w:noProof/>
                <w:webHidden/>
              </w:rPr>
              <w:fldChar w:fldCharType="end"/>
            </w:r>
          </w:hyperlink>
        </w:p>
        <w:p w14:paraId="343875A6" w14:textId="53FDFE4C" w:rsidR="00BD7903" w:rsidRDefault="00BD7903">
          <w:pPr>
            <w:pStyle w:val="Kazalovsebine2"/>
            <w:tabs>
              <w:tab w:val="left" w:pos="800"/>
              <w:tab w:val="right" w:leader="dot" w:pos="9062"/>
            </w:tabs>
            <w:rPr>
              <w:smallCaps w:val="0"/>
              <w:noProof/>
              <w:kern w:val="2"/>
              <w:sz w:val="24"/>
              <w:szCs w:val="24"/>
              <w14:ligatures w14:val="standardContextual"/>
            </w:rPr>
          </w:pPr>
          <w:hyperlink w:anchor="_Toc230882235" w:history="1">
            <w:r w:rsidRPr="00815C99">
              <w:rPr>
                <w:rStyle w:val="Hiperpovezava"/>
                <w:rFonts w:asciiTheme="majorHAnsi" w:eastAsiaTheme="majorEastAsia" w:hAnsiTheme="majorHAnsi" w:cstheme="majorHAnsi"/>
                <w:noProof/>
              </w:rPr>
              <w:t>9.2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Prostorski ureditveni pogoji</w:t>
            </w:r>
            <w:r>
              <w:rPr>
                <w:noProof/>
                <w:webHidden/>
              </w:rPr>
              <w:tab/>
            </w:r>
            <w:r>
              <w:rPr>
                <w:noProof/>
                <w:webHidden/>
              </w:rPr>
              <w:fldChar w:fldCharType="begin"/>
            </w:r>
            <w:r>
              <w:rPr>
                <w:noProof/>
                <w:webHidden/>
              </w:rPr>
              <w:instrText xml:space="preserve"> PAGEREF _Toc230882235 \h </w:instrText>
            </w:r>
            <w:r>
              <w:rPr>
                <w:noProof/>
                <w:webHidden/>
              </w:rPr>
            </w:r>
            <w:r>
              <w:rPr>
                <w:noProof/>
                <w:webHidden/>
              </w:rPr>
              <w:fldChar w:fldCharType="separate"/>
            </w:r>
            <w:r w:rsidR="00BB0C0C">
              <w:rPr>
                <w:noProof/>
                <w:webHidden/>
              </w:rPr>
              <w:t>92</w:t>
            </w:r>
            <w:r>
              <w:rPr>
                <w:noProof/>
                <w:webHidden/>
              </w:rPr>
              <w:fldChar w:fldCharType="end"/>
            </w:r>
          </w:hyperlink>
        </w:p>
        <w:p w14:paraId="75062C0B" w14:textId="0362D62C"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36" w:history="1">
            <w:r w:rsidRPr="00815C99">
              <w:rPr>
                <w:rStyle w:val="Hiperpovezava"/>
                <w:rFonts w:cstheme="majorHAnsi"/>
                <w:noProof/>
              </w:rPr>
              <w:t>10</w:t>
            </w:r>
            <w:r>
              <w:rPr>
                <w:b w:val="0"/>
                <w:bCs w:val="0"/>
                <w:caps w:val="0"/>
                <w:noProof/>
                <w:kern w:val="2"/>
                <w:sz w:val="24"/>
                <w:szCs w:val="24"/>
                <w14:ligatures w14:val="standardContextual"/>
              </w:rPr>
              <w:tab/>
            </w:r>
            <w:r w:rsidRPr="00815C99">
              <w:rPr>
                <w:rStyle w:val="Hiperpovezava"/>
                <w:rFonts w:cstheme="majorHAnsi"/>
                <w:noProof/>
              </w:rPr>
              <w:t>ANALIZA VPLIVOV INVESTICIJSKEGA PROJEKTA NA OKOLJE</w:t>
            </w:r>
            <w:r>
              <w:rPr>
                <w:noProof/>
                <w:webHidden/>
              </w:rPr>
              <w:tab/>
            </w:r>
            <w:r>
              <w:rPr>
                <w:noProof/>
                <w:webHidden/>
              </w:rPr>
              <w:fldChar w:fldCharType="begin"/>
            </w:r>
            <w:r>
              <w:rPr>
                <w:noProof/>
                <w:webHidden/>
              </w:rPr>
              <w:instrText xml:space="preserve"> PAGEREF _Toc230882236 \h </w:instrText>
            </w:r>
            <w:r>
              <w:rPr>
                <w:noProof/>
                <w:webHidden/>
              </w:rPr>
            </w:r>
            <w:r>
              <w:rPr>
                <w:noProof/>
                <w:webHidden/>
              </w:rPr>
              <w:fldChar w:fldCharType="separate"/>
            </w:r>
            <w:r w:rsidR="00BB0C0C">
              <w:rPr>
                <w:noProof/>
                <w:webHidden/>
              </w:rPr>
              <w:t>93</w:t>
            </w:r>
            <w:r>
              <w:rPr>
                <w:noProof/>
                <w:webHidden/>
              </w:rPr>
              <w:fldChar w:fldCharType="end"/>
            </w:r>
          </w:hyperlink>
        </w:p>
        <w:p w14:paraId="08D4962D" w14:textId="1728B912"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37" w:history="1">
            <w:r w:rsidRPr="00815C99">
              <w:rPr>
                <w:rStyle w:val="Hiperpovezava"/>
                <w:rFonts w:ascii="Arial" w:eastAsiaTheme="majorEastAsia" w:hAnsi="Arial" w:cs="Arial"/>
                <w:noProof/>
              </w:rPr>
              <w:t>10.1</w:t>
            </w:r>
            <w:r>
              <w:rPr>
                <w:smallCaps w:val="0"/>
                <w:noProof/>
                <w:kern w:val="2"/>
                <w:sz w:val="24"/>
                <w:szCs w:val="24"/>
                <w14:ligatures w14:val="standardContextual"/>
              </w:rPr>
              <w:tab/>
            </w:r>
            <w:r w:rsidRPr="00815C99">
              <w:rPr>
                <w:rStyle w:val="Hiperpovezava"/>
                <w:rFonts w:ascii="Arial" w:eastAsiaTheme="majorEastAsia" w:hAnsi="Arial" w:cs="Arial"/>
                <w:noProof/>
              </w:rPr>
              <w:t>Okoljska sprejemljivost</w:t>
            </w:r>
            <w:r>
              <w:rPr>
                <w:noProof/>
                <w:webHidden/>
              </w:rPr>
              <w:tab/>
            </w:r>
            <w:r>
              <w:rPr>
                <w:noProof/>
                <w:webHidden/>
              </w:rPr>
              <w:fldChar w:fldCharType="begin"/>
            </w:r>
            <w:r>
              <w:rPr>
                <w:noProof/>
                <w:webHidden/>
              </w:rPr>
              <w:instrText xml:space="preserve"> PAGEREF _Toc230882237 \h </w:instrText>
            </w:r>
            <w:r>
              <w:rPr>
                <w:noProof/>
                <w:webHidden/>
              </w:rPr>
            </w:r>
            <w:r>
              <w:rPr>
                <w:noProof/>
                <w:webHidden/>
              </w:rPr>
              <w:fldChar w:fldCharType="separate"/>
            </w:r>
            <w:r w:rsidR="00BB0C0C">
              <w:rPr>
                <w:noProof/>
                <w:webHidden/>
              </w:rPr>
              <w:t>93</w:t>
            </w:r>
            <w:r>
              <w:rPr>
                <w:noProof/>
                <w:webHidden/>
              </w:rPr>
              <w:fldChar w:fldCharType="end"/>
            </w:r>
          </w:hyperlink>
        </w:p>
        <w:p w14:paraId="5E91F511" w14:textId="008B634B"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38" w:history="1">
            <w:r w:rsidRPr="00815C99">
              <w:rPr>
                <w:rStyle w:val="Hiperpovezava"/>
                <w:rFonts w:ascii="Arial" w:eastAsiaTheme="majorEastAsia" w:hAnsi="Arial" w:cs="Arial"/>
                <w:noProof/>
              </w:rPr>
              <w:t>10.2</w:t>
            </w:r>
            <w:r>
              <w:rPr>
                <w:smallCaps w:val="0"/>
                <w:noProof/>
                <w:kern w:val="2"/>
                <w:sz w:val="24"/>
                <w:szCs w:val="24"/>
                <w14:ligatures w14:val="standardContextual"/>
              </w:rPr>
              <w:tab/>
            </w:r>
            <w:r w:rsidRPr="00815C99">
              <w:rPr>
                <w:rStyle w:val="Hiperpovezava"/>
                <w:rFonts w:ascii="Arial" w:eastAsiaTheme="majorEastAsia" w:hAnsi="Arial" w:cs="Arial"/>
                <w:noProof/>
              </w:rPr>
              <w:t>Varstvo okolja</w:t>
            </w:r>
            <w:r>
              <w:rPr>
                <w:noProof/>
                <w:webHidden/>
              </w:rPr>
              <w:tab/>
            </w:r>
            <w:r>
              <w:rPr>
                <w:noProof/>
                <w:webHidden/>
              </w:rPr>
              <w:fldChar w:fldCharType="begin"/>
            </w:r>
            <w:r>
              <w:rPr>
                <w:noProof/>
                <w:webHidden/>
              </w:rPr>
              <w:instrText xml:space="preserve"> PAGEREF _Toc230882238 \h </w:instrText>
            </w:r>
            <w:r>
              <w:rPr>
                <w:noProof/>
                <w:webHidden/>
              </w:rPr>
            </w:r>
            <w:r>
              <w:rPr>
                <w:noProof/>
                <w:webHidden/>
              </w:rPr>
              <w:fldChar w:fldCharType="separate"/>
            </w:r>
            <w:r w:rsidR="00BB0C0C">
              <w:rPr>
                <w:noProof/>
                <w:webHidden/>
              </w:rPr>
              <w:t>93</w:t>
            </w:r>
            <w:r>
              <w:rPr>
                <w:noProof/>
                <w:webHidden/>
              </w:rPr>
              <w:fldChar w:fldCharType="end"/>
            </w:r>
          </w:hyperlink>
        </w:p>
        <w:p w14:paraId="20737A46" w14:textId="347DE4CF"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39" w:history="1">
            <w:r w:rsidRPr="00815C99">
              <w:rPr>
                <w:rStyle w:val="Hiperpovezava"/>
                <w:rFonts w:ascii="Arial" w:eastAsiaTheme="majorEastAsia" w:hAnsi="Arial" w:cs="Arial"/>
                <w:noProof/>
              </w:rPr>
              <w:t>10.2.1</w:t>
            </w:r>
            <w:r>
              <w:rPr>
                <w:smallCaps w:val="0"/>
                <w:noProof/>
                <w:kern w:val="2"/>
                <w:sz w:val="24"/>
                <w:szCs w:val="24"/>
                <w14:ligatures w14:val="standardContextual"/>
              </w:rPr>
              <w:tab/>
            </w:r>
            <w:r w:rsidRPr="00815C99">
              <w:rPr>
                <w:rStyle w:val="Hiperpovezava"/>
                <w:rFonts w:ascii="Arial" w:eastAsiaTheme="majorEastAsia" w:hAnsi="Arial" w:cs="Arial"/>
                <w:noProof/>
              </w:rPr>
              <w:t>Presoja podnebne odpornosti</w:t>
            </w:r>
            <w:r>
              <w:rPr>
                <w:noProof/>
                <w:webHidden/>
              </w:rPr>
              <w:tab/>
            </w:r>
            <w:r>
              <w:rPr>
                <w:noProof/>
                <w:webHidden/>
              </w:rPr>
              <w:fldChar w:fldCharType="begin"/>
            </w:r>
            <w:r>
              <w:rPr>
                <w:noProof/>
                <w:webHidden/>
              </w:rPr>
              <w:instrText xml:space="preserve"> PAGEREF _Toc230882239 \h </w:instrText>
            </w:r>
            <w:r>
              <w:rPr>
                <w:noProof/>
                <w:webHidden/>
              </w:rPr>
            </w:r>
            <w:r>
              <w:rPr>
                <w:noProof/>
                <w:webHidden/>
              </w:rPr>
              <w:fldChar w:fldCharType="separate"/>
            </w:r>
            <w:r w:rsidR="00BB0C0C">
              <w:rPr>
                <w:noProof/>
                <w:webHidden/>
              </w:rPr>
              <w:t>94</w:t>
            </w:r>
            <w:r>
              <w:rPr>
                <w:noProof/>
                <w:webHidden/>
              </w:rPr>
              <w:fldChar w:fldCharType="end"/>
            </w:r>
          </w:hyperlink>
        </w:p>
        <w:p w14:paraId="092694E4" w14:textId="41E5511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0" w:history="1">
            <w:r w:rsidRPr="00815C99">
              <w:rPr>
                <w:rStyle w:val="Hiperpovezava"/>
                <w:rFonts w:ascii="Arial" w:eastAsiaTheme="majorEastAsia" w:hAnsi="Arial" w:cs="Arial"/>
                <w:noProof/>
              </w:rPr>
              <w:t>10.2.2</w:t>
            </w:r>
            <w:r>
              <w:rPr>
                <w:smallCaps w:val="0"/>
                <w:noProof/>
                <w:kern w:val="2"/>
                <w:sz w:val="24"/>
                <w:szCs w:val="24"/>
                <w14:ligatures w14:val="standardContextual"/>
              </w:rPr>
              <w:tab/>
            </w:r>
            <w:r w:rsidRPr="00815C99">
              <w:rPr>
                <w:rStyle w:val="Hiperpovezava"/>
                <w:rFonts w:ascii="Arial" w:eastAsiaTheme="majorEastAsia" w:hAnsi="Arial" w:cs="Arial"/>
                <w:noProof/>
              </w:rPr>
              <w:t>Upoštevanje načel »ne škoduj bistveno«</w:t>
            </w:r>
            <w:r>
              <w:rPr>
                <w:noProof/>
                <w:webHidden/>
              </w:rPr>
              <w:tab/>
            </w:r>
            <w:r>
              <w:rPr>
                <w:noProof/>
                <w:webHidden/>
              </w:rPr>
              <w:fldChar w:fldCharType="begin"/>
            </w:r>
            <w:r>
              <w:rPr>
                <w:noProof/>
                <w:webHidden/>
              </w:rPr>
              <w:instrText xml:space="preserve"> PAGEREF _Toc230882240 \h </w:instrText>
            </w:r>
            <w:r>
              <w:rPr>
                <w:noProof/>
                <w:webHidden/>
              </w:rPr>
            </w:r>
            <w:r>
              <w:rPr>
                <w:noProof/>
                <w:webHidden/>
              </w:rPr>
              <w:fldChar w:fldCharType="separate"/>
            </w:r>
            <w:r w:rsidR="00BB0C0C">
              <w:rPr>
                <w:noProof/>
                <w:webHidden/>
              </w:rPr>
              <w:t>95</w:t>
            </w:r>
            <w:r>
              <w:rPr>
                <w:noProof/>
                <w:webHidden/>
              </w:rPr>
              <w:fldChar w:fldCharType="end"/>
            </w:r>
          </w:hyperlink>
        </w:p>
        <w:p w14:paraId="282AB0EB" w14:textId="2BBB1627"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1" w:history="1">
            <w:r w:rsidRPr="00815C99">
              <w:rPr>
                <w:rStyle w:val="Hiperpovezava"/>
                <w:rFonts w:ascii="Arial" w:eastAsiaTheme="majorEastAsia" w:hAnsi="Arial" w:cs="Arial"/>
                <w:noProof/>
              </w:rPr>
              <w:t>10.2.3</w:t>
            </w:r>
            <w:r>
              <w:rPr>
                <w:smallCaps w:val="0"/>
                <w:noProof/>
                <w:kern w:val="2"/>
                <w:sz w:val="24"/>
                <w:szCs w:val="24"/>
                <w14:ligatures w14:val="standardContextual"/>
              </w:rPr>
              <w:tab/>
            </w:r>
            <w:r w:rsidRPr="00815C99">
              <w:rPr>
                <w:rStyle w:val="Hiperpovezava"/>
                <w:rFonts w:ascii="Arial" w:eastAsiaTheme="majorEastAsia" w:hAnsi="Arial" w:cs="Arial"/>
                <w:noProof/>
              </w:rPr>
              <w:t>Skladnost z načelo »Novega evropskega Bauhausa«</w:t>
            </w:r>
            <w:r>
              <w:rPr>
                <w:noProof/>
                <w:webHidden/>
              </w:rPr>
              <w:tab/>
            </w:r>
            <w:r>
              <w:rPr>
                <w:noProof/>
                <w:webHidden/>
              </w:rPr>
              <w:fldChar w:fldCharType="begin"/>
            </w:r>
            <w:r>
              <w:rPr>
                <w:noProof/>
                <w:webHidden/>
              </w:rPr>
              <w:instrText xml:space="preserve"> PAGEREF _Toc230882241 \h </w:instrText>
            </w:r>
            <w:r>
              <w:rPr>
                <w:noProof/>
                <w:webHidden/>
              </w:rPr>
            </w:r>
            <w:r>
              <w:rPr>
                <w:noProof/>
                <w:webHidden/>
              </w:rPr>
              <w:fldChar w:fldCharType="separate"/>
            </w:r>
            <w:r w:rsidR="00BB0C0C">
              <w:rPr>
                <w:noProof/>
                <w:webHidden/>
              </w:rPr>
              <w:t>98</w:t>
            </w:r>
            <w:r>
              <w:rPr>
                <w:noProof/>
                <w:webHidden/>
              </w:rPr>
              <w:fldChar w:fldCharType="end"/>
            </w:r>
          </w:hyperlink>
        </w:p>
        <w:p w14:paraId="08D1E2CB" w14:textId="137AB007"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2" w:history="1">
            <w:r w:rsidRPr="00815C99">
              <w:rPr>
                <w:rStyle w:val="Hiperpovezava"/>
                <w:rFonts w:ascii="Arial" w:eastAsiaTheme="majorEastAsia" w:hAnsi="Arial" w:cs="Arial"/>
                <w:noProof/>
              </w:rPr>
              <w:t>10.3</w:t>
            </w:r>
            <w:r>
              <w:rPr>
                <w:smallCaps w:val="0"/>
                <w:noProof/>
                <w:kern w:val="2"/>
                <w:sz w:val="24"/>
                <w:szCs w:val="24"/>
                <w14:ligatures w14:val="standardContextual"/>
              </w:rPr>
              <w:tab/>
            </w:r>
            <w:r w:rsidRPr="00815C99">
              <w:rPr>
                <w:rStyle w:val="Hiperpovezava"/>
                <w:rFonts w:ascii="Arial" w:eastAsiaTheme="majorEastAsia" w:hAnsi="Arial" w:cs="Arial"/>
                <w:noProof/>
              </w:rPr>
              <w:t>Organizacija izvajanja projekta in način spremljanja izvedbe projekta</w:t>
            </w:r>
            <w:r>
              <w:rPr>
                <w:noProof/>
                <w:webHidden/>
              </w:rPr>
              <w:tab/>
            </w:r>
            <w:r>
              <w:rPr>
                <w:noProof/>
                <w:webHidden/>
              </w:rPr>
              <w:fldChar w:fldCharType="begin"/>
            </w:r>
            <w:r>
              <w:rPr>
                <w:noProof/>
                <w:webHidden/>
              </w:rPr>
              <w:instrText xml:space="preserve"> PAGEREF _Toc230882242 \h </w:instrText>
            </w:r>
            <w:r>
              <w:rPr>
                <w:noProof/>
                <w:webHidden/>
              </w:rPr>
            </w:r>
            <w:r>
              <w:rPr>
                <w:noProof/>
                <w:webHidden/>
              </w:rPr>
              <w:fldChar w:fldCharType="separate"/>
            </w:r>
            <w:r w:rsidR="00BB0C0C">
              <w:rPr>
                <w:noProof/>
                <w:webHidden/>
              </w:rPr>
              <w:t>99</w:t>
            </w:r>
            <w:r>
              <w:rPr>
                <w:noProof/>
                <w:webHidden/>
              </w:rPr>
              <w:fldChar w:fldCharType="end"/>
            </w:r>
          </w:hyperlink>
        </w:p>
        <w:p w14:paraId="76F63ACB" w14:textId="2857C6EC"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3" w:history="1">
            <w:r w:rsidRPr="00815C99">
              <w:rPr>
                <w:rStyle w:val="Hiperpovezava"/>
                <w:rFonts w:ascii="Arial" w:eastAsiaTheme="majorEastAsia" w:hAnsi="Arial" w:cs="Arial"/>
                <w:noProof/>
              </w:rPr>
              <w:t>10.4</w:t>
            </w:r>
            <w:r>
              <w:rPr>
                <w:smallCaps w:val="0"/>
                <w:noProof/>
                <w:kern w:val="2"/>
                <w:sz w:val="24"/>
                <w:szCs w:val="24"/>
                <w14:ligatures w14:val="standardContextual"/>
              </w:rPr>
              <w:tab/>
            </w:r>
            <w:r w:rsidRPr="00815C99">
              <w:rPr>
                <w:rStyle w:val="Hiperpovezava"/>
                <w:rFonts w:ascii="Arial" w:eastAsiaTheme="majorEastAsia" w:hAnsi="Arial" w:cs="Arial"/>
                <w:noProof/>
              </w:rPr>
              <w:t>Ekonomska upravičenost projekta</w:t>
            </w:r>
            <w:r>
              <w:rPr>
                <w:noProof/>
                <w:webHidden/>
              </w:rPr>
              <w:tab/>
            </w:r>
            <w:r>
              <w:rPr>
                <w:noProof/>
                <w:webHidden/>
              </w:rPr>
              <w:fldChar w:fldCharType="begin"/>
            </w:r>
            <w:r>
              <w:rPr>
                <w:noProof/>
                <w:webHidden/>
              </w:rPr>
              <w:instrText xml:space="preserve"> PAGEREF _Toc230882243 \h </w:instrText>
            </w:r>
            <w:r>
              <w:rPr>
                <w:noProof/>
                <w:webHidden/>
              </w:rPr>
            </w:r>
            <w:r>
              <w:rPr>
                <w:noProof/>
                <w:webHidden/>
              </w:rPr>
              <w:fldChar w:fldCharType="separate"/>
            </w:r>
            <w:r w:rsidR="00BB0C0C">
              <w:rPr>
                <w:noProof/>
                <w:webHidden/>
              </w:rPr>
              <w:t>99</w:t>
            </w:r>
            <w:r>
              <w:rPr>
                <w:noProof/>
                <w:webHidden/>
              </w:rPr>
              <w:fldChar w:fldCharType="end"/>
            </w:r>
          </w:hyperlink>
        </w:p>
        <w:p w14:paraId="5F3A6EA9" w14:textId="55096B2E"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44" w:history="1">
            <w:r w:rsidRPr="00815C99">
              <w:rPr>
                <w:rStyle w:val="Hiperpovezava"/>
                <w:rFonts w:cstheme="majorHAnsi"/>
                <w:noProof/>
              </w:rPr>
              <w:t>11</w:t>
            </w:r>
            <w:r>
              <w:rPr>
                <w:b w:val="0"/>
                <w:bCs w:val="0"/>
                <w:caps w:val="0"/>
                <w:noProof/>
                <w:kern w:val="2"/>
                <w:sz w:val="24"/>
                <w:szCs w:val="24"/>
                <w14:ligatures w14:val="standardContextual"/>
              </w:rPr>
              <w:tab/>
            </w:r>
            <w:r w:rsidRPr="00815C99">
              <w:rPr>
                <w:rStyle w:val="Hiperpovezava"/>
                <w:rFonts w:cstheme="majorHAnsi"/>
                <w:noProof/>
              </w:rPr>
              <w:t>ČASOVNI NAČRT IZVEDBE INVESTICIJE</w:t>
            </w:r>
            <w:r>
              <w:rPr>
                <w:noProof/>
                <w:webHidden/>
              </w:rPr>
              <w:tab/>
            </w:r>
            <w:r>
              <w:rPr>
                <w:noProof/>
                <w:webHidden/>
              </w:rPr>
              <w:fldChar w:fldCharType="begin"/>
            </w:r>
            <w:r>
              <w:rPr>
                <w:noProof/>
                <w:webHidden/>
              </w:rPr>
              <w:instrText xml:space="preserve"> PAGEREF _Toc230882244 \h </w:instrText>
            </w:r>
            <w:r>
              <w:rPr>
                <w:noProof/>
                <w:webHidden/>
              </w:rPr>
            </w:r>
            <w:r>
              <w:rPr>
                <w:noProof/>
                <w:webHidden/>
              </w:rPr>
              <w:fldChar w:fldCharType="separate"/>
            </w:r>
            <w:r w:rsidR="00BB0C0C">
              <w:rPr>
                <w:noProof/>
                <w:webHidden/>
              </w:rPr>
              <w:t>101</w:t>
            </w:r>
            <w:r>
              <w:rPr>
                <w:noProof/>
                <w:webHidden/>
              </w:rPr>
              <w:fldChar w:fldCharType="end"/>
            </w:r>
          </w:hyperlink>
        </w:p>
        <w:p w14:paraId="5FB43F68" w14:textId="6FB49B8F"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5" w:history="1">
            <w:r w:rsidRPr="00815C99">
              <w:rPr>
                <w:rStyle w:val="Hiperpovezava"/>
                <w:rFonts w:asciiTheme="majorHAnsi" w:eastAsiaTheme="majorEastAsia" w:hAnsiTheme="majorHAnsi" w:cstheme="majorHAnsi"/>
                <w:noProof/>
              </w:rPr>
              <w:t>11.1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Organizacija vodenja projekta</w:t>
            </w:r>
            <w:r>
              <w:rPr>
                <w:noProof/>
                <w:webHidden/>
              </w:rPr>
              <w:tab/>
            </w:r>
            <w:r>
              <w:rPr>
                <w:noProof/>
                <w:webHidden/>
              </w:rPr>
              <w:fldChar w:fldCharType="begin"/>
            </w:r>
            <w:r>
              <w:rPr>
                <w:noProof/>
                <w:webHidden/>
              </w:rPr>
              <w:instrText xml:space="preserve"> PAGEREF _Toc230882245 \h </w:instrText>
            </w:r>
            <w:r>
              <w:rPr>
                <w:noProof/>
                <w:webHidden/>
              </w:rPr>
            </w:r>
            <w:r>
              <w:rPr>
                <w:noProof/>
                <w:webHidden/>
              </w:rPr>
              <w:fldChar w:fldCharType="separate"/>
            </w:r>
            <w:r w:rsidR="00BB0C0C">
              <w:rPr>
                <w:noProof/>
                <w:webHidden/>
              </w:rPr>
              <w:t>108</w:t>
            </w:r>
            <w:r>
              <w:rPr>
                <w:noProof/>
                <w:webHidden/>
              </w:rPr>
              <w:fldChar w:fldCharType="end"/>
            </w:r>
          </w:hyperlink>
        </w:p>
        <w:p w14:paraId="20F155D8" w14:textId="43E8CA1F"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6" w:history="1">
            <w:r w:rsidRPr="00815C99">
              <w:rPr>
                <w:rStyle w:val="Hiperpovezava"/>
                <w:rFonts w:asciiTheme="majorHAnsi" w:eastAsiaTheme="majorEastAsia" w:hAnsiTheme="majorHAnsi" w:cstheme="majorHAnsi"/>
                <w:noProof/>
              </w:rPr>
              <w:t>11.2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Javna naročila</w:t>
            </w:r>
            <w:r>
              <w:rPr>
                <w:noProof/>
                <w:webHidden/>
              </w:rPr>
              <w:tab/>
            </w:r>
            <w:r>
              <w:rPr>
                <w:noProof/>
                <w:webHidden/>
              </w:rPr>
              <w:fldChar w:fldCharType="begin"/>
            </w:r>
            <w:r>
              <w:rPr>
                <w:noProof/>
                <w:webHidden/>
              </w:rPr>
              <w:instrText xml:space="preserve"> PAGEREF _Toc230882246 \h </w:instrText>
            </w:r>
            <w:r>
              <w:rPr>
                <w:noProof/>
                <w:webHidden/>
              </w:rPr>
            </w:r>
            <w:r>
              <w:rPr>
                <w:noProof/>
                <w:webHidden/>
              </w:rPr>
              <w:fldChar w:fldCharType="separate"/>
            </w:r>
            <w:r w:rsidR="00BB0C0C">
              <w:rPr>
                <w:noProof/>
                <w:webHidden/>
              </w:rPr>
              <w:t>108</w:t>
            </w:r>
            <w:r>
              <w:rPr>
                <w:noProof/>
                <w:webHidden/>
              </w:rPr>
              <w:fldChar w:fldCharType="end"/>
            </w:r>
          </w:hyperlink>
        </w:p>
        <w:p w14:paraId="657709DF" w14:textId="6D6AFCE9"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7" w:history="1">
            <w:r w:rsidRPr="00815C99">
              <w:rPr>
                <w:rStyle w:val="Hiperpovezava"/>
                <w:rFonts w:asciiTheme="majorHAnsi" w:eastAsiaTheme="majorEastAsia" w:hAnsiTheme="majorHAnsi" w:cstheme="majorHAnsi"/>
                <w:noProof/>
              </w:rPr>
              <w:t>11.3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Poročilo o izvajanju investicije</w:t>
            </w:r>
            <w:r>
              <w:rPr>
                <w:noProof/>
                <w:webHidden/>
              </w:rPr>
              <w:tab/>
            </w:r>
            <w:r>
              <w:rPr>
                <w:noProof/>
                <w:webHidden/>
              </w:rPr>
              <w:fldChar w:fldCharType="begin"/>
            </w:r>
            <w:r>
              <w:rPr>
                <w:noProof/>
                <w:webHidden/>
              </w:rPr>
              <w:instrText xml:space="preserve"> PAGEREF _Toc230882247 \h </w:instrText>
            </w:r>
            <w:r>
              <w:rPr>
                <w:noProof/>
                <w:webHidden/>
              </w:rPr>
            </w:r>
            <w:r>
              <w:rPr>
                <w:noProof/>
                <w:webHidden/>
              </w:rPr>
              <w:fldChar w:fldCharType="separate"/>
            </w:r>
            <w:r w:rsidR="00BB0C0C">
              <w:rPr>
                <w:noProof/>
                <w:webHidden/>
              </w:rPr>
              <w:t>109</w:t>
            </w:r>
            <w:r>
              <w:rPr>
                <w:noProof/>
                <w:webHidden/>
              </w:rPr>
              <w:fldChar w:fldCharType="end"/>
            </w:r>
          </w:hyperlink>
        </w:p>
        <w:p w14:paraId="22C29804" w14:textId="7D4CA36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48" w:history="1">
            <w:r w:rsidRPr="00815C99">
              <w:rPr>
                <w:rStyle w:val="Hiperpovezava"/>
                <w:rFonts w:asciiTheme="majorHAnsi" w:eastAsiaTheme="majorEastAsia" w:hAnsiTheme="majorHAnsi" w:cstheme="majorHAnsi"/>
                <w:noProof/>
              </w:rPr>
              <w:t>11.4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Zaključek</w:t>
            </w:r>
            <w:r>
              <w:rPr>
                <w:noProof/>
                <w:webHidden/>
              </w:rPr>
              <w:tab/>
            </w:r>
            <w:r>
              <w:rPr>
                <w:noProof/>
                <w:webHidden/>
              </w:rPr>
              <w:fldChar w:fldCharType="begin"/>
            </w:r>
            <w:r>
              <w:rPr>
                <w:noProof/>
                <w:webHidden/>
              </w:rPr>
              <w:instrText xml:space="preserve"> PAGEREF _Toc230882248 \h </w:instrText>
            </w:r>
            <w:r>
              <w:rPr>
                <w:noProof/>
                <w:webHidden/>
              </w:rPr>
            </w:r>
            <w:r>
              <w:rPr>
                <w:noProof/>
                <w:webHidden/>
              </w:rPr>
              <w:fldChar w:fldCharType="separate"/>
            </w:r>
            <w:r w:rsidR="00BB0C0C">
              <w:rPr>
                <w:noProof/>
                <w:webHidden/>
              </w:rPr>
              <w:t>109</w:t>
            </w:r>
            <w:r>
              <w:rPr>
                <w:noProof/>
                <w:webHidden/>
              </w:rPr>
              <w:fldChar w:fldCharType="end"/>
            </w:r>
          </w:hyperlink>
        </w:p>
        <w:p w14:paraId="1E4E896D" w14:textId="2E8A1654"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49" w:history="1">
            <w:r w:rsidRPr="00815C99">
              <w:rPr>
                <w:rStyle w:val="Hiperpovezava"/>
                <w:rFonts w:cstheme="majorHAnsi"/>
                <w:noProof/>
              </w:rPr>
              <w:t>12</w:t>
            </w:r>
            <w:r>
              <w:rPr>
                <w:b w:val="0"/>
                <w:bCs w:val="0"/>
                <w:caps w:val="0"/>
                <w:noProof/>
                <w:kern w:val="2"/>
                <w:sz w:val="24"/>
                <w:szCs w:val="24"/>
                <w14:ligatures w14:val="standardContextual"/>
              </w:rPr>
              <w:tab/>
            </w:r>
            <w:r w:rsidRPr="00815C99">
              <w:rPr>
                <w:rStyle w:val="Hiperpovezava"/>
                <w:rFonts w:cstheme="majorHAnsi"/>
                <w:noProof/>
              </w:rPr>
              <w:t>NAČRT FINANCIRANJA V STALNIH IN TEKOČIH CENAH PO DINAMIKI IN VIRIH FINANCIRANJA</w:t>
            </w:r>
            <w:r>
              <w:rPr>
                <w:noProof/>
                <w:webHidden/>
              </w:rPr>
              <w:tab/>
            </w:r>
            <w:r>
              <w:rPr>
                <w:noProof/>
                <w:webHidden/>
              </w:rPr>
              <w:fldChar w:fldCharType="begin"/>
            </w:r>
            <w:r>
              <w:rPr>
                <w:noProof/>
                <w:webHidden/>
              </w:rPr>
              <w:instrText xml:space="preserve"> PAGEREF _Toc230882249 \h </w:instrText>
            </w:r>
            <w:r>
              <w:rPr>
                <w:noProof/>
                <w:webHidden/>
              </w:rPr>
            </w:r>
            <w:r>
              <w:rPr>
                <w:noProof/>
                <w:webHidden/>
              </w:rPr>
              <w:fldChar w:fldCharType="separate"/>
            </w:r>
            <w:r w:rsidR="00BB0C0C">
              <w:rPr>
                <w:noProof/>
                <w:webHidden/>
              </w:rPr>
              <w:t>110</w:t>
            </w:r>
            <w:r>
              <w:rPr>
                <w:noProof/>
                <w:webHidden/>
              </w:rPr>
              <w:fldChar w:fldCharType="end"/>
            </w:r>
          </w:hyperlink>
        </w:p>
        <w:p w14:paraId="45FAE860" w14:textId="1FE6A186"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50" w:history="1">
            <w:r w:rsidRPr="00815C99">
              <w:rPr>
                <w:rStyle w:val="Hiperpovezava"/>
                <w:rFonts w:cstheme="majorHAnsi"/>
                <w:noProof/>
              </w:rPr>
              <w:t>13</w:t>
            </w:r>
            <w:r>
              <w:rPr>
                <w:b w:val="0"/>
                <w:bCs w:val="0"/>
                <w:caps w:val="0"/>
                <w:noProof/>
                <w:kern w:val="2"/>
                <w:sz w:val="24"/>
                <w:szCs w:val="24"/>
                <w14:ligatures w14:val="standardContextual"/>
              </w:rPr>
              <w:tab/>
            </w:r>
            <w:r w:rsidRPr="00815C99">
              <w:rPr>
                <w:rStyle w:val="Hiperpovezava"/>
                <w:rFonts w:cstheme="majorHAnsi"/>
                <w:noProof/>
              </w:rPr>
              <w:t>PROJEKCIJE PRIHODKOV IN STROŠKOV POSLOVANJA PO VZPOSTAVITVI DELOVANJA INVESTICIJE ZA OBDOBJE EKONOMSKE DOBE INVESTICIJSKEGA PROJEKTA</w:t>
            </w:r>
            <w:r>
              <w:rPr>
                <w:noProof/>
                <w:webHidden/>
              </w:rPr>
              <w:tab/>
            </w:r>
            <w:r>
              <w:rPr>
                <w:noProof/>
                <w:webHidden/>
              </w:rPr>
              <w:fldChar w:fldCharType="begin"/>
            </w:r>
            <w:r>
              <w:rPr>
                <w:noProof/>
                <w:webHidden/>
              </w:rPr>
              <w:instrText xml:space="preserve"> PAGEREF _Toc230882250 \h </w:instrText>
            </w:r>
            <w:r>
              <w:rPr>
                <w:noProof/>
                <w:webHidden/>
              </w:rPr>
            </w:r>
            <w:r>
              <w:rPr>
                <w:noProof/>
                <w:webHidden/>
              </w:rPr>
              <w:fldChar w:fldCharType="separate"/>
            </w:r>
            <w:r w:rsidR="00BB0C0C">
              <w:rPr>
                <w:noProof/>
                <w:webHidden/>
              </w:rPr>
              <w:t>121</w:t>
            </w:r>
            <w:r>
              <w:rPr>
                <w:noProof/>
                <w:webHidden/>
              </w:rPr>
              <w:fldChar w:fldCharType="end"/>
            </w:r>
          </w:hyperlink>
        </w:p>
        <w:p w14:paraId="45B1732E" w14:textId="4879A035"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1" w:history="1">
            <w:r w:rsidRPr="00815C99">
              <w:rPr>
                <w:rStyle w:val="Hiperpovezava"/>
                <w:rFonts w:asciiTheme="majorHAnsi" w:eastAsiaTheme="majorEastAsia" w:hAnsiTheme="majorHAnsi" w:cstheme="majorHAnsi"/>
                <w:noProof/>
              </w:rPr>
              <w:t>13.1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Osnovna izhodišča za prikaz prihodkov in stroškov poslovanja projekta</w:t>
            </w:r>
            <w:r>
              <w:rPr>
                <w:noProof/>
                <w:webHidden/>
              </w:rPr>
              <w:tab/>
            </w:r>
            <w:r>
              <w:rPr>
                <w:noProof/>
                <w:webHidden/>
              </w:rPr>
              <w:fldChar w:fldCharType="begin"/>
            </w:r>
            <w:r>
              <w:rPr>
                <w:noProof/>
                <w:webHidden/>
              </w:rPr>
              <w:instrText xml:space="preserve"> PAGEREF _Toc230882251 \h </w:instrText>
            </w:r>
            <w:r>
              <w:rPr>
                <w:noProof/>
                <w:webHidden/>
              </w:rPr>
            </w:r>
            <w:r>
              <w:rPr>
                <w:noProof/>
                <w:webHidden/>
              </w:rPr>
              <w:fldChar w:fldCharType="separate"/>
            </w:r>
            <w:r w:rsidR="00BB0C0C">
              <w:rPr>
                <w:noProof/>
                <w:webHidden/>
              </w:rPr>
              <w:t>121</w:t>
            </w:r>
            <w:r>
              <w:rPr>
                <w:noProof/>
                <w:webHidden/>
              </w:rPr>
              <w:fldChar w:fldCharType="end"/>
            </w:r>
          </w:hyperlink>
        </w:p>
        <w:p w14:paraId="439C906A" w14:textId="1BC3395B"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2" w:history="1">
            <w:r w:rsidRPr="00815C99">
              <w:rPr>
                <w:rStyle w:val="Hiperpovezava"/>
                <w:rFonts w:asciiTheme="majorHAnsi" w:eastAsiaTheme="majorEastAsia" w:hAnsiTheme="majorHAnsi" w:cstheme="majorHAnsi"/>
                <w:noProof/>
              </w:rPr>
              <w:t>13.1.1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Prihodki</w:t>
            </w:r>
            <w:r>
              <w:rPr>
                <w:noProof/>
                <w:webHidden/>
              </w:rPr>
              <w:tab/>
            </w:r>
            <w:r>
              <w:rPr>
                <w:noProof/>
                <w:webHidden/>
              </w:rPr>
              <w:fldChar w:fldCharType="begin"/>
            </w:r>
            <w:r>
              <w:rPr>
                <w:noProof/>
                <w:webHidden/>
              </w:rPr>
              <w:instrText xml:space="preserve"> PAGEREF _Toc230882252 \h </w:instrText>
            </w:r>
            <w:r>
              <w:rPr>
                <w:noProof/>
                <w:webHidden/>
              </w:rPr>
            </w:r>
            <w:r>
              <w:rPr>
                <w:noProof/>
                <w:webHidden/>
              </w:rPr>
              <w:fldChar w:fldCharType="separate"/>
            </w:r>
            <w:r w:rsidR="00BB0C0C">
              <w:rPr>
                <w:noProof/>
                <w:webHidden/>
              </w:rPr>
              <w:t>121</w:t>
            </w:r>
            <w:r>
              <w:rPr>
                <w:noProof/>
                <w:webHidden/>
              </w:rPr>
              <w:fldChar w:fldCharType="end"/>
            </w:r>
          </w:hyperlink>
        </w:p>
        <w:p w14:paraId="685D1124" w14:textId="54B02BF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3" w:history="1">
            <w:r w:rsidRPr="00815C99">
              <w:rPr>
                <w:rStyle w:val="Hiperpovezava"/>
                <w:rFonts w:asciiTheme="majorHAnsi" w:eastAsiaTheme="majorEastAsia" w:hAnsiTheme="majorHAnsi" w:cstheme="majorHAnsi"/>
                <w:noProof/>
              </w:rPr>
              <w:t>13.2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Obratovalni stroški</w:t>
            </w:r>
            <w:r>
              <w:rPr>
                <w:noProof/>
                <w:webHidden/>
              </w:rPr>
              <w:tab/>
            </w:r>
            <w:r>
              <w:rPr>
                <w:noProof/>
                <w:webHidden/>
              </w:rPr>
              <w:fldChar w:fldCharType="begin"/>
            </w:r>
            <w:r>
              <w:rPr>
                <w:noProof/>
                <w:webHidden/>
              </w:rPr>
              <w:instrText xml:space="preserve"> PAGEREF _Toc230882253 \h </w:instrText>
            </w:r>
            <w:r>
              <w:rPr>
                <w:noProof/>
                <w:webHidden/>
              </w:rPr>
            </w:r>
            <w:r>
              <w:rPr>
                <w:noProof/>
                <w:webHidden/>
              </w:rPr>
              <w:fldChar w:fldCharType="separate"/>
            </w:r>
            <w:r w:rsidR="00BB0C0C">
              <w:rPr>
                <w:noProof/>
                <w:webHidden/>
              </w:rPr>
              <w:t>121</w:t>
            </w:r>
            <w:r>
              <w:rPr>
                <w:noProof/>
                <w:webHidden/>
              </w:rPr>
              <w:fldChar w:fldCharType="end"/>
            </w:r>
          </w:hyperlink>
        </w:p>
        <w:p w14:paraId="55677BBA" w14:textId="75134306"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4" w:history="1">
            <w:r w:rsidRPr="00815C99">
              <w:rPr>
                <w:rStyle w:val="Hiperpovezava"/>
                <w:rFonts w:asciiTheme="majorHAnsi" w:eastAsiaTheme="majorEastAsia" w:hAnsiTheme="majorHAnsi" w:cstheme="majorHAnsi"/>
                <w:noProof/>
              </w:rPr>
              <w:t>13.2.1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Stroški amortizacije</w:t>
            </w:r>
            <w:r>
              <w:rPr>
                <w:noProof/>
                <w:webHidden/>
              </w:rPr>
              <w:tab/>
            </w:r>
            <w:r>
              <w:rPr>
                <w:noProof/>
                <w:webHidden/>
              </w:rPr>
              <w:fldChar w:fldCharType="begin"/>
            </w:r>
            <w:r>
              <w:rPr>
                <w:noProof/>
                <w:webHidden/>
              </w:rPr>
              <w:instrText xml:space="preserve"> PAGEREF _Toc230882254 \h </w:instrText>
            </w:r>
            <w:r>
              <w:rPr>
                <w:noProof/>
                <w:webHidden/>
              </w:rPr>
            </w:r>
            <w:r>
              <w:rPr>
                <w:noProof/>
                <w:webHidden/>
              </w:rPr>
              <w:fldChar w:fldCharType="separate"/>
            </w:r>
            <w:r w:rsidR="00BB0C0C">
              <w:rPr>
                <w:noProof/>
                <w:webHidden/>
              </w:rPr>
              <w:t>122</w:t>
            </w:r>
            <w:r>
              <w:rPr>
                <w:noProof/>
                <w:webHidden/>
              </w:rPr>
              <w:fldChar w:fldCharType="end"/>
            </w:r>
          </w:hyperlink>
        </w:p>
        <w:p w14:paraId="7E026CC0" w14:textId="213326BB"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55" w:history="1">
            <w:r w:rsidRPr="00815C99">
              <w:rPr>
                <w:rStyle w:val="Hiperpovezava"/>
                <w:rFonts w:cstheme="majorHAnsi"/>
                <w:noProof/>
              </w:rPr>
              <w:t>14</w:t>
            </w:r>
            <w:r>
              <w:rPr>
                <w:b w:val="0"/>
                <w:bCs w:val="0"/>
                <w:caps w:val="0"/>
                <w:noProof/>
                <w:kern w:val="2"/>
                <w:sz w:val="24"/>
                <w:szCs w:val="24"/>
                <w14:ligatures w14:val="standardContextual"/>
              </w:rPr>
              <w:tab/>
            </w:r>
            <w:r w:rsidRPr="00815C99">
              <w:rPr>
                <w:rStyle w:val="Hiperpovezava"/>
                <w:rFonts w:cstheme="majorHAnsi"/>
                <w:noProof/>
              </w:rPr>
              <w:t>VREDNOTENJE DRUGIH STROŠKOV IN KORISTI</w:t>
            </w:r>
            <w:r>
              <w:rPr>
                <w:noProof/>
                <w:webHidden/>
              </w:rPr>
              <w:tab/>
            </w:r>
            <w:r>
              <w:rPr>
                <w:noProof/>
                <w:webHidden/>
              </w:rPr>
              <w:fldChar w:fldCharType="begin"/>
            </w:r>
            <w:r>
              <w:rPr>
                <w:noProof/>
                <w:webHidden/>
              </w:rPr>
              <w:instrText xml:space="preserve"> PAGEREF _Toc230882255 \h </w:instrText>
            </w:r>
            <w:r>
              <w:rPr>
                <w:noProof/>
                <w:webHidden/>
              </w:rPr>
            </w:r>
            <w:r>
              <w:rPr>
                <w:noProof/>
                <w:webHidden/>
              </w:rPr>
              <w:fldChar w:fldCharType="separate"/>
            </w:r>
            <w:r w:rsidR="00BB0C0C">
              <w:rPr>
                <w:noProof/>
                <w:webHidden/>
              </w:rPr>
              <w:t>123</w:t>
            </w:r>
            <w:r>
              <w:rPr>
                <w:noProof/>
                <w:webHidden/>
              </w:rPr>
              <w:fldChar w:fldCharType="end"/>
            </w:r>
          </w:hyperlink>
        </w:p>
        <w:p w14:paraId="3E130E51" w14:textId="33860DF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6" w:history="1">
            <w:r w:rsidRPr="00815C99">
              <w:rPr>
                <w:rStyle w:val="Hiperpovezava"/>
                <w:rFonts w:asciiTheme="majorHAnsi" w:eastAsiaTheme="majorEastAsia" w:hAnsiTheme="majorHAnsi" w:cstheme="majorHAnsi"/>
                <w:noProof/>
              </w:rPr>
              <w:t>14.1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Finančna analiza celotnega projekta</w:t>
            </w:r>
            <w:r>
              <w:rPr>
                <w:noProof/>
                <w:webHidden/>
              </w:rPr>
              <w:tab/>
            </w:r>
            <w:r>
              <w:rPr>
                <w:noProof/>
                <w:webHidden/>
              </w:rPr>
              <w:fldChar w:fldCharType="begin"/>
            </w:r>
            <w:r>
              <w:rPr>
                <w:noProof/>
                <w:webHidden/>
              </w:rPr>
              <w:instrText xml:space="preserve"> PAGEREF _Toc230882256 \h </w:instrText>
            </w:r>
            <w:r>
              <w:rPr>
                <w:noProof/>
                <w:webHidden/>
              </w:rPr>
            </w:r>
            <w:r>
              <w:rPr>
                <w:noProof/>
                <w:webHidden/>
              </w:rPr>
              <w:fldChar w:fldCharType="separate"/>
            </w:r>
            <w:r w:rsidR="00BB0C0C">
              <w:rPr>
                <w:noProof/>
                <w:webHidden/>
              </w:rPr>
              <w:t>123</w:t>
            </w:r>
            <w:r>
              <w:rPr>
                <w:noProof/>
                <w:webHidden/>
              </w:rPr>
              <w:fldChar w:fldCharType="end"/>
            </w:r>
          </w:hyperlink>
        </w:p>
        <w:p w14:paraId="7C1909F8" w14:textId="707439A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7" w:history="1">
            <w:r w:rsidRPr="00815C99">
              <w:rPr>
                <w:rStyle w:val="Hiperpovezava"/>
                <w:rFonts w:asciiTheme="majorHAnsi" w:eastAsiaTheme="majorEastAsia" w:hAnsiTheme="majorHAnsi" w:cstheme="majorHAnsi"/>
                <w:noProof/>
              </w:rPr>
              <w:t>14.2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Finančni tok poslovanja</w:t>
            </w:r>
            <w:r>
              <w:rPr>
                <w:noProof/>
                <w:webHidden/>
              </w:rPr>
              <w:tab/>
            </w:r>
            <w:r>
              <w:rPr>
                <w:noProof/>
                <w:webHidden/>
              </w:rPr>
              <w:fldChar w:fldCharType="begin"/>
            </w:r>
            <w:r>
              <w:rPr>
                <w:noProof/>
                <w:webHidden/>
              </w:rPr>
              <w:instrText xml:space="preserve"> PAGEREF _Toc230882257 \h </w:instrText>
            </w:r>
            <w:r>
              <w:rPr>
                <w:noProof/>
                <w:webHidden/>
              </w:rPr>
            </w:r>
            <w:r>
              <w:rPr>
                <w:noProof/>
                <w:webHidden/>
              </w:rPr>
              <w:fldChar w:fldCharType="separate"/>
            </w:r>
            <w:r w:rsidR="00BB0C0C">
              <w:rPr>
                <w:noProof/>
                <w:webHidden/>
              </w:rPr>
              <w:t>124</w:t>
            </w:r>
            <w:r>
              <w:rPr>
                <w:noProof/>
                <w:webHidden/>
              </w:rPr>
              <w:fldChar w:fldCharType="end"/>
            </w:r>
          </w:hyperlink>
        </w:p>
        <w:p w14:paraId="67A07969" w14:textId="6503616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8" w:history="1">
            <w:r w:rsidRPr="00815C99">
              <w:rPr>
                <w:rStyle w:val="Hiperpovezava"/>
                <w:rFonts w:asciiTheme="majorHAnsi" w:eastAsiaTheme="majorEastAsia" w:hAnsiTheme="majorHAnsi" w:cstheme="majorHAnsi"/>
                <w:noProof/>
              </w:rPr>
              <w:t>14.3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Analiza donosnosti kapitala</w:t>
            </w:r>
            <w:r>
              <w:rPr>
                <w:noProof/>
                <w:webHidden/>
              </w:rPr>
              <w:tab/>
            </w:r>
            <w:r>
              <w:rPr>
                <w:noProof/>
                <w:webHidden/>
              </w:rPr>
              <w:fldChar w:fldCharType="begin"/>
            </w:r>
            <w:r>
              <w:rPr>
                <w:noProof/>
                <w:webHidden/>
              </w:rPr>
              <w:instrText xml:space="preserve"> PAGEREF _Toc230882258 \h </w:instrText>
            </w:r>
            <w:r>
              <w:rPr>
                <w:noProof/>
                <w:webHidden/>
              </w:rPr>
            </w:r>
            <w:r>
              <w:rPr>
                <w:noProof/>
                <w:webHidden/>
              </w:rPr>
              <w:fldChar w:fldCharType="separate"/>
            </w:r>
            <w:r w:rsidR="00BB0C0C">
              <w:rPr>
                <w:noProof/>
                <w:webHidden/>
              </w:rPr>
              <w:t>126</w:t>
            </w:r>
            <w:r>
              <w:rPr>
                <w:noProof/>
                <w:webHidden/>
              </w:rPr>
              <w:fldChar w:fldCharType="end"/>
            </w:r>
          </w:hyperlink>
        </w:p>
        <w:p w14:paraId="125E96FA" w14:textId="79A4D772"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59" w:history="1">
            <w:r w:rsidRPr="00815C99">
              <w:rPr>
                <w:rStyle w:val="Hiperpovezava"/>
                <w:rFonts w:asciiTheme="majorHAnsi" w:eastAsiaTheme="majorEastAsia" w:hAnsiTheme="majorHAnsi" w:cstheme="majorHAnsi"/>
                <w:noProof/>
              </w:rPr>
              <w:t>14.4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Doba vračanja investicijskih sredstev</w:t>
            </w:r>
            <w:r>
              <w:rPr>
                <w:noProof/>
                <w:webHidden/>
              </w:rPr>
              <w:tab/>
            </w:r>
            <w:r>
              <w:rPr>
                <w:noProof/>
                <w:webHidden/>
              </w:rPr>
              <w:fldChar w:fldCharType="begin"/>
            </w:r>
            <w:r>
              <w:rPr>
                <w:noProof/>
                <w:webHidden/>
              </w:rPr>
              <w:instrText xml:space="preserve"> PAGEREF _Toc230882259 \h </w:instrText>
            </w:r>
            <w:r>
              <w:rPr>
                <w:noProof/>
                <w:webHidden/>
              </w:rPr>
            </w:r>
            <w:r>
              <w:rPr>
                <w:noProof/>
                <w:webHidden/>
              </w:rPr>
              <w:fldChar w:fldCharType="separate"/>
            </w:r>
            <w:r w:rsidR="00BB0C0C">
              <w:rPr>
                <w:noProof/>
                <w:webHidden/>
              </w:rPr>
              <w:t>127</w:t>
            </w:r>
            <w:r>
              <w:rPr>
                <w:noProof/>
                <w:webHidden/>
              </w:rPr>
              <w:fldChar w:fldCharType="end"/>
            </w:r>
          </w:hyperlink>
        </w:p>
        <w:p w14:paraId="51D2A287" w14:textId="0C26BA41"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0" w:history="1">
            <w:r w:rsidRPr="00815C99">
              <w:rPr>
                <w:rStyle w:val="Hiperpovezava"/>
                <w:rFonts w:asciiTheme="majorHAnsi" w:eastAsiaTheme="majorEastAsia" w:hAnsiTheme="majorHAnsi" w:cstheme="majorHAnsi"/>
                <w:noProof/>
              </w:rPr>
              <w:t>14.5</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Finančni kazalniki</w:t>
            </w:r>
            <w:r>
              <w:rPr>
                <w:noProof/>
                <w:webHidden/>
              </w:rPr>
              <w:tab/>
            </w:r>
            <w:r>
              <w:rPr>
                <w:noProof/>
                <w:webHidden/>
              </w:rPr>
              <w:fldChar w:fldCharType="begin"/>
            </w:r>
            <w:r>
              <w:rPr>
                <w:noProof/>
                <w:webHidden/>
              </w:rPr>
              <w:instrText xml:space="preserve"> PAGEREF _Toc230882260 \h </w:instrText>
            </w:r>
            <w:r>
              <w:rPr>
                <w:noProof/>
                <w:webHidden/>
              </w:rPr>
            </w:r>
            <w:r>
              <w:rPr>
                <w:noProof/>
                <w:webHidden/>
              </w:rPr>
              <w:fldChar w:fldCharType="separate"/>
            </w:r>
            <w:r w:rsidR="00BB0C0C">
              <w:rPr>
                <w:noProof/>
                <w:webHidden/>
              </w:rPr>
              <w:t>127</w:t>
            </w:r>
            <w:r>
              <w:rPr>
                <w:noProof/>
                <w:webHidden/>
              </w:rPr>
              <w:fldChar w:fldCharType="end"/>
            </w:r>
          </w:hyperlink>
        </w:p>
        <w:p w14:paraId="18B1E73E" w14:textId="2CF40F55"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1" w:history="1">
            <w:r w:rsidRPr="00815C99">
              <w:rPr>
                <w:rStyle w:val="Hiperpovezava"/>
                <w:rFonts w:asciiTheme="majorHAnsi" w:eastAsiaTheme="majorEastAsia" w:hAnsiTheme="majorHAnsi" w:cstheme="majorHAnsi"/>
                <w:noProof/>
              </w:rPr>
              <w:t>14.5.1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Finančna neto sedanja vrednost projekta</w:t>
            </w:r>
            <w:r>
              <w:rPr>
                <w:noProof/>
                <w:webHidden/>
              </w:rPr>
              <w:tab/>
            </w:r>
            <w:r>
              <w:rPr>
                <w:noProof/>
                <w:webHidden/>
              </w:rPr>
              <w:fldChar w:fldCharType="begin"/>
            </w:r>
            <w:r>
              <w:rPr>
                <w:noProof/>
                <w:webHidden/>
              </w:rPr>
              <w:instrText xml:space="preserve"> PAGEREF _Toc230882261 \h </w:instrText>
            </w:r>
            <w:r>
              <w:rPr>
                <w:noProof/>
                <w:webHidden/>
              </w:rPr>
            </w:r>
            <w:r>
              <w:rPr>
                <w:noProof/>
                <w:webHidden/>
              </w:rPr>
              <w:fldChar w:fldCharType="separate"/>
            </w:r>
            <w:r w:rsidR="00BB0C0C">
              <w:rPr>
                <w:noProof/>
                <w:webHidden/>
              </w:rPr>
              <w:t>127</w:t>
            </w:r>
            <w:r>
              <w:rPr>
                <w:noProof/>
                <w:webHidden/>
              </w:rPr>
              <w:fldChar w:fldCharType="end"/>
            </w:r>
          </w:hyperlink>
        </w:p>
        <w:p w14:paraId="7C00F2F6" w14:textId="6A931336"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2" w:history="1">
            <w:r w:rsidRPr="00815C99">
              <w:rPr>
                <w:rStyle w:val="Hiperpovezava"/>
                <w:rFonts w:asciiTheme="majorHAnsi" w:eastAsiaTheme="majorEastAsia" w:hAnsiTheme="majorHAnsi" w:cstheme="majorHAnsi"/>
                <w:noProof/>
              </w:rPr>
              <w:t>14.5.2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Finančna interna stopnja donosnosti celotnega projekta</w:t>
            </w:r>
            <w:r>
              <w:rPr>
                <w:noProof/>
                <w:webHidden/>
              </w:rPr>
              <w:tab/>
            </w:r>
            <w:r>
              <w:rPr>
                <w:noProof/>
                <w:webHidden/>
              </w:rPr>
              <w:fldChar w:fldCharType="begin"/>
            </w:r>
            <w:r>
              <w:rPr>
                <w:noProof/>
                <w:webHidden/>
              </w:rPr>
              <w:instrText xml:space="preserve"> PAGEREF _Toc230882262 \h </w:instrText>
            </w:r>
            <w:r>
              <w:rPr>
                <w:noProof/>
                <w:webHidden/>
              </w:rPr>
            </w:r>
            <w:r>
              <w:rPr>
                <w:noProof/>
                <w:webHidden/>
              </w:rPr>
              <w:fldChar w:fldCharType="separate"/>
            </w:r>
            <w:r w:rsidR="00BB0C0C">
              <w:rPr>
                <w:noProof/>
                <w:webHidden/>
              </w:rPr>
              <w:t>127</w:t>
            </w:r>
            <w:r>
              <w:rPr>
                <w:noProof/>
                <w:webHidden/>
              </w:rPr>
              <w:fldChar w:fldCharType="end"/>
            </w:r>
          </w:hyperlink>
        </w:p>
        <w:p w14:paraId="4B75C579" w14:textId="0302ACF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3" w:history="1">
            <w:r w:rsidRPr="00815C99">
              <w:rPr>
                <w:rStyle w:val="Hiperpovezava"/>
                <w:rFonts w:asciiTheme="majorHAnsi" w:eastAsiaTheme="majorEastAsia" w:hAnsiTheme="majorHAnsi" w:cstheme="majorHAnsi"/>
                <w:noProof/>
              </w:rPr>
              <w:t>14.5.3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Finančna relativna neto sedanja vrednost celotnega projekta</w:t>
            </w:r>
            <w:r>
              <w:rPr>
                <w:noProof/>
                <w:webHidden/>
              </w:rPr>
              <w:tab/>
            </w:r>
            <w:r>
              <w:rPr>
                <w:noProof/>
                <w:webHidden/>
              </w:rPr>
              <w:fldChar w:fldCharType="begin"/>
            </w:r>
            <w:r>
              <w:rPr>
                <w:noProof/>
                <w:webHidden/>
              </w:rPr>
              <w:instrText xml:space="preserve"> PAGEREF _Toc230882263 \h </w:instrText>
            </w:r>
            <w:r>
              <w:rPr>
                <w:noProof/>
                <w:webHidden/>
              </w:rPr>
            </w:r>
            <w:r>
              <w:rPr>
                <w:noProof/>
                <w:webHidden/>
              </w:rPr>
              <w:fldChar w:fldCharType="separate"/>
            </w:r>
            <w:r w:rsidR="00BB0C0C">
              <w:rPr>
                <w:noProof/>
                <w:webHidden/>
              </w:rPr>
              <w:t>128</w:t>
            </w:r>
            <w:r>
              <w:rPr>
                <w:noProof/>
                <w:webHidden/>
              </w:rPr>
              <w:fldChar w:fldCharType="end"/>
            </w:r>
          </w:hyperlink>
        </w:p>
        <w:p w14:paraId="00258169" w14:textId="2CDB7A5F"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4" w:history="1">
            <w:r w:rsidRPr="00815C99">
              <w:rPr>
                <w:rStyle w:val="Hiperpovezava"/>
                <w:rFonts w:asciiTheme="majorHAnsi" w:eastAsiaTheme="majorEastAsia" w:hAnsiTheme="majorHAnsi" w:cstheme="majorHAnsi"/>
                <w:noProof/>
              </w:rPr>
              <w:t>14.6</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Povzetek finančne analize</w:t>
            </w:r>
            <w:r>
              <w:rPr>
                <w:noProof/>
                <w:webHidden/>
              </w:rPr>
              <w:tab/>
            </w:r>
            <w:r>
              <w:rPr>
                <w:noProof/>
                <w:webHidden/>
              </w:rPr>
              <w:fldChar w:fldCharType="begin"/>
            </w:r>
            <w:r>
              <w:rPr>
                <w:noProof/>
                <w:webHidden/>
              </w:rPr>
              <w:instrText xml:space="preserve"> PAGEREF _Toc230882264 \h </w:instrText>
            </w:r>
            <w:r>
              <w:rPr>
                <w:noProof/>
                <w:webHidden/>
              </w:rPr>
            </w:r>
            <w:r>
              <w:rPr>
                <w:noProof/>
                <w:webHidden/>
              </w:rPr>
              <w:fldChar w:fldCharType="separate"/>
            </w:r>
            <w:r w:rsidR="00BB0C0C">
              <w:rPr>
                <w:noProof/>
                <w:webHidden/>
              </w:rPr>
              <w:t>128</w:t>
            </w:r>
            <w:r>
              <w:rPr>
                <w:noProof/>
                <w:webHidden/>
              </w:rPr>
              <w:fldChar w:fldCharType="end"/>
            </w:r>
          </w:hyperlink>
        </w:p>
        <w:p w14:paraId="39E25370" w14:textId="3B8C909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5" w:history="1">
            <w:r w:rsidRPr="00815C99">
              <w:rPr>
                <w:rStyle w:val="Hiperpovezava"/>
                <w:rFonts w:asciiTheme="majorHAnsi" w:eastAsiaTheme="majorEastAsia" w:hAnsiTheme="majorHAnsi" w:cstheme="majorHAnsi"/>
                <w:noProof/>
              </w:rPr>
              <w:t>14.7</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Izračun finančnega primanjkljaja</w:t>
            </w:r>
            <w:r>
              <w:rPr>
                <w:noProof/>
                <w:webHidden/>
              </w:rPr>
              <w:tab/>
            </w:r>
            <w:r>
              <w:rPr>
                <w:noProof/>
                <w:webHidden/>
              </w:rPr>
              <w:fldChar w:fldCharType="begin"/>
            </w:r>
            <w:r>
              <w:rPr>
                <w:noProof/>
                <w:webHidden/>
              </w:rPr>
              <w:instrText xml:space="preserve"> PAGEREF _Toc230882265 \h </w:instrText>
            </w:r>
            <w:r>
              <w:rPr>
                <w:noProof/>
                <w:webHidden/>
              </w:rPr>
            </w:r>
            <w:r>
              <w:rPr>
                <w:noProof/>
                <w:webHidden/>
              </w:rPr>
              <w:fldChar w:fldCharType="separate"/>
            </w:r>
            <w:r w:rsidR="00BB0C0C">
              <w:rPr>
                <w:noProof/>
                <w:webHidden/>
              </w:rPr>
              <w:t>129</w:t>
            </w:r>
            <w:r>
              <w:rPr>
                <w:noProof/>
                <w:webHidden/>
              </w:rPr>
              <w:fldChar w:fldCharType="end"/>
            </w:r>
          </w:hyperlink>
        </w:p>
        <w:p w14:paraId="3AA7D5AB" w14:textId="0C789A1E"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6" w:history="1">
            <w:r w:rsidRPr="00815C99">
              <w:rPr>
                <w:rStyle w:val="Hiperpovezava"/>
                <w:rFonts w:asciiTheme="majorHAnsi" w:eastAsiaTheme="majorEastAsia" w:hAnsiTheme="majorHAnsi" w:cstheme="majorHAnsi"/>
                <w:noProof/>
              </w:rPr>
              <w:t>14.8</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Ekonomska analiza projekta</w:t>
            </w:r>
            <w:r>
              <w:rPr>
                <w:noProof/>
                <w:webHidden/>
              </w:rPr>
              <w:tab/>
            </w:r>
            <w:r>
              <w:rPr>
                <w:noProof/>
                <w:webHidden/>
              </w:rPr>
              <w:fldChar w:fldCharType="begin"/>
            </w:r>
            <w:r>
              <w:rPr>
                <w:noProof/>
                <w:webHidden/>
              </w:rPr>
              <w:instrText xml:space="preserve"> PAGEREF _Toc230882266 \h </w:instrText>
            </w:r>
            <w:r>
              <w:rPr>
                <w:noProof/>
                <w:webHidden/>
              </w:rPr>
            </w:r>
            <w:r>
              <w:rPr>
                <w:noProof/>
                <w:webHidden/>
              </w:rPr>
              <w:fldChar w:fldCharType="separate"/>
            </w:r>
            <w:r w:rsidR="00BB0C0C">
              <w:rPr>
                <w:noProof/>
                <w:webHidden/>
              </w:rPr>
              <w:t>129</w:t>
            </w:r>
            <w:r>
              <w:rPr>
                <w:noProof/>
                <w:webHidden/>
              </w:rPr>
              <w:fldChar w:fldCharType="end"/>
            </w:r>
          </w:hyperlink>
        </w:p>
        <w:p w14:paraId="53BCCB26" w14:textId="37D30C6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7" w:history="1">
            <w:r w:rsidRPr="00815C99">
              <w:rPr>
                <w:rStyle w:val="Hiperpovezava"/>
                <w:rFonts w:asciiTheme="majorHAnsi" w:eastAsiaTheme="majorEastAsia" w:hAnsiTheme="majorHAnsi" w:cstheme="majorHAnsi"/>
                <w:noProof/>
              </w:rPr>
              <w:t>14.8.1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Davčni popravki</w:t>
            </w:r>
            <w:r>
              <w:rPr>
                <w:noProof/>
                <w:webHidden/>
              </w:rPr>
              <w:tab/>
            </w:r>
            <w:r>
              <w:rPr>
                <w:noProof/>
                <w:webHidden/>
              </w:rPr>
              <w:fldChar w:fldCharType="begin"/>
            </w:r>
            <w:r>
              <w:rPr>
                <w:noProof/>
                <w:webHidden/>
              </w:rPr>
              <w:instrText xml:space="preserve"> PAGEREF _Toc230882267 \h </w:instrText>
            </w:r>
            <w:r>
              <w:rPr>
                <w:noProof/>
                <w:webHidden/>
              </w:rPr>
            </w:r>
            <w:r>
              <w:rPr>
                <w:noProof/>
                <w:webHidden/>
              </w:rPr>
              <w:fldChar w:fldCharType="separate"/>
            </w:r>
            <w:r w:rsidR="00BB0C0C">
              <w:rPr>
                <w:noProof/>
                <w:webHidden/>
              </w:rPr>
              <w:t>130</w:t>
            </w:r>
            <w:r>
              <w:rPr>
                <w:noProof/>
                <w:webHidden/>
              </w:rPr>
              <w:fldChar w:fldCharType="end"/>
            </w:r>
          </w:hyperlink>
        </w:p>
        <w:p w14:paraId="0CCA5C55" w14:textId="63788B64"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8" w:history="1">
            <w:r w:rsidRPr="00815C99">
              <w:rPr>
                <w:rStyle w:val="Hiperpovezava"/>
                <w:rFonts w:asciiTheme="majorHAnsi" w:eastAsiaTheme="majorEastAsia" w:hAnsiTheme="majorHAnsi" w:cstheme="majorHAnsi"/>
                <w:noProof/>
              </w:rPr>
              <w:t>14.8.2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Faza II – popravki zaradi eksternalij</w:t>
            </w:r>
            <w:r>
              <w:rPr>
                <w:noProof/>
                <w:webHidden/>
              </w:rPr>
              <w:tab/>
            </w:r>
            <w:r>
              <w:rPr>
                <w:noProof/>
                <w:webHidden/>
              </w:rPr>
              <w:fldChar w:fldCharType="begin"/>
            </w:r>
            <w:r>
              <w:rPr>
                <w:noProof/>
                <w:webHidden/>
              </w:rPr>
              <w:instrText xml:space="preserve"> PAGEREF _Toc230882268 \h </w:instrText>
            </w:r>
            <w:r>
              <w:rPr>
                <w:noProof/>
                <w:webHidden/>
              </w:rPr>
            </w:r>
            <w:r>
              <w:rPr>
                <w:noProof/>
                <w:webHidden/>
              </w:rPr>
              <w:fldChar w:fldCharType="separate"/>
            </w:r>
            <w:r w:rsidR="00BB0C0C">
              <w:rPr>
                <w:noProof/>
                <w:webHidden/>
              </w:rPr>
              <w:t>130</w:t>
            </w:r>
            <w:r>
              <w:rPr>
                <w:noProof/>
                <w:webHidden/>
              </w:rPr>
              <w:fldChar w:fldCharType="end"/>
            </w:r>
          </w:hyperlink>
        </w:p>
        <w:p w14:paraId="4A44CF18" w14:textId="65714AAF"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69" w:history="1">
            <w:r w:rsidRPr="00815C99">
              <w:rPr>
                <w:rStyle w:val="Hiperpovezava"/>
                <w:rFonts w:asciiTheme="majorHAnsi" w:eastAsiaTheme="majorEastAsia" w:hAnsiTheme="majorHAnsi" w:cstheme="majorHAnsi"/>
                <w:noProof/>
              </w:rPr>
              <w:t>14.8.3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Pretvorba tržnih cen v obračunske cene</w:t>
            </w:r>
            <w:r>
              <w:rPr>
                <w:noProof/>
                <w:webHidden/>
              </w:rPr>
              <w:tab/>
            </w:r>
            <w:r>
              <w:rPr>
                <w:noProof/>
                <w:webHidden/>
              </w:rPr>
              <w:fldChar w:fldCharType="begin"/>
            </w:r>
            <w:r>
              <w:rPr>
                <w:noProof/>
                <w:webHidden/>
              </w:rPr>
              <w:instrText xml:space="preserve"> PAGEREF _Toc230882269 \h </w:instrText>
            </w:r>
            <w:r>
              <w:rPr>
                <w:noProof/>
                <w:webHidden/>
              </w:rPr>
            </w:r>
            <w:r>
              <w:rPr>
                <w:noProof/>
                <w:webHidden/>
              </w:rPr>
              <w:fldChar w:fldCharType="separate"/>
            </w:r>
            <w:r w:rsidR="00BB0C0C">
              <w:rPr>
                <w:noProof/>
                <w:webHidden/>
              </w:rPr>
              <w:t>131</w:t>
            </w:r>
            <w:r>
              <w:rPr>
                <w:noProof/>
                <w:webHidden/>
              </w:rPr>
              <w:fldChar w:fldCharType="end"/>
            </w:r>
          </w:hyperlink>
        </w:p>
        <w:p w14:paraId="4CC9979F" w14:textId="48D78596"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0" w:history="1">
            <w:r w:rsidRPr="00815C99">
              <w:rPr>
                <w:rStyle w:val="Hiperpovezava"/>
                <w:rFonts w:asciiTheme="majorHAnsi" w:eastAsiaTheme="majorEastAsia" w:hAnsiTheme="majorHAnsi" w:cstheme="majorHAnsi"/>
                <w:noProof/>
              </w:rPr>
              <w:t>14.8.4</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Ekonomski tok investicije</w:t>
            </w:r>
            <w:r>
              <w:rPr>
                <w:noProof/>
                <w:webHidden/>
              </w:rPr>
              <w:tab/>
            </w:r>
            <w:r>
              <w:rPr>
                <w:noProof/>
                <w:webHidden/>
              </w:rPr>
              <w:fldChar w:fldCharType="begin"/>
            </w:r>
            <w:r>
              <w:rPr>
                <w:noProof/>
                <w:webHidden/>
              </w:rPr>
              <w:instrText xml:space="preserve"> PAGEREF _Toc230882270 \h </w:instrText>
            </w:r>
            <w:r>
              <w:rPr>
                <w:noProof/>
                <w:webHidden/>
              </w:rPr>
            </w:r>
            <w:r>
              <w:rPr>
                <w:noProof/>
                <w:webHidden/>
              </w:rPr>
              <w:fldChar w:fldCharType="separate"/>
            </w:r>
            <w:r w:rsidR="00BB0C0C">
              <w:rPr>
                <w:noProof/>
                <w:webHidden/>
              </w:rPr>
              <w:t>131</w:t>
            </w:r>
            <w:r>
              <w:rPr>
                <w:noProof/>
                <w:webHidden/>
              </w:rPr>
              <w:fldChar w:fldCharType="end"/>
            </w:r>
          </w:hyperlink>
        </w:p>
        <w:p w14:paraId="6CCA88AC" w14:textId="4170214A"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1" w:history="1">
            <w:r w:rsidRPr="00815C99">
              <w:rPr>
                <w:rStyle w:val="Hiperpovezava"/>
                <w:rFonts w:asciiTheme="majorHAnsi" w:eastAsiaTheme="majorEastAsia" w:hAnsiTheme="majorHAnsi" w:cstheme="majorHAnsi"/>
                <w:noProof/>
              </w:rPr>
              <w:t>14.9</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Ekonomski kazalniki</w:t>
            </w:r>
            <w:r>
              <w:rPr>
                <w:noProof/>
                <w:webHidden/>
              </w:rPr>
              <w:tab/>
            </w:r>
            <w:r>
              <w:rPr>
                <w:noProof/>
                <w:webHidden/>
              </w:rPr>
              <w:fldChar w:fldCharType="begin"/>
            </w:r>
            <w:r>
              <w:rPr>
                <w:noProof/>
                <w:webHidden/>
              </w:rPr>
              <w:instrText xml:space="preserve"> PAGEREF _Toc230882271 \h </w:instrText>
            </w:r>
            <w:r>
              <w:rPr>
                <w:noProof/>
                <w:webHidden/>
              </w:rPr>
            </w:r>
            <w:r>
              <w:rPr>
                <w:noProof/>
                <w:webHidden/>
              </w:rPr>
              <w:fldChar w:fldCharType="separate"/>
            </w:r>
            <w:r w:rsidR="00BB0C0C">
              <w:rPr>
                <w:noProof/>
                <w:webHidden/>
              </w:rPr>
              <w:t>133</w:t>
            </w:r>
            <w:r>
              <w:rPr>
                <w:noProof/>
                <w:webHidden/>
              </w:rPr>
              <w:fldChar w:fldCharType="end"/>
            </w:r>
          </w:hyperlink>
        </w:p>
        <w:p w14:paraId="30EA2D7D" w14:textId="48072DB5"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2" w:history="1">
            <w:r w:rsidRPr="00815C99">
              <w:rPr>
                <w:rStyle w:val="Hiperpovezava"/>
                <w:rFonts w:asciiTheme="majorHAnsi" w:eastAsiaTheme="majorEastAsia" w:hAnsiTheme="majorHAnsi" w:cstheme="majorHAnsi"/>
                <w:noProof/>
              </w:rPr>
              <w:t>14.9.1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Ekonomska neto sedanja vrednost celotnega projekta</w:t>
            </w:r>
            <w:r>
              <w:rPr>
                <w:noProof/>
                <w:webHidden/>
              </w:rPr>
              <w:tab/>
            </w:r>
            <w:r>
              <w:rPr>
                <w:noProof/>
                <w:webHidden/>
              </w:rPr>
              <w:fldChar w:fldCharType="begin"/>
            </w:r>
            <w:r>
              <w:rPr>
                <w:noProof/>
                <w:webHidden/>
              </w:rPr>
              <w:instrText xml:space="preserve"> PAGEREF _Toc230882272 \h </w:instrText>
            </w:r>
            <w:r>
              <w:rPr>
                <w:noProof/>
                <w:webHidden/>
              </w:rPr>
            </w:r>
            <w:r>
              <w:rPr>
                <w:noProof/>
                <w:webHidden/>
              </w:rPr>
              <w:fldChar w:fldCharType="separate"/>
            </w:r>
            <w:r w:rsidR="00BB0C0C">
              <w:rPr>
                <w:noProof/>
                <w:webHidden/>
              </w:rPr>
              <w:t>133</w:t>
            </w:r>
            <w:r>
              <w:rPr>
                <w:noProof/>
                <w:webHidden/>
              </w:rPr>
              <w:fldChar w:fldCharType="end"/>
            </w:r>
          </w:hyperlink>
        </w:p>
        <w:p w14:paraId="22DFE9C1" w14:textId="555A98C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3" w:history="1">
            <w:r w:rsidRPr="00815C99">
              <w:rPr>
                <w:rStyle w:val="Hiperpovezava"/>
                <w:rFonts w:asciiTheme="majorHAnsi" w:eastAsiaTheme="majorEastAsia" w:hAnsiTheme="majorHAnsi" w:cstheme="majorHAnsi"/>
                <w:noProof/>
              </w:rPr>
              <w:t>14.9.2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Ekonomska stopnja donosnosti celotnega projekta</w:t>
            </w:r>
            <w:r>
              <w:rPr>
                <w:noProof/>
                <w:webHidden/>
              </w:rPr>
              <w:tab/>
            </w:r>
            <w:r>
              <w:rPr>
                <w:noProof/>
                <w:webHidden/>
              </w:rPr>
              <w:fldChar w:fldCharType="begin"/>
            </w:r>
            <w:r>
              <w:rPr>
                <w:noProof/>
                <w:webHidden/>
              </w:rPr>
              <w:instrText xml:space="preserve"> PAGEREF _Toc230882273 \h </w:instrText>
            </w:r>
            <w:r>
              <w:rPr>
                <w:noProof/>
                <w:webHidden/>
              </w:rPr>
            </w:r>
            <w:r>
              <w:rPr>
                <w:noProof/>
                <w:webHidden/>
              </w:rPr>
              <w:fldChar w:fldCharType="separate"/>
            </w:r>
            <w:r w:rsidR="00BB0C0C">
              <w:rPr>
                <w:noProof/>
                <w:webHidden/>
              </w:rPr>
              <w:t>133</w:t>
            </w:r>
            <w:r>
              <w:rPr>
                <w:noProof/>
                <w:webHidden/>
              </w:rPr>
              <w:fldChar w:fldCharType="end"/>
            </w:r>
          </w:hyperlink>
        </w:p>
        <w:p w14:paraId="031766AF" w14:textId="43730863"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4" w:history="1">
            <w:r w:rsidRPr="00815C99">
              <w:rPr>
                <w:rStyle w:val="Hiperpovezava"/>
                <w:rFonts w:asciiTheme="majorHAnsi" w:eastAsiaTheme="majorEastAsia" w:hAnsiTheme="majorHAnsi" w:cstheme="majorHAnsi"/>
                <w:noProof/>
              </w:rPr>
              <w:t>14.9.3</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Količnik oz. razmerje med skupnimi koristmi in skupnimi stroški celotnega projekta</w:t>
            </w:r>
            <w:r>
              <w:rPr>
                <w:noProof/>
                <w:webHidden/>
              </w:rPr>
              <w:tab/>
            </w:r>
            <w:r>
              <w:rPr>
                <w:noProof/>
                <w:webHidden/>
              </w:rPr>
              <w:fldChar w:fldCharType="begin"/>
            </w:r>
            <w:r>
              <w:rPr>
                <w:noProof/>
                <w:webHidden/>
              </w:rPr>
              <w:instrText xml:space="preserve"> PAGEREF _Toc230882274 \h </w:instrText>
            </w:r>
            <w:r>
              <w:rPr>
                <w:noProof/>
                <w:webHidden/>
              </w:rPr>
            </w:r>
            <w:r>
              <w:rPr>
                <w:noProof/>
                <w:webHidden/>
              </w:rPr>
              <w:fldChar w:fldCharType="separate"/>
            </w:r>
            <w:r w:rsidR="00BB0C0C">
              <w:rPr>
                <w:noProof/>
                <w:webHidden/>
              </w:rPr>
              <w:t>134</w:t>
            </w:r>
            <w:r>
              <w:rPr>
                <w:noProof/>
                <w:webHidden/>
              </w:rPr>
              <w:fldChar w:fldCharType="end"/>
            </w:r>
          </w:hyperlink>
        </w:p>
        <w:p w14:paraId="33CB0BAF" w14:textId="67656E6C"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5" w:history="1">
            <w:r w:rsidRPr="00815C99">
              <w:rPr>
                <w:rStyle w:val="Hiperpovezava"/>
                <w:rFonts w:asciiTheme="majorHAnsi" w:eastAsiaTheme="majorEastAsia" w:hAnsiTheme="majorHAnsi" w:cstheme="majorHAnsi"/>
                <w:noProof/>
              </w:rPr>
              <w:t>14.10</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Povzetek ekonomske analize</w:t>
            </w:r>
            <w:r>
              <w:rPr>
                <w:noProof/>
                <w:webHidden/>
              </w:rPr>
              <w:tab/>
            </w:r>
            <w:r>
              <w:rPr>
                <w:noProof/>
                <w:webHidden/>
              </w:rPr>
              <w:fldChar w:fldCharType="begin"/>
            </w:r>
            <w:r>
              <w:rPr>
                <w:noProof/>
                <w:webHidden/>
              </w:rPr>
              <w:instrText xml:space="preserve"> PAGEREF _Toc230882275 \h </w:instrText>
            </w:r>
            <w:r>
              <w:rPr>
                <w:noProof/>
                <w:webHidden/>
              </w:rPr>
            </w:r>
            <w:r>
              <w:rPr>
                <w:noProof/>
                <w:webHidden/>
              </w:rPr>
              <w:fldChar w:fldCharType="separate"/>
            </w:r>
            <w:r w:rsidR="00BB0C0C">
              <w:rPr>
                <w:noProof/>
                <w:webHidden/>
              </w:rPr>
              <w:t>134</w:t>
            </w:r>
            <w:r>
              <w:rPr>
                <w:noProof/>
                <w:webHidden/>
              </w:rPr>
              <w:fldChar w:fldCharType="end"/>
            </w:r>
          </w:hyperlink>
        </w:p>
        <w:p w14:paraId="0F8C16B1" w14:textId="6C7F8BE0"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6" w:history="1">
            <w:r w:rsidRPr="00815C99">
              <w:rPr>
                <w:rStyle w:val="Hiperpovezava"/>
                <w:rFonts w:asciiTheme="majorHAnsi" w:eastAsiaTheme="majorEastAsia" w:hAnsiTheme="majorHAnsi" w:cstheme="majorHAnsi"/>
                <w:noProof/>
              </w:rPr>
              <w:t>14.11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Koristi, ki jih ni mogoče ovrednotiti</w:t>
            </w:r>
            <w:r>
              <w:rPr>
                <w:noProof/>
                <w:webHidden/>
              </w:rPr>
              <w:tab/>
            </w:r>
            <w:r>
              <w:rPr>
                <w:noProof/>
                <w:webHidden/>
              </w:rPr>
              <w:fldChar w:fldCharType="begin"/>
            </w:r>
            <w:r>
              <w:rPr>
                <w:noProof/>
                <w:webHidden/>
              </w:rPr>
              <w:instrText xml:space="preserve"> PAGEREF _Toc230882276 \h </w:instrText>
            </w:r>
            <w:r>
              <w:rPr>
                <w:noProof/>
                <w:webHidden/>
              </w:rPr>
            </w:r>
            <w:r>
              <w:rPr>
                <w:noProof/>
                <w:webHidden/>
              </w:rPr>
              <w:fldChar w:fldCharType="separate"/>
            </w:r>
            <w:r w:rsidR="00BB0C0C">
              <w:rPr>
                <w:noProof/>
                <w:webHidden/>
              </w:rPr>
              <w:t>135</w:t>
            </w:r>
            <w:r>
              <w:rPr>
                <w:noProof/>
                <w:webHidden/>
              </w:rPr>
              <w:fldChar w:fldCharType="end"/>
            </w:r>
          </w:hyperlink>
        </w:p>
        <w:p w14:paraId="0C4F2DD1" w14:textId="6FFE360D"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77" w:history="1">
            <w:r w:rsidRPr="00815C99">
              <w:rPr>
                <w:rStyle w:val="Hiperpovezava"/>
                <w:rFonts w:cstheme="majorHAnsi"/>
                <w:noProof/>
              </w:rPr>
              <w:t>15</w:t>
            </w:r>
            <w:r>
              <w:rPr>
                <w:b w:val="0"/>
                <w:bCs w:val="0"/>
                <w:caps w:val="0"/>
                <w:noProof/>
                <w:kern w:val="2"/>
                <w:sz w:val="24"/>
                <w:szCs w:val="24"/>
                <w14:ligatures w14:val="standardContextual"/>
              </w:rPr>
              <w:tab/>
            </w:r>
            <w:r w:rsidRPr="00815C99">
              <w:rPr>
                <w:rStyle w:val="Hiperpovezava"/>
                <w:rFonts w:cstheme="majorHAnsi"/>
                <w:noProof/>
              </w:rPr>
              <w:t>ANALIZA TVEGANJ IN ANALIZA OBČUTLJIVOSTI</w:t>
            </w:r>
            <w:r>
              <w:rPr>
                <w:noProof/>
                <w:webHidden/>
              </w:rPr>
              <w:tab/>
            </w:r>
            <w:r>
              <w:rPr>
                <w:noProof/>
                <w:webHidden/>
              </w:rPr>
              <w:fldChar w:fldCharType="begin"/>
            </w:r>
            <w:r>
              <w:rPr>
                <w:noProof/>
                <w:webHidden/>
              </w:rPr>
              <w:instrText xml:space="preserve"> PAGEREF _Toc230882277 \h </w:instrText>
            </w:r>
            <w:r>
              <w:rPr>
                <w:noProof/>
                <w:webHidden/>
              </w:rPr>
            </w:r>
            <w:r>
              <w:rPr>
                <w:noProof/>
                <w:webHidden/>
              </w:rPr>
              <w:fldChar w:fldCharType="separate"/>
            </w:r>
            <w:r w:rsidR="00BB0C0C">
              <w:rPr>
                <w:noProof/>
                <w:webHidden/>
              </w:rPr>
              <w:t>137</w:t>
            </w:r>
            <w:r>
              <w:rPr>
                <w:noProof/>
                <w:webHidden/>
              </w:rPr>
              <w:fldChar w:fldCharType="end"/>
            </w:r>
          </w:hyperlink>
        </w:p>
        <w:p w14:paraId="549D502A" w14:textId="094F1BE8"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8" w:history="1">
            <w:r w:rsidRPr="00815C99">
              <w:rPr>
                <w:rStyle w:val="Hiperpovezava"/>
                <w:rFonts w:asciiTheme="majorHAnsi" w:eastAsiaTheme="majorEastAsia" w:hAnsiTheme="majorHAnsi" w:cstheme="majorHAnsi"/>
                <w:noProof/>
              </w:rPr>
              <w:t>15.1</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Analiza tveganj</w:t>
            </w:r>
            <w:r>
              <w:rPr>
                <w:noProof/>
                <w:webHidden/>
              </w:rPr>
              <w:tab/>
            </w:r>
            <w:r>
              <w:rPr>
                <w:noProof/>
                <w:webHidden/>
              </w:rPr>
              <w:fldChar w:fldCharType="begin"/>
            </w:r>
            <w:r>
              <w:rPr>
                <w:noProof/>
                <w:webHidden/>
              </w:rPr>
              <w:instrText xml:space="preserve"> PAGEREF _Toc230882278 \h </w:instrText>
            </w:r>
            <w:r>
              <w:rPr>
                <w:noProof/>
                <w:webHidden/>
              </w:rPr>
            </w:r>
            <w:r>
              <w:rPr>
                <w:noProof/>
                <w:webHidden/>
              </w:rPr>
              <w:fldChar w:fldCharType="separate"/>
            </w:r>
            <w:r w:rsidR="00BB0C0C">
              <w:rPr>
                <w:noProof/>
                <w:webHidden/>
              </w:rPr>
              <w:t>137</w:t>
            </w:r>
            <w:r>
              <w:rPr>
                <w:noProof/>
                <w:webHidden/>
              </w:rPr>
              <w:fldChar w:fldCharType="end"/>
            </w:r>
          </w:hyperlink>
        </w:p>
        <w:p w14:paraId="32193FAA" w14:textId="6287AD5D" w:rsidR="00BD7903" w:rsidRDefault="00BD7903">
          <w:pPr>
            <w:pStyle w:val="Kazalovsebine2"/>
            <w:tabs>
              <w:tab w:val="left" w:pos="1000"/>
              <w:tab w:val="right" w:leader="dot" w:pos="9062"/>
            </w:tabs>
            <w:rPr>
              <w:smallCaps w:val="0"/>
              <w:noProof/>
              <w:kern w:val="2"/>
              <w:sz w:val="24"/>
              <w:szCs w:val="24"/>
              <w14:ligatures w14:val="standardContextual"/>
            </w:rPr>
          </w:pPr>
          <w:hyperlink w:anchor="_Toc230882279" w:history="1">
            <w:r w:rsidRPr="00815C99">
              <w:rPr>
                <w:rStyle w:val="Hiperpovezava"/>
                <w:rFonts w:asciiTheme="majorHAnsi" w:eastAsiaTheme="majorEastAsia" w:hAnsiTheme="majorHAnsi" w:cstheme="majorHAnsi"/>
                <w:noProof/>
              </w:rPr>
              <w:t>15.2</w:t>
            </w:r>
            <w:r>
              <w:rPr>
                <w:smallCaps w:val="0"/>
                <w:noProof/>
                <w:kern w:val="2"/>
                <w:sz w:val="24"/>
                <w:szCs w:val="24"/>
                <w14:ligatures w14:val="standardContextual"/>
              </w:rPr>
              <w:tab/>
            </w:r>
            <w:r w:rsidRPr="00815C99">
              <w:rPr>
                <w:rStyle w:val="Hiperpovezava"/>
                <w:rFonts w:asciiTheme="majorHAnsi" w:eastAsiaTheme="majorEastAsia" w:hAnsiTheme="majorHAnsi" w:cstheme="majorHAnsi"/>
                <w:noProof/>
              </w:rPr>
              <w:t>Analiza občutljivosti</w:t>
            </w:r>
            <w:r>
              <w:rPr>
                <w:noProof/>
                <w:webHidden/>
              </w:rPr>
              <w:tab/>
            </w:r>
            <w:r>
              <w:rPr>
                <w:noProof/>
                <w:webHidden/>
              </w:rPr>
              <w:fldChar w:fldCharType="begin"/>
            </w:r>
            <w:r>
              <w:rPr>
                <w:noProof/>
                <w:webHidden/>
              </w:rPr>
              <w:instrText xml:space="preserve"> PAGEREF _Toc230882279 \h </w:instrText>
            </w:r>
            <w:r>
              <w:rPr>
                <w:noProof/>
                <w:webHidden/>
              </w:rPr>
            </w:r>
            <w:r>
              <w:rPr>
                <w:noProof/>
                <w:webHidden/>
              </w:rPr>
              <w:fldChar w:fldCharType="separate"/>
            </w:r>
            <w:r w:rsidR="00BB0C0C">
              <w:rPr>
                <w:noProof/>
                <w:webHidden/>
              </w:rPr>
              <w:t>140</w:t>
            </w:r>
            <w:r>
              <w:rPr>
                <w:noProof/>
                <w:webHidden/>
              </w:rPr>
              <w:fldChar w:fldCharType="end"/>
            </w:r>
          </w:hyperlink>
        </w:p>
        <w:p w14:paraId="0DAC1F86" w14:textId="0809C4E5" w:rsidR="00BD7903" w:rsidRDefault="00BD7903">
          <w:pPr>
            <w:pStyle w:val="Kazalovsebine1"/>
            <w:tabs>
              <w:tab w:val="left" w:pos="600"/>
              <w:tab w:val="right" w:leader="dot" w:pos="9062"/>
            </w:tabs>
            <w:rPr>
              <w:b w:val="0"/>
              <w:bCs w:val="0"/>
              <w:caps w:val="0"/>
              <w:noProof/>
              <w:kern w:val="2"/>
              <w:sz w:val="24"/>
              <w:szCs w:val="24"/>
              <w14:ligatures w14:val="standardContextual"/>
            </w:rPr>
          </w:pPr>
          <w:hyperlink w:anchor="_Toc230882280" w:history="1">
            <w:r w:rsidRPr="00815C99">
              <w:rPr>
                <w:rStyle w:val="Hiperpovezava"/>
                <w:rFonts w:cstheme="majorHAnsi"/>
                <w:noProof/>
              </w:rPr>
              <w:t>16</w:t>
            </w:r>
            <w:r>
              <w:rPr>
                <w:b w:val="0"/>
                <w:bCs w:val="0"/>
                <w:caps w:val="0"/>
                <w:noProof/>
                <w:kern w:val="2"/>
                <w:sz w:val="24"/>
                <w:szCs w:val="24"/>
                <w14:ligatures w14:val="standardContextual"/>
              </w:rPr>
              <w:tab/>
            </w:r>
            <w:r w:rsidRPr="00815C99">
              <w:rPr>
                <w:rStyle w:val="Hiperpovezava"/>
                <w:rFonts w:cstheme="majorHAnsi"/>
                <w:noProof/>
              </w:rPr>
              <w:t>PREDSTAVITEV IN RAZLAGA REZULTATOV</w:t>
            </w:r>
            <w:r>
              <w:rPr>
                <w:noProof/>
                <w:webHidden/>
              </w:rPr>
              <w:tab/>
            </w:r>
            <w:r>
              <w:rPr>
                <w:noProof/>
                <w:webHidden/>
              </w:rPr>
              <w:fldChar w:fldCharType="begin"/>
            </w:r>
            <w:r>
              <w:rPr>
                <w:noProof/>
                <w:webHidden/>
              </w:rPr>
              <w:instrText xml:space="preserve"> PAGEREF _Toc230882280 \h </w:instrText>
            </w:r>
            <w:r>
              <w:rPr>
                <w:noProof/>
                <w:webHidden/>
              </w:rPr>
            </w:r>
            <w:r>
              <w:rPr>
                <w:noProof/>
                <w:webHidden/>
              </w:rPr>
              <w:fldChar w:fldCharType="separate"/>
            </w:r>
            <w:r w:rsidR="00BB0C0C">
              <w:rPr>
                <w:noProof/>
                <w:webHidden/>
              </w:rPr>
              <w:t>141</w:t>
            </w:r>
            <w:r>
              <w:rPr>
                <w:noProof/>
                <w:webHidden/>
              </w:rPr>
              <w:fldChar w:fldCharType="end"/>
            </w:r>
          </w:hyperlink>
        </w:p>
        <w:p w14:paraId="69C0026F" w14:textId="1F420517" w:rsidR="003836D1" w:rsidRPr="000020F0" w:rsidRDefault="00050C93" w:rsidP="00BD1D20">
          <w:pPr>
            <w:spacing w:line="276" w:lineRule="auto"/>
            <w:rPr>
              <w:rFonts w:asciiTheme="majorHAnsi" w:hAnsiTheme="majorHAnsi" w:cstheme="majorHAnsi"/>
            </w:rPr>
          </w:pPr>
          <w:r w:rsidRPr="000020F0">
            <w:rPr>
              <w:rFonts w:asciiTheme="majorHAnsi" w:hAnsiTheme="majorHAnsi" w:cstheme="majorHAnsi"/>
              <w:sz w:val="20"/>
              <w:szCs w:val="20"/>
            </w:rPr>
            <w:fldChar w:fldCharType="end"/>
          </w:r>
        </w:p>
      </w:sdtContent>
    </w:sdt>
    <w:p w14:paraId="777033AF" w14:textId="77777777" w:rsidR="00F27F01" w:rsidRPr="000020F0" w:rsidRDefault="00F27F01" w:rsidP="00BD1D20">
      <w:pPr>
        <w:spacing w:line="276" w:lineRule="auto"/>
        <w:rPr>
          <w:rFonts w:asciiTheme="majorHAnsi" w:eastAsiaTheme="majorEastAsia" w:hAnsiTheme="majorHAnsi" w:cstheme="majorHAnsi"/>
          <w:b/>
          <w:bCs/>
          <w:color w:val="365F91" w:themeColor="accent1" w:themeShade="BF"/>
        </w:rPr>
      </w:pPr>
    </w:p>
    <w:p w14:paraId="062A412E" w14:textId="1756C92B" w:rsidR="003836D1" w:rsidRPr="000020F0" w:rsidRDefault="003836D1" w:rsidP="00BD1D20">
      <w:pPr>
        <w:spacing w:line="276" w:lineRule="auto"/>
        <w:rPr>
          <w:rFonts w:asciiTheme="majorHAnsi" w:eastAsiaTheme="majorEastAsia" w:hAnsiTheme="majorHAnsi" w:cstheme="majorHAnsi"/>
          <w:b/>
          <w:bCs/>
          <w:color w:val="365F91" w:themeColor="accent1" w:themeShade="BF"/>
        </w:rPr>
      </w:pPr>
      <w:r w:rsidRPr="000020F0">
        <w:rPr>
          <w:rFonts w:asciiTheme="majorHAnsi" w:eastAsiaTheme="majorEastAsia" w:hAnsiTheme="majorHAnsi" w:cstheme="majorHAnsi"/>
          <w:b/>
          <w:bCs/>
          <w:color w:val="365F91" w:themeColor="accent1" w:themeShade="BF"/>
        </w:rPr>
        <w:t xml:space="preserve">KAZALO </w:t>
      </w:r>
      <w:r w:rsidR="007440F3" w:rsidRPr="000020F0">
        <w:rPr>
          <w:rFonts w:asciiTheme="majorHAnsi" w:eastAsiaTheme="majorEastAsia" w:hAnsiTheme="majorHAnsi" w:cstheme="majorHAnsi"/>
          <w:b/>
          <w:bCs/>
          <w:color w:val="365F91" w:themeColor="accent1" w:themeShade="BF"/>
        </w:rPr>
        <w:t>TABEL</w:t>
      </w:r>
    </w:p>
    <w:p w14:paraId="1AB21609" w14:textId="303AD099" w:rsidR="00BD7903" w:rsidRPr="00BD7903" w:rsidRDefault="00050C93">
      <w:pPr>
        <w:pStyle w:val="Kazaloslik"/>
        <w:tabs>
          <w:tab w:val="right" w:leader="dot" w:pos="9062"/>
        </w:tabs>
        <w:rPr>
          <w:rFonts w:cstheme="minorHAnsi"/>
          <w:smallCaps w:val="0"/>
          <w:noProof/>
          <w:kern w:val="2"/>
          <w14:ligatures w14:val="standardContextual"/>
        </w:rPr>
      </w:pPr>
      <w:r w:rsidRPr="000020F0">
        <w:rPr>
          <w:rFonts w:asciiTheme="majorHAnsi" w:hAnsiTheme="majorHAnsi" w:cstheme="majorHAnsi"/>
          <w:highlight w:val="yellow"/>
        </w:rPr>
        <w:fldChar w:fldCharType="begin"/>
      </w:r>
      <w:r w:rsidR="003836D1" w:rsidRPr="000020F0">
        <w:rPr>
          <w:rFonts w:asciiTheme="majorHAnsi" w:hAnsiTheme="majorHAnsi" w:cstheme="majorHAnsi"/>
          <w:highlight w:val="yellow"/>
        </w:rPr>
        <w:instrText xml:space="preserve"> TOC \h \z \c "Tabela" </w:instrText>
      </w:r>
      <w:r w:rsidRPr="000020F0">
        <w:rPr>
          <w:rFonts w:asciiTheme="majorHAnsi" w:hAnsiTheme="majorHAnsi" w:cstheme="majorHAnsi"/>
          <w:highlight w:val="yellow"/>
        </w:rPr>
        <w:fldChar w:fldCharType="separate"/>
      </w:r>
      <w:hyperlink w:anchor="_Toc230882281" w:history="1">
        <w:r w:rsidR="00BD7903" w:rsidRPr="00BD7903">
          <w:rPr>
            <w:rStyle w:val="Hiperpovezava"/>
            <w:rFonts w:cstheme="minorHAnsi"/>
            <w:noProof/>
            <w:lang w:eastAsia="en-US"/>
          </w:rPr>
          <w:t>Tabela 1: Ključni podatki o projektu</w:t>
        </w:r>
        <w:r w:rsidR="00BD7903" w:rsidRPr="00BD7903">
          <w:rPr>
            <w:rFonts w:cstheme="minorHAnsi"/>
            <w:noProof/>
            <w:webHidden/>
          </w:rPr>
          <w:tab/>
        </w:r>
        <w:r w:rsidR="00BD7903" w:rsidRPr="00BD7903">
          <w:rPr>
            <w:rFonts w:cstheme="minorHAnsi"/>
            <w:noProof/>
            <w:webHidden/>
          </w:rPr>
          <w:fldChar w:fldCharType="begin"/>
        </w:r>
        <w:r w:rsidR="00BD7903" w:rsidRPr="00BD7903">
          <w:rPr>
            <w:rFonts w:cstheme="minorHAnsi"/>
            <w:noProof/>
            <w:webHidden/>
          </w:rPr>
          <w:instrText xml:space="preserve"> PAGEREF _Toc230882281 \h </w:instrText>
        </w:r>
        <w:r w:rsidR="00BD7903" w:rsidRPr="00BD7903">
          <w:rPr>
            <w:rFonts w:cstheme="minorHAnsi"/>
            <w:noProof/>
            <w:webHidden/>
          </w:rPr>
        </w:r>
        <w:r w:rsidR="00BD7903" w:rsidRPr="00BD7903">
          <w:rPr>
            <w:rFonts w:cstheme="minorHAnsi"/>
            <w:noProof/>
            <w:webHidden/>
          </w:rPr>
          <w:fldChar w:fldCharType="separate"/>
        </w:r>
        <w:r w:rsidR="00BB0C0C">
          <w:rPr>
            <w:rFonts w:cstheme="minorHAnsi"/>
            <w:noProof/>
            <w:webHidden/>
          </w:rPr>
          <w:t>10</w:t>
        </w:r>
        <w:r w:rsidR="00BD7903" w:rsidRPr="00BD7903">
          <w:rPr>
            <w:rFonts w:cstheme="minorHAnsi"/>
            <w:noProof/>
            <w:webHidden/>
          </w:rPr>
          <w:fldChar w:fldCharType="end"/>
        </w:r>
      </w:hyperlink>
    </w:p>
    <w:p w14:paraId="3D0408A6" w14:textId="3E7AF1E4" w:rsidR="00BD7903" w:rsidRPr="00BD7903" w:rsidRDefault="00BD7903">
      <w:pPr>
        <w:pStyle w:val="Kazaloslik"/>
        <w:tabs>
          <w:tab w:val="right" w:leader="dot" w:pos="9062"/>
        </w:tabs>
        <w:rPr>
          <w:rFonts w:cstheme="minorHAnsi"/>
          <w:smallCaps w:val="0"/>
          <w:noProof/>
          <w:kern w:val="2"/>
          <w14:ligatures w14:val="standardContextual"/>
        </w:rPr>
      </w:pPr>
      <w:hyperlink w:anchor="_Toc230882282" w:history="1">
        <w:r w:rsidRPr="00BD7903">
          <w:rPr>
            <w:rStyle w:val="Hiperpovezava"/>
            <w:rFonts w:cstheme="minorHAnsi"/>
            <w:noProof/>
            <w:lang w:eastAsia="en-US"/>
          </w:rPr>
          <w:t xml:space="preserve">Tabela 2: Kazalniki vezani na </w:t>
        </w:r>
        <w:r w:rsidRPr="00BD7903">
          <w:rPr>
            <w:rStyle w:val="Hiperpovezava"/>
            <w:rFonts w:cstheme="minorHAnsi"/>
            <w:noProof/>
          </w:rPr>
          <w:t>JR EKP UTM 2025</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_Toc230882282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17</w:t>
        </w:r>
        <w:r w:rsidRPr="00BD7903">
          <w:rPr>
            <w:rFonts w:cstheme="minorHAnsi"/>
            <w:noProof/>
            <w:webHidden/>
          </w:rPr>
          <w:fldChar w:fldCharType="end"/>
        </w:r>
      </w:hyperlink>
    </w:p>
    <w:p w14:paraId="5ECC96AE" w14:textId="18B70E3E" w:rsidR="00BD7903" w:rsidRPr="00BD7903" w:rsidRDefault="00BD7903">
      <w:pPr>
        <w:pStyle w:val="Kazaloslik"/>
        <w:tabs>
          <w:tab w:val="right" w:leader="dot" w:pos="9062"/>
        </w:tabs>
        <w:rPr>
          <w:rFonts w:cstheme="minorHAnsi"/>
          <w:smallCaps w:val="0"/>
          <w:noProof/>
          <w:kern w:val="2"/>
          <w14:ligatures w14:val="standardContextual"/>
        </w:rPr>
      </w:pPr>
      <w:hyperlink w:anchor="_Toc230882283" w:history="1">
        <w:r w:rsidRPr="00BD7903">
          <w:rPr>
            <w:rStyle w:val="Hiperpovezava"/>
            <w:rFonts w:eastAsia="Arial Unicode MS" w:cstheme="minorHAnsi"/>
            <w:noProof/>
          </w:rPr>
          <w:t>Tabela 3: Določitev vrste investicije</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_Toc230882283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33</w:t>
        </w:r>
        <w:r w:rsidRPr="00BD7903">
          <w:rPr>
            <w:rFonts w:cstheme="minorHAnsi"/>
            <w:noProof/>
            <w:webHidden/>
          </w:rPr>
          <w:fldChar w:fldCharType="end"/>
        </w:r>
      </w:hyperlink>
    </w:p>
    <w:p w14:paraId="69BD6AE6" w14:textId="362CC5E5" w:rsidR="00BD7903" w:rsidRPr="00BD7903" w:rsidRDefault="00BD7903">
      <w:pPr>
        <w:pStyle w:val="Kazaloslik"/>
        <w:tabs>
          <w:tab w:val="right" w:leader="dot" w:pos="9062"/>
        </w:tabs>
        <w:rPr>
          <w:rFonts w:cstheme="minorHAnsi"/>
          <w:smallCaps w:val="0"/>
          <w:noProof/>
          <w:kern w:val="2"/>
          <w14:ligatures w14:val="standardContextual"/>
        </w:rPr>
      </w:pPr>
      <w:hyperlink w:anchor="_Toc230882284" w:history="1">
        <w:r w:rsidRPr="00BD7903">
          <w:rPr>
            <w:rStyle w:val="Hiperpovezava"/>
            <w:rFonts w:cstheme="minorHAnsi"/>
            <w:noProof/>
          </w:rPr>
          <w:t>Tabela 4: Prikaz stroškov projekta v stalnih cenah brez in z DDV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_Toc230882284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34</w:t>
        </w:r>
        <w:r w:rsidRPr="00BD7903">
          <w:rPr>
            <w:rFonts w:cstheme="minorHAnsi"/>
            <w:noProof/>
            <w:webHidden/>
          </w:rPr>
          <w:fldChar w:fldCharType="end"/>
        </w:r>
      </w:hyperlink>
    </w:p>
    <w:p w14:paraId="22BAE3A8" w14:textId="0C7DD857" w:rsidR="00BD7903" w:rsidRPr="00BD7903" w:rsidRDefault="00BD7903">
      <w:pPr>
        <w:pStyle w:val="Kazaloslik"/>
        <w:tabs>
          <w:tab w:val="right" w:leader="dot" w:pos="9062"/>
        </w:tabs>
        <w:rPr>
          <w:rFonts w:cstheme="minorHAnsi"/>
          <w:smallCaps w:val="0"/>
          <w:noProof/>
          <w:kern w:val="2"/>
          <w14:ligatures w14:val="standardContextual"/>
        </w:rPr>
      </w:pPr>
      <w:hyperlink w:anchor="_Toc230882285" w:history="1">
        <w:r w:rsidRPr="00BD7903">
          <w:rPr>
            <w:rStyle w:val="Hiperpovezava"/>
            <w:rFonts w:cstheme="minorHAnsi"/>
            <w:noProof/>
          </w:rPr>
          <w:t>Tabela 5: Prikaz stroškov projekta v tekočih cenah brez in z DDV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_Toc230882285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35</w:t>
        </w:r>
        <w:r w:rsidRPr="00BD7903">
          <w:rPr>
            <w:rFonts w:cstheme="minorHAnsi"/>
            <w:noProof/>
            <w:webHidden/>
          </w:rPr>
          <w:fldChar w:fldCharType="end"/>
        </w:r>
      </w:hyperlink>
    </w:p>
    <w:p w14:paraId="76BC5F4C" w14:textId="27421B55" w:rsidR="00BD7903" w:rsidRPr="00BD7903" w:rsidRDefault="00BD7903">
      <w:pPr>
        <w:pStyle w:val="Kazaloslik"/>
        <w:tabs>
          <w:tab w:val="right" w:leader="dot" w:pos="9062"/>
        </w:tabs>
        <w:rPr>
          <w:rFonts w:cstheme="minorHAnsi"/>
          <w:smallCaps w:val="0"/>
          <w:noProof/>
          <w:kern w:val="2"/>
          <w14:ligatures w14:val="standardContextual"/>
        </w:rPr>
      </w:pPr>
      <w:hyperlink w:anchor="_Toc230882286" w:history="1">
        <w:r w:rsidRPr="00BD7903">
          <w:rPr>
            <w:rStyle w:val="Hiperpovezava"/>
            <w:rFonts w:cstheme="minorHAnsi"/>
            <w:noProof/>
          </w:rPr>
          <w:t>Tabela 6: Predvidena finančna konstrukcija v tekočih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_Toc230882286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36</w:t>
        </w:r>
        <w:r w:rsidRPr="00BD7903">
          <w:rPr>
            <w:rFonts w:cstheme="minorHAnsi"/>
            <w:noProof/>
            <w:webHidden/>
          </w:rPr>
          <w:fldChar w:fldCharType="end"/>
        </w:r>
      </w:hyperlink>
    </w:p>
    <w:p w14:paraId="33A0DA73" w14:textId="0520DA6F" w:rsidR="00BD7903" w:rsidRPr="00BD7903" w:rsidRDefault="00BD7903">
      <w:pPr>
        <w:pStyle w:val="Kazaloslik"/>
        <w:tabs>
          <w:tab w:val="right" w:leader="dot" w:pos="9062"/>
        </w:tabs>
        <w:rPr>
          <w:rFonts w:cstheme="minorHAnsi"/>
          <w:smallCaps w:val="0"/>
          <w:noProof/>
          <w:kern w:val="2"/>
          <w14:ligatures w14:val="standardContextual"/>
        </w:rPr>
      </w:pPr>
      <w:hyperlink w:anchor="_Toc230882287" w:history="1">
        <w:r w:rsidRPr="00BD7903">
          <w:rPr>
            <w:rStyle w:val="Hiperpovezava"/>
            <w:rFonts w:cstheme="minorHAnsi"/>
            <w:noProof/>
          </w:rPr>
          <w:t>Tabela 7: Zbirni prikaz rezultatov izračunov celotnega projekta</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_Toc230882287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37</w:t>
        </w:r>
        <w:r w:rsidRPr="00BD7903">
          <w:rPr>
            <w:rFonts w:cstheme="minorHAnsi"/>
            <w:noProof/>
            <w:webHidden/>
          </w:rPr>
          <w:fldChar w:fldCharType="end"/>
        </w:r>
      </w:hyperlink>
    </w:p>
    <w:p w14:paraId="3CE940B9" w14:textId="3D96107D" w:rsidR="00BD7903" w:rsidRPr="00BD7903" w:rsidRDefault="00BD7903">
      <w:pPr>
        <w:pStyle w:val="Kazaloslik"/>
        <w:tabs>
          <w:tab w:val="right" w:leader="dot" w:pos="9062"/>
        </w:tabs>
        <w:rPr>
          <w:rFonts w:cstheme="minorHAnsi"/>
          <w:smallCaps w:val="0"/>
          <w:noProof/>
          <w:kern w:val="2"/>
          <w14:ligatures w14:val="standardContextual"/>
        </w:rPr>
      </w:pPr>
      <w:hyperlink w:anchor="_Toc230882288" w:history="1">
        <w:r w:rsidRPr="00BD7903">
          <w:rPr>
            <w:rStyle w:val="Hiperpovezava"/>
            <w:rFonts w:cstheme="minorHAnsi"/>
            <w:noProof/>
          </w:rPr>
          <w:t>Tabela 8: Pregled izpolnjevanja pogojev javnega razpisa</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_Toc230882288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39</w:t>
        </w:r>
        <w:r w:rsidRPr="00BD7903">
          <w:rPr>
            <w:rFonts w:cstheme="minorHAnsi"/>
            <w:noProof/>
            <w:webHidden/>
          </w:rPr>
          <w:fldChar w:fldCharType="end"/>
        </w:r>
      </w:hyperlink>
    </w:p>
    <w:p w14:paraId="5B64D5F8" w14:textId="3B0251E7" w:rsidR="00BD7903" w:rsidRPr="00BD7903" w:rsidRDefault="00BD7903">
      <w:pPr>
        <w:pStyle w:val="Kazaloslik"/>
        <w:tabs>
          <w:tab w:val="right" w:leader="dot" w:pos="9062"/>
        </w:tabs>
        <w:rPr>
          <w:rFonts w:cstheme="minorHAnsi"/>
          <w:smallCaps w:val="0"/>
          <w:noProof/>
          <w:kern w:val="2"/>
          <w14:ligatures w14:val="standardContextual"/>
        </w:rPr>
      </w:pPr>
      <w:hyperlink w:anchor="_Toc230882289" w:history="1">
        <w:r w:rsidRPr="00BD7903">
          <w:rPr>
            <w:rStyle w:val="Hiperpovezava"/>
            <w:rFonts w:cstheme="minorHAnsi"/>
            <w:noProof/>
          </w:rPr>
          <w:t>Tabela 9: Prikaz stroškov projekta v stalnih cenah brez in z DDV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_Toc230882289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79</w:t>
        </w:r>
        <w:r w:rsidRPr="00BD7903">
          <w:rPr>
            <w:rFonts w:cstheme="minorHAnsi"/>
            <w:noProof/>
            <w:webHidden/>
          </w:rPr>
          <w:fldChar w:fldCharType="end"/>
        </w:r>
      </w:hyperlink>
    </w:p>
    <w:p w14:paraId="46715FFD" w14:textId="0293A26D" w:rsidR="00BD7903" w:rsidRPr="00BD7903" w:rsidRDefault="00BD7903">
      <w:pPr>
        <w:pStyle w:val="Kazaloslik"/>
        <w:tabs>
          <w:tab w:val="right" w:leader="dot" w:pos="9062"/>
        </w:tabs>
        <w:rPr>
          <w:rFonts w:cstheme="minorHAnsi"/>
          <w:smallCaps w:val="0"/>
          <w:noProof/>
          <w:kern w:val="2"/>
          <w14:ligatures w14:val="standardContextual"/>
        </w:rPr>
      </w:pPr>
      <w:hyperlink w:anchor="_Toc230882290" w:history="1">
        <w:r w:rsidRPr="00BD7903">
          <w:rPr>
            <w:rStyle w:val="Hiperpovezava"/>
            <w:rFonts w:cstheme="minorHAnsi"/>
            <w:noProof/>
          </w:rPr>
          <w:t>Tabela 10: Prikaz stroškov projekta v tekočih cenah brez in z DDV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_Toc230882290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80</w:t>
        </w:r>
        <w:r w:rsidRPr="00BD7903">
          <w:rPr>
            <w:rFonts w:cstheme="minorHAnsi"/>
            <w:noProof/>
            <w:webHidden/>
          </w:rPr>
          <w:fldChar w:fldCharType="end"/>
        </w:r>
      </w:hyperlink>
    </w:p>
    <w:p w14:paraId="067C3F09" w14:textId="261FE575" w:rsidR="00BD7903" w:rsidRPr="00BD7903" w:rsidRDefault="00BD7903">
      <w:pPr>
        <w:pStyle w:val="Kazaloslik"/>
        <w:tabs>
          <w:tab w:val="right" w:leader="dot" w:pos="9062"/>
        </w:tabs>
        <w:rPr>
          <w:rFonts w:cstheme="minorHAnsi"/>
          <w:smallCaps w:val="0"/>
          <w:noProof/>
          <w:kern w:val="2"/>
          <w14:ligatures w14:val="standardContextual"/>
        </w:rPr>
      </w:pPr>
      <w:hyperlink w:anchor="_Toc230882291" w:history="1">
        <w:r w:rsidRPr="00BD7903">
          <w:rPr>
            <w:rStyle w:val="Hiperpovezava"/>
            <w:rFonts w:cstheme="minorHAnsi"/>
            <w:noProof/>
          </w:rPr>
          <w:t>Tabela 11: Ocena vrednosti investicije glede na upravičenost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_Toc230882291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85</w:t>
        </w:r>
        <w:r w:rsidRPr="00BD7903">
          <w:rPr>
            <w:rFonts w:cstheme="minorHAnsi"/>
            <w:noProof/>
            <w:webHidden/>
          </w:rPr>
          <w:fldChar w:fldCharType="end"/>
        </w:r>
      </w:hyperlink>
    </w:p>
    <w:p w14:paraId="678AF2BE" w14:textId="4CB7750E" w:rsidR="00BD7903" w:rsidRPr="00BD7903" w:rsidRDefault="00BD7903">
      <w:pPr>
        <w:pStyle w:val="Kazaloslik"/>
        <w:tabs>
          <w:tab w:val="right" w:leader="dot" w:pos="9062"/>
        </w:tabs>
        <w:rPr>
          <w:rFonts w:cstheme="minorHAnsi"/>
          <w:smallCaps w:val="0"/>
          <w:noProof/>
          <w:kern w:val="2"/>
          <w14:ligatures w14:val="standardContextual"/>
        </w:rPr>
      </w:pPr>
      <w:hyperlink w:anchor="_Toc230882292" w:history="1">
        <w:r w:rsidRPr="00BD7903">
          <w:rPr>
            <w:rStyle w:val="Hiperpovezava"/>
            <w:rFonts w:cstheme="minorHAnsi"/>
            <w:noProof/>
          </w:rPr>
          <w:t>Tabela 12: Ocena vrednosti investicije glede na upravičenost v tekočih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_Toc230882292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87</w:t>
        </w:r>
        <w:r w:rsidRPr="00BD7903">
          <w:rPr>
            <w:rFonts w:cstheme="minorHAnsi"/>
            <w:noProof/>
            <w:webHidden/>
          </w:rPr>
          <w:fldChar w:fldCharType="end"/>
        </w:r>
      </w:hyperlink>
    </w:p>
    <w:p w14:paraId="588F3EE2" w14:textId="21B0C8DB" w:rsidR="00BD7903" w:rsidRPr="00BD7903" w:rsidRDefault="00BD7903">
      <w:pPr>
        <w:pStyle w:val="Kazaloslik"/>
        <w:tabs>
          <w:tab w:val="right" w:leader="dot" w:pos="9062"/>
        </w:tabs>
        <w:rPr>
          <w:rFonts w:cstheme="minorHAnsi"/>
          <w:smallCaps w:val="0"/>
          <w:noProof/>
          <w:kern w:val="2"/>
          <w14:ligatures w14:val="standardContextual"/>
        </w:rPr>
      </w:pPr>
      <w:hyperlink w:anchor="_Toc230882293" w:history="1">
        <w:r w:rsidRPr="00BD7903">
          <w:rPr>
            <w:rStyle w:val="Hiperpovezava"/>
            <w:rFonts w:cstheme="minorHAnsi"/>
            <w:noProof/>
          </w:rPr>
          <w:t xml:space="preserve">Tabela 13: </w:t>
        </w:r>
        <w:r w:rsidRPr="00BD7903">
          <w:rPr>
            <w:rStyle w:val="Hiperpovezava"/>
            <w:rFonts w:eastAsia="Arial" w:cstheme="minorHAnsi"/>
            <w:noProof/>
          </w:rPr>
          <w:t>Okoljski vplivi</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_Toc230882293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97</w:t>
        </w:r>
        <w:r w:rsidRPr="00BD7903">
          <w:rPr>
            <w:rFonts w:cstheme="minorHAnsi"/>
            <w:noProof/>
            <w:webHidden/>
          </w:rPr>
          <w:fldChar w:fldCharType="end"/>
        </w:r>
      </w:hyperlink>
    </w:p>
    <w:p w14:paraId="0A6C5878" w14:textId="6E59E674" w:rsidR="00BD7903" w:rsidRPr="00BD7903" w:rsidRDefault="00BD7903">
      <w:pPr>
        <w:pStyle w:val="Kazaloslik"/>
        <w:tabs>
          <w:tab w:val="right" w:leader="dot" w:pos="9062"/>
        </w:tabs>
        <w:rPr>
          <w:rFonts w:cstheme="minorHAnsi"/>
          <w:smallCaps w:val="0"/>
          <w:noProof/>
          <w:kern w:val="2"/>
          <w14:ligatures w14:val="standardContextual"/>
        </w:rPr>
      </w:pPr>
      <w:hyperlink w:anchor="_Toc230882294" w:history="1">
        <w:r w:rsidRPr="00BD7903">
          <w:rPr>
            <w:rStyle w:val="Hiperpovezava"/>
            <w:rFonts w:cstheme="minorHAnsi"/>
            <w:noProof/>
            <w:lang w:eastAsia="en-US"/>
          </w:rPr>
          <w:t>Tabela 14: Terminski plan izvajanja projekta</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_Toc230882294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101</w:t>
        </w:r>
        <w:r w:rsidRPr="00BD7903">
          <w:rPr>
            <w:rFonts w:cstheme="minorHAnsi"/>
            <w:noProof/>
            <w:webHidden/>
          </w:rPr>
          <w:fldChar w:fldCharType="end"/>
        </w:r>
      </w:hyperlink>
    </w:p>
    <w:p w14:paraId="798AAA70" w14:textId="122D9316" w:rsidR="00BD7903" w:rsidRPr="00BD7903" w:rsidRDefault="00BD7903">
      <w:pPr>
        <w:pStyle w:val="Kazaloslik"/>
        <w:tabs>
          <w:tab w:val="right" w:leader="dot" w:pos="9062"/>
        </w:tabs>
        <w:rPr>
          <w:rFonts w:cstheme="minorHAnsi"/>
          <w:smallCaps w:val="0"/>
          <w:noProof/>
          <w:kern w:val="2"/>
          <w14:ligatures w14:val="standardContextual"/>
        </w:rPr>
      </w:pPr>
      <w:hyperlink w:anchor="_Toc230882295" w:history="1">
        <w:r w:rsidRPr="00BD7903">
          <w:rPr>
            <w:rStyle w:val="Hiperpovezava"/>
            <w:rFonts w:cstheme="minorHAnsi"/>
            <w:noProof/>
          </w:rPr>
          <w:t>Tabela 15: Finančni terminski plan investicije v stalnih cenah</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_Toc230882295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103</w:t>
        </w:r>
        <w:r w:rsidRPr="00BD7903">
          <w:rPr>
            <w:rFonts w:cstheme="minorHAnsi"/>
            <w:noProof/>
            <w:webHidden/>
          </w:rPr>
          <w:fldChar w:fldCharType="end"/>
        </w:r>
      </w:hyperlink>
    </w:p>
    <w:p w14:paraId="57B98964" w14:textId="676E42E5" w:rsidR="00BD7903" w:rsidRPr="00BD7903" w:rsidRDefault="00BD7903">
      <w:pPr>
        <w:pStyle w:val="Kazaloslik"/>
        <w:tabs>
          <w:tab w:val="right" w:leader="dot" w:pos="9062"/>
        </w:tabs>
        <w:rPr>
          <w:rFonts w:cstheme="minorHAnsi"/>
          <w:smallCaps w:val="0"/>
          <w:noProof/>
          <w:kern w:val="2"/>
          <w14:ligatures w14:val="standardContextual"/>
        </w:rPr>
      </w:pPr>
      <w:hyperlink w:anchor="_Toc230882296" w:history="1">
        <w:r w:rsidRPr="00BD7903">
          <w:rPr>
            <w:rStyle w:val="Hiperpovezava"/>
            <w:rFonts w:cstheme="minorHAnsi"/>
            <w:noProof/>
          </w:rPr>
          <w:t>Tabela 16: Dinamika financiranja v stalnih cenah</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_Toc230882296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104</w:t>
        </w:r>
        <w:r w:rsidRPr="00BD7903">
          <w:rPr>
            <w:rFonts w:cstheme="minorHAnsi"/>
            <w:noProof/>
            <w:webHidden/>
          </w:rPr>
          <w:fldChar w:fldCharType="end"/>
        </w:r>
      </w:hyperlink>
    </w:p>
    <w:p w14:paraId="03D8A12A" w14:textId="57C15FDA" w:rsidR="00BD7903" w:rsidRPr="00BD7903" w:rsidRDefault="00BD7903">
      <w:pPr>
        <w:pStyle w:val="Kazaloslik"/>
        <w:tabs>
          <w:tab w:val="right" w:leader="dot" w:pos="9062"/>
        </w:tabs>
        <w:rPr>
          <w:rFonts w:cstheme="minorHAnsi"/>
          <w:smallCaps w:val="0"/>
          <w:noProof/>
          <w:kern w:val="2"/>
          <w14:ligatures w14:val="standardContextual"/>
        </w:rPr>
      </w:pPr>
      <w:hyperlink w:anchor="_Toc230882297" w:history="1">
        <w:r w:rsidRPr="00BD7903">
          <w:rPr>
            <w:rStyle w:val="Hiperpovezava"/>
            <w:rFonts w:cstheme="minorHAnsi"/>
            <w:noProof/>
          </w:rPr>
          <w:t>Tabela 17: Finančni terminski plan investicije v tekočih cenah</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_Toc230882297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105</w:t>
        </w:r>
        <w:r w:rsidRPr="00BD7903">
          <w:rPr>
            <w:rFonts w:cstheme="minorHAnsi"/>
            <w:noProof/>
            <w:webHidden/>
          </w:rPr>
          <w:fldChar w:fldCharType="end"/>
        </w:r>
      </w:hyperlink>
    </w:p>
    <w:p w14:paraId="28AB87F3" w14:textId="46F5D6D2" w:rsidR="00BD7903" w:rsidRPr="00BD7903" w:rsidRDefault="00BD7903">
      <w:pPr>
        <w:pStyle w:val="Kazaloslik"/>
        <w:tabs>
          <w:tab w:val="right" w:leader="dot" w:pos="9062"/>
        </w:tabs>
        <w:rPr>
          <w:rFonts w:cstheme="minorHAnsi"/>
          <w:smallCaps w:val="0"/>
          <w:noProof/>
          <w:kern w:val="2"/>
          <w14:ligatures w14:val="standardContextual"/>
        </w:rPr>
      </w:pPr>
      <w:hyperlink w:anchor="_Toc230882298" w:history="1">
        <w:r w:rsidRPr="00BD7903">
          <w:rPr>
            <w:rStyle w:val="Hiperpovezava"/>
            <w:rFonts w:cstheme="minorHAnsi"/>
            <w:noProof/>
          </w:rPr>
          <w:t>Tabela 18: Dinamika financiranja v tekočih cenah</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_Toc230882298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106</w:t>
        </w:r>
        <w:r w:rsidRPr="00BD7903">
          <w:rPr>
            <w:rFonts w:cstheme="minorHAnsi"/>
            <w:noProof/>
            <w:webHidden/>
          </w:rPr>
          <w:fldChar w:fldCharType="end"/>
        </w:r>
      </w:hyperlink>
    </w:p>
    <w:p w14:paraId="578B37E3" w14:textId="6F9105B1" w:rsidR="00BD7903" w:rsidRPr="00BD7903" w:rsidRDefault="00BD7903">
      <w:pPr>
        <w:pStyle w:val="Kazaloslik"/>
        <w:tabs>
          <w:tab w:val="right" w:leader="dot" w:pos="9062"/>
        </w:tabs>
        <w:rPr>
          <w:rFonts w:cstheme="minorHAnsi"/>
          <w:smallCaps w:val="0"/>
          <w:noProof/>
          <w:kern w:val="2"/>
          <w14:ligatures w14:val="standardContextual"/>
        </w:rPr>
      </w:pPr>
      <w:hyperlink w:anchor="_Toc230882299" w:history="1">
        <w:r w:rsidRPr="00BD7903">
          <w:rPr>
            <w:rStyle w:val="Hiperpovezava"/>
            <w:rFonts w:cstheme="minorHAnsi"/>
            <w:noProof/>
          </w:rPr>
          <w:t>Tabela 19: Finančni terminski plan investicije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_Toc230882299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110</w:t>
        </w:r>
        <w:r w:rsidRPr="00BD7903">
          <w:rPr>
            <w:rFonts w:cstheme="minorHAnsi"/>
            <w:noProof/>
            <w:webHidden/>
          </w:rPr>
          <w:fldChar w:fldCharType="end"/>
        </w:r>
      </w:hyperlink>
    </w:p>
    <w:p w14:paraId="12EBEBAA" w14:textId="37672A38" w:rsidR="00BD7903" w:rsidRPr="00BD7903" w:rsidRDefault="00BD7903">
      <w:pPr>
        <w:pStyle w:val="Kazaloslik"/>
        <w:tabs>
          <w:tab w:val="right" w:leader="dot" w:pos="9062"/>
        </w:tabs>
        <w:rPr>
          <w:rFonts w:cstheme="minorHAnsi"/>
          <w:smallCaps w:val="0"/>
          <w:noProof/>
          <w:kern w:val="2"/>
          <w14:ligatures w14:val="standardContextual"/>
        </w:rPr>
      </w:pPr>
      <w:hyperlink w:anchor="_Toc230882300" w:history="1">
        <w:r w:rsidRPr="00BD7903">
          <w:rPr>
            <w:rStyle w:val="Hiperpovezava"/>
            <w:rFonts w:cstheme="minorHAnsi"/>
            <w:noProof/>
          </w:rPr>
          <w:t>Tabela 20: Finančni terminski plan upravičenih stroškov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_Toc230882300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111</w:t>
        </w:r>
        <w:r w:rsidRPr="00BD7903">
          <w:rPr>
            <w:rFonts w:cstheme="minorHAnsi"/>
            <w:noProof/>
            <w:webHidden/>
          </w:rPr>
          <w:fldChar w:fldCharType="end"/>
        </w:r>
      </w:hyperlink>
    </w:p>
    <w:p w14:paraId="7FBC9752" w14:textId="186EC358" w:rsidR="00BD7903" w:rsidRPr="00BD7903" w:rsidRDefault="00BD7903">
      <w:pPr>
        <w:pStyle w:val="Kazaloslik"/>
        <w:tabs>
          <w:tab w:val="right" w:leader="dot" w:pos="9062"/>
        </w:tabs>
        <w:rPr>
          <w:rFonts w:cstheme="minorHAnsi"/>
          <w:smallCaps w:val="0"/>
          <w:noProof/>
          <w:kern w:val="2"/>
          <w14:ligatures w14:val="standardContextual"/>
        </w:rPr>
      </w:pPr>
      <w:hyperlink w:anchor="_Toc230882301" w:history="1">
        <w:r w:rsidRPr="00BD7903">
          <w:rPr>
            <w:rStyle w:val="Hiperpovezava"/>
            <w:rFonts w:cstheme="minorHAnsi"/>
            <w:noProof/>
          </w:rPr>
          <w:t>Tabela 21: Finančni terminski plan neupravičenih stroškov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_Toc230882301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113</w:t>
        </w:r>
        <w:r w:rsidRPr="00BD7903">
          <w:rPr>
            <w:rFonts w:cstheme="minorHAnsi"/>
            <w:noProof/>
            <w:webHidden/>
          </w:rPr>
          <w:fldChar w:fldCharType="end"/>
        </w:r>
      </w:hyperlink>
    </w:p>
    <w:p w14:paraId="01061855" w14:textId="3FD47A2D" w:rsidR="00BD7903" w:rsidRPr="00BD7903" w:rsidRDefault="00BD7903">
      <w:pPr>
        <w:pStyle w:val="Kazaloslik"/>
        <w:tabs>
          <w:tab w:val="right" w:leader="dot" w:pos="9062"/>
        </w:tabs>
        <w:rPr>
          <w:rFonts w:cstheme="minorHAnsi"/>
          <w:smallCaps w:val="0"/>
          <w:noProof/>
          <w:kern w:val="2"/>
          <w14:ligatures w14:val="standardContextual"/>
        </w:rPr>
      </w:pPr>
      <w:hyperlink w:anchor="_Toc230882302" w:history="1">
        <w:r w:rsidRPr="00BD7903">
          <w:rPr>
            <w:rStyle w:val="Hiperpovezava"/>
            <w:rFonts w:cstheme="minorHAnsi"/>
            <w:noProof/>
          </w:rPr>
          <w:t>Tabela 22: Viri financiranja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_Toc230882302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114</w:t>
        </w:r>
        <w:r w:rsidRPr="00BD7903">
          <w:rPr>
            <w:rFonts w:cstheme="minorHAnsi"/>
            <w:noProof/>
            <w:webHidden/>
          </w:rPr>
          <w:fldChar w:fldCharType="end"/>
        </w:r>
      </w:hyperlink>
    </w:p>
    <w:p w14:paraId="61E02BF3" w14:textId="5D79B028" w:rsidR="00BD7903" w:rsidRPr="00BD7903" w:rsidRDefault="00BD7903">
      <w:pPr>
        <w:pStyle w:val="Kazaloslik"/>
        <w:tabs>
          <w:tab w:val="right" w:leader="dot" w:pos="9062"/>
        </w:tabs>
        <w:rPr>
          <w:rFonts w:cstheme="minorHAnsi"/>
          <w:smallCaps w:val="0"/>
          <w:noProof/>
          <w:kern w:val="2"/>
          <w14:ligatures w14:val="standardContextual"/>
        </w:rPr>
      </w:pPr>
      <w:hyperlink w:anchor="_Toc230882303" w:history="1">
        <w:r w:rsidRPr="00BD7903">
          <w:rPr>
            <w:rStyle w:val="Hiperpovezava"/>
            <w:rFonts w:cstheme="minorHAnsi"/>
            <w:noProof/>
          </w:rPr>
          <w:t>Tabela 23: Finančni terminski plan investicije v tekočih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_Toc230882303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115</w:t>
        </w:r>
        <w:r w:rsidRPr="00BD7903">
          <w:rPr>
            <w:rFonts w:cstheme="minorHAnsi"/>
            <w:noProof/>
            <w:webHidden/>
          </w:rPr>
          <w:fldChar w:fldCharType="end"/>
        </w:r>
      </w:hyperlink>
    </w:p>
    <w:p w14:paraId="7002F685" w14:textId="4BDD0F63" w:rsidR="00BD7903" w:rsidRPr="00BD7903" w:rsidRDefault="00BD7903">
      <w:pPr>
        <w:pStyle w:val="Kazaloslik"/>
        <w:tabs>
          <w:tab w:val="right" w:leader="dot" w:pos="9062"/>
        </w:tabs>
        <w:rPr>
          <w:rFonts w:cstheme="minorHAnsi"/>
          <w:smallCaps w:val="0"/>
          <w:noProof/>
          <w:kern w:val="2"/>
          <w14:ligatures w14:val="standardContextual"/>
        </w:rPr>
      </w:pPr>
      <w:hyperlink w:anchor="_Toc230882304" w:history="1">
        <w:r w:rsidRPr="00BD7903">
          <w:rPr>
            <w:rStyle w:val="Hiperpovezava"/>
            <w:rFonts w:cstheme="minorHAnsi"/>
            <w:noProof/>
          </w:rPr>
          <w:t>Tabela 24: Finančni terminski plan upravičenih stroškov v tekočih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_Toc230882304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116</w:t>
        </w:r>
        <w:r w:rsidRPr="00BD7903">
          <w:rPr>
            <w:rFonts w:cstheme="minorHAnsi"/>
            <w:noProof/>
            <w:webHidden/>
          </w:rPr>
          <w:fldChar w:fldCharType="end"/>
        </w:r>
      </w:hyperlink>
    </w:p>
    <w:p w14:paraId="3CB8518A" w14:textId="04795A4A" w:rsidR="00BD7903" w:rsidRPr="00BD7903" w:rsidRDefault="00BD7903">
      <w:pPr>
        <w:pStyle w:val="Kazaloslik"/>
        <w:tabs>
          <w:tab w:val="right" w:leader="dot" w:pos="9062"/>
        </w:tabs>
        <w:rPr>
          <w:rFonts w:cstheme="minorHAnsi"/>
          <w:smallCaps w:val="0"/>
          <w:noProof/>
          <w:kern w:val="2"/>
          <w14:ligatures w14:val="standardContextual"/>
        </w:rPr>
      </w:pPr>
      <w:hyperlink w:anchor="_Toc230882305" w:history="1">
        <w:r w:rsidRPr="00BD7903">
          <w:rPr>
            <w:rStyle w:val="Hiperpovezava"/>
            <w:rFonts w:cstheme="minorHAnsi"/>
            <w:noProof/>
          </w:rPr>
          <w:t>Tabela 25: Finančni terminski plan neupravičenih stroškov v stalnih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_Toc230882305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118</w:t>
        </w:r>
        <w:r w:rsidRPr="00BD7903">
          <w:rPr>
            <w:rFonts w:cstheme="minorHAnsi"/>
            <w:noProof/>
            <w:webHidden/>
          </w:rPr>
          <w:fldChar w:fldCharType="end"/>
        </w:r>
      </w:hyperlink>
    </w:p>
    <w:p w14:paraId="061CF37A" w14:textId="3BFEA0E3" w:rsidR="00BD7903" w:rsidRPr="00BD7903" w:rsidRDefault="00BD7903">
      <w:pPr>
        <w:pStyle w:val="Kazaloslik"/>
        <w:tabs>
          <w:tab w:val="right" w:leader="dot" w:pos="9062"/>
        </w:tabs>
        <w:rPr>
          <w:rFonts w:cstheme="minorHAnsi"/>
          <w:smallCaps w:val="0"/>
          <w:noProof/>
          <w:kern w:val="2"/>
          <w14:ligatures w14:val="standardContextual"/>
        </w:rPr>
      </w:pPr>
      <w:hyperlink w:anchor="_Toc230882306" w:history="1">
        <w:r w:rsidRPr="00BD7903">
          <w:rPr>
            <w:rStyle w:val="Hiperpovezava"/>
            <w:rFonts w:cstheme="minorHAnsi"/>
            <w:noProof/>
          </w:rPr>
          <w:t>Tabela 26: Viri financiranja v tekočih cenah v EUR</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_Toc230882306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119</w:t>
        </w:r>
        <w:r w:rsidRPr="00BD7903">
          <w:rPr>
            <w:rFonts w:cstheme="minorHAnsi"/>
            <w:noProof/>
            <w:webHidden/>
          </w:rPr>
          <w:fldChar w:fldCharType="end"/>
        </w:r>
      </w:hyperlink>
    </w:p>
    <w:p w14:paraId="1FB548B8" w14:textId="66279321" w:rsidR="00BD7903" w:rsidRPr="00BD7903" w:rsidRDefault="00BD7903">
      <w:pPr>
        <w:pStyle w:val="Kazaloslik"/>
        <w:tabs>
          <w:tab w:val="right" w:leader="dot" w:pos="9062"/>
        </w:tabs>
        <w:rPr>
          <w:rFonts w:cstheme="minorHAnsi"/>
          <w:smallCaps w:val="0"/>
          <w:noProof/>
          <w:kern w:val="2"/>
          <w14:ligatures w14:val="standardContextual"/>
        </w:rPr>
      </w:pPr>
      <w:hyperlink w:anchor="_Toc230882307" w:history="1">
        <w:r w:rsidRPr="00BD7903">
          <w:rPr>
            <w:rStyle w:val="Hiperpovezava"/>
            <w:rFonts w:cstheme="minorHAnsi"/>
            <w:noProof/>
          </w:rPr>
          <w:t>Tabela 27:Prikaz amortizacijske vrednosti</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_Toc230882307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122</w:t>
        </w:r>
        <w:r w:rsidRPr="00BD7903">
          <w:rPr>
            <w:rFonts w:cstheme="minorHAnsi"/>
            <w:noProof/>
            <w:webHidden/>
          </w:rPr>
          <w:fldChar w:fldCharType="end"/>
        </w:r>
      </w:hyperlink>
    </w:p>
    <w:p w14:paraId="08B37391" w14:textId="2FAC31B0" w:rsidR="00BD7903" w:rsidRPr="00BD7903" w:rsidRDefault="00BD7903">
      <w:pPr>
        <w:pStyle w:val="Kazaloslik"/>
        <w:tabs>
          <w:tab w:val="right" w:leader="dot" w:pos="9062"/>
        </w:tabs>
        <w:rPr>
          <w:rFonts w:cstheme="minorHAnsi"/>
          <w:smallCaps w:val="0"/>
          <w:noProof/>
          <w:kern w:val="2"/>
          <w14:ligatures w14:val="standardContextual"/>
        </w:rPr>
      </w:pPr>
      <w:hyperlink w:anchor="_Toc230882308" w:history="1">
        <w:r w:rsidRPr="00BD7903">
          <w:rPr>
            <w:rStyle w:val="Hiperpovezava"/>
            <w:rFonts w:eastAsiaTheme="minorHAnsi" w:cstheme="minorHAnsi"/>
            <w:noProof/>
          </w:rPr>
          <w:t>Tabela 28:</w:t>
        </w:r>
        <w:r w:rsidRPr="00BD7903">
          <w:rPr>
            <w:rStyle w:val="Hiperpovezava"/>
            <w:rFonts w:cstheme="minorHAnsi"/>
            <w:noProof/>
          </w:rPr>
          <w:t xml:space="preserve"> </w:t>
        </w:r>
        <w:r w:rsidRPr="00BD7903">
          <w:rPr>
            <w:rStyle w:val="Hiperpovezava"/>
            <w:rFonts w:eastAsia="ArialNarrow" w:cstheme="minorHAnsi"/>
            <w:noProof/>
          </w:rPr>
          <w:t>Kazalci finančne upravičenosti</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_Toc230882308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128</w:t>
        </w:r>
        <w:r w:rsidRPr="00BD7903">
          <w:rPr>
            <w:rFonts w:cstheme="minorHAnsi"/>
            <w:noProof/>
            <w:webHidden/>
          </w:rPr>
          <w:fldChar w:fldCharType="end"/>
        </w:r>
      </w:hyperlink>
    </w:p>
    <w:p w14:paraId="67654868" w14:textId="65883142" w:rsidR="00BD7903" w:rsidRPr="00BD7903" w:rsidRDefault="00BD7903">
      <w:pPr>
        <w:pStyle w:val="Kazaloslik"/>
        <w:tabs>
          <w:tab w:val="right" w:leader="dot" w:pos="9062"/>
        </w:tabs>
        <w:rPr>
          <w:rFonts w:cstheme="minorHAnsi"/>
          <w:smallCaps w:val="0"/>
          <w:noProof/>
          <w:kern w:val="2"/>
          <w14:ligatures w14:val="standardContextual"/>
        </w:rPr>
      </w:pPr>
      <w:hyperlink w:anchor="_Toc230882309" w:history="1">
        <w:r w:rsidRPr="00BD7903">
          <w:rPr>
            <w:rStyle w:val="Hiperpovezava"/>
            <w:rFonts w:eastAsiaTheme="minorHAnsi" w:cstheme="minorHAnsi"/>
            <w:noProof/>
          </w:rPr>
          <w:t>Tabela 29:</w:t>
        </w:r>
        <w:r w:rsidRPr="00BD7903">
          <w:rPr>
            <w:rStyle w:val="Hiperpovezava"/>
            <w:rFonts w:cstheme="minorHAnsi"/>
            <w:noProof/>
          </w:rPr>
          <w:t xml:space="preserve"> </w:t>
        </w:r>
        <w:r w:rsidRPr="00BD7903">
          <w:rPr>
            <w:rStyle w:val="Hiperpovezava"/>
            <w:rFonts w:eastAsia="ArialNarrow" w:cstheme="minorHAnsi"/>
            <w:noProof/>
          </w:rPr>
          <w:t>Glavni kazalniki finančne analize</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_Toc230882309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129</w:t>
        </w:r>
        <w:r w:rsidRPr="00BD7903">
          <w:rPr>
            <w:rFonts w:cstheme="minorHAnsi"/>
            <w:noProof/>
            <w:webHidden/>
          </w:rPr>
          <w:fldChar w:fldCharType="end"/>
        </w:r>
      </w:hyperlink>
    </w:p>
    <w:p w14:paraId="3397A99B" w14:textId="2B41046B" w:rsidR="00BD7903" w:rsidRPr="00BD7903" w:rsidRDefault="00BD7903">
      <w:pPr>
        <w:pStyle w:val="Kazaloslik"/>
        <w:tabs>
          <w:tab w:val="right" w:leader="dot" w:pos="9062"/>
        </w:tabs>
        <w:rPr>
          <w:rFonts w:cstheme="minorHAnsi"/>
          <w:smallCaps w:val="0"/>
          <w:noProof/>
          <w:kern w:val="2"/>
          <w14:ligatures w14:val="standardContextual"/>
        </w:rPr>
      </w:pPr>
      <w:hyperlink w:anchor="_Toc230882310" w:history="1">
        <w:r w:rsidRPr="00BD7903">
          <w:rPr>
            <w:rStyle w:val="Hiperpovezava"/>
            <w:rFonts w:eastAsiaTheme="minorHAnsi" w:cstheme="minorHAnsi"/>
            <w:noProof/>
          </w:rPr>
          <w:t>Tabela 30:</w:t>
        </w:r>
        <w:r w:rsidRPr="00BD7903">
          <w:rPr>
            <w:rStyle w:val="Hiperpovezava"/>
            <w:rFonts w:cstheme="minorHAnsi"/>
            <w:noProof/>
          </w:rPr>
          <w:t xml:space="preserve"> </w:t>
        </w:r>
        <w:r w:rsidRPr="00BD7903">
          <w:rPr>
            <w:rStyle w:val="Hiperpovezava"/>
            <w:rFonts w:eastAsia="ArialNarrow" w:cstheme="minorHAnsi"/>
            <w:noProof/>
          </w:rPr>
          <w:t>Izračun stopnje primanjkljaja v financiranju</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_Toc230882310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129</w:t>
        </w:r>
        <w:r w:rsidRPr="00BD7903">
          <w:rPr>
            <w:rFonts w:cstheme="minorHAnsi"/>
            <w:noProof/>
            <w:webHidden/>
          </w:rPr>
          <w:fldChar w:fldCharType="end"/>
        </w:r>
      </w:hyperlink>
    </w:p>
    <w:p w14:paraId="5C526165" w14:textId="2F521FE1" w:rsidR="00BD7903" w:rsidRPr="00BD7903" w:rsidRDefault="00BD7903">
      <w:pPr>
        <w:pStyle w:val="Kazaloslik"/>
        <w:tabs>
          <w:tab w:val="right" w:leader="dot" w:pos="9062"/>
        </w:tabs>
        <w:rPr>
          <w:rFonts w:cstheme="minorHAnsi"/>
          <w:smallCaps w:val="0"/>
          <w:noProof/>
          <w:kern w:val="2"/>
          <w14:ligatures w14:val="standardContextual"/>
        </w:rPr>
      </w:pPr>
      <w:hyperlink w:anchor="_Toc230882311" w:history="1">
        <w:r w:rsidRPr="00BD7903">
          <w:rPr>
            <w:rStyle w:val="Hiperpovezava"/>
            <w:rFonts w:cstheme="minorHAnsi"/>
            <w:noProof/>
          </w:rPr>
          <w:t>Tabela 31: Analiza stroškov in koristi za celotni projekt v 30-letni ekonomski dobi</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_Toc230882311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132</w:t>
        </w:r>
        <w:r w:rsidRPr="00BD7903">
          <w:rPr>
            <w:rFonts w:cstheme="minorHAnsi"/>
            <w:noProof/>
            <w:webHidden/>
          </w:rPr>
          <w:fldChar w:fldCharType="end"/>
        </w:r>
      </w:hyperlink>
    </w:p>
    <w:p w14:paraId="5F6F4179" w14:textId="4A4DAD57" w:rsidR="00BD7903" w:rsidRPr="00BD7903" w:rsidRDefault="00BD7903">
      <w:pPr>
        <w:pStyle w:val="Kazaloslik"/>
        <w:tabs>
          <w:tab w:val="right" w:leader="dot" w:pos="9062"/>
        </w:tabs>
        <w:rPr>
          <w:rFonts w:cstheme="minorHAnsi"/>
          <w:smallCaps w:val="0"/>
          <w:noProof/>
          <w:kern w:val="2"/>
          <w14:ligatures w14:val="standardContextual"/>
        </w:rPr>
      </w:pPr>
      <w:hyperlink w:anchor="_Toc230882312" w:history="1">
        <w:r w:rsidRPr="00BD7903">
          <w:rPr>
            <w:rStyle w:val="Hiperpovezava"/>
            <w:rFonts w:cstheme="minorHAnsi"/>
            <w:noProof/>
          </w:rPr>
          <w:t>Tabela 32: Prikaz najpomembnejših ekonomskih kazalnikov celotnega projekta</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_Toc230882312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135</w:t>
        </w:r>
        <w:r w:rsidRPr="00BD7903">
          <w:rPr>
            <w:rFonts w:cstheme="minorHAnsi"/>
            <w:noProof/>
            <w:webHidden/>
          </w:rPr>
          <w:fldChar w:fldCharType="end"/>
        </w:r>
      </w:hyperlink>
    </w:p>
    <w:p w14:paraId="4A2F9A5F" w14:textId="0CC2408A" w:rsidR="00BD7903" w:rsidRPr="00BD7903" w:rsidRDefault="00BD7903">
      <w:pPr>
        <w:pStyle w:val="Kazaloslik"/>
        <w:tabs>
          <w:tab w:val="right" w:leader="dot" w:pos="9062"/>
        </w:tabs>
        <w:rPr>
          <w:rFonts w:cstheme="minorHAnsi"/>
          <w:smallCaps w:val="0"/>
          <w:noProof/>
          <w:kern w:val="2"/>
          <w14:ligatures w14:val="standardContextual"/>
        </w:rPr>
      </w:pPr>
      <w:hyperlink w:anchor="_Toc230882313" w:history="1">
        <w:r w:rsidRPr="00BD7903">
          <w:rPr>
            <w:rStyle w:val="Hiperpovezava"/>
            <w:rFonts w:cstheme="minorHAnsi"/>
            <w:noProof/>
          </w:rPr>
          <w:t>Tabela 33: Analiza tveganj za obravnavan celotni projekt</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_Toc230882313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138</w:t>
        </w:r>
        <w:r w:rsidRPr="00BD7903">
          <w:rPr>
            <w:rFonts w:cstheme="minorHAnsi"/>
            <w:noProof/>
            <w:webHidden/>
          </w:rPr>
          <w:fldChar w:fldCharType="end"/>
        </w:r>
      </w:hyperlink>
    </w:p>
    <w:p w14:paraId="1F41F911" w14:textId="195A64BE" w:rsidR="00BD7903" w:rsidRDefault="00BD7903">
      <w:pPr>
        <w:pStyle w:val="Kazaloslik"/>
        <w:tabs>
          <w:tab w:val="right" w:leader="dot" w:pos="9062"/>
        </w:tabs>
        <w:rPr>
          <w:smallCaps w:val="0"/>
          <w:noProof/>
          <w:kern w:val="2"/>
          <w:sz w:val="24"/>
          <w:szCs w:val="24"/>
          <w14:ligatures w14:val="standardContextual"/>
        </w:rPr>
      </w:pPr>
      <w:hyperlink w:anchor="_Toc230882314" w:history="1">
        <w:r w:rsidRPr="00BD7903">
          <w:rPr>
            <w:rStyle w:val="Hiperpovezava"/>
            <w:rFonts w:eastAsia="Arial Unicode MS" w:cstheme="minorHAnsi"/>
            <w:noProof/>
          </w:rPr>
          <w:t xml:space="preserve">Tabela 34: </w:t>
        </w:r>
        <w:r w:rsidRPr="00BD7903">
          <w:rPr>
            <w:rStyle w:val="Hiperpovezava"/>
            <w:rFonts w:cstheme="minorHAnsi"/>
            <w:noProof/>
          </w:rPr>
          <w:t>Analiza občutljivosti</w:t>
        </w:r>
        <w:r w:rsidRPr="00BD7903">
          <w:rPr>
            <w:rFonts w:cstheme="minorHAnsi"/>
            <w:noProof/>
            <w:webHidden/>
          </w:rPr>
          <w:tab/>
        </w:r>
        <w:r w:rsidRPr="00BD7903">
          <w:rPr>
            <w:rFonts w:cstheme="minorHAnsi"/>
            <w:noProof/>
            <w:webHidden/>
          </w:rPr>
          <w:fldChar w:fldCharType="begin"/>
        </w:r>
        <w:r w:rsidRPr="00BD7903">
          <w:rPr>
            <w:rFonts w:cstheme="minorHAnsi"/>
            <w:noProof/>
            <w:webHidden/>
          </w:rPr>
          <w:instrText xml:space="preserve"> PAGEREF _Toc230882314 \h </w:instrText>
        </w:r>
        <w:r w:rsidRPr="00BD7903">
          <w:rPr>
            <w:rFonts w:cstheme="minorHAnsi"/>
            <w:noProof/>
            <w:webHidden/>
          </w:rPr>
        </w:r>
        <w:r w:rsidRPr="00BD7903">
          <w:rPr>
            <w:rFonts w:cstheme="minorHAnsi"/>
            <w:noProof/>
            <w:webHidden/>
          </w:rPr>
          <w:fldChar w:fldCharType="separate"/>
        </w:r>
        <w:r w:rsidR="00BB0C0C">
          <w:rPr>
            <w:rFonts w:cstheme="minorHAnsi"/>
            <w:noProof/>
            <w:webHidden/>
          </w:rPr>
          <w:t>140</w:t>
        </w:r>
        <w:r w:rsidRPr="00BD7903">
          <w:rPr>
            <w:rFonts w:cstheme="minorHAnsi"/>
            <w:noProof/>
            <w:webHidden/>
          </w:rPr>
          <w:fldChar w:fldCharType="end"/>
        </w:r>
      </w:hyperlink>
    </w:p>
    <w:p w14:paraId="6D12ADDB" w14:textId="40FCD0C0" w:rsidR="003836D1" w:rsidRPr="000020F0" w:rsidRDefault="00050C93" w:rsidP="00BD1D20">
      <w:pPr>
        <w:spacing w:line="276" w:lineRule="auto"/>
        <w:rPr>
          <w:rFonts w:asciiTheme="majorHAnsi" w:hAnsiTheme="majorHAnsi" w:cstheme="majorHAnsi"/>
          <w:sz w:val="20"/>
          <w:szCs w:val="20"/>
          <w:highlight w:val="yellow"/>
        </w:rPr>
      </w:pPr>
      <w:r w:rsidRPr="000020F0">
        <w:rPr>
          <w:rFonts w:asciiTheme="majorHAnsi" w:hAnsiTheme="majorHAnsi" w:cstheme="majorHAnsi"/>
          <w:sz w:val="20"/>
          <w:szCs w:val="20"/>
          <w:highlight w:val="yellow"/>
        </w:rPr>
        <w:fldChar w:fldCharType="end"/>
      </w:r>
    </w:p>
    <w:p w14:paraId="00A4AF30" w14:textId="77777777" w:rsidR="003836D1" w:rsidRPr="000020F0" w:rsidRDefault="003836D1" w:rsidP="00BD1D20">
      <w:pPr>
        <w:spacing w:line="276" w:lineRule="auto"/>
        <w:rPr>
          <w:rFonts w:asciiTheme="majorHAnsi" w:eastAsiaTheme="majorEastAsia" w:hAnsiTheme="majorHAnsi" w:cstheme="majorHAnsi"/>
          <w:b/>
          <w:bCs/>
          <w:color w:val="365F91" w:themeColor="accent1" w:themeShade="BF"/>
        </w:rPr>
      </w:pPr>
      <w:r w:rsidRPr="000020F0">
        <w:rPr>
          <w:rFonts w:asciiTheme="majorHAnsi" w:eastAsiaTheme="majorEastAsia" w:hAnsiTheme="majorHAnsi" w:cstheme="majorHAnsi"/>
          <w:b/>
          <w:bCs/>
          <w:color w:val="365F91" w:themeColor="accent1" w:themeShade="BF"/>
        </w:rPr>
        <w:t>KAZALO SLIK</w:t>
      </w:r>
    </w:p>
    <w:p w14:paraId="07845925" w14:textId="5671F446" w:rsidR="00BD7903" w:rsidRPr="00BD7903" w:rsidRDefault="00E62499">
      <w:pPr>
        <w:pStyle w:val="Kazaloslik"/>
        <w:tabs>
          <w:tab w:val="right" w:leader="dot" w:pos="9062"/>
        </w:tabs>
        <w:rPr>
          <w:smallCaps w:val="0"/>
          <w:noProof/>
          <w:kern w:val="2"/>
          <w:sz w:val="24"/>
          <w:szCs w:val="24"/>
          <w14:ligatures w14:val="standardContextual"/>
        </w:rPr>
      </w:pPr>
      <w:r w:rsidRPr="000020F0">
        <w:rPr>
          <w:rStyle w:val="Hiperpovezava"/>
          <w:rFonts w:asciiTheme="majorHAnsi" w:eastAsia="Arial" w:hAnsiTheme="majorHAnsi" w:cstheme="majorHAnsi"/>
          <w:bCs/>
        </w:rPr>
        <w:fldChar w:fldCharType="begin"/>
      </w:r>
      <w:r w:rsidRPr="000020F0">
        <w:rPr>
          <w:rStyle w:val="Hiperpovezava"/>
          <w:rFonts w:asciiTheme="majorHAnsi" w:eastAsia="Arial" w:hAnsiTheme="majorHAnsi" w:cstheme="majorHAnsi"/>
          <w:bCs/>
        </w:rPr>
        <w:instrText xml:space="preserve"> TOC \h \z \c "Slika" </w:instrText>
      </w:r>
      <w:r w:rsidRPr="000020F0">
        <w:rPr>
          <w:rStyle w:val="Hiperpovezava"/>
          <w:rFonts w:asciiTheme="majorHAnsi" w:eastAsia="Arial" w:hAnsiTheme="majorHAnsi" w:cstheme="majorHAnsi"/>
          <w:bCs/>
        </w:rPr>
        <w:fldChar w:fldCharType="separate"/>
      </w:r>
      <w:hyperlink w:anchor="_Toc230882315" w:history="1">
        <w:r w:rsidR="00BD7903" w:rsidRPr="00BD7903">
          <w:rPr>
            <w:rStyle w:val="Hiperpovezava"/>
            <w:rFonts w:ascii="Arial" w:hAnsi="Arial" w:cs="Arial"/>
            <w:noProof/>
          </w:rPr>
          <w:t>Slika 1: Shema prikaza obeh projektov za celovito ureditev centra Ig</w:t>
        </w:r>
        <w:r w:rsidR="00BD7903" w:rsidRPr="00BD7903">
          <w:rPr>
            <w:noProof/>
            <w:webHidden/>
          </w:rPr>
          <w:tab/>
        </w:r>
        <w:r w:rsidR="00BD7903" w:rsidRPr="00BD7903">
          <w:rPr>
            <w:noProof/>
            <w:webHidden/>
          </w:rPr>
          <w:fldChar w:fldCharType="begin"/>
        </w:r>
        <w:r w:rsidR="00BD7903" w:rsidRPr="00BD7903">
          <w:rPr>
            <w:noProof/>
            <w:webHidden/>
          </w:rPr>
          <w:instrText xml:space="preserve"> PAGEREF _Toc230882315 \h </w:instrText>
        </w:r>
        <w:r w:rsidR="00BD7903" w:rsidRPr="00BD7903">
          <w:rPr>
            <w:noProof/>
            <w:webHidden/>
          </w:rPr>
        </w:r>
        <w:r w:rsidR="00BD7903" w:rsidRPr="00BD7903">
          <w:rPr>
            <w:noProof/>
            <w:webHidden/>
          </w:rPr>
          <w:fldChar w:fldCharType="separate"/>
        </w:r>
        <w:r w:rsidR="00BB0C0C">
          <w:rPr>
            <w:noProof/>
            <w:webHidden/>
          </w:rPr>
          <w:t>9</w:t>
        </w:r>
        <w:r w:rsidR="00BD7903" w:rsidRPr="00BD7903">
          <w:rPr>
            <w:noProof/>
            <w:webHidden/>
          </w:rPr>
          <w:fldChar w:fldCharType="end"/>
        </w:r>
      </w:hyperlink>
    </w:p>
    <w:p w14:paraId="7B5C896D" w14:textId="76B390C0" w:rsidR="00BD7903" w:rsidRPr="00BD7903" w:rsidRDefault="00BD7903">
      <w:pPr>
        <w:pStyle w:val="Kazaloslik"/>
        <w:tabs>
          <w:tab w:val="right" w:leader="dot" w:pos="9062"/>
        </w:tabs>
        <w:rPr>
          <w:smallCaps w:val="0"/>
          <w:noProof/>
          <w:kern w:val="2"/>
          <w:sz w:val="24"/>
          <w:szCs w:val="24"/>
          <w14:ligatures w14:val="standardContextual"/>
        </w:rPr>
      </w:pPr>
      <w:hyperlink w:anchor="_Toc230882316" w:history="1">
        <w:r w:rsidRPr="00BD7903">
          <w:rPr>
            <w:rStyle w:val="Hiperpovezava"/>
            <w:rFonts w:ascii="Arial" w:hAnsi="Arial" w:cs="Arial"/>
            <w:noProof/>
          </w:rPr>
          <w:t>Slika 2: Organigram Občine Ig</w:t>
        </w:r>
        <w:r w:rsidRPr="00BD7903">
          <w:rPr>
            <w:noProof/>
            <w:webHidden/>
          </w:rPr>
          <w:tab/>
        </w:r>
        <w:r w:rsidRPr="00BD7903">
          <w:rPr>
            <w:noProof/>
            <w:webHidden/>
          </w:rPr>
          <w:fldChar w:fldCharType="begin"/>
        </w:r>
        <w:r w:rsidRPr="00BD7903">
          <w:rPr>
            <w:noProof/>
            <w:webHidden/>
          </w:rPr>
          <w:instrText xml:space="preserve"> PAGEREF _Toc230882316 \h </w:instrText>
        </w:r>
        <w:r w:rsidRPr="00BD7903">
          <w:rPr>
            <w:noProof/>
            <w:webHidden/>
          </w:rPr>
        </w:r>
        <w:r w:rsidRPr="00BD7903">
          <w:rPr>
            <w:noProof/>
            <w:webHidden/>
          </w:rPr>
          <w:fldChar w:fldCharType="separate"/>
        </w:r>
        <w:r w:rsidR="00BB0C0C">
          <w:rPr>
            <w:noProof/>
            <w:webHidden/>
          </w:rPr>
          <w:t>19</w:t>
        </w:r>
        <w:r w:rsidRPr="00BD7903">
          <w:rPr>
            <w:noProof/>
            <w:webHidden/>
          </w:rPr>
          <w:fldChar w:fldCharType="end"/>
        </w:r>
      </w:hyperlink>
    </w:p>
    <w:p w14:paraId="28110226" w14:textId="61FBF6F8" w:rsidR="00BD7903" w:rsidRPr="00BD7903" w:rsidRDefault="00BD7903">
      <w:pPr>
        <w:pStyle w:val="Kazaloslik"/>
        <w:tabs>
          <w:tab w:val="right" w:leader="dot" w:pos="9062"/>
        </w:tabs>
        <w:rPr>
          <w:smallCaps w:val="0"/>
          <w:noProof/>
          <w:kern w:val="2"/>
          <w:sz w:val="24"/>
          <w:szCs w:val="24"/>
          <w14:ligatures w14:val="standardContextual"/>
        </w:rPr>
      </w:pPr>
      <w:hyperlink w:anchor="_Toc230882317" w:history="1">
        <w:r w:rsidRPr="00BD7903">
          <w:rPr>
            <w:rStyle w:val="Hiperpovezava"/>
            <w:rFonts w:ascii="Arial" w:hAnsi="Arial" w:cs="Arial"/>
            <w:noProof/>
          </w:rPr>
          <w:t>Slika 3: Center Iga</w:t>
        </w:r>
        <w:r w:rsidRPr="00BD7903">
          <w:rPr>
            <w:noProof/>
            <w:webHidden/>
          </w:rPr>
          <w:tab/>
        </w:r>
        <w:r w:rsidRPr="00BD7903">
          <w:rPr>
            <w:noProof/>
            <w:webHidden/>
          </w:rPr>
          <w:fldChar w:fldCharType="begin"/>
        </w:r>
        <w:r w:rsidRPr="00BD7903">
          <w:rPr>
            <w:noProof/>
            <w:webHidden/>
          </w:rPr>
          <w:instrText xml:space="preserve"> PAGEREF _Toc230882317 \h </w:instrText>
        </w:r>
        <w:r w:rsidRPr="00BD7903">
          <w:rPr>
            <w:noProof/>
            <w:webHidden/>
          </w:rPr>
        </w:r>
        <w:r w:rsidRPr="00BD7903">
          <w:rPr>
            <w:noProof/>
            <w:webHidden/>
          </w:rPr>
          <w:fldChar w:fldCharType="separate"/>
        </w:r>
        <w:r w:rsidR="00BB0C0C">
          <w:rPr>
            <w:noProof/>
            <w:webHidden/>
          </w:rPr>
          <w:t>46</w:t>
        </w:r>
        <w:r w:rsidRPr="00BD7903">
          <w:rPr>
            <w:noProof/>
            <w:webHidden/>
          </w:rPr>
          <w:fldChar w:fldCharType="end"/>
        </w:r>
      </w:hyperlink>
    </w:p>
    <w:p w14:paraId="2F8C46D8" w14:textId="6B2DC6B8" w:rsidR="00BD7903" w:rsidRPr="00BD7903" w:rsidRDefault="00BD7903">
      <w:pPr>
        <w:pStyle w:val="Kazaloslik"/>
        <w:tabs>
          <w:tab w:val="right" w:leader="dot" w:pos="9062"/>
        </w:tabs>
        <w:rPr>
          <w:smallCaps w:val="0"/>
          <w:noProof/>
          <w:kern w:val="2"/>
          <w:sz w:val="24"/>
          <w:szCs w:val="24"/>
          <w14:ligatures w14:val="standardContextual"/>
        </w:rPr>
      </w:pPr>
      <w:hyperlink w:anchor="_Toc230882318" w:history="1">
        <w:r w:rsidRPr="00BD7903">
          <w:rPr>
            <w:rStyle w:val="Hiperpovezava"/>
            <w:rFonts w:asciiTheme="majorHAnsi" w:hAnsiTheme="majorHAnsi" w:cstheme="majorHAnsi"/>
            <w:noProof/>
          </w:rPr>
          <w:t>Slika 4: Del Govekarjeve ceste, kjer ni urejenega pločnika</w:t>
        </w:r>
        <w:r w:rsidRPr="00BD7903">
          <w:rPr>
            <w:noProof/>
            <w:webHidden/>
          </w:rPr>
          <w:tab/>
        </w:r>
        <w:r w:rsidRPr="00BD7903">
          <w:rPr>
            <w:noProof/>
            <w:webHidden/>
          </w:rPr>
          <w:fldChar w:fldCharType="begin"/>
        </w:r>
        <w:r w:rsidRPr="00BD7903">
          <w:rPr>
            <w:noProof/>
            <w:webHidden/>
          </w:rPr>
          <w:instrText xml:space="preserve"> PAGEREF _Toc230882318 \h </w:instrText>
        </w:r>
        <w:r w:rsidRPr="00BD7903">
          <w:rPr>
            <w:noProof/>
            <w:webHidden/>
          </w:rPr>
        </w:r>
        <w:r w:rsidRPr="00BD7903">
          <w:rPr>
            <w:noProof/>
            <w:webHidden/>
          </w:rPr>
          <w:fldChar w:fldCharType="separate"/>
        </w:r>
        <w:r w:rsidR="00BB0C0C">
          <w:rPr>
            <w:noProof/>
            <w:webHidden/>
          </w:rPr>
          <w:t>47</w:t>
        </w:r>
        <w:r w:rsidRPr="00BD7903">
          <w:rPr>
            <w:noProof/>
            <w:webHidden/>
          </w:rPr>
          <w:fldChar w:fldCharType="end"/>
        </w:r>
      </w:hyperlink>
    </w:p>
    <w:p w14:paraId="33869A8C" w14:textId="29C26649" w:rsidR="00BD7903" w:rsidRPr="00BD7903" w:rsidRDefault="00BD7903">
      <w:pPr>
        <w:pStyle w:val="Kazaloslik"/>
        <w:tabs>
          <w:tab w:val="right" w:leader="dot" w:pos="9062"/>
        </w:tabs>
        <w:rPr>
          <w:smallCaps w:val="0"/>
          <w:noProof/>
          <w:kern w:val="2"/>
          <w:sz w:val="24"/>
          <w:szCs w:val="24"/>
          <w14:ligatures w14:val="standardContextual"/>
        </w:rPr>
      </w:pPr>
      <w:hyperlink w:anchor="_Toc230882319" w:history="1">
        <w:r w:rsidRPr="00BD7903">
          <w:rPr>
            <w:rStyle w:val="Hiperpovezava"/>
            <w:rFonts w:asciiTheme="majorHAnsi" w:hAnsiTheme="majorHAnsi" w:cstheme="majorHAnsi"/>
            <w:noProof/>
          </w:rPr>
          <w:t>Slika 5: Parkirna mesta na levi strani ob Govekarjevi cesti proti S (Morostig), začasno zaprto v času Evropskega tedna mobilnosti</w:t>
        </w:r>
        <w:r w:rsidRPr="00BD7903">
          <w:rPr>
            <w:noProof/>
            <w:webHidden/>
          </w:rPr>
          <w:tab/>
        </w:r>
        <w:r w:rsidRPr="00BD7903">
          <w:rPr>
            <w:noProof/>
            <w:webHidden/>
          </w:rPr>
          <w:fldChar w:fldCharType="begin"/>
        </w:r>
        <w:r w:rsidRPr="00BD7903">
          <w:rPr>
            <w:noProof/>
            <w:webHidden/>
          </w:rPr>
          <w:instrText xml:space="preserve"> PAGEREF _Toc230882319 \h </w:instrText>
        </w:r>
        <w:r w:rsidRPr="00BD7903">
          <w:rPr>
            <w:noProof/>
            <w:webHidden/>
          </w:rPr>
        </w:r>
        <w:r w:rsidRPr="00BD7903">
          <w:rPr>
            <w:noProof/>
            <w:webHidden/>
          </w:rPr>
          <w:fldChar w:fldCharType="separate"/>
        </w:r>
        <w:r w:rsidR="00BB0C0C">
          <w:rPr>
            <w:noProof/>
            <w:webHidden/>
          </w:rPr>
          <w:t>47</w:t>
        </w:r>
        <w:r w:rsidRPr="00BD7903">
          <w:rPr>
            <w:noProof/>
            <w:webHidden/>
          </w:rPr>
          <w:fldChar w:fldCharType="end"/>
        </w:r>
      </w:hyperlink>
    </w:p>
    <w:p w14:paraId="4DE3AAAD" w14:textId="5FD6DF31" w:rsidR="00BD7903" w:rsidRPr="00BD7903" w:rsidRDefault="00BD7903">
      <w:pPr>
        <w:pStyle w:val="Kazaloslik"/>
        <w:tabs>
          <w:tab w:val="right" w:leader="dot" w:pos="9062"/>
        </w:tabs>
        <w:rPr>
          <w:smallCaps w:val="0"/>
          <w:noProof/>
          <w:kern w:val="2"/>
          <w:sz w:val="24"/>
          <w:szCs w:val="24"/>
          <w14:ligatures w14:val="standardContextual"/>
        </w:rPr>
      </w:pPr>
      <w:hyperlink w:anchor="_Toc230882320" w:history="1">
        <w:r w:rsidRPr="00BD7903">
          <w:rPr>
            <w:rStyle w:val="Hiperpovezava"/>
            <w:rFonts w:asciiTheme="majorHAnsi" w:hAnsiTheme="majorHAnsi" w:cstheme="majorHAnsi"/>
            <w:noProof/>
          </w:rPr>
          <w:t>Slika 6 Parkirna mesta med občinsko stavbo in pošto</w:t>
        </w:r>
        <w:r w:rsidRPr="00BD7903">
          <w:rPr>
            <w:noProof/>
            <w:webHidden/>
          </w:rPr>
          <w:tab/>
        </w:r>
        <w:r w:rsidRPr="00BD7903">
          <w:rPr>
            <w:noProof/>
            <w:webHidden/>
          </w:rPr>
          <w:fldChar w:fldCharType="begin"/>
        </w:r>
        <w:r w:rsidRPr="00BD7903">
          <w:rPr>
            <w:noProof/>
            <w:webHidden/>
          </w:rPr>
          <w:instrText xml:space="preserve"> PAGEREF _Toc230882320 \h </w:instrText>
        </w:r>
        <w:r w:rsidRPr="00BD7903">
          <w:rPr>
            <w:noProof/>
            <w:webHidden/>
          </w:rPr>
        </w:r>
        <w:r w:rsidRPr="00BD7903">
          <w:rPr>
            <w:noProof/>
            <w:webHidden/>
          </w:rPr>
          <w:fldChar w:fldCharType="separate"/>
        </w:r>
        <w:r w:rsidR="00BB0C0C">
          <w:rPr>
            <w:noProof/>
            <w:webHidden/>
          </w:rPr>
          <w:t>48</w:t>
        </w:r>
        <w:r w:rsidRPr="00BD7903">
          <w:rPr>
            <w:noProof/>
            <w:webHidden/>
          </w:rPr>
          <w:fldChar w:fldCharType="end"/>
        </w:r>
      </w:hyperlink>
    </w:p>
    <w:p w14:paraId="32178311" w14:textId="37A88041" w:rsidR="00BD7903" w:rsidRPr="00BD7903" w:rsidRDefault="00BD7903">
      <w:pPr>
        <w:pStyle w:val="Kazaloslik"/>
        <w:tabs>
          <w:tab w:val="right" w:leader="dot" w:pos="9062"/>
        </w:tabs>
        <w:rPr>
          <w:smallCaps w:val="0"/>
          <w:noProof/>
          <w:kern w:val="2"/>
          <w:sz w:val="24"/>
          <w:szCs w:val="24"/>
          <w14:ligatures w14:val="standardContextual"/>
        </w:rPr>
      </w:pPr>
      <w:hyperlink w:anchor="_Toc230882321" w:history="1">
        <w:r w:rsidRPr="00BD7903">
          <w:rPr>
            <w:rStyle w:val="Hiperpovezava"/>
            <w:rFonts w:asciiTheme="majorHAnsi" w:hAnsiTheme="majorHAnsi" w:cstheme="majorHAnsi"/>
            <w:noProof/>
          </w:rPr>
          <w:t>Slika 7: Govekarjeva cesta, avtobusno postajališče za šolski bus</w:t>
        </w:r>
        <w:r w:rsidRPr="00BD7903">
          <w:rPr>
            <w:noProof/>
            <w:webHidden/>
          </w:rPr>
          <w:tab/>
        </w:r>
        <w:r w:rsidRPr="00BD7903">
          <w:rPr>
            <w:noProof/>
            <w:webHidden/>
          </w:rPr>
          <w:fldChar w:fldCharType="begin"/>
        </w:r>
        <w:r w:rsidRPr="00BD7903">
          <w:rPr>
            <w:noProof/>
            <w:webHidden/>
          </w:rPr>
          <w:instrText xml:space="preserve"> PAGEREF _Toc230882321 \h </w:instrText>
        </w:r>
        <w:r w:rsidRPr="00BD7903">
          <w:rPr>
            <w:noProof/>
            <w:webHidden/>
          </w:rPr>
        </w:r>
        <w:r w:rsidRPr="00BD7903">
          <w:rPr>
            <w:noProof/>
            <w:webHidden/>
          </w:rPr>
          <w:fldChar w:fldCharType="separate"/>
        </w:r>
        <w:r w:rsidR="00BB0C0C">
          <w:rPr>
            <w:noProof/>
            <w:webHidden/>
          </w:rPr>
          <w:t>49</w:t>
        </w:r>
        <w:r w:rsidRPr="00BD7903">
          <w:rPr>
            <w:noProof/>
            <w:webHidden/>
          </w:rPr>
          <w:fldChar w:fldCharType="end"/>
        </w:r>
      </w:hyperlink>
    </w:p>
    <w:p w14:paraId="4B0C034F" w14:textId="662AB314" w:rsidR="00BD7903" w:rsidRPr="00BD7903" w:rsidRDefault="00BD7903">
      <w:pPr>
        <w:pStyle w:val="Kazaloslik"/>
        <w:tabs>
          <w:tab w:val="right" w:leader="dot" w:pos="9062"/>
        </w:tabs>
        <w:rPr>
          <w:smallCaps w:val="0"/>
          <w:noProof/>
          <w:kern w:val="2"/>
          <w:sz w:val="24"/>
          <w:szCs w:val="24"/>
          <w14:ligatures w14:val="standardContextual"/>
        </w:rPr>
      </w:pPr>
      <w:hyperlink w:anchor="_Toc230882322" w:history="1">
        <w:r w:rsidRPr="00BD7903">
          <w:rPr>
            <w:rStyle w:val="Hiperpovezava"/>
            <w:rFonts w:asciiTheme="majorHAnsi" w:hAnsiTheme="majorHAnsi" w:cstheme="majorHAnsi"/>
            <w:noProof/>
          </w:rPr>
          <w:t>Slika 8: Križišče Govekarjeve ceste in Troštove ulice ter kolesarski pas na Govekarjevi cesti</w:t>
        </w:r>
        <w:r w:rsidRPr="00BD7903">
          <w:rPr>
            <w:noProof/>
            <w:webHidden/>
          </w:rPr>
          <w:tab/>
        </w:r>
        <w:r w:rsidRPr="00BD7903">
          <w:rPr>
            <w:noProof/>
            <w:webHidden/>
          </w:rPr>
          <w:fldChar w:fldCharType="begin"/>
        </w:r>
        <w:r w:rsidRPr="00BD7903">
          <w:rPr>
            <w:noProof/>
            <w:webHidden/>
          </w:rPr>
          <w:instrText xml:space="preserve"> PAGEREF _Toc230882322 \h </w:instrText>
        </w:r>
        <w:r w:rsidRPr="00BD7903">
          <w:rPr>
            <w:noProof/>
            <w:webHidden/>
          </w:rPr>
        </w:r>
        <w:r w:rsidRPr="00BD7903">
          <w:rPr>
            <w:noProof/>
            <w:webHidden/>
          </w:rPr>
          <w:fldChar w:fldCharType="separate"/>
        </w:r>
        <w:r w:rsidR="00BB0C0C">
          <w:rPr>
            <w:noProof/>
            <w:webHidden/>
          </w:rPr>
          <w:t>49</w:t>
        </w:r>
        <w:r w:rsidRPr="00BD7903">
          <w:rPr>
            <w:noProof/>
            <w:webHidden/>
          </w:rPr>
          <w:fldChar w:fldCharType="end"/>
        </w:r>
      </w:hyperlink>
    </w:p>
    <w:p w14:paraId="26E7C943" w14:textId="17C6FA2D" w:rsidR="00BD7903" w:rsidRPr="00BD7903" w:rsidRDefault="00BD7903">
      <w:pPr>
        <w:pStyle w:val="Kazaloslik"/>
        <w:tabs>
          <w:tab w:val="right" w:leader="dot" w:pos="9062"/>
        </w:tabs>
        <w:rPr>
          <w:smallCaps w:val="0"/>
          <w:noProof/>
          <w:kern w:val="2"/>
          <w:sz w:val="24"/>
          <w:szCs w:val="24"/>
          <w14:ligatures w14:val="standardContextual"/>
        </w:rPr>
      </w:pPr>
      <w:hyperlink w:anchor="_Toc230882323" w:history="1">
        <w:r w:rsidRPr="00BD7903">
          <w:rPr>
            <w:rStyle w:val="Hiperpovezava"/>
            <w:rFonts w:asciiTheme="majorHAnsi" w:hAnsiTheme="majorHAnsi" w:cstheme="majorHAnsi"/>
            <w:noProof/>
          </w:rPr>
          <w:t>Slika 9</w:t>
        </w:r>
        <w:r w:rsidRPr="00BD7903">
          <w:rPr>
            <w:rStyle w:val="Hiperpovezava"/>
            <w:rFonts w:asciiTheme="majorHAnsi" w:hAnsiTheme="majorHAnsi" w:cstheme="majorHAnsi"/>
            <w:i/>
            <w:iCs/>
            <w:noProof/>
          </w:rPr>
          <w:t xml:space="preserve"> </w:t>
        </w:r>
        <w:r w:rsidRPr="00BD7903">
          <w:rPr>
            <w:rStyle w:val="Hiperpovezava"/>
            <w:rFonts w:asciiTheme="majorHAnsi" w:hAnsiTheme="majorHAnsi" w:cstheme="majorHAnsi"/>
            <w:noProof/>
          </w:rPr>
          <w:t>Troštova ulica</w:t>
        </w:r>
        <w:r w:rsidRPr="00BD7903">
          <w:rPr>
            <w:noProof/>
            <w:webHidden/>
          </w:rPr>
          <w:tab/>
        </w:r>
        <w:r w:rsidRPr="00BD7903">
          <w:rPr>
            <w:noProof/>
            <w:webHidden/>
          </w:rPr>
          <w:fldChar w:fldCharType="begin"/>
        </w:r>
        <w:r w:rsidRPr="00BD7903">
          <w:rPr>
            <w:noProof/>
            <w:webHidden/>
          </w:rPr>
          <w:instrText xml:space="preserve"> PAGEREF _Toc230882323 \h </w:instrText>
        </w:r>
        <w:r w:rsidRPr="00BD7903">
          <w:rPr>
            <w:noProof/>
            <w:webHidden/>
          </w:rPr>
        </w:r>
        <w:r w:rsidRPr="00BD7903">
          <w:rPr>
            <w:noProof/>
            <w:webHidden/>
          </w:rPr>
          <w:fldChar w:fldCharType="separate"/>
        </w:r>
        <w:r w:rsidR="00BB0C0C">
          <w:rPr>
            <w:noProof/>
            <w:webHidden/>
          </w:rPr>
          <w:t>50</w:t>
        </w:r>
        <w:r w:rsidRPr="00BD7903">
          <w:rPr>
            <w:noProof/>
            <w:webHidden/>
          </w:rPr>
          <w:fldChar w:fldCharType="end"/>
        </w:r>
      </w:hyperlink>
    </w:p>
    <w:p w14:paraId="2520E7D5" w14:textId="6F9D3B7B" w:rsidR="00BD7903" w:rsidRPr="00BD7903" w:rsidRDefault="00BD7903">
      <w:pPr>
        <w:pStyle w:val="Kazaloslik"/>
        <w:tabs>
          <w:tab w:val="right" w:leader="dot" w:pos="9062"/>
        </w:tabs>
        <w:rPr>
          <w:smallCaps w:val="0"/>
          <w:noProof/>
          <w:kern w:val="2"/>
          <w:sz w:val="24"/>
          <w:szCs w:val="24"/>
          <w14:ligatures w14:val="standardContextual"/>
        </w:rPr>
      </w:pPr>
      <w:hyperlink w:anchor="_Toc230882324" w:history="1">
        <w:r w:rsidRPr="00BD7903">
          <w:rPr>
            <w:rStyle w:val="Hiperpovezava"/>
            <w:rFonts w:asciiTheme="majorHAnsi" w:hAnsiTheme="majorHAnsi" w:cstheme="majorHAnsi"/>
            <w:noProof/>
          </w:rPr>
          <w:t>Slika 10:</w:t>
        </w:r>
        <w:r w:rsidRPr="00BD7903">
          <w:rPr>
            <w:rStyle w:val="Hiperpovezava"/>
            <w:rFonts w:asciiTheme="majorHAnsi" w:hAnsiTheme="majorHAnsi" w:cstheme="majorHAnsi"/>
            <w:i/>
            <w:iCs/>
            <w:noProof/>
          </w:rPr>
          <w:t xml:space="preserve"> </w:t>
        </w:r>
        <w:r w:rsidRPr="00BD7903">
          <w:rPr>
            <w:rStyle w:val="Hiperpovezava"/>
            <w:rFonts w:asciiTheme="majorHAnsi" w:hAnsiTheme="majorHAnsi" w:cstheme="majorHAnsi"/>
            <w:noProof/>
          </w:rPr>
          <w:t>Parkirišče pri OŠ</w:t>
        </w:r>
        <w:r w:rsidRPr="00BD7903">
          <w:rPr>
            <w:noProof/>
            <w:webHidden/>
          </w:rPr>
          <w:tab/>
        </w:r>
        <w:r w:rsidRPr="00BD7903">
          <w:rPr>
            <w:noProof/>
            <w:webHidden/>
          </w:rPr>
          <w:fldChar w:fldCharType="begin"/>
        </w:r>
        <w:r w:rsidRPr="00BD7903">
          <w:rPr>
            <w:noProof/>
            <w:webHidden/>
          </w:rPr>
          <w:instrText xml:space="preserve"> PAGEREF _Toc230882324 \h </w:instrText>
        </w:r>
        <w:r w:rsidRPr="00BD7903">
          <w:rPr>
            <w:noProof/>
            <w:webHidden/>
          </w:rPr>
        </w:r>
        <w:r w:rsidRPr="00BD7903">
          <w:rPr>
            <w:noProof/>
            <w:webHidden/>
          </w:rPr>
          <w:fldChar w:fldCharType="separate"/>
        </w:r>
        <w:r w:rsidR="00BB0C0C">
          <w:rPr>
            <w:noProof/>
            <w:webHidden/>
          </w:rPr>
          <w:t>51</w:t>
        </w:r>
        <w:r w:rsidRPr="00BD7903">
          <w:rPr>
            <w:noProof/>
            <w:webHidden/>
          </w:rPr>
          <w:fldChar w:fldCharType="end"/>
        </w:r>
      </w:hyperlink>
    </w:p>
    <w:p w14:paraId="7A6A9DB5" w14:textId="597A9B75" w:rsidR="00BD7903" w:rsidRPr="00BD7903" w:rsidRDefault="00BD7903">
      <w:pPr>
        <w:pStyle w:val="Kazaloslik"/>
        <w:tabs>
          <w:tab w:val="right" w:leader="dot" w:pos="9062"/>
        </w:tabs>
        <w:rPr>
          <w:smallCaps w:val="0"/>
          <w:noProof/>
          <w:kern w:val="2"/>
          <w:sz w:val="24"/>
          <w:szCs w:val="24"/>
          <w14:ligatures w14:val="standardContextual"/>
        </w:rPr>
      </w:pPr>
      <w:hyperlink w:anchor="_Toc230882325" w:history="1">
        <w:r w:rsidRPr="00BD7903">
          <w:rPr>
            <w:rStyle w:val="Hiperpovezava"/>
            <w:rFonts w:asciiTheme="majorHAnsi" w:hAnsiTheme="majorHAnsi" w:cstheme="majorHAnsi"/>
            <w:noProof/>
          </w:rPr>
          <w:t>Slika 11</w:t>
        </w:r>
        <w:r w:rsidRPr="00BD7903">
          <w:rPr>
            <w:rStyle w:val="Hiperpovezava"/>
            <w:rFonts w:asciiTheme="majorHAnsi" w:hAnsiTheme="majorHAnsi" w:cstheme="majorHAnsi"/>
            <w:i/>
            <w:iCs/>
            <w:noProof/>
          </w:rPr>
          <w:t xml:space="preserve"> </w:t>
        </w:r>
        <w:r w:rsidRPr="00BD7903">
          <w:rPr>
            <w:rStyle w:val="Hiperpovezava"/>
            <w:rFonts w:asciiTheme="majorHAnsi" w:hAnsiTheme="majorHAnsi" w:cstheme="majorHAnsi"/>
            <w:noProof/>
          </w:rPr>
          <w:t>Parkirišče pri OŠ</w:t>
        </w:r>
        <w:r w:rsidRPr="00BD7903">
          <w:rPr>
            <w:noProof/>
            <w:webHidden/>
          </w:rPr>
          <w:tab/>
        </w:r>
        <w:r w:rsidRPr="00BD7903">
          <w:rPr>
            <w:noProof/>
            <w:webHidden/>
          </w:rPr>
          <w:fldChar w:fldCharType="begin"/>
        </w:r>
        <w:r w:rsidRPr="00BD7903">
          <w:rPr>
            <w:noProof/>
            <w:webHidden/>
          </w:rPr>
          <w:instrText xml:space="preserve"> PAGEREF _Toc230882325 \h </w:instrText>
        </w:r>
        <w:r w:rsidRPr="00BD7903">
          <w:rPr>
            <w:noProof/>
            <w:webHidden/>
          </w:rPr>
        </w:r>
        <w:r w:rsidRPr="00BD7903">
          <w:rPr>
            <w:noProof/>
            <w:webHidden/>
          </w:rPr>
          <w:fldChar w:fldCharType="separate"/>
        </w:r>
        <w:r w:rsidR="00BB0C0C">
          <w:rPr>
            <w:noProof/>
            <w:webHidden/>
          </w:rPr>
          <w:t>51</w:t>
        </w:r>
        <w:r w:rsidRPr="00BD7903">
          <w:rPr>
            <w:noProof/>
            <w:webHidden/>
          </w:rPr>
          <w:fldChar w:fldCharType="end"/>
        </w:r>
      </w:hyperlink>
    </w:p>
    <w:p w14:paraId="673125F5" w14:textId="65592C7F" w:rsidR="00BD7903" w:rsidRPr="00BD7903" w:rsidRDefault="00BD7903">
      <w:pPr>
        <w:pStyle w:val="Kazaloslik"/>
        <w:tabs>
          <w:tab w:val="right" w:leader="dot" w:pos="9062"/>
        </w:tabs>
        <w:rPr>
          <w:smallCaps w:val="0"/>
          <w:noProof/>
          <w:kern w:val="2"/>
          <w:sz w:val="24"/>
          <w:szCs w:val="24"/>
          <w14:ligatures w14:val="standardContextual"/>
        </w:rPr>
      </w:pPr>
      <w:hyperlink w:anchor="_Toc230882326" w:history="1">
        <w:r w:rsidRPr="00BD7903">
          <w:rPr>
            <w:rStyle w:val="Hiperpovezava"/>
            <w:rFonts w:asciiTheme="majorHAnsi" w:hAnsiTheme="majorHAnsi" w:cstheme="majorHAnsi"/>
            <w:noProof/>
          </w:rPr>
          <w:t>Slika 12:</w:t>
        </w:r>
        <w:r w:rsidRPr="00BD7903">
          <w:rPr>
            <w:rStyle w:val="Hiperpovezava"/>
            <w:rFonts w:asciiTheme="majorHAnsi" w:hAnsiTheme="majorHAnsi" w:cstheme="majorHAnsi"/>
            <w:i/>
            <w:iCs/>
            <w:noProof/>
          </w:rPr>
          <w:t xml:space="preserve"> </w:t>
        </w:r>
        <w:r w:rsidRPr="00BD7903">
          <w:rPr>
            <w:rStyle w:val="Hiperpovezava"/>
            <w:rFonts w:asciiTheme="majorHAnsi" w:hAnsiTheme="majorHAnsi" w:cstheme="majorHAnsi"/>
            <w:noProof/>
          </w:rPr>
          <w:t>Začasno parkirišče ob Govekarjevi cesti</w:t>
        </w:r>
        <w:r w:rsidRPr="00BD7903">
          <w:rPr>
            <w:noProof/>
            <w:webHidden/>
          </w:rPr>
          <w:tab/>
        </w:r>
        <w:r w:rsidRPr="00BD7903">
          <w:rPr>
            <w:noProof/>
            <w:webHidden/>
          </w:rPr>
          <w:fldChar w:fldCharType="begin"/>
        </w:r>
        <w:r w:rsidRPr="00BD7903">
          <w:rPr>
            <w:noProof/>
            <w:webHidden/>
          </w:rPr>
          <w:instrText xml:space="preserve"> PAGEREF _Toc230882326 \h </w:instrText>
        </w:r>
        <w:r w:rsidRPr="00BD7903">
          <w:rPr>
            <w:noProof/>
            <w:webHidden/>
          </w:rPr>
        </w:r>
        <w:r w:rsidRPr="00BD7903">
          <w:rPr>
            <w:noProof/>
            <w:webHidden/>
          </w:rPr>
          <w:fldChar w:fldCharType="separate"/>
        </w:r>
        <w:r w:rsidR="00BB0C0C">
          <w:rPr>
            <w:noProof/>
            <w:webHidden/>
          </w:rPr>
          <w:t>51</w:t>
        </w:r>
        <w:r w:rsidRPr="00BD7903">
          <w:rPr>
            <w:noProof/>
            <w:webHidden/>
          </w:rPr>
          <w:fldChar w:fldCharType="end"/>
        </w:r>
      </w:hyperlink>
    </w:p>
    <w:p w14:paraId="638A15EC" w14:textId="714A27D9" w:rsidR="00BD7903" w:rsidRPr="00BD7903" w:rsidRDefault="00BD7903">
      <w:pPr>
        <w:pStyle w:val="Kazaloslik"/>
        <w:tabs>
          <w:tab w:val="right" w:leader="dot" w:pos="9062"/>
        </w:tabs>
        <w:rPr>
          <w:smallCaps w:val="0"/>
          <w:noProof/>
          <w:kern w:val="2"/>
          <w:sz w:val="24"/>
          <w:szCs w:val="24"/>
          <w14:ligatures w14:val="standardContextual"/>
        </w:rPr>
      </w:pPr>
      <w:hyperlink w:anchor="_Toc230882327" w:history="1">
        <w:r w:rsidRPr="00BD7903">
          <w:rPr>
            <w:rStyle w:val="Hiperpovezava"/>
            <w:rFonts w:asciiTheme="majorHAnsi" w:hAnsiTheme="majorHAnsi" w:cstheme="majorHAnsi"/>
            <w:noProof/>
          </w:rPr>
          <w:t>Slika 13:</w:t>
        </w:r>
        <w:r w:rsidRPr="00BD7903">
          <w:rPr>
            <w:rStyle w:val="Hiperpovezava"/>
            <w:rFonts w:asciiTheme="majorHAnsi" w:hAnsiTheme="majorHAnsi" w:cstheme="majorHAnsi"/>
            <w:i/>
            <w:iCs/>
            <w:noProof/>
          </w:rPr>
          <w:t xml:space="preserve"> </w:t>
        </w:r>
        <w:r w:rsidRPr="00BD7903">
          <w:rPr>
            <w:rStyle w:val="Hiperpovezava"/>
            <w:rFonts w:asciiTheme="majorHAnsi" w:hAnsiTheme="majorHAnsi" w:cstheme="majorHAnsi"/>
            <w:noProof/>
          </w:rPr>
          <w:t>Obstoječa drevesa</w:t>
        </w:r>
        <w:r w:rsidRPr="00BD7903">
          <w:rPr>
            <w:noProof/>
            <w:webHidden/>
          </w:rPr>
          <w:tab/>
        </w:r>
        <w:r w:rsidRPr="00BD7903">
          <w:rPr>
            <w:noProof/>
            <w:webHidden/>
          </w:rPr>
          <w:fldChar w:fldCharType="begin"/>
        </w:r>
        <w:r w:rsidRPr="00BD7903">
          <w:rPr>
            <w:noProof/>
            <w:webHidden/>
          </w:rPr>
          <w:instrText xml:space="preserve"> PAGEREF _Toc230882327 \h </w:instrText>
        </w:r>
        <w:r w:rsidRPr="00BD7903">
          <w:rPr>
            <w:noProof/>
            <w:webHidden/>
          </w:rPr>
        </w:r>
        <w:r w:rsidRPr="00BD7903">
          <w:rPr>
            <w:noProof/>
            <w:webHidden/>
          </w:rPr>
          <w:fldChar w:fldCharType="separate"/>
        </w:r>
        <w:r w:rsidR="00BB0C0C">
          <w:rPr>
            <w:noProof/>
            <w:webHidden/>
          </w:rPr>
          <w:t>52</w:t>
        </w:r>
        <w:r w:rsidRPr="00BD7903">
          <w:rPr>
            <w:noProof/>
            <w:webHidden/>
          </w:rPr>
          <w:fldChar w:fldCharType="end"/>
        </w:r>
      </w:hyperlink>
    </w:p>
    <w:p w14:paraId="4377EA7B" w14:textId="03E3C2DA" w:rsidR="00BD7903" w:rsidRPr="00BD7903" w:rsidRDefault="00BD7903">
      <w:pPr>
        <w:pStyle w:val="Kazaloslik"/>
        <w:tabs>
          <w:tab w:val="right" w:leader="dot" w:pos="9062"/>
        </w:tabs>
        <w:rPr>
          <w:smallCaps w:val="0"/>
          <w:noProof/>
          <w:kern w:val="2"/>
          <w:sz w:val="24"/>
          <w:szCs w:val="24"/>
          <w14:ligatures w14:val="standardContextual"/>
        </w:rPr>
      </w:pPr>
      <w:hyperlink w:anchor="_Toc230882328" w:history="1">
        <w:r w:rsidRPr="00BD7903">
          <w:rPr>
            <w:rStyle w:val="Hiperpovezava"/>
            <w:rFonts w:ascii="Arial" w:hAnsi="Arial" w:cs="Arial"/>
            <w:noProof/>
          </w:rPr>
          <w:t>Slika 14: Register prostorskih enot</w:t>
        </w:r>
        <w:r w:rsidRPr="00BD7903">
          <w:rPr>
            <w:noProof/>
            <w:webHidden/>
          </w:rPr>
          <w:tab/>
        </w:r>
        <w:r w:rsidRPr="00BD7903">
          <w:rPr>
            <w:noProof/>
            <w:webHidden/>
          </w:rPr>
          <w:fldChar w:fldCharType="begin"/>
        </w:r>
        <w:r w:rsidRPr="00BD7903">
          <w:rPr>
            <w:noProof/>
            <w:webHidden/>
          </w:rPr>
          <w:instrText xml:space="preserve"> PAGEREF _Toc230882328 \h </w:instrText>
        </w:r>
        <w:r w:rsidRPr="00BD7903">
          <w:rPr>
            <w:noProof/>
            <w:webHidden/>
          </w:rPr>
        </w:r>
        <w:r w:rsidRPr="00BD7903">
          <w:rPr>
            <w:noProof/>
            <w:webHidden/>
          </w:rPr>
          <w:fldChar w:fldCharType="separate"/>
        </w:r>
        <w:r w:rsidR="00BB0C0C">
          <w:rPr>
            <w:noProof/>
            <w:webHidden/>
          </w:rPr>
          <w:t>66</w:t>
        </w:r>
        <w:r w:rsidRPr="00BD7903">
          <w:rPr>
            <w:noProof/>
            <w:webHidden/>
          </w:rPr>
          <w:fldChar w:fldCharType="end"/>
        </w:r>
      </w:hyperlink>
    </w:p>
    <w:p w14:paraId="6A6B522A" w14:textId="2A1B9F37" w:rsidR="00BD7903" w:rsidRPr="00BD7903" w:rsidRDefault="00BD7903">
      <w:pPr>
        <w:pStyle w:val="Kazaloslik"/>
        <w:tabs>
          <w:tab w:val="right" w:leader="dot" w:pos="9062"/>
        </w:tabs>
        <w:rPr>
          <w:smallCaps w:val="0"/>
          <w:noProof/>
          <w:kern w:val="2"/>
          <w:sz w:val="24"/>
          <w:szCs w:val="24"/>
          <w14:ligatures w14:val="standardContextual"/>
        </w:rPr>
      </w:pPr>
      <w:hyperlink w:anchor="_Toc230882329" w:history="1">
        <w:r w:rsidRPr="00BD7903">
          <w:rPr>
            <w:rStyle w:val="Hiperpovezava"/>
            <w:rFonts w:asciiTheme="majorHAnsi" w:hAnsiTheme="majorHAnsi" w:cstheme="majorHAnsi"/>
            <w:noProof/>
            <w:lang w:eastAsia="en-US"/>
          </w:rPr>
          <w:t>Slika 15: Prikaz lokacije infrastrukture za javno izposojo e-koles</w:t>
        </w:r>
        <w:r w:rsidRPr="00BD7903">
          <w:rPr>
            <w:noProof/>
            <w:webHidden/>
          </w:rPr>
          <w:tab/>
        </w:r>
        <w:r w:rsidRPr="00BD7903">
          <w:rPr>
            <w:noProof/>
            <w:webHidden/>
          </w:rPr>
          <w:fldChar w:fldCharType="begin"/>
        </w:r>
        <w:r w:rsidRPr="00BD7903">
          <w:rPr>
            <w:noProof/>
            <w:webHidden/>
          </w:rPr>
          <w:instrText xml:space="preserve"> PAGEREF _Toc230882329 \h </w:instrText>
        </w:r>
        <w:r w:rsidRPr="00BD7903">
          <w:rPr>
            <w:noProof/>
            <w:webHidden/>
          </w:rPr>
        </w:r>
        <w:r w:rsidRPr="00BD7903">
          <w:rPr>
            <w:noProof/>
            <w:webHidden/>
          </w:rPr>
          <w:fldChar w:fldCharType="separate"/>
        </w:r>
        <w:r w:rsidR="00BB0C0C">
          <w:rPr>
            <w:noProof/>
            <w:webHidden/>
          </w:rPr>
          <w:t>71</w:t>
        </w:r>
        <w:r w:rsidRPr="00BD7903">
          <w:rPr>
            <w:noProof/>
            <w:webHidden/>
          </w:rPr>
          <w:fldChar w:fldCharType="end"/>
        </w:r>
      </w:hyperlink>
    </w:p>
    <w:p w14:paraId="323BFB29" w14:textId="27D6E186" w:rsidR="00BD7903" w:rsidRPr="00BD7903" w:rsidRDefault="00BD7903">
      <w:pPr>
        <w:pStyle w:val="Kazaloslik"/>
        <w:tabs>
          <w:tab w:val="right" w:leader="dot" w:pos="9062"/>
        </w:tabs>
        <w:rPr>
          <w:smallCaps w:val="0"/>
          <w:noProof/>
          <w:kern w:val="2"/>
          <w:sz w:val="24"/>
          <w:szCs w:val="24"/>
          <w14:ligatures w14:val="standardContextual"/>
        </w:rPr>
      </w:pPr>
      <w:hyperlink w:anchor="_Toc230882330" w:history="1">
        <w:r w:rsidRPr="00BD7903">
          <w:rPr>
            <w:rStyle w:val="Hiperpovezava"/>
            <w:rFonts w:ascii="Arial" w:hAnsi="Arial" w:cs="Arial"/>
            <w:noProof/>
            <w:lang w:eastAsia="en-US"/>
          </w:rPr>
          <w:t>Slika 16: Prikaz lokacije nameravane investicije</w:t>
        </w:r>
        <w:r w:rsidRPr="00BD7903">
          <w:rPr>
            <w:noProof/>
            <w:webHidden/>
          </w:rPr>
          <w:tab/>
        </w:r>
        <w:r w:rsidRPr="00BD7903">
          <w:rPr>
            <w:noProof/>
            <w:webHidden/>
          </w:rPr>
          <w:fldChar w:fldCharType="begin"/>
        </w:r>
        <w:r w:rsidRPr="00BD7903">
          <w:rPr>
            <w:noProof/>
            <w:webHidden/>
          </w:rPr>
          <w:instrText xml:space="preserve"> PAGEREF _Toc230882330 \h </w:instrText>
        </w:r>
        <w:r w:rsidRPr="00BD7903">
          <w:rPr>
            <w:noProof/>
            <w:webHidden/>
          </w:rPr>
        </w:r>
        <w:r w:rsidRPr="00BD7903">
          <w:rPr>
            <w:noProof/>
            <w:webHidden/>
          </w:rPr>
          <w:fldChar w:fldCharType="separate"/>
        </w:r>
        <w:r w:rsidR="00BB0C0C">
          <w:rPr>
            <w:noProof/>
            <w:webHidden/>
          </w:rPr>
          <w:t>77</w:t>
        </w:r>
        <w:r w:rsidRPr="00BD7903">
          <w:rPr>
            <w:noProof/>
            <w:webHidden/>
          </w:rPr>
          <w:fldChar w:fldCharType="end"/>
        </w:r>
      </w:hyperlink>
    </w:p>
    <w:p w14:paraId="421F2EEF" w14:textId="21FD247D" w:rsidR="00BD7903" w:rsidRPr="00BD7903" w:rsidRDefault="00BD7903">
      <w:pPr>
        <w:pStyle w:val="Kazaloslik"/>
        <w:tabs>
          <w:tab w:val="right" w:leader="dot" w:pos="9062"/>
        </w:tabs>
        <w:rPr>
          <w:smallCaps w:val="0"/>
          <w:noProof/>
          <w:kern w:val="2"/>
          <w:sz w:val="24"/>
          <w:szCs w:val="24"/>
          <w14:ligatures w14:val="standardContextual"/>
        </w:rPr>
      </w:pPr>
      <w:hyperlink w:anchor="_Toc230882331" w:history="1">
        <w:r w:rsidRPr="00BD7903">
          <w:rPr>
            <w:rStyle w:val="Hiperpovezava"/>
            <w:rFonts w:asciiTheme="majorHAnsi" w:hAnsiTheme="majorHAnsi" w:cstheme="majorHAnsi"/>
            <w:noProof/>
          </w:rPr>
          <w:t>Slika 17: Makrolokacija predmetne investicije</w:t>
        </w:r>
        <w:r w:rsidRPr="00BD7903">
          <w:rPr>
            <w:noProof/>
            <w:webHidden/>
          </w:rPr>
          <w:tab/>
        </w:r>
        <w:r w:rsidRPr="00BD7903">
          <w:rPr>
            <w:noProof/>
            <w:webHidden/>
          </w:rPr>
          <w:fldChar w:fldCharType="begin"/>
        </w:r>
        <w:r w:rsidRPr="00BD7903">
          <w:rPr>
            <w:noProof/>
            <w:webHidden/>
          </w:rPr>
          <w:instrText xml:space="preserve"> PAGEREF _Toc230882331 \h </w:instrText>
        </w:r>
        <w:r w:rsidRPr="00BD7903">
          <w:rPr>
            <w:noProof/>
            <w:webHidden/>
          </w:rPr>
        </w:r>
        <w:r w:rsidRPr="00BD7903">
          <w:rPr>
            <w:noProof/>
            <w:webHidden/>
          </w:rPr>
          <w:fldChar w:fldCharType="separate"/>
        </w:r>
        <w:r w:rsidR="00BB0C0C">
          <w:rPr>
            <w:noProof/>
            <w:webHidden/>
          </w:rPr>
          <w:t>90</w:t>
        </w:r>
        <w:r w:rsidRPr="00BD7903">
          <w:rPr>
            <w:noProof/>
            <w:webHidden/>
          </w:rPr>
          <w:fldChar w:fldCharType="end"/>
        </w:r>
      </w:hyperlink>
    </w:p>
    <w:p w14:paraId="415854E6" w14:textId="0F0F5278" w:rsidR="00BD7903" w:rsidRPr="00BD7903" w:rsidRDefault="00BD7903">
      <w:pPr>
        <w:pStyle w:val="Kazaloslik"/>
        <w:tabs>
          <w:tab w:val="right" w:leader="dot" w:pos="9062"/>
        </w:tabs>
        <w:rPr>
          <w:smallCaps w:val="0"/>
          <w:noProof/>
          <w:kern w:val="2"/>
          <w:sz w:val="24"/>
          <w:szCs w:val="24"/>
          <w14:ligatures w14:val="standardContextual"/>
        </w:rPr>
      </w:pPr>
      <w:hyperlink w:anchor="_Toc230882332" w:history="1">
        <w:r w:rsidRPr="00BD7903">
          <w:rPr>
            <w:rStyle w:val="Hiperpovezava"/>
            <w:rFonts w:asciiTheme="majorHAnsi" w:hAnsiTheme="majorHAnsi" w:cstheme="majorHAnsi"/>
            <w:noProof/>
          </w:rPr>
          <w:t>Slika 18: Mikrolokacija predmetne investicije</w:t>
        </w:r>
        <w:r w:rsidRPr="00BD7903">
          <w:rPr>
            <w:noProof/>
            <w:webHidden/>
          </w:rPr>
          <w:tab/>
        </w:r>
        <w:r w:rsidRPr="00BD7903">
          <w:rPr>
            <w:noProof/>
            <w:webHidden/>
          </w:rPr>
          <w:fldChar w:fldCharType="begin"/>
        </w:r>
        <w:r w:rsidRPr="00BD7903">
          <w:rPr>
            <w:noProof/>
            <w:webHidden/>
          </w:rPr>
          <w:instrText xml:space="preserve"> PAGEREF _Toc230882332 \h </w:instrText>
        </w:r>
        <w:r w:rsidRPr="00BD7903">
          <w:rPr>
            <w:noProof/>
            <w:webHidden/>
          </w:rPr>
        </w:r>
        <w:r w:rsidRPr="00BD7903">
          <w:rPr>
            <w:noProof/>
            <w:webHidden/>
          </w:rPr>
          <w:fldChar w:fldCharType="separate"/>
        </w:r>
        <w:r w:rsidR="00BB0C0C">
          <w:rPr>
            <w:noProof/>
            <w:webHidden/>
          </w:rPr>
          <w:t>91</w:t>
        </w:r>
        <w:r w:rsidRPr="00BD7903">
          <w:rPr>
            <w:noProof/>
            <w:webHidden/>
          </w:rPr>
          <w:fldChar w:fldCharType="end"/>
        </w:r>
      </w:hyperlink>
    </w:p>
    <w:p w14:paraId="74BDDFBB" w14:textId="534D7E62" w:rsidR="00BD7903" w:rsidRDefault="00BD7903">
      <w:pPr>
        <w:pStyle w:val="Kazaloslik"/>
        <w:tabs>
          <w:tab w:val="right" w:leader="dot" w:pos="9062"/>
        </w:tabs>
        <w:rPr>
          <w:smallCaps w:val="0"/>
          <w:noProof/>
          <w:kern w:val="2"/>
          <w:sz w:val="24"/>
          <w:szCs w:val="24"/>
          <w14:ligatures w14:val="standardContextual"/>
        </w:rPr>
      </w:pPr>
      <w:hyperlink w:anchor="_Toc230882333" w:history="1">
        <w:r w:rsidRPr="00BD7903">
          <w:rPr>
            <w:rStyle w:val="Hiperpovezava"/>
            <w:rFonts w:asciiTheme="majorHAnsi" w:hAnsiTheme="majorHAnsi" w:cstheme="majorHAnsi"/>
            <w:noProof/>
          </w:rPr>
          <w:t>Slika 19: Prostorska ureditev</w:t>
        </w:r>
        <w:r w:rsidRPr="00BD7903">
          <w:rPr>
            <w:noProof/>
            <w:webHidden/>
          </w:rPr>
          <w:tab/>
        </w:r>
        <w:r w:rsidRPr="00BD7903">
          <w:rPr>
            <w:noProof/>
            <w:webHidden/>
          </w:rPr>
          <w:fldChar w:fldCharType="begin"/>
        </w:r>
        <w:r w:rsidRPr="00BD7903">
          <w:rPr>
            <w:noProof/>
            <w:webHidden/>
          </w:rPr>
          <w:instrText xml:space="preserve"> PAGEREF _Toc230882333 \h </w:instrText>
        </w:r>
        <w:r w:rsidRPr="00BD7903">
          <w:rPr>
            <w:noProof/>
            <w:webHidden/>
          </w:rPr>
        </w:r>
        <w:r w:rsidRPr="00BD7903">
          <w:rPr>
            <w:noProof/>
            <w:webHidden/>
          </w:rPr>
          <w:fldChar w:fldCharType="separate"/>
        </w:r>
        <w:r w:rsidR="00BB0C0C">
          <w:rPr>
            <w:noProof/>
            <w:webHidden/>
          </w:rPr>
          <w:t>91</w:t>
        </w:r>
        <w:r w:rsidRPr="00BD7903">
          <w:rPr>
            <w:noProof/>
            <w:webHidden/>
          </w:rPr>
          <w:fldChar w:fldCharType="end"/>
        </w:r>
      </w:hyperlink>
    </w:p>
    <w:p w14:paraId="455E90ED" w14:textId="333D0384" w:rsidR="003836D1" w:rsidRPr="000020F0" w:rsidRDefault="00E62499" w:rsidP="00BD1D20">
      <w:pPr>
        <w:pStyle w:val="Kazaloslik"/>
        <w:tabs>
          <w:tab w:val="right" w:leader="dot" w:pos="9062"/>
        </w:tabs>
        <w:rPr>
          <w:rFonts w:asciiTheme="majorHAnsi" w:eastAsiaTheme="majorEastAsia" w:hAnsiTheme="majorHAnsi" w:cstheme="majorHAnsi"/>
          <w:b/>
          <w:bCs/>
          <w:color w:val="365F91" w:themeColor="accent1" w:themeShade="BF"/>
          <w:sz w:val="24"/>
          <w:szCs w:val="24"/>
        </w:rPr>
      </w:pPr>
      <w:r w:rsidRPr="000020F0">
        <w:rPr>
          <w:rStyle w:val="Hiperpovezava"/>
          <w:rFonts w:asciiTheme="majorHAnsi" w:eastAsia="Arial" w:hAnsiTheme="majorHAnsi" w:cstheme="majorHAnsi"/>
          <w:bCs/>
          <w:smallCaps w:val="0"/>
        </w:rPr>
        <w:fldChar w:fldCharType="end"/>
      </w:r>
    </w:p>
    <w:p w14:paraId="57EAA6BE" w14:textId="77777777" w:rsidR="003836D1" w:rsidRPr="000020F0" w:rsidRDefault="003836D1" w:rsidP="00BD1D20">
      <w:pPr>
        <w:spacing w:line="276" w:lineRule="auto"/>
        <w:rPr>
          <w:rFonts w:asciiTheme="majorHAnsi" w:hAnsiTheme="majorHAnsi" w:cstheme="majorHAnsi"/>
          <w:highlight w:val="yellow"/>
        </w:rPr>
        <w:sectPr w:rsidR="003836D1" w:rsidRPr="000020F0" w:rsidSect="00480057">
          <w:footerReference w:type="default" r:id="rId16"/>
          <w:footerReference w:type="first" r:id="rId17"/>
          <w:pgSz w:w="11906" w:h="16838"/>
          <w:pgMar w:top="1417" w:right="1417" w:bottom="1417" w:left="1417" w:header="708" w:footer="708" w:gutter="0"/>
          <w:cols w:space="708"/>
          <w:titlePg/>
          <w:docGrid w:linePitch="360"/>
        </w:sectPr>
      </w:pPr>
    </w:p>
    <w:p w14:paraId="600BAE46" w14:textId="77777777" w:rsidR="00F646BC" w:rsidRPr="000020F0" w:rsidRDefault="006B2762" w:rsidP="00BD1D20">
      <w:pPr>
        <w:pStyle w:val="Naslov1"/>
        <w:numPr>
          <w:ilvl w:val="0"/>
          <w:numId w:val="3"/>
        </w:numPr>
        <w:rPr>
          <w:rFonts w:cstheme="majorHAnsi"/>
        </w:rPr>
      </w:pPr>
      <w:bookmarkStart w:id="47" w:name="_Ref230593891"/>
      <w:bookmarkStart w:id="48" w:name="_Toc230882163"/>
      <w:r w:rsidRPr="000020F0">
        <w:rPr>
          <w:rFonts w:cstheme="majorHAnsi"/>
        </w:rPr>
        <w:lastRenderedPageBreak/>
        <w:t>UVODNO POJASNILO</w:t>
      </w:r>
      <w:bookmarkEnd w:id="47"/>
      <w:bookmarkEnd w:id="48"/>
    </w:p>
    <w:p w14:paraId="3B2998CF" w14:textId="77777777" w:rsidR="00A436A4" w:rsidRPr="000020F0" w:rsidRDefault="00A436A4" w:rsidP="00BD1D20">
      <w:pPr>
        <w:spacing w:after="120" w:line="276" w:lineRule="auto"/>
        <w:rPr>
          <w:rFonts w:asciiTheme="majorHAnsi" w:hAnsiTheme="majorHAnsi" w:cstheme="majorHAnsi"/>
          <w:sz w:val="22"/>
          <w:szCs w:val="22"/>
        </w:rPr>
      </w:pPr>
    </w:p>
    <w:p w14:paraId="2D3AE56A" w14:textId="77777777" w:rsidR="00777C82" w:rsidRPr="000020F0" w:rsidRDefault="00777C82" w:rsidP="00777C82">
      <w:pPr>
        <w:spacing w:after="200" w:line="276" w:lineRule="auto"/>
        <w:jc w:val="both"/>
        <w:rPr>
          <w:rFonts w:ascii="Arial" w:eastAsia="Arial" w:hAnsi="Arial" w:cs="Arial"/>
          <w:sz w:val="22"/>
          <w:szCs w:val="22"/>
        </w:rPr>
      </w:pPr>
      <w:r w:rsidRPr="000020F0">
        <w:rPr>
          <w:rFonts w:ascii="Arial" w:eastAsia="Arial" w:hAnsi="Arial" w:cs="Arial"/>
          <w:sz w:val="22"/>
          <w:szCs w:val="22"/>
        </w:rPr>
        <w:t>Občina Ig je pristopila k urbanistični ureditvi ožjega dela centra Iga ob Govekarjevi cesti, od avtobusnega postajališča do Troštove ulice, v katerem zasleduje cilje in ukrepe zelene infrastrukture in trajnostne mobilnosti.</w:t>
      </w:r>
    </w:p>
    <w:p w14:paraId="477FD5D2" w14:textId="77777777" w:rsidR="00777C82" w:rsidRPr="000020F0" w:rsidRDefault="00777C82" w:rsidP="00777C82">
      <w:pPr>
        <w:spacing w:after="200" w:line="276" w:lineRule="auto"/>
        <w:jc w:val="both"/>
        <w:rPr>
          <w:rFonts w:ascii="Arial" w:eastAsia="Arial" w:hAnsi="Arial" w:cs="Arial"/>
          <w:sz w:val="22"/>
          <w:szCs w:val="22"/>
        </w:rPr>
      </w:pPr>
      <w:r w:rsidRPr="000020F0">
        <w:rPr>
          <w:rFonts w:ascii="Arial" w:eastAsia="Arial" w:hAnsi="Arial" w:cs="Arial"/>
          <w:sz w:val="22"/>
          <w:szCs w:val="22"/>
        </w:rPr>
        <w:t>Naselje Ig je občinsko središče, ki se naglo razvija in ima številne omejitve v prostorskem širjenju. Z urbanistično ureditvijo ožjega dela Iga se nadgrajuje obstoječe središče ob upoštevanju zgodovinskega pomena lokacije in novo umeščenih programov in dejavnosti, ki se izvajajo na tem delu Iga.</w:t>
      </w:r>
    </w:p>
    <w:p w14:paraId="0E3AA99E" w14:textId="77777777"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 xml:space="preserve">Občina Ig je v skladu z usmeritvami nacionalnih in evropskih politik trajnostne mobilnosti pristopila k pripravi in izvedbi projekta </w:t>
      </w:r>
      <w:r w:rsidRPr="000020F0">
        <w:rPr>
          <w:rFonts w:ascii="Arial" w:hAnsi="Arial" w:cs="Arial"/>
          <w:b/>
          <w:bCs/>
          <w:sz w:val="22"/>
          <w:szCs w:val="22"/>
        </w:rPr>
        <w:t>celovite ureditve središča naselja Ig</w:t>
      </w:r>
      <w:r w:rsidRPr="000020F0">
        <w:rPr>
          <w:rFonts w:ascii="Arial" w:hAnsi="Arial" w:cs="Arial"/>
          <w:sz w:val="22"/>
          <w:szCs w:val="22"/>
        </w:rPr>
        <w:t>, ki vključuje vrsto ukrepov za izboljšanje prometne varnosti, zmanjšanje odvisnosti od osebnih vozil ter spodbujanje hoje, kolesarjenja in uporabe javnega potniškega prometa.</w:t>
      </w:r>
    </w:p>
    <w:p w14:paraId="6DDB06AB" w14:textId="07E5BF54"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 xml:space="preserve">Občina Ig je v letu 2024 pripravila dokument identifikacije investicijskega projekta (DIIP), ki je obsegal celoten sklop ukrepov za trajnostno mobilnost in zeleno infrastrukturo v središču naselja Ig. Na podlagi nadaljnjega usklajevanja z razvojnimi programi in razpisnimi pogoji </w:t>
      </w:r>
      <w:r w:rsidR="00005BCD" w:rsidRPr="000020F0">
        <w:rPr>
          <w:rFonts w:ascii="Arial" w:hAnsi="Arial" w:cs="Arial"/>
          <w:sz w:val="22"/>
          <w:szCs w:val="22"/>
        </w:rPr>
        <w:t>se je projekt v letu 2025 razdelil na dva samostojna projekta</w:t>
      </w:r>
      <w:r w:rsidRPr="000020F0">
        <w:rPr>
          <w:rFonts w:ascii="Arial" w:hAnsi="Arial" w:cs="Arial"/>
          <w:sz w:val="22"/>
          <w:szCs w:val="22"/>
        </w:rPr>
        <w:t>, in sicer:</w:t>
      </w:r>
    </w:p>
    <w:p w14:paraId="069BB9A6" w14:textId="4970BD7D" w:rsidR="00777C82" w:rsidRPr="000020F0" w:rsidRDefault="00777C82" w:rsidP="00777C82">
      <w:pPr>
        <w:numPr>
          <w:ilvl w:val="0"/>
          <w:numId w:val="106"/>
        </w:numPr>
        <w:spacing w:after="120" w:line="276" w:lineRule="auto"/>
        <w:jc w:val="both"/>
        <w:rPr>
          <w:rFonts w:ascii="Arial" w:hAnsi="Arial" w:cs="Arial"/>
          <w:sz w:val="22"/>
          <w:szCs w:val="22"/>
        </w:rPr>
      </w:pPr>
      <w:r w:rsidRPr="000020F0">
        <w:rPr>
          <w:rFonts w:ascii="Arial" w:hAnsi="Arial" w:cs="Arial"/>
          <w:sz w:val="22"/>
          <w:szCs w:val="22"/>
        </w:rPr>
        <w:t>Trajnostna mobilnost, kjer bo občina kandidirala za sofinanciranje na javnem razpisu MOPE (JR EKP UTM 202</w:t>
      </w:r>
      <w:r w:rsidR="00005BCD" w:rsidRPr="000020F0">
        <w:rPr>
          <w:rFonts w:ascii="Arial" w:hAnsi="Arial" w:cs="Arial"/>
          <w:sz w:val="22"/>
          <w:szCs w:val="22"/>
        </w:rPr>
        <w:t>5</w:t>
      </w:r>
      <w:r w:rsidRPr="000020F0">
        <w:rPr>
          <w:rFonts w:ascii="Arial" w:hAnsi="Arial" w:cs="Arial"/>
          <w:sz w:val="22"/>
          <w:szCs w:val="22"/>
        </w:rPr>
        <w:t>),</w:t>
      </w:r>
    </w:p>
    <w:p w14:paraId="1F2DBB98" w14:textId="77777777" w:rsidR="00777C82" w:rsidRPr="000020F0" w:rsidRDefault="00777C82" w:rsidP="00777C82">
      <w:pPr>
        <w:numPr>
          <w:ilvl w:val="0"/>
          <w:numId w:val="106"/>
        </w:numPr>
        <w:spacing w:after="120" w:line="276" w:lineRule="auto"/>
        <w:jc w:val="both"/>
        <w:rPr>
          <w:rFonts w:ascii="Arial" w:hAnsi="Arial" w:cs="Arial"/>
          <w:sz w:val="22"/>
          <w:szCs w:val="22"/>
        </w:rPr>
      </w:pPr>
      <w:r w:rsidRPr="000020F0">
        <w:rPr>
          <w:rFonts w:ascii="Arial" w:hAnsi="Arial" w:cs="Arial"/>
          <w:sz w:val="22"/>
          <w:szCs w:val="22"/>
        </w:rPr>
        <w:t>Zelena infrastruktura, ki je s svojimi vsebinami uvrščena v Dogovor za razvoj regij (DRR).</w:t>
      </w:r>
    </w:p>
    <w:p w14:paraId="38828917" w14:textId="206F04B2"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Zaradi razdelitve vsebin in ločenega financiranja se oba projekta vodita povsem ločeno, kar narekuje tudi pripravo nove investicijske dokumentacije. Zaradi česar je bil ponovno izdelan DIIP</w:t>
      </w:r>
      <w:r w:rsidR="00D620A7" w:rsidRPr="000020F0">
        <w:rPr>
          <w:rFonts w:ascii="Arial" w:hAnsi="Arial" w:cs="Arial"/>
          <w:sz w:val="22"/>
          <w:szCs w:val="22"/>
        </w:rPr>
        <w:t>, PIZ</w:t>
      </w:r>
      <w:r w:rsidR="009D37D1" w:rsidRPr="000020F0">
        <w:rPr>
          <w:rFonts w:ascii="Arial" w:hAnsi="Arial" w:cs="Arial"/>
          <w:sz w:val="22"/>
          <w:szCs w:val="22"/>
        </w:rPr>
        <w:t>, IP</w:t>
      </w:r>
      <w:r w:rsidRPr="000020F0">
        <w:rPr>
          <w:rFonts w:ascii="Arial" w:hAnsi="Arial" w:cs="Arial"/>
          <w:sz w:val="22"/>
          <w:szCs w:val="22"/>
        </w:rPr>
        <w:t xml:space="preserve"> in predmetn</w:t>
      </w:r>
      <w:r w:rsidR="009D37D1" w:rsidRPr="000020F0">
        <w:rPr>
          <w:rFonts w:ascii="Arial" w:hAnsi="Arial" w:cs="Arial"/>
          <w:sz w:val="22"/>
          <w:szCs w:val="22"/>
        </w:rPr>
        <w:t>a</w:t>
      </w:r>
      <w:r w:rsidRPr="000020F0">
        <w:rPr>
          <w:rFonts w:ascii="Arial" w:hAnsi="Arial" w:cs="Arial"/>
          <w:sz w:val="22"/>
          <w:szCs w:val="22"/>
        </w:rPr>
        <w:t xml:space="preserve"> </w:t>
      </w:r>
      <w:proofErr w:type="spellStart"/>
      <w:r w:rsidR="009D37D1" w:rsidRPr="000020F0">
        <w:rPr>
          <w:rFonts w:ascii="Arial" w:hAnsi="Arial" w:cs="Arial"/>
          <w:sz w:val="22"/>
          <w:szCs w:val="22"/>
        </w:rPr>
        <w:t>novelacija</w:t>
      </w:r>
      <w:proofErr w:type="spellEnd"/>
      <w:r w:rsidR="009D37D1" w:rsidRPr="000020F0">
        <w:rPr>
          <w:rFonts w:ascii="Arial" w:hAnsi="Arial" w:cs="Arial"/>
          <w:sz w:val="22"/>
          <w:szCs w:val="22"/>
        </w:rPr>
        <w:t xml:space="preserve"> </w:t>
      </w:r>
      <w:r w:rsidR="00D620A7" w:rsidRPr="000020F0">
        <w:rPr>
          <w:rFonts w:ascii="Arial" w:hAnsi="Arial" w:cs="Arial"/>
          <w:sz w:val="22"/>
          <w:szCs w:val="22"/>
        </w:rPr>
        <w:t>IP</w:t>
      </w:r>
      <w:r w:rsidRPr="000020F0">
        <w:rPr>
          <w:rFonts w:ascii="Arial" w:hAnsi="Arial" w:cs="Arial"/>
          <w:sz w:val="22"/>
          <w:szCs w:val="22"/>
        </w:rPr>
        <w:t xml:space="preserve">, ki se </w:t>
      </w:r>
      <w:r w:rsidR="00D77C97" w:rsidRPr="000020F0">
        <w:rPr>
          <w:rFonts w:ascii="Arial" w:hAnsi="Arial" w:cs="Arial"/>
          <w:sz w:val="22"/>
          <w:szCs w:val="22"/>
        </w:rPr>
        <w:t>nanašajo</w:t>
      </w:r>
      <w:r w:rsidRPr="000020F0">
        <w:rPr>
          <w:rFonts w:ascii="Arial" w:hAnsi="Arial" w:cs="Arial"/>
          <w:sz w:val="22"/>
          <w:szCs w:val="22"/>
        </w:rPr>
        <w:t xml:space="preserve"> izključno na projekt Celovita ureditev centra Ig – ukrepi trajnostne mobilnosti.</w:t>
      </w:r>
    </w:p>
    <w:p w14:paraId="723E27B4" w14:textId="1E6453AE" w:rsidR="00D638F0" w:rsidRPr="000020F0" w:rsidRDefault="00D638F0" w:rsidP="00D638F0">
      <w:pPr>
        <w:spacing w:line="276" w:lineRule="auto"/>
        <w:jc w:val="both"/>
        <w:rPr>
          <w:rFonts w:ascii="Arial" w:hAnsi="Arial" w:cs="Arial"/>
          <w:sz w:val="22"/>
          <w:szCs w:val="22"/>
        </w:rPr>
      </w:pPr>
      <w:r w:rsidRPr="000020F0">
        <w:rPr>
          <w:rFonts w:ascii="Arial" w:hAnsi="Arial" w:cs="Arial"/>
          <w:sz w:val="22"/>
          <w:szCs w:val="22"/>
        </w:rPr>
        <w:t>Občina Ig je predhodno potrdila investicijski program in projekt prijavila na prvi rok Javnega razpisa MOPE (JR EKP UTM 202</w:t>
      </w:r>
      <w:r w:rsidR="00005BCD" w:rsidRPr="000020F0">
        <w:rPr>
          <w:rFonts w:ascii="Arial" w:hAnsi="Arial" w:cs="Arial"/>
          <w:sz w:val="22"/>
          <w:szCs w:val="22"/>
        </w:rPr>
        <w:t>5</w:t>
      </w:r>
      <w:r w:rsidRPr="000020F0">
        <w:rPr>
          <w:rFonts w:ascii="Arial" w:hAnsi="Arial" w:cs="Arial"/>
          <w:sz w:val="22"/>
          <w:szCs w:val="22"/>
        </w:rPr>
        <w:t xml:space="preserve">). Ker občina pri pridobitvi nepovratnih sredstev iz naslova navedenega javnega razpisa ni bila uspešna, je pristopila k nadgradnji projekta ter pripravi dokumentacije za prijavo projekta na drugi rok istega javnega razpisa. Posledično se zaradi navedenega sprejme </w:t>
      </w:r>
      <w:proofErr w:type="spellStart"/>
      <w:r w:rsidRPr="000020F0">
        <w:rPr>
          <w:rFonts w:ascii="Arial" w:hAnsi="Arial" w:cs="Arial"/>
          <w:sz w:val="22"/>
          <w:szCs w:val="22"/>
        </w:rPr>
        <w:t>novelacija</w:t>
      </w:r>
      <w:proofErr w:type="spellEnd"/>
      <w:r w:rsidRPr="000020F0">
        <w:rPr>
          <w:rFonts w:ascii="Arial" w:hAnsi="Arial" w:cs="Arial"/>
          <w:sz w:val="22"/>
          <w:szCs w:val="22"/>
        </w:rPr>
        <w:t xml:space="preserve"> investicijskega programa, in sicer zaradi naslednjih ugotovljenih odmikov:</w:t>
      </w:r>
    </w:p>
    <w:p w14:paraId="558613F5" w14:textId="77777777" w:rsidR="00D638F0" w:rsidRPr="000020F0" w:rsidRDefault="00D638F0" w:rsidP="00D638F0">
      <w:pPr>
        <w:numPr>
          <w:ilvl w:val="0"/>
          <w:numId w:val="221"/>
        </w:numPr>
        <w:spacing w:line="276" w:lineRule="auto"/>
        <w:jc w:val="both"/>
        <w:rPr>
          <w:rFonts w:ascii="Arial" w:hAnsi="Arial" w:cs="Arial"/>
          <w:sz w:val="22"/>
          <w:szCs w:val="22"/>
        </w:rPr>
      </w:pPr>
      <w:r w:rsidRPr="000020F0">
        <w:rPr>
          <w:rFonts w:ascii="Arial" w:hAnsi="Arial" w:cs="Arial"/>
          <w:sz w:val="22"/>
          <w:szCs w:val="22"/>
        </w:rPr>
        <w:t xml:space="preserve">spremembe vrednosti projekta, </w:t>
      </w:r>
    </w:p>
    <w:p w14:paraId="13B889AE" w14:textId="77777777" w:rsidR="00D638F0" w:rsidRPr="000020F0" w:rsidRDefault="00D638F0" w:rsidP="00D638F0">
      <w:pPr>
        <w:numPr>
          <w:ilvl w:val="0"/>
          <w:numId w:val="221"/>
        </w:numPr>
        <w:spacing w:line="276" w:lineRule="auto"/>
        <w:jc w:val="both"/>
        <w:rPr>
          <w:rFonts w:ascii="Arial" w:hAnsi="Arial" w:cs="Arial"/>
          <w:sz w:val="22"/>
          <w:szCs w:val="22"/>
        </w:rPr>
      </w:pPr>
      <w:r w:rsidRPr="000020F0">
        <w:rPr>
          <w:rFonts w:ascii="Arial" w:hAnsi="Arial" w:cs="Arial"/>
          <w:sz w:val="22"/>
          <w:szCs w:val="22"/>
        </w:rPr>
        <w:t xml:space="preserve">spremembe dinamike projekta, </w:t>
      </w:r>
    </w:p>
    <w:p w14:paraId="29868C5D" w14:textId="77777777" w:rsidR="00D638F0" w:rsidRPr="000020F0" w:rsidRDefault="00D638F0" w:rsidP="00D638F0">
      <w:pPr>
        <w:numPr>
          <w:ilvl w:val="0"/>
          <w:numId w:val="221"/>
        </w:numPr>
        <w:spacing w:line="276" w:lineRule="auto"/>
        <w:jc w:val="both"/>
        <w:rPr>
          <w:rFonts w:ascii="Arial" w:hAnsi="Arial" w:cs="Arial"/>
          <w:sz w:val="22"/>
          <w:szCs w:val="22"/>
        </w:rPr>
      </w:pPr>
      <w:r w:rsidRPr="000020F0">
        <w:rPr>
          <w:rFonts w:ascii="Arial" w:hAnsi="Arial" w:cs="Arial"/>
          <w:sz w:val="22"/>
          <w:szCs w:val="22"/>
        </w:rPr>
        <w:t xml:space="preserve">spremembe višine zagotovljenih sredstev, </w:t>
      </w:r>
    </w:p>
    <w:p w14:paraId="29C38F72" w14:textId="77777777" w:rsidR="00D638F0" w:rsidRPr="000020F0" w:rsidRDefault="00D638F0" w:rsidP="00D638F0">
      <w:pPr>
        <w:numPr>
          <w:ilvl w:val="0"/>
          <w:numId w:val="221"/>
        </w:numPr>
        <w:spacing w:after="120" w:line="276" w:lineRule="auto"/>
        <w:jc w:val="both"/>
        <w:rPr>
          <w:rFonts w:ascii="Arial" w:hAnsi="Arial" w:cs="Arial"/>
          <w:sz w:val="22"/>
          <w:szCs w:val="22"/>
        </w:rPr>
      </w:pPr>
      <w:r w:rsidRPr="000020F0">
        <w:rPr>
          <w:rFonts w:ascii="Arial" w:hAnsi="Arial" w:cs="Arial"/>
          <w:sz w:val="22"/>
          <w:szCs w:val="22"/>
        </w:rPr>
        <w:t>spremembe tehnične rešitve projekta.</w:t>
      </w:r>
    </w:p>
    <w:p w14:paraId="02D20D27" w14:textId="77777777"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 xml:space="preserve">Na podlagi shematičnega prikaza, ki izhaja iz Slike 1 v nadaljevanju sta transparentno prikazana oba projekta, tj. </w:t>
      </w:r>
      <w:r w:rsidRPr="000020F0">
        <w:rPr>
          <w:rFonts w:ascii="Arial" w:hAnsi="Arial" w:cs="Arial"/>
          <w:i/>
          <w:iCs/>
          <w:sz w:val="22"/>
          <w:szCs w:val="22"/>
        </w:rPr>
        <w:t>Celovita ureditev centra Ig – zelena infrastruktura</w:t>
      </w:r>
      <w:r w:rsidRPr="000020F0">
        <w:rPr>
          <w:rFonts w:ascii="Arial" w:hAnsi="Arial" w:cs="Arial"/>
          <w:sz w:val="22"/>
          <w:szCs w:val="22"/>
        </w:rPr>
        <w:t xml:space="preserve"> in </w:t>
      </w:r>
      <w:r w:rsidRPr="000020F0">
        <w:rPr>
          <w:rFonts w:ascii="Arial" w:hAnsi="Arial" w:cs="Arial"/>
          <w:i/>
          <w:iCs/>
          <w:sz w:val="22"/>
          <w:szCs w:val="22"/>
        </w:rPr>
        <w:t>Celovita ureditev centra Ig – trajnostna mobilnost</w:t>
      </w:r>
      <w:r w:rsidRPr="000020F0">
        <w:rPr>
          <w:rFonts w:ascii="Arial" w:hAnsi="Arial" w:cs="Arial"/>
          <w:sz w:val="22"/>
          <w:szCs w:val="22"/>
        </w:rPr>
        <w:t>, ki se bosta izvajala sočasno.</w:t>
      </w:r>
    </w:p>
    <w:p w14:paraId="4F4F43D2" w14:textId="77777777" w:rsidR="00777C82" w:rsidRPr="000020F0" w:rsidRDefault="00777C82" w:rsidP="00777C82">
      <w:pPr>
        <w:spacing w:after="200" w:line="276" w:lineRule="auto"/>
        <w:rPr>
          <w:rFonts w:ascii="Arial" w:hAnsi="Arial" w:cs="Arial"/>
          <w:sz w:val="22"/>
          <w:szCs w:val="22"/>
        </w:rPr>
      </w:pPr>
      <w:r w:rsidRPr="000020F0">
        <w:rPr>
          <w:rFonts w:ascii="Arial" w:hAnsi="Arial" w:cs="Arial"/>
          <w:sz w:val="22"/>
          <w:szCs w:val="22"/>
        </w:rPr>
        <w:br w:type="page"/>
      </w:r>
    </w:p>
    <w:p w14:paraId="2FAAF662" w14:textId="47192F73" w:rsidR="00AA423F" w:rsidRPr="000020F0" w:rsidRDefault="00AA423F" w:rsidP="00AA423F">
      <w:pPr>
        <w:rPr>
          <w:rFonts w:ascii="Arial" w:hAnsi="Arial" w:cs="Arial"/>
          <w:sz w:val="22"/>
          <w:szCs w:val="22"/>
        </w:rPr>
      </w:pPr>
      <w:bookmarkStart w:id="49" w:name="_Toc209029189"/>
      <w:bookmarkStart w:id="50" w:name="_Toc209277204"/>
      <w:bookmarkStart w:id="51" w:name="_Toc230882315"/>
      <w:r w:rsidRPr="000020F0">
        <w:rPr>
          <w:rFonts w:ascii="Arial" w:hAnsi="Arial" w:cs="Arial"/>
          <w:b/>
          <w:bCs/>
          <w:sz w:val="22"/>
          <w:szCs w:val="22"/>
        </w:rPr>
        <w:lastRenderedPageBreak/>
        <w:t xml:space="preserve">Slika </w:t>
      </w:r>
      <w:r w:rsidRPr="000020F0">
        <w:rPr>
          <w:rFonts w:ascii="Arial" w:hAnsi="Arial" w:cs="Arial"/>
          <w:b/>
          <w:bCs/>
          <w:sz w:val="22"/>
          <w:szCs w:val="22"/>
        </w:rPr>
        <w:fldChar w:fldCharType="begin"/>
      </w:r>
      <w:r w:rsidRPr="000020F0">
        <w:rPr>
          <w:rFonts w:ascii="Arial" w:hAnsi="Arial" w:cs="Arial"/>
          <w:b/>
          <w:bCs/>
          <w:sz w:val="22"/>
          <w:szCs w:val="22"/>
        </w:rPr>
        <w:instrText xml:space="preserve"> SEQ Slika \* ARABIC </w:instrText>
      </w:r>
      <w:r w:rsidRPr="000020F0">
        <w:rPr>
          <w:rFonts w:ascii="Arial" w:hAnsi="Arial" w:cs="Arial"/>
          <w:b/>
          <w:bCs/>
          <w:sz w:val="22"/>
          <w:szCs w:val="22"/>
        </w:rPr>
        <w:fldChar w:fldCharType="separate"/>
      </w:r>
      <w:r w:rsidR="00BB0C0C">
        <w:rPr>
          <w:rFonts w:ascii="Arial" w:hAnsi="Arial" w:cs="Arial"/>
          <w:b/>
          <w:bCs/>
          <w:noProof/>
          <w:sz w:val="22"/>
          <w:szCs w:val="22"/>
        </w:rPr>
        <w:t>1</w:t>
      </w:r>
      <w:r w:rsidRPr="000020F0">
        <w:rPr>
          <w:rFonts w:ascii="Arial" w:hAnsi="Arial" w:cs="Arial"/>
          <w:b/>
          <w:bCs/>
          <w:sz w:val="22"/>
          <w:szCs w:val="22"/>
        </w:rPr>
        <w:fldChar w:fldCharType="end"/>
      </w:r>
      <w:r w:rsidRPr="000020F0">
        <w:rPr>
          <w:rFonts w:ascii="Arial" w:hAnsi="Arial" w:cs="Arial"/>
          <w:b/>
          <w:bCs/>
          <w:sz w:val="22"/>
          <w:szCs w:val="22"/>
        </w:rPr>
        <w:t xml:space="preserve">: </w:t>
      </w:r>
      <w:r w:rsidRPr="000020F0">
        <w:rPr>
          <w:rFonts w:ascii="Arial" w:hAnsi="Arial" w:cs="Arial"/>
          <w:sz w:val="22"/>
          <w:szCs w:val="22"/>
        </w:rPr>
        <w:t>Shema prikaza obeh projektov za celovito ureditev centra Ig</w:t>
      </w:r>
      <w:bookmarkEnd w:id="49"/>
      <w:bookmarkEnd w:id="50"/>
      <w:bookmarkEnd w:id="51"/>
    </w:p>
    <w:p w14:paraId="4CBAE8A4" w14:textId="752DB449" w:rsidR="00AA423F" w:rsidRPr="000020F0" w:rsidRDefault="00F845DF" w:rsidP="00AA423F">
      <w:pPr>
        <w:rPr>
          <w:rFonts w:asciiTheme="majorHAnsi" w:hAnsiTheme="majorHAnsi" w:cstheme="majorHAnsi"/>
        </w:rPr>
      </w:pPr>
      <w:r w:rsidRPr="000020F0">
        <w:rPr>
          <w:rFonts w:asciiTheme="majorHAnsi" w:hAnsiTheme="majorHAnsi" w:cstheme="majorHAnsi"/>
          <w:noProof/>
        </w:rPr>
        <mc:AlternateContent>
          <mc:Choice Requires="wpi">
            <w:drawing>
              <wp:anchor distT="0" distB="0" distL="114300" distR="114300" simplePos="0" relativeHeight="251682304" behindDoc="0" locked="0" layoutInCell="1" allowOverlap="1" wp14:anchorId="64CB5873" wp14:editId="0D4C8273">
                <wp:simplePos x="0" y="0"/>
                <wp:positionH relativeFrom="column">
                  <wp:posOffset>-8890</wp:posOffset>
                </wp:positionH>
                <wp:positionV relativeFrom="paragraph">
                  <wp:posOffset>238125</wp:posOffset>
                </wp:positionV>
                <wp:extent cx="622140" cy="148030"/>
                <wp:effectExtent l="133350" t="133350" r="26035" b="137795"/>
                <wp:wrapNone/>
                <wp:docPr id="714920417" name="Ink 22"/>
                <wp:cNvGraphicFramePr/>
                <a:graphic xmlns:a="http://schemas.openxmlformats.org/drawingml/2006/main">
                  <a:graphicData uri="http://schemas.microsoft.com/office/word/2010/wordprocessingInk">
                    <w14:contentPart bwMode="auto" r:id="rId18">
                      <w14:nvContentPartPr>
                        <w14:cNvContentPartPr/>
                      </w14:nvContentPartPr>
                      <w14:xfrm>
                        <a:off x="0" y="0"/>
                        <a:ext cx="622140" cy="148030"/>
                      </w14:xfrm>
                    </w14:contentPart>
                  </a:graphicData>
                </a:graphic>
              </wp:anchor>
            </w:drawing>
          </mc:Choice>
          <mc:Fallback>
            <w:pict>
              <v:shapetype w14:anchorId="55C9E1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5.65pt;margin-top:13.8pt;width:58.95pt;height:21.5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">
                <v:imagedata r:id="rId19" o:title=""/>
              </v:shape>
            </w:pict>
          </mc:Fallback>
        </mc:AlternateContent>
      </w:r>
      <w:r w:rsidRPr="000020F0">
        <w:rPr>
          <w:rFonts w:asciiTheme="majorHAnsi" w:hAnsiTheme="majorHAnsi" w:cstheme="majorHAnsi"/>
          <w:noProof/>
        </w:rPr>
        <w:drawing>
          <wp:inline distT="0" distB="0" distL="0" distR="0" wp14:anchorId="73C58E00" wp14:editId="48A9D188">
            <wp:extent cx="5704450" cy="8717454"/>
            <wp:effectExtent l="0" t="0" r="0" b="7620"/>
            <wp:docPr id="512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213" name=""/>
                    <pic:cNvPicPr/>
                  </pic:nvPicPr>
                  <pic:blipFill>
                    <a:blip r:embed="rId20"/>
                    <a:stretch>
                      <a:fillRect/>
                    </a:stretch>
                  </pic:blipFill>
                  <pic:spPr>
                    <a:xfrm>
                      <a:off x="0" y="0"/>
                      <a:ext cx="5711374" cy="8728036"/>
                    </a:xfrm>
                    <a:prstGeom prst="rect">
                      <a:avLst/>
                    </a:prstGeom>
                  </pic:spPr>
                </pic:pic>
              </a:graphicData>
            </a:graphic>
          </wp:inline>
        </w:drawing>
      </w:r>
    </w:p>
    <w:p w14:paraId="7F8480E3" w14:textId="2764FDB1" w:rsidR="00777C82" w:rsidRPr="000020F0" w:rsidRDefault="00777C82" w:rsidP="00777C82">
      <w:pPr>
        <w:spacing w:after="200" w:line="276" w:lineRule="auto"/>
        <w:jc w:val="both"/>
        <w:rPr>
          <w:rFonts w:ascii="Arial" w:hAnsi="Arial" w:cs="Arial"/>
          <w:sz w:val="22"/>
          <w:szCs w:val="22"/>
        </w:rPr>
      </w:pPr>
      <w:r w:rsidRPr="000020F0">
        <w:rPr>
          <w:rFonts w:ascii="Arial" w:hAnsi="Arial" w:cs="Arial"/>
          <w:sz w:val="22"/>
          <w:szCs w:val="22"/>
        </w:rPr>
        <w:lastRenderedPageBreak/>
        <w:t>Namen investicije je oblikovanje kakovostnejšega, varnejšega in privlačnejšega javnega prostora z integracijo zelene infrastrukture ter s tem zmanjšanje negativnih vplivov prometa na okolje.</w:t>
      </w:r>
    </w:p>
    <w:p w14:paraId="195177C8" w14:textId="77777777"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 xml:space="preserve">Ukrepi trajnostne mobilnosti – kot so preureditev cest v skupne prometne prostore, ureditev kolesarske infrastrukture, izgradnja sodobnega avtobusnega postajališča ter uvedba sistemov za spremljanje in umirjanje prometa – bodo prispevali k zmanjšanju </w:t>
      </w:r>
      <w:proofErr w:type="spellStart"/>
      <w:r w:rsidRPr="000020F0">
        <w:rPr>
          <w:rFonts w:ascii="Arial" w:hAnsi="Arial" w:cs="Arial"/>
          <w:sz w:val="22"/>
          <w:szCs w:val="22"/>
        </w:rPr>
        <w:t>ogljičnega</w:t>
      </w:r>
      <w:proofErr w:type="spellEnd"/>
      <w:r w:rsidRPr="000020F0">
        <w:rPr>
          <w:rFonts w:ascii="Arial" w:hAnsi="Arial" w:cs="Arial"/>
          <w:sz w:val="22"/>
          <w:szCs w:val="22"/>
        </w:rPr>
        <w:t xml:space="preserve"> odtisa in hkrati omogočili višjo kakovost bivanja za prebivalce in obiskovalce občine.</w:t>
      </w:r>
    </w:p>
    <w:p w14:paraId="656CFC1C" w14:textId="67E0DC46" w:rsidR="00777C82" w:rsidRPr="000020F0" w:rsidRDefault="00777C82" w:rsidP="00777C82">
      <w:pPr>
        <w:spacing w:after="120" w:line="276" w:lineRule="auto"/>
        <w:jc w:val="both"/>
        <w:rPr>
          <w:rFonts w:ascii="Arial" w:hAnsi="Arial" w:cs="Arial"/>
          <w:sz w:val="22"/>
          <w:szCs w:val="22"/>
        </w:rPr>
      </w:pPr>
      <w:r w:rsidRPr="000020F0">
        <w:rPr>
          <w:rFonts w:ascii="Arial" w:hAnsi="Arial" w:cs="Arial"/>
          <w:sz w:val="22"/>
          <w:szCs w:val="22"/>
        </w:rPr>
        <w:t xml:space="preserve">Projekt tako sledi ciljem </w:t>
      </w:r>
      <w:r w:rsidRPr="000020F0">
        <w:rPr>
          <w:rFonts w:ascii="Arial" w:hAnsi="Arial" w:cs="Arial"/>
          <w:b/>
          <w:bCs/>
          <w:sz w:val="22"/>
          <w:szCs w:val="22"/>
        </w:rPr>
        <w:t>Javnega razpisa MOPE (JR EKP UTM 202</w:t>
      </w:r>
      <w:r w:rsidR="00005BCD" w:rsidRPr="000020F0">
        <w:rPr>
          <w:rFonts w:ascii="Arial" w:hAnsi="Arial" w:cs="Arial"/>
          <w:b/>
          <w:bCs/>
          <w:sz w:val="22"/>
          <w:szCs w:val="22"/>
        </w:rPr>
        <w:t>5</w:t>
      </w:r>
      <w:r w:rsidRPr="000020F0">
        <w:rPr>
          <w:rFonts w:ascii="Arial" w:hAnsi="Arial" w:cs="Arial"/>
          <w:b/>
          <w:bCs/>
          <w:sz w:val="22"/>
          <w:szCs w:val="22"/>
        </w:rPr>
        <w:t>)</w:t>
      </w:r>
      <w:r w:rsidRPr="000020F0">
        <w:rPr>
          <w:rFonts w:ascii="Arial" w:hAnsi="Arial" w:cs="Arial"/>
          <w:sz w:val="22"/>
          <w:szCs w:val="22"/>
        </w:rPr>
        <w:t xml:space="preserve"> ter strateškim dokumentom občine in države, ki dajejo prednost trajnostnim oblikam mobilnosti, varstvu okolja in razvoju vključujočih javnih prostorov.</w:t>
      </w:r>
    </w:p>
    <w:p w14:paraId="4813CAEF" w14:textId="77777777" w:rsidR="00F12FFC" w:rsidRPr="000020F0" w:rsidRDefault="00F12FFC" w:rsidP="00BD1D20">
      <w:pPr>
        <w:spacing w:line="276" w:lineRule="auto"/>
        <w:jc w:val="both"/>
        <w:rPr>
          <w:rFonts w:asciiTheme="majorHAnsi" w:hAnsiTheme="majorHAnsi" w:cstheme="majorHAnsi"/>
          <w:sz w:val="22"/>
          <w:szCs w:val="22"/>
          <w:lang w:eastAsia="en-US"/>
        </w:rPr>
      </w:pPr>
    </w:p>
    <w:p w14:paraId="3A5D1A87" w14:textId="77777777" w:rsidR="00F12FFC" w:rsidRPr="000020F0" w:rsidRDefault="00F12FFC" w:rsidP="00BD1D20">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V nadaljevanju so v preglednici predstavljeni ključni elementi investicijskega projekta. </w:t>
      </w:r>
    </w:p>
    <w:p w14:paraId="20CF6F82" w14:textId="1AEAC512" w:rsidR="00F12FFC" w:rsidRPr="000020F0" w:rsidRDefault="00F12FFC" w:rsidP="00BD1D20">
      <w:pPr>
        <w:spacing w:after="200" w:line="276" w:lineRule="auto"/>
        <w:ind w:left="1418" w:hanging="1418"/>
        <w:rPr>
          <w:rFonts w:asciiTheme="majorHAnsi" w:hAnsiTheme="majorHAnsi" w:cstheme="majorHAnsi"/>
          <w:sz w:val="22"/>
          <w:szCs w:val="22"/>
          <w:lang w:eastAsia="en-US"/>
        </w:rPr>
      </w:pPr>
      <w:bookmarkStart w:id="52" w:name="_Toc172120991"/>
      <w:bookmarkStart w:id="53" w:name="_Ref230594306"/>
      <w:bookmarkStart w:id="54" w:name="_Toc230882281"/>
      <w:r w:rsidRPr="000020F0">
        <w:rPr>
          <w:rFonts w:asciiTheme="majorHAnsi" w:hAnsiTheme="majorHAnsi" w:cstheme="majorHAnsi"/>
          <w:b/>
          <w:bCs/>
          <w:sz w:val="22"/>
          <w:szCs w:val="22"/>
          <w:lang w:eastAsia="en-US"/>
        </w:rPr>
        <w:t>Tabela</w:t>
      </w:r>
      <w:r w:rsidRPr="000020F0">
        <w:rPr>
          <w:rFonts w:asciiTheme="majorHAnsi" w:hAnsiTheme="majorHAnsi" w:cstheme="majorHAnsi"/>
          <w:bCs/>
          <w:sz w:val="22"/>
          <w:szCs w:val="22"/>
          <w:lang w:eastAsia="en-US"/>
        </w:rPr>
        <w:t xml:space="preserve"> </w:t>
      </w:r>
      <w:r w:rsidRPr="000020F0">
        <w:rPr>
          <w:rFonts w:asciiTheme="majorHAnsi" w:hAnsiTheme="majorHAnsi" w:cstheme="majorHAnsi"/>
          <w:b/>
          <w:bCs/>
          <w:sz w:val="22"/>
          <w:szCs w:val="22"/>
          <w:lang w:eastAsia="en-US"/>
        </w:rPr>
        <w:fldChar w:fldCharType="begin"/>
      </w:r>
      <w:r w:rsidRPr="000020F0">
        <w:rPr>
          <w:rFonts w:asciiTheme="majorHAnsi" w:hAnsiTheme="majorHAnsi" w:cstheme="majorHAnsi"/>
          <w:b/>
          <w:bCs/>
          <w:sz w:val="22"/>
          <w:szCs w:val="22"/>
          <w:lang w:eastAsia="en-US"/>
        </w:rPr>
        <w:instrText xml:space="preserve"> SEQ Tabela \* ARABIC </w:instrText>
      </w:r>
      <w:r w:rsidRPr="000020F0">
        <w:rPr>
          <w:rFonts w:asciiTheme="majorHAnsi" w:hAnsiTheme="majorHAnsi" w:cstheme="majorHAnsi"/>
          <w:b/>
          <w:bCs/>
          <w:sz w:val="22"/>
          <w:szCs w:val="22"/>
          <w:lang w:eastAsia="en-US"/>
        </w:rPr>
        <w:fldChar w:fldCharType="separate"/>
      </w:r>
      <w:r w:rsidR="00BB0C0C">
        <w:rPr>
          <w:rFonts w:asciiTheme="majorHAnsi" w:hAnsiTheme="majorHAnsi" w:cstheme="majorHAnsi"/>
          <w:b/>
          <w:bCs/>
          <w:noProof/>
          <w:sz w:val="22"/>
          <w:szCs w:val="22"/>
          <w:lang w:eastAsia="en-US"/>
        </w:rPr>
        <w:t>1</w:t>
      </w:r>
      <w:r w:rsidRPr="000020F0">
        <w:rPr>
          <w:rFonts w:asciiTheme="majorHAnsi" w:hAnsiTheme="majorHAnsi" w:cstheme="majorHAnsi"/>
          <w:b/>
          <w:bCs/>
          <w:sz w:val="22"/>
          <w:szCs w:val="22"/>
          <w:lang w:eastAsia="en-US"/>
        </w:rPr>
        <w:fldChar w:fldCharType="end"/>
      </w:r>
      <w:r w:rsidRPr="000020F0">
        <w:rPr>
          <w:rFonts w:asciiTheme="majorHAnsi" w:hAnsiTheme="majorHAnsi" w:cstheme="majorHAnsi"/>
          <w:bCs/>
          <w:sz w:val="22"/>
          <w:szCs w:val="22"/>
          <w:lang w:eastAsia="en-US"/>
        </w:rPr>
        <w:t>: Ključni podatki o projektu</w:t>
      </w:r>
      <w:bookmarkEnd w:id="52"/>
      <w:bookmarkEnd w:id="53"/>
      <w:bookmarkEnd w:id="54"/>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4A0" w:firstRow="1" w:lastRow="0" w:firstColumn="1" w:lastColumn="0" w:noHBand="0" w:noVBand="1"/>
      </w:tblPr>
      <w:tblGrid>
        <w:gridCol w:w="2973"/>
        <w:gridCol w:w="6336"/>
      </w:tblGrid>
      <w:tr w:rsidR="00F12FFC" w:rsidRPr="000020F0" w14:paraId="5ADFAEC0" w14:textId="77777777" w:rsidTr="00B923E9">
        <w:trPr>
          <w:trHeight w:val="318"/>
        </w:trPr>
        <w:tc>
          <w:tcPr>
            <w:tcW w:w="1597" w:type="pct"/>
            <w:shd w:val="clear" w:color="auto" w:fill="DBE5F1"/>
            <w:vAlign w:val="center"/>
          </w:tcPr>
          <w:p w14:paraId="50F5861F"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NAROČNIK INVESTICIJSKE DOKUMENTACIJE</w:t>
            </w:r>
          </w:p>
        </w:tc>
        <w:tc>
          <w:tcPr>
            <w:tcW w:w="3403" w:type="pct"/>
            <w:vAlign w:val="center"/>
          </w:tcPr>
          <w:p w14:paraId="72B9BEEB" w14:textId="77777777" w:rsidR="009D52F7" w:rsidRPr="000020F0" w:rsidRDefault="009D52F7" w:rsidP="009D52F7">
            <w:pPr>
              <w:spacing w:line="276" w:lineRule="auto"/>
              <w:rPr>
                <w:rFonts w:asciiTheme="majorHAnsi" w:eastAsia="Arial Unicode MS" w:hAnsiTheme="majorHAnsi" w:cstheme="majorHAnsi"/>
                <w:b/>
                <w:bCs/>
                <w:sz w:val="22"/>
                <w:szCs w:val="22"/>
                <w:lang w:eastAsia="zh-TW"/>
              </w:rPr>
            </w:pPr>
            <w:r w:rsidRPr="000020F0">
              <w:rPr>
                <w:rFonts w:asciiTheme="majorHAnsi" w:eastAsia="Arial Unicode MS" w:hAnsiTheme="majorHAnsi" w:cstheme="majorHAnsi"/>
                <w:b/>
                <w:bCs/>
                <w:sz w:val="22"/>
                <w:szCs w:val="22"/>
                <w:lang w:eastAsia="zh-TW"/>
              </w:rPr>
              <w:t>OBČINA IG</w:t>
            </w:r>
          </w:p>
          <w:p w14:paraId="7627406E" w14:textId="5ADE425E" w:rsidR="00F12FFC" w:rsidRPr="000020F0" w:rsidRDefault="009D52F7" w:rsidP="009D52F7">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Govekarjeva cesta 6, 1292 Ig</w:t>
            </w:r>
          </w:p>
        </w:tc>
      </w:tr>
      <w:tr w:rsidR="00F12FFC" w:rsidRPr="000020F0" w14:paraId="3D7B3C03" w14:textId="77777777" w:rsidTr="00B923E9">
        <w:trPr>
          <w:trHeight w:val="318"/>
        </w:trPr>
        <w:tc>
          <w:tcPr>
            <w:tcW w:w="1597" w:type="pct"/>
            <w:shd w:val="clear" w:color="auto" w:fill="DBE5F1"/>
            <w:vAlign w:val="center"/>
          </w:tcPr>
          <w:p w14:paraId="523FE014"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IZDELOVALEC INVESTICIJSKE DOKUMENTACIJE</w:t>
            </w:r>
          </w:p>
        </w:tc>
        <w:tc>
          <w:tcPr>
            <w:tcW w:w="3403" w:type="pct"/>
            <w:vAlign w:val="center"/>
          </w:tcPr>
          <w:p w14:paraId="7784416B" w14:textId="77777777" w:rsidR="00F12FFC" w:rsidRPr="000020F0" w:rsidRDefault="00F12FFC" w:rsidP="00BD1D20">
            <w:pPr>
              <w:spacing w:line="276" w:lineRule="auto"/>
              <w:rPr>
                <w:rFonts w:asciiTheme="majorHAnsi" w:eastAsia="Arial Unicode MS" w:hAnsiTheme="majorHAnsi" w:cstheme="majorHAnsi"/>
                <w:sz w:val="22"/>
                <w:szCs w:val="22"/>
                <w:lang w:eastAsia="zh-TW"/>
              </w:rPr>
            </w:pPr>
            <w:proofErr w:type="spellStart"/>
            <w:r w:rsidRPr="000020F0">
              <w:rPr>
                <w:rFonts w:asciiTheme="majorHAnsi" w:eastAsia="Arial Unicode MS" w:hAnsiTheme="majorHAnsi" w:cstheme="majorHAnsi"/>
                <w:sz w:val="22"/>
                <w:szCs w:val="22"/>
                <w:lang w:eastAsia="zh-TW"/>
              </w:rPr>
              <w:t>ProSVET</w:t>
            </w:r>
            <w:proofErr w:type="spellEnd"/>
            <w:r w:rsidRPr="000020F0">
              <w:rPr>
                <w:rFonts w:asciiTheme="majorHAnsi" w:eastAsia="Arial Unicode MS" w:hAnsiTheme="majorHAnsi" w:cstheme="majorHAnsi"/>
                <w:sz w:val="22"/>
                <w:szCs w:val="22"/>
                <w:lang w:eastAsia="zh-TW"/>
              </w:rPr>
              <w:t xml:space="preserve">, Martina Magajna </w:t>
            </w:r>
            <w:proofErr w:type="spellStart"/>
            <w:r w:rsidRPr="000020F0">
              <w:rPr>
                <w:rFonts w:asciiTheme="majorHAnsi" w:eastAsia="Arial Unicode MS" w:hAnsiTheme="majorHAnsi" w:cstheme="majorHAnsi"/>
                <w:sz w:val="22"/>
                <w:szCs w:val="22"/>
                <w:lang w:eastAsia="zh-TW"/>
              </w:rPr>
              <w:t>s.p</w:t>
            </w:r>
            <w:proofErr w:type="spellEnd"/>
            <w:r w:rsidRPr="000020F0">
              <w:rPr>
                <w:rFonts w:asciiTheme="majorHAnsi" w:eastAsia="Arial Unicode MS" w:hAnsiTheme="majorHAnsi" w:cstheme="majorHAnsi"/>
                <w:sz w:val="22"/>
                <w:szCs w:val="22"/>
                <w:lang w:eastAsia="zh-TW"/>
              </w:rPr>
              <w:t>.</w:t>
            </w:r>
          </w:p>
          <w:p w14:paraId="27CEA421" w14:textId="77777777" w:rsidR="00F12FFC" w:rsidRPr="000020F0" w:rsidRDefault="00F12FFC" w:rsidP="00BD1D20">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Dilce 40, 6230 Postojna</w:t>
            </w:r>
          </w:p>
        </w:tc>
      </w:tr>
      <w:tr w:rsidR="00F12FFC" w:rsidRPr="000020F0" w14:paraId="59C9B48B" w14:textId="77777777" w:rsidTr="00B923E9">
        <w:trPr>
          <w:trHeight w:val="318"/>
        </w:trPr>
        <w:tc>
          <w:tcPr>
            <w:tcW w:w="1597" w:type="pct"/>
            <w:shd w:val="clear" w:color="auto" w:fill="DBE5F1"/>
            <w:vAlign w:val="center"/>
          </w:tcPr>
          <w:p w14:paraId="3BBA1781"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INVESTITOR</w:t>
            </w:r>
          </w:p>
        </w:tc>
        <w:tc>
          <w:tcPr>
            <w:tcW w:w="3403" w:type="pct"/>
          </w:tcPr>
          <w:p w14:paraId="7B9F859B" w14:textId="77777777" w:rsidR="009D52F7" w:rsidRPr="000020F0" w:rsidRDefault="009D52F7" w:rsidP="009D52F7">
            <w:pPr>
              <w:spacing w:line="276" w:lineRule="auto"/>
              <w:rPr>
                <w:rFonts w:asciiTheme="majorHAnsi" w:eastAsia="Arial Unicode MS" w:hAnsiTheme="majorHAnsi" w:cstheme="majorHAnsi"/>
                <w:b/>
                <w:bCs/>
                <w:sz w:val="22"/>
                <w:szCs w:val="22"/>
                <w:lang w:eastAsia="zh-TW"/>
              </w:rPr>
            </w:pPr>
            <w:r w:rsidRPr="000020F0">
              <w:rPr>
                <w:rFonts w:asciiTheme="majorHAnsi" w:eastAsia="Arial Unicode MS" w:hAnsiTheme="majorHAnsi" w:cstheme="majorHAnsi"/>
                <w:b/>
                <w:bCs/>
                <w:sz w:val="22"/>
                <w:szCs w:val="22"/>
                <w:lang w:eastAsia="zh-TW"/>
              </w:rPr>
              <w:t>OBČINA IG</w:t>
            </w:r>
          </w:p>
          <w:p w14:paraId="2FB1F9D2" w14:textId="31D58225" w:rsidR="00F12FFC" w:rsidRPr="000020F0" w:rsidRDefault="009D52F7" w:rsidP="009D52F7">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Govekarjeva cesta 6, 1292 Ig</w:t>
            </w:r>
          </w:p>
        </w:tc>
      </w:tr>
      <w:tr w:rsidR="00F12FFC" w:rsidRPr="000020F0" w14:paraId="34F534F6" w14:textId="77777777" w:rsidTr="00B923E9">
        <w:trPr>
          <w:trHeight w:val="318"/>
        </w:trPr>
        <w:tc>
          <w:tcPr>
            <w:tcW w:w="1597" w:type="pct"/>
            <w:shd w:val="clear" w:color="auto" w:fill="DBE5F1"/>
            <w:vAlign w:val="center"/>
          </w:tcPr>
          <w:p w14:paraId="2A202EBC"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STROKOVNI DELAVCI OZ. SLUŽBE, ODGOVORNE ZA PRIPRAVO IN NADZOR NAD PRIPRAVO USTREZNE INVESTICIJSKE, PROJEKTNE IN DRUGE DOKUMENTACIJE</w:t>
            </w:r>
          </w:p>
        </w:tc>
        <w:tc>
          <w:tcPr>
            <w:tcW w:w="3403" w:type="pct"/>
            <w:vAlign w:val="center"/>
          </w:tcPr>
          <w:p w14:paraId="541C52B7" w14:textId="77777777" w:rsidR="00DB222F" w:rsidRPr="000020F0" w:rsidRDefault="00DB222F" w:rsidP="009D52F7">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Marjetka Pintarič Župec, višja svetovalka </w:t>
            </w:r>
          </w:p>
          <w:p w14:paraId="7EBC6100" w14:textId="53D95846" w:rsidR="009D52F7" w:rsidRPr="000020F0" w:rsidRDefault="009D52F7" w:rsidP="009D52F7">
            <w:pPr>
              <w:spacing w:line="276" w:lineRule="auto"/>
              <w:rPr>
                <w:rFonts w:asciiTheme="majorHAnsi" w:eastAsia="Arial Unicode MS" w:hAnsiTheme="majorHAnsi" w:cstheme="majorHAnsi"/>
                <w:b/>
                <w:bCs/>
                <w:sz w:val="22"/>
                <w:szCs w:val="22"/>
                <w:lang w:eastAsia="zh-TW"/>
              </w:rPr>
            </w:pPr>
            <w:r w:rsidRPr="000020F0">
              <w:rPr>
                <w:rFonts w:asciiTheme="majorHAnsi" w:eastAsia="Arial Unicode MS" w:hAnsiTheme="majorHAnsi" w:cstheme="majorHAnsi"/>
                <w:b/>
                <w:bCs/>
                <w:sz w:val="22"/>
                <w:szCs w:val="22"/>
                <w:lang w:eastAsia="zh-TW"/>
              </w:rPr>
              <w:t>OBČINA IG</w:t>
            </w:r>
          </w:p>
          <w:p w14:paraId="2FADADE7" w14:textId="1BE23497" w:rsidR="00F12FFC" w:rsidRPr="000020F0" w:rsidRDefault="009D52F7" w:rsidP="009D52F7">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Govekarjeva cesta 6, 1292 Ig</w:t>
            </w:r>
          </w:p>
        </w:tc>
      </w:tr>
      <w:tr w:rsidR="00F12FFC" w:rsidRPr="000020F0" w14:paraId="665D2429" w14:textId="77777777" w:rsidTr="00B923E9">
        <w:trPr>
          <w:trHeight w:val="318"/>
        </w:trPr>
        <w:tc>
          <w:tcPr>
            <w:tcW w:w="1597" w:type="pct"/>
            <w:shd w:val="clear" w:color="auto" w:fill="DBE5F1"/>
            <w:vAlign w:val="center"/>
          </w:tcPr>
          <w:p w14:paraId="3DFD8421"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UPRAVLJAVEC</w:t>
            </w:r>
          </w:p>
        </w:tc>
        <w:tc>
          <w:tcPr>
            <w:tcW w:w="3403" w:type="pct"/>
            <w:vAlign w:val="center"/>
          </w:tcPr>
          <w:p w14:paraId="6E0E0994" w14:textId="77777777" w:rsidR="00DB222F" w:rsidRPr="000020F0" w:rsidRDefault="00DB222F" w:rsidP="00DB222F">
            <w:pPr>
              <w:spacing w:line="276" w:lineRule="auto"/>
              <w:rPr>
                <w:rFonts w:asciiTheme="majorHAnsi" w:eastAsia="Arial Unicode MS" w:hAnsiTheme="majorHAnsi" w:cstheme="majorHAnsi"/>
                <w:b/>
                <w:bCs/>
                <w:sz w:val="22"/>
                <w:szCs w:val="22"/>
                <w:lang w:eastAsia="zh-TW"/>
              </w:rPr>
            </w:pPr>
            <w:r w:rsidRPr="000020F0">
              <w:rPr>
                <w:rFonts w:asciiTheme="majorHAnsi" w:eastAsia="Arial Unicode MS" w:hAnsiTheme="majorHAnsi" w:cstheme="majorHAnsi"/>
                <w:b/>
                <w:bCs/>
                <w:sz w:val="22"/>
                <w:szCs w:val="22"/>
                <w:lang w:eastAsia="zh-TW"/>
              </w:rPr>
              <w:t>OBČINA IG</w:t>
            </w:r>
          </w:p>
          <w:p w14:paraId="41C2B9C2" w14:textId="2B925D17" w:rsidR="00F12FFC" w:rsidRPr="000020F0" w:rsidRDefault="00DB222F" w:rsidP="00DB222F">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Govekarjeva cesta 6, 1292 Ig</w:t>
            </w:r>
          </w:p>
        </w:tc>
      </w:tr>
      <w:tr w:rsidR="00F12FFC" w:rsidRPr="000020F0" w14:paraId="571D11E3" w14:textId="77777777" w:rsidTr="00B923E9">
        <w:trPr>
          <w:trHeight w:val="318"/>
        </w:trPr>
        <w:tc>
          <w:tcPr>
            <w:tcW w:w="1597" w:type="pct"/>
            <w:shd w:val="clear" w:color="auto" w:fill="DBE5F1"/>
            <w:vAlign w:val="center"/>
          </w:tcPr>
          <w:p w14:paraId="1E412D30"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NAZIV INVESTICIJSKEGA PROJEKTA</w:t>
            </w:r>
          </w:p>
        </w:tc>
        <w:tc>
          <w:tcPr>
            <w:tcW w:w="3403" w:type="pct"/>
            <w:vAlign w:val="center"/>
          </w:tcPr>
          <w:p w14:paraId="456F3A51" w14:textId="794BD7BC" w:rsidR="00F12FFC" w:rsidRPr="000020F0" w:rsidRDefault="00FD0E8E" w:rsidP="00BD1D20">
            <w:pPr>
              <w:spacing w:line="276" w:lineRule="auto"/>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sz w:val="22"/>
                <w:szCs w:val="22"/>
                <w:lang w:eastAsia="zh-TW"/>
              </w:rPr>
              <w:t>CELOVITA UREDITEV CENTRA IG – UKREPI TRAJNOSTNE MOBILNOSTI</w:t>
            </w:r>
          </w:p>
        </w:tc>
      </w:tr>
      <w:tr w:rsidR="00F12FFC" w:rsidRPr="000020F0" w14:paraId="76269F06" w14:textId="77777777" w:rsidTr="00B923E9">
        <w:trPr>
          <w:trHeight w:val="318"/>
        </w:trPr>
        <w:tc>
          <w:tcPr>
            <w:tcW w:w="1597" w:type="pct"/>
            <w:shd w:val="clear" w:color="auto" w:fill="DBE5F1"/>
            <w:vAlign w:val="center"/>
          </w:tcPr>
          <w:p w14:paraId="114410DA"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VRSTA INVESTICIJSKE DOKUMENTACIJE</w:t>
            </w:r>
          </w:p>
        </w:tc>
        <w:tc>
          <w:tcPr>
            <w:tcW w:w="3403" w:type="pct"/>
            <w:vAlign w:val="center"/>
          </w:tcPr>
          <w:p w14:paraId="7B47376F" w14:textId="61918C71" w:rsidR="00F12FFC" w:rsidRPr="000020F0" w:rsidRDefault="008F5616" w:rsidP="00BD1D20">
            <w:pPr>
              <w:spacing w:line="276" w:lineRule="auto"/>
              <w:rPr>
                <w:rFonts w:asciiTheme="majorHAnsi" w:eastAsia="Arial Unicode MS" w:hAnsiTheme="majorHAnsi" w:cstheme="majorHAnsi"/>
                <w:sz w:val="22"/>
                <w:szCs w:val="22"/>
                <w:lang w:eastAsia="zh-TW"/>
              </w:rPr>
            </w:pPr>
            <w:proofErr w:type="spellStart"/>
            <w:r w:rsidRPr="000020F0">
              <w:rPr>
                <w:rFonts w:asciiTheme="majorHAnsi" w:eastAsia="Arial Unicode MS" w:hAnsiTheme="majorHAnsi" w:cstheme="majorHAnsi"/>
                <w:sz w:val="22"/>
                <w:szCs w:val="22"/>
                <w:lang w:eastAsia="zh-TW"/>
              </w:rPr>
              <w:t>Novelacija</w:t>
            </w:r>
            <w:proofErr w:type="spellEnd"/>
            <w:r w:rsidRPr="000020F0">
              <w:rPr>
                <w:rFonts w:asciiTheme="majorHAnsi" w:eastAsia="Arial Unicode MS" w:hAnsiTheme="majorHAnsi" w:cstheme="majorHAnsi"/>
                <w:sz w:val="22"/>
                <w:szCs w:val="22"/>
                <w:lang w:eastAsia="zh-TW"/>
              </w:rPr>
              <w:t xml:space="preserve"> i</w:t>
            </w:r>
            <w:r w:rsidR="00F12FFC" w:rsidRPr="000020F0">
              <w:rPr>
                <w:rFonts w:asciiTheme="majorHAnsi" w:eastAsia="Arial Unicode MS" w:hAnsiTheme="majorHAnsi" w:cstheme="majorHAnsi"/>
                <w:sz w:val="22"/>
                <w:szCs w:val="22"/>
                <w:lang w:eastAsia="zh-TW"/>
              </w:rPr>
              <w:t>nvesticijsk</w:t>
            </w:r>
            <w:r w:rsidRPr="000020F0">
              <w:rPr>
                <w:rFonts w:asciiTheme="majorHAnsi" w:eastAsia="Arial Unicode MS" w:hAnsiTheme="majorHAnsi" w:cstheme="majorHAnsi"/>
                <w:sz w:val="22"/>
                <w:szCs w:val="22"/>
                <w:lang w:eastAsia="zh-TW"/>
              </w:rPr>
              <w:t>ega</w:t>
            </w:r>
            <w:r w:rsidR="00F12FFC" w:rsidRPr="000020F0">
              <w:rPr>
                <w:rFonts w:asciiTheme="majorHAnsi" w:eastAsia="Arial Unicode MS" w:hAnsiTheme="majorHAnsi" w:cstheme="majorHAnsi"/>
                <w:sz w:val="22"/>
                <w:szCs w:val="22"/>
                <w:lang w:eastAsia="zh-TW"/>
              </w:rPr>
              <w:t xml:space="preserve"> program</w:t>
            </w:r>
            <w:r w:rsidRPr="000020F0">
              <w:rPr>
                <w:rFonts w:asciiTheme="majorHAnsi" w:eastAsia="Arial Unicode MS" w:hAnsiTheme="majorHAnsi" w:cstheme="majorHAnsi"/>
                <w:sz w:val="22"/>
                <w:szCs w:val="22"/>
                <w:lang w:eastAsia="zh-TW"/>
              </w:rPr>
              <w:t>a št. 1</w:t>
            </w:r>
          </w:p>
        </w:tc>
      </w:tr>
      <w:tr w:rsidR="00F12FFC" w:rsidRPr="000020F0" w14:paraId="2A84550E" w14:textId="77777777" w:rsidTr="00B923E9">
        <w:trPr>
          <w:trHeight w:val="318"/>
        </w:trPr>
        <w:tc>
          <w:tcPr>
            <w:tcW w:w="1597" w:type="pct"/>
            <w:shd w:val="clear" w:color="auto" w:fill="DBE5F1"/>
            <w:vAlign w:val="center"/>
          </w:tcPr>
          <w:p w14:paraId="42AF9334" w14:textId="42EFBBE1"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 xml:space="preserve">NAMEN IZDELAVE </w:t>
            </w:r>
            <w:r w:rsidR="0041404D" w:rsidRPr="000020F0">
              <w:rPr>
                <w:rFonts w:asciiTheme="majorHAnsi" w:eastAsia="Arial Unicode MS" w:hAnsiTheme="majorHAnsi" w:cstheme="majorHAnsi"/>
                <w:b/>
                <w:sz w:val="22"/>
                <w:szCs w:val="22"/>
                <w:lang w:eastAsia="zh-TW"/>
              </w:rPr>
              <w:t>IP</w:t>
            </w:r>
          </w:p>
        </w:tc>
        <w:tc>
          <w:tcPr>
            <w:tcW w:w="3403" w:type="pct"/>
          </w:tcPr>
          <w:p w14:paraId="64AF0CA0" w14:textId="091D9AE0" w:rsidR="00F12FFC" w:rsidRPr="000020F0" w:rsidRDefault="00D440C3" w:rsidP="00BD1D20">
            <w:pPr>
              <w:spacing w:line="276" w:lineRule="auto"/>
              <w:jc w:val="both"/>
              <w:rPr>
                <w:rFonts w:asciiTheme="majorHAnsi" w:eastAsia="Arial Unicode MS" w:hAnsiTheme="majorHAnsi" w:cstheme="majorHAnsi"/>
                <w:sz w:val="22"/>
                <w:szCs w:val="22"/>
                <w:lang w:eastAsia="zh-TW"/>
              </w:rPr>
            </w:pPr>
            <w:proofErr w:type="spellStart"/>
            <w:r w:rsidRPr="000020F0">
              <w:rPr>
                <w:rFonts w:asciiTheme="majorHAnsi" w:eastAsia="Arial Unicode MS" w:hAnsiTheme="majorHAnsi" w:cstheme="majorHAnsi"/>
                <w:sz w:val="22"/>
                <w:szCs w:val="22"/>
                <w:lang w:eastAsia="zh-TW"/>
              </w:rPr>
              <w:t>Novelacija</w:t>
            </w:r>
            <w:proofErr w:type="spellEnd"/>
            <w:r w:rsidRPr="000020F0">
              <w:rPr>
                <w:rFonts w:asciiTheme="majorHAnsi" w:eastAsia="Arial Unicode MS" w:hAnsiTheme="majorHAnsi" w:cstheme="majorHAnsi"/>
                <w:sz w:val="22"/>
                <w:szCs w:val="22"/>
                <w:lang w:eastAsia="zh-TW"/>
              </w:rPr>
              <w:t xml:space="preserve"> investicijskega programa št. 1 </w:t>
            </w:r>
            <w:r w:rsidR="000C7CFE" w:rsidRPr="000020F0">
              <w:rPr>
                <w:rFonts w:asciiTheme="majorHAnsi" w:eastAsia="Arial Unicode MS" w:hAnsiTheme="majorHAnsi" w:cstheme="majorHAnsi"/>
                <w:sz w:val="22"/>
                <w:szCs w:val="22"/>
                <w:lang w:eastAsia="zh-TW"/>
              </w:rPr>
              <w:t xml:space="preserve">obravnava podrobno razčlenjeno optimalno varianto investicije. Ta varianta temelji na ustrezni dokumentaciji, ki zagotavlja realno oceno vrednosti in izvedljivosti projekta. Pri tem se kot podlaga uporablja najmanj idejni projekt v skladu z zakonodajo, ki ureja graditev objektov, oziroma druga idejna rešitev, ki vključuje vse potrebne tehnične, tehnološke in druge prvine. Poleg tega se upoštevajo prostorski akti, kadar ti določajo prostorske ureditvene pogoje z natančno opredeljenimi zahtevami za investicije. Optimalna varianta je dodatno utemeljena s tehnično-tehnološkim projektom, ki </w:t>
            </w:r>
            <w:r w:rsidR="000C7CFE" w:rsidRPr="000020F0">
              <w:rPr>
                <w:rFonts w:asciiTheme="majorHAnsi" w:eastAsia="Arial Unicode MS" w:hAnsiTheme="majorHAnsi" w:cstheme="majorHAnsi"/>
                <w:sz w:val="22"/>
                <w:szCs w:val="22"/>
                <w:lang w:eastAsia="zh-TW"/>
              </w:rPr>
              <w:lastRenderedPageBreak/>
              <w:t>vsebuje specifikacijo potrebne opreme, ter z rezultati geoloških, geomehanskih, seizmoloških, vodnogospodarskih, ekoloških in drugih raziskav in analiz. Pomemben element priprave</w:t>
            </w:r>
            <w:r w:rsidR="002202F3" w:rsidRPr="000020F0">
              <w:rPr>
                <w:rFonts w:asciiTheme="majorHAnsi" w:eastAsia="Arial Unicode MS" w:hAnsiTheme="majorHAnsi" w:cstheme="majorHAnsi"/>
                <w:sz w:val="22"/>
                <w:szCs w:val="22"/>
                <w:lang w:eastAsia="zh-TW"/>
              </w:rPr>
              <w:t xml:space="preserve"> </w:t>
            </w:r>
            <w:proofErr w:type="spellStart"/>
            <w:r w:rsidR="002202F3" w:rsidRPr="000020F0">
              <w:rPr>
                <w:rFonts w:asciiTheme="majorHAnsi" w:eastAsia="Arial Unicode MS" w:hAnsiTheme="majorHAnsi" w:cstheme="majorHAnsi"/>
                <w:sz w:val="22"/>
                <w:szCs w:val="22"/>
                <w:lang w:eastAsia="zh-TW"/>
              </w:rPr>
              <w:t>novelacije</w:t>
            </w:r>
            <w:proofErr w:type="spellEnd"/>
            <w:r w:rsidR="000C7CFE" w:rsidRPr="000020F0">
              <w:rPr>
                <w:rFonts w:asciiTheme="majorHAnsi" w:eastAsia="Arial Unicode MS" w:hAnsiTheme="majorHAnsi" w:cstheme="majorHAnsi"/>
                <w:sz w:val="22"/>
                <w:szCs w:val="22"/>
                <w:lang w:eastAsia="zh-TW"/>
              </w:rPr>
              <w:t xml:space="preserve"> investicijskega programa so tudi jasno dokazani viri financiranja, ki omogočajo izvedbo predlagane investicije.</w:t>
            </w:r>
          </w:p>
        </w:tc>
      </w:tr>
      <w:tr w:rsidR="00F12FFC" w:rsidRPr="000020F0" w14:paraId="1B931F83" w14:textId="77777777" w:rsidTr="00B923E9">
        <w:trPr>
          <w:trHeight w:val="318"/>
        </w:trPr>
        <w:tc>
          <w:tcPr>
            <w:tcW w:w="1597" w:type="pct"/>
            <w:shd w:val="clear" w:color="auto" w:fill="DBE5F1"/>
            <w:vAlign w:val="center"/>
          </w:tcPr>
          <w:p w14:paraId="31BFC863"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lastRenderedPageBreak/>
              <w:t>NAMEN INVESTICIJSKEGA PROJEKTA</w:t>
            </w:r>
          </w:p>
        </w:tc>
        <w:tc>
          <w:tcPr>
            <w:tcW w:w="3403" w:type="pct"/>
          </w:tcPr>
          <w:p w14:paraId="2103AE0C" w14:textId="77777777" w:rsidR="00BA3CC1" w:rsidRPr="000020F0" w:rsidRDefault="00BA3CC1" w:rsidP="00BA3CC1">
            <w:pPr>
              <w:spacing w:after="200" w:line="276" w:lineRule="auto"/>
              <w:jc w:val="both"/>
              <w:rPr>
                <w:rFonts w:asciiTheme="majorHAnsi" w:hAnsiTheme="majorHAnsi" w:cstheme="majorHAnsi"/>
                <w:sz w:val="22"/>
                <w:szCs w:val="22"/>
              </w:rPr>
            </w:pPr>
            <w:r w:rsidRPr="000020F0">
              <w:rPr>
                <w:rFonts w:asciiTheme="majorHAnsi" w:hAnsiTheme="majorHAnsi" w:cstheme="majorHAnsi"/>
                <w:sz w:val="22"/>
                <w:szCs w:val="22"/>
              </w:rPr>
              <w:t>Namen investicije je oblikovanje kakovostnejšega, varnejšega in privlačnejšega javnega prostora z integracijo zelene infrastrukture ter s tem zmanjšanje negativnih vplivov prometa na okolje.</w:t>
            </w:r>
          </w:p>
          <w:p w14:paraId="2538CCD7" w14:textId="18B0CE08" w:rsidR="00BA3CC1" w:rsidRPr="000020F0" w:rsidRDefault="00BA3CC1" w:rsidP="00BA3CC1">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Ukrepi trajnostne mobilnosti – kot so preureditev cest</w:t>
            </w:r>
            <w:r w:rsidR="00D11597" w:rsidRPr="000020F0">
              <w:rPr>
                <w:rFonts w:asciiTheme="majorHAnsi" w:hAnsiTheme="majorHAnsi" w:cstheme="majorHAnsi"/>
                <w:sz w:val="22"/>
                <w:szCs w:val="22"/>
              </w:rPr>
              <w:t xml:space="preserve">, uvedba </w:t>
            </w:r>
            <w:r w:rsidRPr="000020F0">
              <w:rPr>
                <w:rFonts w:asciiTheme="majorHAnsi" w:hAnsiTheme="majorHAnsi" w:cstheme="majorHAnsi"/>
                <w:sz w:val="22"/>
                <w:szCs w:val="22"/>
              </w:rPr>
              <w:t>skupne</w:t>
            </w:r>
            <w:r w:rsidR="00D11597" w:rsidRPr="000020F0">
              <w:rPr>
                <w:rFonts w:asciiTheme="majorHAnsi" w:hAnsiTheme="majorHAnsi" w:cstheme="majorHAnsi"/>
                <w:sz w:val="22"/>
                <w:szCs w:val="22"/>
              </w:rPr>
              <w:t>ga</w:t>
            </w:r>
            <w:r w:rsidRPr="000020F0">
              <w:rPr>
                <w:rFonts w:asciiTheme="majorHAnsi" w:hAnsiTheme="majorHAnsi" w:cstheme="majorHAnsi"/>
                <w:sz w:val="22"/>
                <w:szCs w:val="22"/>
              </w:rPr>
              <w:t xml:space="preserve"> prometne</w:t>
            </w:r>
            <w:r w:rsidR="00D11597" w:rsidRPr="000020F0">
              <w:rPr>
                <w:rFonts w:asciiTheme="majorHAnsi" w:hAnsiTheme="majorHAnsi" w:cstheme="majorHAnsi"/>
                <w:sz w:val="22"/>
                <w:szCs w:val="22"/>
              </w:rPr>
              <w:t>ga</w:t>
            </w:r>
            <w:r w:rsidRPr="000020F0">
              <w:rPr>
                <w:rFonts w:asciiTheme="majorHAnsi" w:hAnsiTheme="majorHAnsi" w:cstheme="majorHAnsi"/>
                <w:sz w:val="22"/>
                <w:szCs w:val="22"/>
              </w:rPr>
              <w:t xml:space="preserve"> prostor</w:t>
            </w:r>
            <w:r w:rsidR="00D11597" w:rsidRPr="000020F0">
              <w:rPr>
                <w:rFonts w:asciiTheme="majorHAnsi" w:hAnsiTheme="majorHAnsi" w:cstheme="majorHAnsi"/>
                <w:sz w:val="22"/>
                <w:szCs w:val="22"/>
              </w:rPr>
              <w:t>a</w:t>
            </w:r>
            <w:r w:rsidRPr="000020F0">
              <w:rPr>
                <w:rFonts w:asciiTheme="majorHAnsi" w:hAnsiTheme="majorHAnsi" w:cstheme="majorHAnsi"/>
                <w:sz w:val="22"/>
                <w:szCs w:val="22"/>
              </w:rPr>
              <w:t xml:space="preserve">, ureditev kolesarske infrastrukture, izgradnja sodobnega avtobusnega postajališča ter uvedba sistemov za spremljanje in umirjanje prometa – bodo prispevali k zmanjšanju </w:t>
            </w:r>
            <w:proofErr w:type="spellStart"/>
            <w:r w:rsidRPr="000020F0">
              <w:rPr>
                <w:rFonts w:asciiTheme="majorHAnsi" w:hAnsiTheme="majorHAnsi" w:cstheme="majorHAnsi"/>
                <w:sz w:val="22"/>
                <w:szCs w:val="22"/>
              </w:rPr>
              <w:t>ogljičnega</w:t>
            </w:r>
            <w:proofErr w:type="spellEnd"/>
            <w:r w:rsidRPr="000020F0">
              <w:rPr>
                <w:rFonts w:asciiTheme="majorHAnsi" w:hAnsiTheme="majorHAnsi" w:cstheme="majorHAnsi"/>
                <w:sz w:val="22"/>
                <w:szCs w:val="22"/>
              </w:rPr>
              <w:t xml:space="preserve"> odtisa in hkrati omogočili višjo kakovost bivanja za prebivalce in obiskovalce občine.</w:t>
            </w:r>
          </w:p>
          <w:p w14:paraId="78EC4800" w14:textId="0F2CE2D6" w:rsidR="00F12FFC" w:rsidRPr="000020F0" w:rsidRDefault="00BA3CC1" w:rsidP="00BA3CC1">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Projekt tako sledi ciljem </w:t>
            </w:r>
            <w:r w:rsidRPr="000020F0">
              <w:rPr>
                <w:rFonts w:asciiTheme="majorHAnsi" w:hAnsiTheme="majorHAnsi" w:cstheme="majorHAnsi"/>
                <w:b/>
                <w:bCs/>
                <w:sz w:val="22"/>
                <w:szCs w:val="22"/>
              </w:rPr>
              <w:t>Javnega razpisa MOPE (JR EKP UTM 202</w:t>
            </w:r>
            <w:r w:rsidR="00005BCD" w:rsidRPr="000020F0">
              <w:rPr>
                <w:rFonts w:asciiTheme="majorHAnsi" w:hAnsiTheme="majorHAnsi" w:cstheme="majorHAnsi"/>
                <w:b/>
                <w:bCs/>
                <w:sz w:val="22"/>
                <w:szCs w:val="22"/>
              </w:rPr>
              <w:t>5</w:t>
            </w:r>
            <w:r w:rsidRPr="000020F0">
              <w:rPr>
                <w:rFonts w:asciiTheme="majorHAnsi" w:hAnsiTheme="majorHAnsi" w:cstheme="majorHAnsi"/>
                <w:b/>
                <w:bCs/>
                <w:sz w:val="22"/>
                <w:szCs w:val="22"/>
              </w:rPr>
              <w:t>)</w:t>
            </w:r>
            <w:r w:rsidRPr="000020F0">
              <w:rPr>
                <w:rFonts w:asciiTheme="majorHAnsi" w:hAnsiTheme="majorHAnsi" w:cstheme="majorHAnsi"/>
                <w:sz w:val="22"/>
                <w:szCs w:val="22"/>
              </w:rPr>
              <w:t xml:space="preserve"> ter strateškim dokumentom občine in države, ki dajejo prednost trajnostnim oblikam mobilnosti, varstvu okolja in razvoju vključujočih javnih prostorov.</w:t>
            </w:r>
          </w:p>
        </w:tc>
      </w:tr>
      <w:tr w:rsidR="00F12FFC" w:rsidRPr="000020F0" w14:paraId="6A37FFB2" w14:textId="77777777" w:rsidTr="00B923E9">
        <w:trPr>
          <w:trHeight w:val="318"/>
        </w:trPr>
        <w:tc>
          <w:tcPr>
            <w:tcW w:w="1597" w:type="pct"/>
            <w:shd w:val="clear" w:color="auto" w:fill="DBE5F1"/>
            <w:vAlign w:val="center"/>
          </w:tcPr>
          <w:p w14:paraId="762CB3A3" w14:textId="77777777" w:rsidR="00F12FFC" w:rsidRPr="000020F0" w:rsidRDefault="00F12FFC"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RAZVOJNI (SPLOŠNI) CILJ INVESTICIJSKEGA PROJEKTA</w:t>
            </w:r>
          </w:p>
        </w:tc>
        <w:tc>
          <w:tcPr>
            <w:tcW w:w="3403" w:type="pct"/>
          </w:tcPr>
          <w:p w14:paraId="471ACD04" w14:textId="6C96694E" w:rsidR="00F12FFC" w:rsidRPr="000020F0" w:rsidRDefault="00190D14" w:rsidP="00190D14">
            <w:pPr>
              <w:spacing w:line="276" w:lineRule="auto"/>
              <w:jc w:val="both"/>
              <w:rPr>
                <w:rFonts w:asciiTheme="majorHAnsi" w:hAnsiTheme="majorHAnsi" w:cstheme="majorHAnsi"/>
                <w:sz w:val="22"/>
                <w:szCs w:val="22"/>
              </w:rPr>
            </w:pPr>
            <w:r w:rsidRPr="000020F0">
              <w:rPr>
                <w:rFonts w:asciiTheme="majorHAnsi" w:hAnsiTheme="majorHAnsi" w:cstheme="majorHAnsi"/>
                <w:b/>
                <w:bCs/>
                <w:sz w:val="22"/>
                <w:szCs w:val="22"/>
                <w:lang w:eastAsia="zh-TW"/>
              </w:rPr>
              <w:t>Splošni cilj projekta</w:t>
            </w:r>
            <w:r w:rsidRPr="000020F0">
              <w:rPr>
                <w:rFonts w:asciiTheme="majorHAnsi" w:hAnsiTheme="majorHAnsi" w:cstheme="majorHAnsi"/>
                <w:sz w:val="22"/>
                <w:szCs w:val="22"/>
                <w:lang w:eastAsia="zh-TW"/>
              </w:rPr>
              <w:t xml:space="preserve"> je prispevati k razvoju trajnostne mobilnosti v Občini Ig s celovito preureditvijo središča naselja na način, ki zmanjšuje površine, namenjene osebnemu motornemu prometu, izboljšuje pogoje za pešce, kolesarje in uporabnike javnega potniškega prometa, povečuje prometno varnost ter ustvarja kakovosten, vključujoč in privlačen javni prostor. Projekt z umirjanjem prometa, izboljšanjem javnih površin, povečanjem zelenih površin</w:t>
            </w:r>
            <w:r w:rsidR="000D7E91" w:rsidRPr="000020F0">
              <w:rPr>
                <w:rFonts w:asciiTheme="majorHAnsi" w:hAnsiTheme="majorHAnsi" w:cstheme="majorHAnsi"/>
                <w:sz w:val="22"/>
                <w:szCs w:val="22"/>
                <w:lang w:eastAsia="zh-TW"/>
              </w:rPr>
              <w:t xml:space="preserve">, </w:t>
            </w:r>
            <w:r w:rsidRPr="000020F0">
              <w:rPr>
                <w:rFonts w:asciiTheme="majorHAnsi" w:hAnsiTheme="majorHAnsi" w:cstheme="majorHAnsi"/>
                <w:sz w:val="22"/>
                <w:szCs w:val="22"/>
                <w:lang w:eastAsia="zh-TW"/>
              </w:rPr>
              <w:t>prispeva k zmanjšanju emisij toplogrednih plinov, izboljšanju kakovosti zraka in bivanja ter doseganju ciljev trajnostnega razvoja.</w:t>
            </w:r>
          </w:p>
        </w:tc>
      </w:tr>
      <w:tr w:rsidR="00190D14" w:rsidRPr="000020F0" w14:paraId="11A20E71" w14:textId="77777777" w:rsidTr="00B923E9">
        <w:trPr>
          <w:trHeight w:val="318"/>
        </w:trPr>
        <w:tc>
          <w:tcPr>
            <w:tcW w:w="1597" w:type="pct"/>
            <w:shd w:val="clear" w:color="auto" w:fill="DBE5F1"/>
            <w:vAlign w:val="center"/>
          </w:tcPr>
          <w:p w14:paraId="13A49E28" w14:textId="5722CF9F" w:rsidR="00190D14" w:rsidRPr="000020F0" w:rsidRDefault="006967F9"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 xml:space="preserve">SPECIFIČNI </w:t>
            </w:r>
            <w:r w:rsidR="002556A2" w:rsidRPr="000020F0">
              <w:rPr>
                <w:rFonts w:asciiTheme="majorHAnsi" w:eastAsia="Arial Unicode MS" w:hAnsiTheme="majorHAnsi" w:cstheme="majorHAnsi"/>
                <w:b/>
                <w:sz w:val="22"/>
                <w:szCs w:val="22"/>
                <w:lang w:eastAsia="zh-TW"/>
              </w:rPr>
              <w:t xml:space="preserve">(OPERATIVNI) </w:t>
            </w:r>
            <w:r w:rsidRPr="000020F0">
              <w:rPr>
                <w:rFonts w:asciiTheme="majorHAnsi" w:eastAsia="Arial Unicode MS" w:hAnsiTheme="majorHAnsi" w:cstheme="majorHAnsi"/>
                <w:b/>
                <w:sz w:val="22"/>
                <w:szCs w:val="22"/>
                <w:lang w:eastAsia="zh-TW"/>
              </w:rPr>
              <w:t>CILJ INVESTICIJSKEGA PROJEKTA</w:t>
            </w:r>
          </w:p>
        </w:tc>
        <w:tc>
          <w:tcPr>
            <w:tcW w:w="3403" w:type="pct"/>
          </w:tcPr>
          <w:p w14:paraId="362C1179" w14:textId="77777777" w:rsidR="00840A9A" w:rsidRPr="000020F0" w:rsidRDefault="00840A9A" w:rsidP="00840A9A">
            <w:pPr>
              <w:spacing w:after="120" w:line="276" w:lineRule="auto"/>
              <w:jc w:val="both"/>
              <w:rPr>
                <w:rFonts w:asciiTheme="majorHAnsi" w:hAnsiTheme="majorHAnsi" w:cstheme="majorHAnsi"/>
                <w:b/>
                <w:bCs/>
                <w:sz w:val="22"/>
                <w:szCs w:val="22"/>
                <w:lang w:eastAsia="zh-TW"/>
              </w:rPr>
            </w:pPr>
            <w:r w:rsidRPr="000020F0">
              <w:rPr>
                <w:rFonts w:asciiTheme="majorHAnsi" w:hAnsiTheme="majorHAnsi" w:cstheme="majorHAnsi"/>
                <w:b/>
                <w:bCs/>
                <w:sz w:val="22"/>
                <w:szCs w:val="22"/>
                <w:lang w:eastAsia="zh-TW"/>
              </w:rPr>
              <w:t>Specifični cilji projekta so:</w:t>
            </w:r>
          </w:p>
          <w:p w14:paraId="53A70F52" w14:textId="6AD54AC6" w:rsidR="00840A9A" w:rsidRPr="000020F0" w:rsidRDefault="00840A9A" w:rsidP="00840A9A">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1. Izboljšati pogoje za trajnostne oblike mobilnosti</w:t>
            </w:r>
            <w:r w:rsidRPr="000020F0">
              <w:rPr>
                <w:rFonts w:asciiTheme="majorHAnsi" w:hAnsiTheme="majorHAnsi" w:cstheme="majorHAnsi"/>
                <w:sz w:val="22"/>
                <w:szCs w:val="22"/>
                <w:lang w:eastAsia="zh-TW"/>
              </w:rPr>
              <w:br/>
              <w:t>Vzpostaviti ustrezno infrastrukturo za pešce, kolesarje in uporabnike javnega potniškega prometa, vključno z ureditvijo skupnega prometnega prostora na Govekarjevi cesti</w:t>
            </w:r>
            <w:r w:rsidR="0094766D">
              <w:rPr>
                <w:rFonts w:asciiTheme="majorHAnsi" w:hAnsiTheme="majorHAnsi" w:cstheme="majorHAnsi"/>
                <w:sz w:val="22"/>
                <w:szCs w:val="22"/>
                <w:lang w:eastAsia="zh-TW"/>
              </w:rPr>
              <w:t xml:space="preserve"> in </w:t>
            </w:r>
            <w:r w:rsidRPr="000020F0">
              <w:rPr>
                <w:rFonts w:asciiTheme="majorHAnsi" w:hAnsiTheme="majorHAnsi" w:cstheme="majorHAnsi"/>
                <w:sz w:val="22"/>
                <w:szCs w:val="22"/>
                <w:lang w:eastAsia="zh-TW"/>
              </w:rPr>
              <w:t>Troštov</w:t>
            </w:r>
            <w:r w:rsidR="0094766D">
              <w:rPr>
                <w:rFonts w:asciiTheme="majorHAnsi" w:hAnsiTheme="majorHAnsi" w:cstheme="majorHAnsi"/>
                <w:sz w:val="22"/>
                <w:szCs w:val="22"/>
                <w:lang w:eastAsia="zh-TW"/>
              </w:rPr>
              <w:t>i</w:t>
            </w:r>
            <w:r w:rsidRPr="000020F0">
              <w:rPr>
                <w:rFonts w:asciiTheme="majorHAnsi" w:hAnsiTheme="majorHAnsi" w:cstheme="majorHAnsi"/>
                <w:sz w:val="22"/>
                <w:szCs w:val="22"/>
                <w:lang w:eastAsia="zh-TW"/>
              </w:rPr>
              <w:t xml:space="preserve"> ulic</w:t>
            </w:r>
            <w:r w:rsidR="0094766D">
              <w:rPr>
                <w:rFonts w:asciiTheme="majorHAnsi" w:hAnsiTheme="majorHAnsi" w:cstheme="majorHAnsi"/>
                <w:sz w:val="22"/>
                <w:szCs w:val="22"/>
                <w:lang w:eastAsia="zh-TW"/>
              </w:rPr>
              <w:t>i</w:t>
            </w:r>
            <w:r w:rsidRPr="000020F0">
              <w:rPr>
                <w:rFonts w:asciiTheme="majorHAnsi" w:hAnsiTheme="majorHAnsi" w:cstheme="majorHAnsi"/>
                <w:sz w:val="22"/>
                <w:szCs w:val="22"/>
                <w:lang w:eastAsia="zh-TW"/>
              </w:rPr>
              <w:t xml:space="preserve">, ureditvijo razširjenih peš površin, parkirnih mest za kolesa, varne pokrite kolesarnice in novega avtobusnega postajališča s tremi </w:t>
            </w:r>
            <w:proofErr w:type="spellStart"/>
            <w:r w:rsidRPr="000020F0">
              <w:rPr>
                <w:rFonts w:asciiTheme="majorHAnsi" w:hAnsiTheme="majorHAnsi" w:cstheme="majorHAnsi"/>
                <w:sz w:val="22"/>
                <w:szCs w:val="22"/>
                <w:lang w:eastAsia="zh-TW"/>
              </w:rPr>
              <w:t>nadkritimi</w:t>
            </w:r>
            <w:proofErr w:type="spellEnd"/>
            <w:r w:rsidRPr="000020F0">
              <w:rPr>
                <w:rFonts w:asciiTheme="majorHAnsi" w:hAnsiTheme="majorHAnsi" w:cstheme="majorHAnsi"/>
                <w:sz w:val="22"/>
                <w:szCs w:val="22"/>
                <w:lang w:eastAsia="zh-TW"/>
              </w:rPr>
              <w:t xml:space="preserve"> peroni</w:t>
            </w:r>
            <w:r w:rsidR="000D7E91" w:rsidRPr="000020F0">
              <w:rPr>
                <w:rFonts w:asciiTheme="majorHAnsi" w:hAnsiTheme="majorHAnsi" w:cstheme="majorHAnsi"/>
                <w:sz w:val="22"/>
                <w:szCs w:val="22"/>
                <w:lang w:eastAsia="zh-TW"/>
              </w:rPr>
              <w:t xml:space="preserve"> in javnimi sanitarijami</w:t>
            </w:r>
            <w:r w:rsidRPr="000020F0">
              <w:rPr>
                <w:rFonts w:asciiTheme="majorHAnsi" w:hAnsiTheme="majorHAnsi" w:cstheme="majorHAnsi"/>
                <w:sz w:val="22"/>
                <w:szCs w:val="22"/>
                <w:lang w:eastAsia="zh-TW"/>
              </w:rPr>
              <w:t>.</w:t>
            </w:r>
          </w:p>
          <w:p w14:paraId="4B0397C0" w14:textId="77777777" w:rsidR="00840A9A" w:rsidRPr="000020F0" w:rsidRDefault="00840A9A" w:rsidP="00840A9A">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2. Zmanjšati negativne vplive motornega prometa</w:t>
            </w:r>
            <w:r w:rsidRPr="000020F0">
              <w:rPr>
                <w:rFonts w:asciiTheme="majorHAnsi" w:hAnsiTheme="majorHAnsi" w:cstheme="majorHAnsi"/>
                <w:sz w:val="22"/>
                <w:szCs w:val="22"/>
                <w:lang w:eastAsia="zh-TW"/>
              </w:rPr>
              <w:br/>
              <w:t>Umiriti motorni promet z rekonstrukcijo prometnih površin, zožitvijo vozišč, višinsko izravnavo vozišča s pločniki in tržnimi površinami, vzpostavitvijo skupnega prometnega prostora z omejitvijo hitrosti na 20 km/h ter uporabo merilca hitrosti, dveh prikazovalnikov hitrosti in števca kolesarjev.</w:t>
            </w:r>
          </w:p>
          <w:p w14:paraId="63E18E38" w14:textId="77777777" w:rsidR="00840A9A" w:rsidRPr="000020F0" w:rsidRDefault="00840A9A" w:rsidP="00840A9A">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3. Povečati prometno varnost ranljivih skupin uporabnikov</w:t>
            </w:r>
            <w:r w:rsidRPr="000020F0">
              <w:rPr>
                <w:rFonts w:asciiTheme="majorHAnsi" w:hAnsiTheme="majorHAnsi" w:cstheme="majorHAnsi"/>
                <w:b/>
                <w:bCs/>
                <w:sz w:val="22"/>
                <w:szCs w:val="22"/>
                <w:lang w:eastAsia="zh-TW"/>
              </w:rPr>
              <w:br/>
            </w:r>
            <w:r w:rsidRPr="000020F0">
              <w:rPr>
                <w:rFonts w:asciiTheme="majorHAnsi" w:hAnsiTheme="majorHAnsi" w:cstheme="majorHAnsi"/>
                <w:sz w:val="22"/>
                <w:szCs w:val="22"/>
                <w:lang w:eastAsia="zh-TW"/>
              </w:rPr>
              <w:t xml:space="preserve">Izboljšati varnost otrok, starejših, gibalno oviranih, slepih in </w:t>
            </w:r>
            <w:r w:rsidRPr="000020F0">
              <w:rPr>
                <w:rFonts w:asciiTheme="majorHAnsi" w:hAnsiTheme="majorHAnsi" w:cstheme="majorHAnsi"/>
                <w:sz w:val="22"/>
                <w:szCs w:val="22"/>
                <w:lang w:eastAsia="zh-TW"/>
              </w:rPr>
              <w:lastRenderedPageBreak/>
              <w:t xml:space="preserve">slabovidnih oseb z novimi prometnimi ureditvami, razširjenimi pločniki, izravnanimi talnimi ureditvami, ustreznimi taktilnimi oziroma haptičnimi oznakami, varnejšo </w:t>
            </w:r>
            <w:proofErr w:type="spellStart"/>
            <w:r w:rsidRPr="000020F0">
              <w:rPr>
                <w:rFonts w:asciiTheme="majorHAnsi" w:hAnsiTheme="majorHAnsi" w:cstheme="majorHAnsi"/>
                <w:sz w:val="22"/>
                <w:szCs w:val="22"/>
                <w:lang w:eastAsia="zh-TW"/>
              </w:rPr>
              <w:t>drop-off</w:t>
            </w:r>
            <w:proofErr w:type="spellEnd"/>
            <w:r w:rsidRPr="000020F0">
              <w:rPr>
                <w:rFonts w:asciiTheme="majorHAnsi" w:hAnsiTheme="majorHAnsi" w:cstheme="majorHAnsi"/>
                <w:sz w:val="22"/>
                <w:szCs w:val="22"/>
                <w:lang w:eastAsia="zh-TW"/>
              </w:rPr>
              <w:t xml:space="preserve"> cono pred osnovno šolo ter oblikovanjem javnih površin po načelih univerzalne graditve.</w:t>
            </w:r>
          </w:p>
          <w:p w14:paraId="5F19E2A4" w14:textId="77777777" w:rsidR="00840A9A" w:rsidRPr="000020F0" w:rsidRDefault="00840A9A" w:rsidP="003426BF">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4. Razviti in povezati zeleno infrastrukturo v središču naselja</w:t>
            </w:r>
            <w:r w:rsidRPr="000020F0">
              <w:rPr>
                <w:rFonts w:asciiTheme="majorHAnsi" w:hAnsiTheme="majorHAnsi" w:cstheme="majorHAnsi"/>
                <w:sz w:val="22"/>
                <w:szCs w:val="22"/>
                <w:lang w:eastAsia="zh-TW"/>
              </w:rPr>
              <w:br/>
              <w:t>Povečati delež zelenih površin z zasaditvami, drevoredi, zelenimi pasovi in zelenimi otoki ob prometnih in parkirnih površinah, ob tem pa v čim večji meri ohranjati obstoječa drevesa ter izboljšati senčenje, kakovost bivanja in odpornost prostora na podnebne spremembe.</w:t>
            </w:r>
          </w:p>
          <w:p w14:paraId="7F18A7C8" w14:textId="77777777" w:rsidR="00840A9A" w:rsidRPr="000020F0" w:rsidRDefault="00840A9A" w:rsidP="00840A9A">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5. Spodbujati kolesarjenje in uporabo električnih koles</w:t>
            </w:r>
            <w:r w:rsidRPr="000020F0">
              <w:rPr>
                <w:rFonts w:asciiTheme="majorHAnsi" w:hAnsiTheme="majorHAnsi" w:cstheme="majorHAnsi"/>
                <w:sz w:val="22"/>
                <w:szCs w:val="22"/>
                <w:lang w:eastAsia="zh-TW"/>
              </w:rPr>
              <w:br/>
              <w:t>Zagotoviti več lokacij za parkiranje koles, urediti pokrito varno kolesarnico ter omogočiti navezavo na sistem javne izposoje e-koles, med drugim z lokacijo ob avtobusnem postajališču z 10 priklopnimi mesti in dodatno lokacijo pri pokopališču s 6 parkirnimi mesti za javno izposojo.</w:t>
            </w:r>
          </w:p>
          <w:p w14:paraId="6FE9ADAC" w14:textId="77777777" w:rsidR="00840A9A" w:rsidRPr="000020F0" w:rsidRDefault="00840A9A" w:rsidP="00840A9A">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6. Uvesti rešitve za spremljanje prometa in spodbujanje trajnostnih potovalnih navad</w:t>
            </w:r>
            <w:r w:rsidRPr="000020F0">
              <w:rPr>
                <w:rFonts w:asciiTheme="majorHAnsi" w:hAnsiTheme="majorHAnsi" w:cstheme="majorHAnsi"/>
                <w:sz w:val="22"/>
                <w:szCs w:val="22"/>
                <w:lang w:eastAsia="zh-TW"/>
              </w:rPr>
              <w:br/>
              <w:t>Vzpostaviti prometno opremo za spremljanje in umirjanje prometa, vključno s števcem kolesarjev, merilcem hitrosti in prikazovalniki hitrosti, ki omogočajo boljše spremljanje prometnih tokov in podatkovno podporo za nadaljnje ukrepe trajnostne mobilnosti.</w:t>
            </w:r>
          </w:p>
          <w:p w14:paraId="2D542F29" w14:textId="3BAF4281" w:rsidR="00190D14" w:rsidRPr="000020F0" w:rsidRDefault="00840A9A" w:rsidP="00840A9A">
            <w:pPr>
              <w:spacing w:after="120" w:line="276" w:lineRule="auto"/>
              <w:rPr>
                <w:rFonts w:asciiTheme="majorHAnsi" w:hAnsiTheme="majorHAnsi" w:cstheme="majorHAnsi"/>
                <w:b/>
                <w:bCs/>
                <w:sz w:val="22"/>
                <w:szCs w:val="22"/>
                <w:lang w:eastAsia="zh-TW"/>
              </w:rPr>
            </w:pPr>
            <w:r w:rsidRPr="000020F0">
              <w:rPr>
                <w:rFonts w:asciiTheme="majorHAnsi" w:hAnsiTheme="majorHAnsi" w:cstheme="majorHAnsi"/>
                <w:b/>
                <w:bCs/>
                <w:sz w:val="22"/>
                <w:szCs w:val="22"/>
              </w:rPr>
              <w:t>7. Prispevati k doseganju nacionalnih in evropskih ciljev trajnostne mobilnosti</w:t>
            </w:r>
            <w:r w:rsidRPr="000020F0">
              <w:rPr>
                <w:rFonts w:asciiTheme="majorHAnsi" w:hAnsiTheme="majorHAnsi" w:cstheme="majorHAnsi"/>
                <w:sz w:val="22"/>
                <w:szCs w:val="22"/>
                <w:lang w:eastAsia="zh-TW"/>
              </w:rPr>
              <w:br/>
              <w:t>Prispevati k zmanjšanju emisij toplogrednih plinov, povečanju deleža trajnostnih oblik mobilnosti, izboljšanju dostopnosti javnega prostora in prilagajanju na podnebne spremembe, skladno z usmeritvami javnega razpisa JR EKP UTM 202</w:t>
            </w:r>
            <w:r w:rsidR="00005BCD" w:rsidRPr="000020F0">
              <w:rPr>
                <w:rFonts w:asciiTheme="majorHAnsi" w:hAnsiTheme="majorHAnsi" w:cstheme="majorHAnsi"/>
                <w:sz w:val="22"/>
                <w:szCs w:val="22"/>
                <w:lang w:eastAsia="zh-TW"/>
              </w:rPr>
              <w:t>5</w:t>
            </w:r>
            <w:r w:rsidRPr="000020F0">
              <w:rPr>
                <w:rFonts w:asciiTheme="majorHAnsi" w:hAnsiTheme="majorHAnsi" w:cstheme="majorHAnsi"/>
                <w:sz w:val="22"/>
                <w:szCs w:val="22"/>
                <w:lang w:eastAsia="zh-TW"/>
              </w:rPr>
              <w:t xml:space="preserve"> za sofinanciranje ukrepov trajnostne mobilnosti.</w:t>
            </w:r>
          </w:p>
        </w:tc>
      </w:tr>
      <w:tr w:rsidR="006A22D8" w:rsidRPr="000020F0" w14:paraId="05EFFAA7" w14:textId="77777777" w:rsidTr="00B923E9">
        <w:trPr>
          <w:trHeight w:val="318"/>
        </w:trPr>
        <w:tc>
          <w:tcPr>
            <w:tcW w:w="1597" w:type="pct"/>
            <w:shd w:val="clear" w:color="auto" w:fill="DBE5F1"/>
            <w:vAlign w:val="center"/>
          </w:tcPr>
          <w:p w14:paraId="186F45AD" w14:textId="40DD6261" w:rsidR="006A22D8" w:rsidRPr="000020F0" w:rsidRDefault="002D6F65" w:rsidP="00BD1D20">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lastRenderedPageBreak/>
              <w:t>PRIČAKOVANI REZULTATI IN UČINKI PROJEKTA</w:t>
            </w:r>
          </w:p>
        </w:tc>
        <w:tc>
          <w:tcPr>
            <w:tcW w:w="3403" w:type="pct"/>
          </w:tcPr>
          <w:p w14:paraId="796843D6"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1. Površine in dolžine rekonstruiranih odsekov:</w:t>
            </w:r>
          </w:p>
          <w:p w14:paraId="73A0A6B6" w14:textId="63817F8A" w:rsidR="00B923E9" w:rsidRPr="000020F0" w:rsidRDefault="00B923E9" w:rsidP="00A54BF8">
            <w:pPr>
              <w:numPr>
                <w:ilvl w:val="0"/>
                <w:numId w:val="114"/>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skupna dolžina rekonstruirane Govekarjeve ceste </w:t>
            </w:r>
            <w:r w:rsidR="00A54BF8" w:rsidRPr="000020F0">
              <w:rPr>
                <w:rFonts w:asciiTheme="majorHAnsi" w:hAnsiTheme="majorHAnsi" w:cstheme="majorHAnsi"/>
                <w:sz w:val="22"/>
                <w:szCs w:val="22"/>
              </w:rPr>
              <w:t>in</w:t>
            </w:r>
            <w:r w:rsidRPr="000020F0">
              <w:rPr>
                <w:rFonts w:asciiTheme="majorHAnsi" w:hAnsiTheme="majorHAnsi" w:cstheme="majorHAnsi"/>
                <w:sz w:val="22"/>
                <w:szCs w:val="22"/>
              </w:rPr>
              <w:t xml:space="preserve"> Troštove ulice </w:t>
            </w:r>
            <w:r w:rsidR="00A54BF8" w:rsidRPr="000020F0">
              <w:rPr>
                <w:rFonts w:asciiTheme="majorHAnsi" w:hAnsiTheme="majorHAnsi" w:cstheme="majorHAnsi"/>
                <w:sz w:val="22"/>
                <w:szCs w:val="22"/>
              </w:rPr>
              <w:t xml:space="preserve">254 </w:t>
            </w:r>
            <w:r w:rsidRPr="000020F0">
              <w:rPr>
                <w:rFonts w:asciiTheme="majorHAnsi" w:hAnsiTheme="majorHAnsi" w:cstheme="majorHAnsi"/>
                <w:sz w:val="22"/>
                <w:szCs w:val="22"/>
              </w:rPr>
              <w:t>m</w:t>
            </w:r>
          </w:p>
          <w:p w14:paraId="75288867" w14:textId="13A27F13" w:rsidR="00B923E9" w:rsidRPr="000020F0" w:rsidRDefault="00B923E9" w:rsidP="00B923E9">
            <w:pPr>
              <w:numPr>
                <w:ilvl w:val="0"/>
                <w:numId w:val="114"/>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skupna površina rekonstruiranih prometnih površin (skupaj z AP) </w:t>
            </w:r>
            <w:r w:rsidR="00D26760">
              <w:rPr>
                <w:rFonts w:asciiTheme="majorHAnsi" w:hAnsiTheme="majorHAnsi" w:cstheme="majorHAnsi"/>
                <w:sz w:val="22"/>
                <w:szCs w:val="22"/>
              </w:rPr>
              <w:t>3.497,8</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0DA3C6B8"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2. Zmanjšanje površin za motorni promet:</w:t>
            </w:r>
          </w:p>
          <w:p w14:paraId="5F0B40D5"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izhodiščna površina za motorni promet:</w:t>
            </w:r>
          </w:p>
          <w:p w14:paraId="4DC309DD"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1446,80 m</w:t>
            </w:r>
            <w:r w:rsidRPr="000020F0">
              <w:rPr>
                <w:rFonts w:asciiTheme="majorHAnsi" w:hAnsiTheme="majorHAnsi" w:cstheme="majorHAnsi"/>
                <w:sz w:val="22"/>
                <w:szCs w:val="22"/>
                <w:vertAlign w:val="superscript"/>
              </w:rPr>
              <w:t>2</w:t>
            </w:r>
          </w:p>
          <w:p w14:paraId="4E5E3EFF"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365,1 m</w:t>
            </w:r>
            <w:r w:rsidRPr="000020F0">
              <w:rPr>
                <w:rFonts w:asciiTheme="majorHAnsi" w:hAnsiTheme="majorHAnsi" w:cstheme="majorHAnsi"/>
                <w:sz w:val="22"/>
                <w:szCs w:val="22"/>
                <w:vertAlign w:val="superscript"/>
              </w:rPr>
              <w:t>2</w:t>
            </w:r>
          </w:p>
          <w:p w14:paraId="10A3A311" w14:textId="5BF1BA2B"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Troštova: </w:t>
            </w:r>
            <w:r w:rsidR="0094766D">
              <w:rPr>
                <w:rFonts w:asciiTheme="majorHAnsi" w:hAnsiTheme="majorHAnsi" w:cstheme="majorHAnsi"/>
                <w:sz w:val="22"/>
                <w:szCs w:val="22"/>
              </w:rPr>
              <w:t>353,2</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70B38243" w14:textId="637FDB49" w:rsidR="00B923E9" w:rsidRPr="000020F0" w:rsidRDefault="00B923E9" w:rsidP="00B923E9">
            <w:pPr>
              <w:spacing w:line="276" w:lineRule="auto"/>
              <w:ind w:left="709"/>
              <w:rPr>
                <w:rFonts w:asciiTheme="majorHAnsi" w:hAnsiTheme="majorHAnsi" w:cstheme="majorHAnsi"/>
                <w:sz w:val="22"/>
                <w:szCs w:val="22"/>
                <w:vertAlign w:val="superscript"/>
              </w:rPr>
            </w:pPr>
            <w:r w:rsidRPr="000020F0">
              <w:rPr>
                <w:rFonts w:asciiTheme="majorHAnsi" w:hAnsiTheme="majorHAnsi" w:cstheme="majorHAnsi"/>
                <w:sz w:val="22"/>
                <w:szCs w:val="22"/>
              </w:rPr>
              <w:t xml:space="preserve">SKUPAJ:  </w:t>
            </w:r>
            <w:r w:rsidR="0094766D">
              <w:rPr>
                <w:rFonts w:asciiTheme="majorHAnsi" w:hAnsiTheme="majorHAnsi" w:cstheme="majorHAnsi"/>
                <w:sz w:val="22"/>
                <w:szCs w:val="22"/>
              </w:rPr>
              <w:t>2.165,1</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3199424C"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nova površina za motorni promet po preureditvi (m²):</w:t>
            </w:r>
          </w:p>
          <w:p w14:paraId="5F911E1F"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1221,0 m</w:t>
            </w:r>
            <w:r w:rsidRPr="000020F0">
              <w:rPr>
                <w:rFonts w:asciiTheme="majorHAnsi" w:hAnsiTheme="majorHAnsi" w:cstheme="majorHAnsi"/>
                <w:sz w:val="22"/>
                <w:szCs w:val="22"/>
                <w:vertAlign w:val="superscript"/>
              </w:rPr>
              <w:t>2</w:t>
            </w:r>
          </w:p>
          <w:p w14:paraId="5D3D7429"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293,6 m</w:t>
            </w:r>
            <w:r w:rsidRPr="000020F0">
              <w:rPr>
                <w:rFonts w:asciiTheme="majorHAnsi" w:hAnsiTheme="majorHAnsi" w:cstheme="majorHAnsi"/>
                <w:sz w:val="22"/>
                <w:szCs w:val="22"/>
                <w:vertAlign w:val="superscript"/>
              </w:rPr>
              <w:t>2</w:t>
            </w:r>
          </w:p>
          <w:p w14:paraId="199E2E20" w14:textId="3B0C6D4A"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lastRenderedPageBreak/>
              <w:t xml:space="preserve">Troštova: </w:t>
            </w:r>
            <w:r w:rsidR="0094766D">
              <w:rPr>
                <w:rFonts w:asciiTheme="majorHAnsi" w:hAnsiTheme="majorHAnsi" w:cstheme="majorHAnsi"/>
                <w:sz w:val="22"/>
                <w:szCs w:val="22"/>
              </w:rPr>
              <w:t>256,4</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645C444F" w14:textId="66C98DB1" w:rsidR="00B923E9" w:rsidRPr="000020F0" w:rsidRDefault="00B923E9" w:rsidP="00B923E9">
            <w:pPr>
              <w:spacing w:line="276" w:lineRule="auto"/>
              <w:ind w:left="709"/>
              <w:rPr>
                <w:rFonts w:asciiTheme="majorHAnsi" w:hAnsiTheme="majorHAnsi" w:cstheme="majorHAnsi"/>
                <w:sz w:val="22"/>
                <w:szCs w:val="22"/>
                <w:vertAlign w:val="superscript"/>
              </w:rPr>
            </w:pPr>
            <w:r w:rsidRPr="000020F0">
              <w:rPr>
                <w:rFonts w:asciiTheme="majorHAnsi" w:hAnsiTheme="majorHAnsi" w:cstheme="majorHAnsi"/>
                <w:sz w:val="22"/>
                <w:szCs w:val="22"/>
              </w:rPr>
              <w:t xml:space="preserve">SKUPAJ: </w:t>
            </w:r>
            <w:r w:rsidR="0094766D">
              <w:rPr>
                <w:rFonts w:asciiTheme="majorHAnsi" w:hAnsiTheme="majorHAnsi" w:cstheme="majorHAnsi"/>
                <w:sz w:val="22"/>
                <w:szCs w:val="22"/>
              </w:rPr>
              <w:t>1.771</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47AA6818"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delež zmanjšanja (%) za posamezni odsek in skupaj:</w:t>
            </w:r>
          </w:p>
          <w:p w14:paraId="6F682E44"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- 15,61 %</w:t>
            </w:r>
          </w:p>
          <w:p w14:paraId="0AC3E6D6"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- 19,58 %</w:t>
            </w:r>
          </w:p>
          <w:p w14:paraId="187B443C" w14:textId="29FD0EF6"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Troštova: -  27,</w:t>
            </w:r>
            <w:r w:rsidR="0063099B">
              <w:rPr>
                <w:rFonts w:asciiTheme="majorHAnsi" w:hAnsiTheme="majorHAnsi" w:cstheme="majorHAnsi"/>
                <w:sz w:val="22"/>
                <w:szCs w:val="22"/>
              </w:rPr>
              <w:t>41</w:t>
            </w:r>
            <w:r w:rsidR="0063099B" w:rsidRPr="000020F0">
              <w:rPr>
                <w:rFonts w:asciiTheme="majorHAnsi" w:hAnsiTheme="majorHAnsi" w:cstheme="majorHAnsi"/>
                <w:sz w:val="22"/>
                <w:szCs w:val="22"/>
              </w:rPr>
              <w:t xml:space="preserve"> </w:t>
            </w:r>
            <w:r w:rsidRPr="000020F0">
              <w:rPr>
                <w:rFonts w:asciiTheme="majorHAnsi" w:hAnsiTheme="majorHAnsi" w:cstheme="majorHAnsi"/>
                <w:sz w:val="22"/>
                <w:szCs w:val="22"/>
              </w:rPr>
              <w:t>%</w:t>
            </w:r>
          </w:p>
          <w:p w14:paraId="4BF576E1" w14:textId="6C33C44A"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SKUPAJ: - </w:t>
            </w:r>
            <w:r w:rsidR="002374D8" w:rsidRPr="000020F0">
              <w:rPr>
                <w:rFonts w:asciiTheme="majorHAnsi" w:hAnsiTheme="majorHAnsi" w:cstheme="majorHAnsi"/>
                <w:sz w:val="22"/>
                <w:szCs w:val="22"/>
              </w:rPr>
              <w:t>18,2</w:t>
            </w:r>
            <w:r w:rsidR="0063099B">
              <w:rPr>
                <w:rFonts w:asciiTheme="majorHAnsi" w:hAnsiTheme="majorHAnsi" w:cstheme="majorHAnsi"/>
                <w:sz w:val="22"/>
                <w:szCs w:val="22"/>
              </w:rPr>
              <w:t>0</w:t>
            </w:r>
            <w:r w:rsidR="002374D8" w:rsidRPr="000020F0">
              <w:rPr>
                <w:rFonts w:asciiTheme="majorHAnsi" w:hAnsiTheme="majorHAnsi" w:cstheme="majorHAnsi"/>
                <w:sz w:val="22"/>
                <w:szCs w:val="22"/>
              </w:rPr>
              <w:t xml:space="preserve"> </w:t>
            </w:r>
            <w:r w:rsidR="00AA422C" w:rsidRPr="000020F0">
              <w:rPr>
                <w:rFonts w:asciiTheme="majorHAnsi" w:hAnsiTheme="majorHAnsi" w:cstheme="majorHAnsi"/>
                <w:sz w:val="22"/>
                <w:szCs w:val="22"/>
              </w:rPr>
              <w:t>%</w:t>
            </w:r>
          </w:p>
          <w:p w14:paraId="22DE81B6"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3. Površine za motorni promet, ki niso asfaltirane:</w:t>
            </w:r>
          </w:p>
          <w:p w14:paraId="4D22F324" w14:textId="18FE2B51"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skupna površina tlakovanih površin s kockami/betonom: </w:t>
            </w:r>
            <w:r w:rsidR="0063099B">
              <w:rPr>
                <w:rFonts w:asciiTheme="majorHAnsi" w:hAnsiTheme="majorHAnsi" w:cstheme="majorHAnsi"/>
                <w:sz w:val="22"/>
                <w:szCs w:val="22"/>
              </w:rPr>
              <w:t>1.322,4</w:t>
            </w:r>
            <w:r w:rsidR="00A93B58" w:rsidRPr="000020F0">
              <w:rPr>
                <w:rFonts w:asciiTheme="majorHAnsi" w:hAnsiTheme="majorHAnsi" w:cstheme="majorHAnsi"/>
                <w:sz w:val="22"/>
                <w:szCs w:val="22"/>
              </w:rPr>
              <w:t xml:space="preserve"> m</w:t>
            </w:r>
            <w:r w:rsidR="00A93B58" w:rsidRPr="000020F0">
              <w:rPr>
                <w:rFonts w:asciiTheme="majorHAnsi" w:hAnsiTheme="majorHAnsi" w:cstheme="majorHAnsi"/>
                <w:sz w:val="22"/>
                <w:szCs w:val="22"/>
                <w:vertAlign w:val="superscript"/>
              </w:rPr>
              <w:t>2</w:t>
            </w:r>
          </w:p>
          <w:p w14:paraId="50D6859E" w14:textId="044CD542"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delež (%) glede na celotno površino za motorni promet površin: </w:t>
            </w:r>
            <w:r w:rsidR="00A93B58" w:rsidRPr="000020F0">
              <w:rPr>
                <w:rFonts w:asciiTheme="majorHAnsi" w:hAnsiTheme="majorHAnsi" w:cstheme="majorHAnsi"/>
                <w:sz w:val="22"/>
                <w:szCs w:val="22"/>
              </w:rPr>
              <w:t xml:space="preserve">57 </w:t>
            </w:r>
            <w:r w:rsidRPr="000020F0">
              <w:rPr>
                <w:rFonts w:asciiTheme="majorHAnsi" w:hAnsiTheme="majorHAnsi" w:cstheme="majorHAnsi"/>
                <w:sz w:val="22"/>
                <w:szCs w:val="22"/>
              </w:rPr>
              <w:t>%</w:t>
            </w:r>
          </w:p>
          <w:p w14:paraId="775D89D2"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4. Zelene površine in zasaditve v obsegu ločenega projekta zelene infrastrukture, ki se bo izvajal vzporedno</w:t>
            </w:r>
          </w:p>
          <w:p w14:paraId="5A7D3061" w14:textId="69D09392"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površina zelenih pasov in drevoredov - Celoten projekt Celovite ureditve centra Ig, ki obsega ukrepe trajnostne mobilnosti in zelene infrastrukture, obsega cca 3</w:t>
            </w:r>
            <w:r w:rsidR="007C3CFC">
              <w:rPr>
                <w:rFonts w:asciiTheme="majorHAnsi" w:hAnsiTheme="majorHAnsi" w:cstheme="majorHAnsi"/>
                <w:sz w:val="22"/>
                <w:szCs w:val="22"/>
              </w:rPr>
              <w:t>9</w:t>
            </w:r>
            <w:r w:rsidRPr="000020F0">
              <w:rPr>
                <w:rFonts w:asciiTheme="majorHAnsi" w:hAnsiTheme="majorHAnsi" w:cstheme="majorHAnsi"/>
                <w:sz w:val="22"/>
                <w:szCs w:val="22"/>
              </w:rPr>
              <w:t xml:space="preserve"> % zelenih površin.</w:t>
            </w:r>
          </w:p>
          <w:p w14:paraId="0FB5D315" w14:textId="5ECD1168"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število novih dreves in zasaditvenih otokov - Znotraj območja Celovite ureditve centra Ig, ki obsega ukrepe trajnostne mobilnosti in zelene infrastrukture, operacija ohranja </w:t>
            </w:r>
            <w:r w:rsidR="00A93B58" w:rsidRPr="000020F0">
              <w:rPr>
                <w:rFonts w:asciiTheme="majorHAnsi" w:hAnsiTheme="majorHAnsi" w:cstheme="majorHAnsi"/>
                <w:sz w:val="22"/>
                <w:szCs w:val="22"/>
              </w:rPr>
              <w:t xml:space="preserve"> oz. presaja </w:t>
            </w:r>
            <w:r w:rsidRPr="000020F0">
              <w:rPr>
                <w:rFonts w:asciiTheme="majorHAnsi" w:hAnsiTheme="majorHAnsi" w:cstheme="majorHAnsi"/>
                <w:sz w:val="22"/>
                <w:szCs w:val="22"/>
              </w:rPr>
              <w:t xml:space="preserve">15 obstoječih dreves in predvideva zasaditev </w:t>
            </w:r>
            <w:r w:rsidR="007C3CFC">
              <w:rPr>
                <w:rFonts w:asciiTheme="majorHAnsi" w:hAnsiTheme="majorHAnsi" w:cstheme="majorHAnsi"/>
                <w:sz w:val="22"/>
                <w:szCs w:val="22"/>
              </w:rPr>
              <w:t xml:space="preserve">99 </w:t>
            </w:r>
            <w:r w:rsidRPr="000020F0">
              <w:rPr>
                <w:rFonts w:asciiTheme="majorHAnsi" w:hAnsiTheme="majorHAnsi" w:cstheme="majorHAnsi"/>
                <w:sz w:val="22"/>
                <w:szCs w:val="22"/>
              </w:rPr>
              <w:t xml:space="preserve">novih dreves (Park Ig in drugod). Predvidenih je </w:t>
            </w:r>
            <w:r w:rsidR="007C3CFC">
              <w:rPr>
                <w:rFonts w:asciiTheme="majorHAnsi" w:hAnsiTheme="majorHAnsi" w:cstheme="majorHAnsi"/>
                <w:sz w:val="22"/>
                <w:szCs w:val="22"/>
              </w:rPr>
              <w:t>108</w:t>
            </w:r>
            <w:r w:rsidR="007C3CFC" w:rsidRPr="000020F0">
              <w:rPr>
                <w:rFonts w:asciiTheme="majorHAnsi" w:hAnsiTheme="majorHAnsi" w:cstheme="majorHAnsi"/>
                <w:sz w:val="22"/>
                <w:szCs w:val="22"/>
              </w:rPr>
              <w:t xml:space="preserve"> </w:t>
            </w:r>
            <w:r w:rsidRPr="000020F0">
              <w:rPr>
                <w:rFonts w:asciiTheme="majorHAnsi" w:hAnsiTheme="majorHAnsi" w:cstheme="majorHAnsi"/>
                <w:sz w:val="22"/>
                <w:szCs w:val="22"/>
              </w:rPr>
              <w:t>sadilnih jam (linijskih in točkovnih).</w:t>
            </w:r>
          </w:p>
          <w:p w14:paraId="4D6F77F0"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V okviru ureditve zelenih površin se ukine 21 parkirnih mest pred občinsko stavbo, 12 parkirnih mest ob Govekarjevi cesti pred </w:t>
            </w:r>
            <w:proofErr w:type="spellStart"/>
            <w:r w:rsidRPr="000020F0">
              <w:rPr>
                <w:rFonts w:asciiTheme="majorHAnsi" w:hAnsiTheme="majorHAnsi" w:cstheme="majorHAnsi"/>
                <w:sz w:val="22"/>
                <w:szCs w:val="22"/>
              </w:rPr>
              <w:t>Morostigom</w:t>
            </w:r>
            <w:proofErr w:type="spellEnd"/>
            <w:r w:rsidRPr="000020F0">
              <w:rPr>
                <w:rFonts w:asciiTheme="majorHAnsi" w:hAnsiTheme="majorHAnsi" w:cstheme="majorHAnsi"/>
                <w:sz w:val="22"/>
                <w:szCs w:val="22"/>
              </w:rPr>
              <w:t xml:space="preserve"> in 5 parkirnih mest ob Troštovi ulici.</w:t>
            </w:r>
          </w:p>
          <w:p w14:paraId="1B1DFAFE"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5. Ukrepi umirjanja prometa:</w:t>
            </w:r>
          </w:p>
          <w:p w14:paraId="6832AE06"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seznam vseh ukrepov (dvignjeni prehodi, zožitve, ploščadi ipd.),</w:t>
            </w:r>
          </w:p>
          <w:p w14:paraId="7B4B0E84" w14:textId="77777777"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3x dvignjen prehod (2x križišče, 1x začetek Govekarjeve pri AP)</w:t>
            </w:r>
          </w:p>
          <w:p w14:paraId="0978E534" w14:textId="77777777"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Zoženje cestišča na minimum (Govekarjeva 5,5 m)</w:t>
            </w:r>
          </w:p>
          <w:p w14:paraId="7DFDAA1E" w14:textId="77777777"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Prikazovalnika hitrosti (1x na Govekarjevi pri Občinski stavbi, 1x na Govekarjevi ob cerkvi na ulični svetilki proti jugu)</w:t>
            </w:r>
          </w:p>
          <w:p w14:paraId="077443E0" w14:textId="77777777"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Merilnik hitrosti (1x na Govekarjevi med drevesi pred telovadnico)</w:t>
            </w:r>
          </w:p>
          <w:p w14:paraId="125CAF56" w14:textId="034C670A"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Hitrostne ovire na Troštovi (</w:t>
            </w:r>
            <w:r w:rsidR="00B817E6" w:rsidRPr="000020F0">
              <w:rPr>
                <w:rFonts w:asciiTheme="majorHAnsi" w:hAnsiTheme="majorHAnsi" w:cstheme="majorHAnsi"/>
                <w:sz w:val="22"/>
                <w:szCs w:val="22"/>
              </w:rPr>
              <w:t>3</w:t>
            </w:r>
            <w:r w:rsidRPr="000020F0">
              <w:rPr>
                <w:rFonts w:asciiTheme="majorHAnsi" w:hAnsiTheme="majorHAnsi" w:cstheme="majorHAnsi"/>
                <w:sz w:val="22"/>
                <w:szCs w:val="22"/>
              </w:rPr>
              <w:t>x, Minimalna grbina v grobem tlakovanju v dolžini 50 cm)</w:t>
            </w:r>
          </w:p>
          <w:p w14:paraId="08BF2A3F" w14:textId="77777777" w:rsidR="00B923E9" w:rsidRPr="000020F0" w:rsidRDefault="00B923E9" w:rsidP="00B923E9">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Omejitev hitrosti na 20 km/h</w:t>
            </w:r>
          </w:p>
          <w:p w14:paraId="28C4689D"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Skupni prometni prostor</w:t>
            </w:r>
          </w:p>
          <w:p w14:paraId="11EE0B95" w14:textId="77777777" w:rsidR="00B923E9" w:rsidRPr="000020F0" w:rsidRDefault="00B923E9" w:rsidP="00B923E9">
            <w:pPr>
              <w:spacing w:line="276" w:lineRule="auto"/>
              <w:ind w:firstLine="708"/>
              <w:rPr>
                <w:rFonts w:asciiTheme="majorHAnsi" w:hAnsiTheme="majorHAnsi" w:cstheme="majorHAnsi"/>
                <w:sz w:val="22"/>
                <w:szCs w:val="22"/>
              </w:rPr>
            </w:pPr>
            <w:r w:rsidRPr="000020F0">
              <w:rPr>
                <w:rFonts w:asciiTheme="majorHAnsi" w:hAnsiTheme="majorHAnsi" w:cstheme="majorHAnsi"/>
                <w:sz w:val="22"/>
                <w:szCs w:val="22"/>
              </w:rPr>
              <w:t>Avtobusno postajališče za šolske avtobuse na cestišču (Govekarjeva, v obe smeri)</w:t>
            </w:r>
          </w:p>
          <w:p w14:paraId="743EFD9C"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število ukrepov na posameznem odseku</w:t>
            </w:r>
          </w:p>
          <w:p w14:paraId="2F944980"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Govekarjeva cesta (197 m): </w:t>
            </w:r>
          </w:p>
          <w:p w14:paraId="66D488D7"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lastRenderedPageBreak/>
              <w:t>6x ukrep (dvignjen prehod, zoženje, merilec, 2x prikazovalnik, omejitev hitrosti)</w:t>
            </w:r>
          </w:p>
          <w:p w14:paraId="02929C0A" w14:textId="37E1DDE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Troštova ulica (</w:t>
            </w:r>
            <w:r w:rsidR="008D120E" w:rsidRPr="000020F0">
              <w:rPr>
                <w:rFonts w:asciiTheme="majorHAnsi" w:hAnsiTheme="majorHAnsi" w:cstheme="majorHAnsi"/>
                <w:sz w:val="22"/>
                <w:szCs w:val="22"/>
              </w:rPr>
              <w:t>57</w:t>
            </w:r>
            <w:r w:rsidRPr="000020F0">
              <w:rPr>
                <w:rFonts w:asciiTheme="majorHAnsi" w:hAnsiTheme="majorHAnsi" w:cstheme="majorHAnsi"/>
                <w:sz w:val="22"/>
                <w:szCs w:val="22"/>
              </w:rPr>
              <w:t xml:space="preserve"> m): </w:t>
            </w:r>
          </w:p>
          <w:p w14:paraId="4D78EFBE" w14:textId="09EDCB86" w:rsidR="00B923E9" w:rsidRPr="000020F0" w:rsidRDefault="008D120E"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3</w:t>
            </w:r>
            <w:r w:rsidR="00B923E9" w:rsidRPr="000020F0">
              <w:rPr>
                <w:rFonts w:asciiTheme="majorHAnsi" w:hAnsiTheme="majorHAnsi" w:cstheme="majorHAnsi"/>
                <w:sz w:val="22"/>
                <w:szCs w:val="22"/>
              </w:rPr>
              <w:t>x ukrep (</w:t>
            </w:r>
            <w:r w:rsidRPr="000020F0">
              <w:rPr>
                <w:rFonts w:asciiTheme="majorHAnsi" w:hAnsiTheme="majorHAnsi" w:cstheme="majorHAnsi"/>
                <w:sz w:val="22"/>
                <w:szCs w:val="22"/>
              </w:rPr>
              <w:t>3</w:t>
            </w:r>
            <w:r w:rsidR="00B923E9" w:rsidRPr="000020F0">
              <w:rPr>
                <w:rFonts w:asciiTheme="majorHAnsi" w:hAnsiTheme="majorHAnsi" w:cstheme="majorHAnsi"/>
                <w:sz w:val="22"/>
                <w:szCs w:val="22"/>
              </w:rPr>
              <w:t>x hitrostna ovira)</w:t>
            </w:r>
          </w:p>
          <w:p w14:paraId="33922A23" w14:textId="77777777" w:rsidR="00B923E9" w:rsidRPr="000020F0" w:rsidRDefault="00B923E9" w:rsidP="00B923E9">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povprečna razdalja med ukrepi (merilo: ukrep/50 m oz. ukrep/100 m).</w:t>
            </w:r>
          </w:p>
          <w:p w14:paraId="09675098" w14:textId="77777777" w:rsidR="00B923E9" w:rsidRPr="000020F0" w:rsidRDefault="00B923E9" w:rsidP="00B923E9">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Govekarjeva cesta: ukrep /32,8 m</w:t>
            </w:r>
          </w:p>
          <w:p w14:paraId="5B8B7C75" w14:textId="02A58B81" w:rsidR="00B923E9" w:rsidRPr="000020F0" w:rsidRDefault="00B923E9" w:rsidP="00B923E9">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 xml:space="preserve">Troštova ulica: ukrep / </w:t>
            </w:r>
            <w:r w:rsidR="008D120E" w:rsidRPr="000020F0">
              <w:rPr>
                <w:rFonts w:asciiTheme="majorHAnsi" w:hAnsiTheme="majorHAnsi" w:cstheme="majorHAnsi"/>
              </w:rPr>
              <w:t>23,6</w:t>
            </w:r>
            <w:r w:rsidRPr="000020F0">
              <w:rPr>
                <w:rFonts w:asciiTheme="majorHAnsi" w:hAnsiTheme="majorHAnsi" w:cstheme="majorHAnsi"/>
              </w:rPr>
              <w:t xml:space="preserve"> m</w:t>
            </w:r>
          </w:p>
          <w:p w14:paraId="58554568"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6. Avtobusno postajališče in kolesarska infrastruktura:</w:t>
            </w:r>
          </w:p>
          <w:p w14:paraId="75EE4FE8" w14:textId="76E53D58" w:rsidR="00B923E9" w:rsidRPr="000020F0" w:rsidRDefault="00B923E9" w:rsidP="00A54BF8">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površina novega avtobusnega postajališča: </w:t>
            </w:r>
            <w:r w:rsidR="0087014C" w:rsidRPr="000020F0">
              <w:rPr>
                <w:rFonts w:asciiTheme="majorHAnsi" w:hAnsiTheme="majorHAnsi" w:cstheme="majorHAnsi"/>
                <w:sz w:val="22"/>
                <w:szCs w:val="22"/>
              </w:rPr>
              <w:t>906,5</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r w:rsidRPr="000020F0">
              <w:rPr>
                <w:rFonts w:asciiTheme="majorHAnsi" w:hAnsiTheme="majorHAnsi" w:cstheme="majorHAnsi"/>
                <w:sz w:val="22"/>
                <w:szCs w:val="22"/>
              </w:rPr>
              <w:t xml:space="preserve"> – </w:t>
            </w:r>
            <w:proofErr w:type="spellStart"/>
            <w:r w:rsidRPr="000020F0">
              <w:rPr>
                <w:rFonts w:asciiTheme="majorHAnsi" w:hAnsiTheme="majorHAnsi" w:cstheme="majorHAnsi"/>
                <w:sz w:val="22"/>
                <w:szCs w:val="22"/>
              </w:rPr>
              <w:t>povozna</w:t>
            </w:r>
            <w:proofErr w:type="spellEnd"/>
            <w:r w:rsidRPr="000020F0">
              <w:rPr>
                <w:rFonts w:asciiTheme="majorHAnsi" w:hAnsiTheme="majorHAnsi" w:cstheme="majorHAnsi"/>
                <w:sz w:val="22"/>
                <w:szCs w:val="22"/>
              </w:rPr>
              <w:t xml:space="preserve"> površina, peroni, pločniki</w:t>
            </w:r>
            <w:r w:rsidR="0087014C" w:rsidRPr="000020F0">
              <w:rPr>
                <w:rFonts w:asciiTheme="majorHAnsi" w:hAnsiTheme="majorHAnsi" w:cstheme="majorHAnsi"/>
                <w:sz w:val="22"/>
                <w:szCs w:val="22"/>
              </w:rPr>
              <w:t>, zelene površine</w:t>
            </w:r>
            <w:r w:rsidR="004E5247" w:rsidRPr="000020F0">
              <w:rPr>
                <w:rFonts w:asciiTheme="majorHAnsi" w:hAnsiTheme="majorHAnsi" w:cstheme="majorHAnsi"/>
                <w:sz w:val="22"/>
                <w:szCs w:val="22"/>
              </w:rPr>
              <w:t xml:space="preserve"> </w:t>
            </w:r>
            <w:r w:rsidRPr="000020F0">
              <w:rPr>
                <w:rFonts w:asciiTheme="majorHAnsi" w:hAnsiTheme="majorHAnsi" w:cstheme="majorHAnsi"/>
                <w:sz w:val="22"/>
                <w:szCs w:val="22"/>
              </w:rPr>
              <w:t>število peronov: 3</w:t>
            </w:r>
          </w:p>
          <w:p w14:paraId="527C6B92"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število in lokacije parkirišč za kolesa: 7 lokacij za parkiranje koles</w:t>
            </w:r>
          </w:p>
          <w:p w14:paraId="0A379649" w14:textId="77777777" w:rsidR="00B923E9" w:rsidRPr="000020F0" w:rsidRDefault="00B923E9" w:rsidP="00B923E9">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2x izposoja e-koles – 10 PM + 6 PM</w:t>
            </w:r>
          </w:p>
          <w:p w14:paraId="118D249F" w14:textId="77777777" w:rsidR="00B923E9" w:rsidRPr="000020F0" w:rsidRDefault="00B923E9" w:rsidP="00B923E9">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4x nadkrita stojna mesta na prostem – 4x 10 PM</w:t>
            </w:r>
          </w:p>
          <w:p w14:paraId="6EC2A0C8" w14:textId="77777777" w:rsidR="00B923E9" w:rsidRPr="000020F0" w:rsidRDefault="00B923E9" w:rsidP="00B923E9">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1x varna kolesarnica – 10 PM (25 m</w:t>
            </w:r>
            <w:r w:rsidRPr="000020F0">
              <w:rPr>
                <w:rFonts w:asciiTheme="majorHAnsi" w:hAnsiTheme="majorHAnsi" w:cstheme="majorHAnsi"/>
                <w:vertAlign w:val="superscript"/>
              </w:rPr>
              <w:t>2</w:t>
            </w:r>
            <w:r w:rsidRPr="000020F0">
              <w:rPr>
                <w:rFonts w:asciiTheme="majorHAnsi" w:hAnsiTheme="majorHAnsi" w:cstheme="majorHAnsi"/>
              </w:rPr>
              <w:t>)</w:t>
            </w:r>
          </w:p>
          <w:p w14:paraId="3B9EFB43"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število priklopnih mest v sistemu javne izposoje koles: 10 PM + 6 PM</w:t>
            </w:r>
          </w:p>
          <w:p w14:paraId="5D1A14AD"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nakup 8 e-koles</w:t>
            </w:r>
          </w:p>
          <w:p w14:paraId="0248D7CF"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7. Podatki za spremljanje kazalnikov:</w:t>
            </w:r>
          </w:p>
          <w:p w14:paraId="3F8BCF8E"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predvidena lokacija in število merilcev hitrosti,</w:t>
            </w:r>
          </w:p>
          <w:p w14:paraId="71A64CA2"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Merilec: 1x na Govekarjevi med drevesi pred telovadnico </w:t>
            </w:r>
          </w:p>
          <w:p w14:paraId="13D6CFBA"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Prikazovalniki: 1x na Govekarjevi pri Občinski stavbi proti severu, 1x ob cerkvi na ulični svetilki proti jugu</w:t>
            </w:r>
          </w:p>
          <w:p w14:paraId="32EBC333"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predvidena lokacija in število števcev kolesarjev:</w:t>
            </w:r>
          </w:p>
          <w:p w14:paraId="19AC50F3"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Števec kolesarjev je predviden na isti lokaciji kot prikazovalnik hitrosti (merjenje proti severu). Prikazovalnik hitrosti proti jugu je montiran na ulično svetilko.</w:t>
            </w:r>
          </w:p>
          <w:p w14:paraId="02AA3074"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Spremljanje V85 hitrosti.</w:t>
            </w:r>
          </w:p>
          <w:p w14:paraId="7B1FDA79" w14:textId="77777777" w:rsidR="00B923E9" w:rsidRPr="000020F0" w:rsidRDefault="00B923E9" w:rsidP="00B923E9">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8. Skladnost z načeli krožnega gospodarstva:</w:t>
            </w:r>
          </w:p>
          <w:p w14:paraId="100D46AD"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navedba uporabljenih materialov in gradbenih rešitev:</w:t>
            </w:r>
          </w:p>
          <w:p w14:paraId="685D11EB"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cesta: kamnite kocke na drenažnem betonu</w:t>
            </w:r>
          </w:p>
          <w:p w14:paraId="5585519E"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Asfalt, dvignjeni prehodi izvedeni z granitnimi kockami</w:t>
            </w:r>
          </w:p>
          <w:p w14:paraId="7698EDCA"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Troštova: Asfalt, hitrostne ovire izvedene z granitnimi kockami, </w:t>
            </w:r>
            <w:proofErr w:type="spellStart"/>
            <w:r w:rsidRPr="000020F0">
              <w:rPr>
                <w:rFonts w:asciiTheme="majorHAnsi" w:hAnsiTheme="majorHAnsi" w:cstheme="majorHAnsi"/>
                <w:sz w:val="22"/>
                <w:szCs w:val="22"/>
              </w:rPr>
              <w:t>mulda</w:t>
            </w:r>
            <w:proofErr w:type="spellEnd"/>
            <w:r w:rsidRPr="000020F0">
              <w:rPr>
                <w:rFonts w:asciiTheme="majorHAnsi" w:hAnsiTheme="majorHAnsi" w:cstheme="majorHAnsi"/>
                <w:sz w:val="22"/>
                <w:szCs w:val="22"/>
              </w:rPr>
              <w:t xml:space="preserve"> izvedena s kamnitimi kockami, prehod v park izveden v pranem betonu</w:t>
            </w:r>
          </w:p>
          <w:p w14:paraId="63E764F4" w14:textId="77777777"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AP: </w:t>
            </w:r>
            <w:proofErr w:type="spellStart"/>
            <w:r w:rsidRPr="000020F0">
              <w:rPr>
                <w:rFonts w:asciiTheme="majorHAnsi" w:hAnsiTheme="majorHAnsi" w:cstheme="majorHAnsi"/>
                <w:sz w:val="22"/>
                <w:szCs w:val="22"/>
              </w:rPr>
              <w:t>povozne</w:t>
            </w:r>
            <w:proofErr w:type="spellEnd"/>
            <w:r w:rsidRPr="000020F0">
              <w:rPr>
                <w:rFonts w:asciiTheme="majorHAnsi" w:hAnsiTheme="majorHAnsi" w:cstheme="majorHAnsi"/>
                <w:sz w:val="22"/>
                <w:szCs w:val="22"/>
              </w:rPr>
              <w:t xml:space="preserve"> površine asfalt, pločnik asfalt, peroni izvedeni v kamnitih kockah</w:t>
            </w:r>
          </w:p>
          <w:p w14:paraId="3F18C72C" w14:textId="4AA23A0A"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Nadstrešnica AP</w:t>
            </w:r>
            <w:r w:rsidR="00E407E7" w:rsidRPr="000020F0">
              <w:rPr>
                <w:rFonts w:asciiTheme="majorHAnsi" w:hAnsiTheme="majorHAnsi" w:cstheme="majorHAnsi"/>
                <w:sz w:val="22"/>
                <w:szCs w:val="22"/>
              </w:rPr>
              <w:t>, varna kolesarnica, javne sanitarije</w:t>
            </w:r>
            <w:r w:rsidRPr="000020F0">
              <w:rPr>
                <w:rFonts w:asciiTheme="majorHAnsi" w:hAnsiTheme="majorHAnsi" w:cstheme="majorHAnsi"/>
                <w:sz w:val="22"/>
                <w:szCs w:val="22"/>
              </w:rPr>
              <w:t>: Jekleni okrogli stebri, ostrešje leseno, pločevinasta streha, lesena fasada</w:t>
            </w:r>
          </w:p>
          <w:p w14:paraId="349DB75B" w14:textId="17859F95" w:rsidR="00B923E9" w:rsidRPr="000020F0" w:rsidRDefault="00B923E9" w:rsidP="00B923E9">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lastRenderedPageBreak/>
              <w:t>Nadkrita stojna mesta za kolesa: kjer so postavljena v raščen</w:t>
            </w:r>
            <w:r w:rsidR="00DC5AEF" w:rsidRPr="000020F0">
              <w:rPr>
                <w:rFonts w:asciiTheme="majorHAnsi" w:hAnsiTheme="majorHAnsi" w:cstheme="majorHAnsi"/>
                <w:sz w:val="22"/>
                <w:szCs w:val="22"/>
              </w:rPr>
              <w:t>em</w:t>
            </w:r>
            <w:r w:rsidRPr="000020F0">
              <w:rPr>
                <w:rFonts w:asciiTheme="majorHAnsi" w:hAnsiTheme="majorHAnsi" w:cstheme="majorHAnsi"/>
                <w:sz w:val="22"/>
                <w:szCs w:val="22"/>
              </w:rPr>
              <w:t xml:space="preserve"> </w:t>
            </w:r>
            <w:r w:rsidR="004E5247" w:rsidRPr="000020F0">
              <w:rPr>
                <w:rFonts w:asciiTheme="majorHAnsi" w:hAnsiTheme="majorHAnsi" w:cstheme="majorHAnsi"/>
                <w:sz w:val="22"/>
                <w:szCs w:val="22"/>
              </w:rPr>
              <w:t>terenu</w:t>
            </w:r>
            <w:r w:rsidRPr="000020F0">
              <w:rPr>
                <w:rFonts w:asciiTheme="majorHAnsi" w:hAnsiTheme="majorHAnsi" w:cstheme="majorHAnsi"/>
                <w:sz w:val="22"/>
                <w:szCs w:val="22"/>
              </w:rPr>
              <w:t>, je tlak izveden iz granitnih kock. Nadstrešnice koles so izvedene iz jeklenih okroglih stebrov, lesene strehe s pločevinasto kritino.</w:t>
            </w:r>
          </w:p>
          <w:p w14:paraId="218FE5C4"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V največji meri so v projektu uporabljeni naravni materiali: kamen, les. Kjer to ni mogoče so uporabljeni materiali, ki omogočajo dolgo življenjsko dobo: beton, jeklo. </w:t>
            </w:r>
          </w:p>
          <w:p w14:paraId="286E6386" w14:textId="77777777" w:rsidR="00B923E9" w:rsidRPr="000020F0" w:rsidRDefault="00B923E9" w:rsidP="00B923E9">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opredelitev, kako projekt prispeva k ponovni uporabi, recikliranju in zmanjšanju </w:t>
            </w:r>
            <w:proofErr w:type="spellStart"/>
            <w:r w:rsidRPr="000020F0">
              <w:rPr>
                <w:rFonts w:asciiTheme="majorHAnsi" w:hAnsiTheme="majorHAnsi" w:cstheme="majorHAnsi"/>
                <w:sz w:val="22"/>
                <w:szCs w:val="22"/>
              </w:rPr>
              <w:t>okoljskega</w:t>
            </w:r>
            <w:proofErr w:type="spellEnd"/>
            <w:r w:rsidRPr="000020F0">
              <w:rPr>
                <w:rFonts w:asciiTheme="majorHAnsi" w:hAnsiTheme="majorHAnsi" w:cstheme="majorHAnsi"/>
                <w:sz w:val="22"/>
                <w:szCs w:val="22"/>
              </w:rPr>
              <w:t xml:space="preserve"> odtisa:</w:t>
            </w:r>
          </w:p>
          <w:p w14:paraId="2DECE4EC" w14:textId="77777777" w:rsidR="00B923E9" w:rsidRPr="000020F0" w:rsidRDefault="00B923E9" w:rsidP="00B923E9">
            <w:pPr>
              <w:spacing w:line="276" w:lineRule="auto"/>
              <w:ind w:left="720"/>
              <w:contextualSpacing/>
              <w:rPr>
                <w:rFonts w:asciiTheme="majorHAnsi" w:hAnsiTheme="majorHAnsi" w:cstheme="majorHAnsi"/>
                <w:sz w:val="22"/>
                <w:szCs w:val="22"/>
              </w:rPr>
            </w:pPr>
            <w:r w:rsidRPr="000020F0">
              <w:rPr>
                <w:rFonts w:asciiTheme="majorHAnsi" w:hAnsiTheme="majorHAnsi" w:cstheme="majorHAnsi"/>
                <w:sz w:val="22"/>
                <w:szCs w:val="22"/>
              </w:rPr>
              <w:t>Pri stavbah se v največji meri uporabi les (skladiščenje CO</w:t>
            </w:r>
            <w:r w:rsidRPr="000020F0">
              <w:rPr>
                <w:rFonts w:asciiTheme="majorHAnsi" w:hAnsiTheme="majorHAnsi" w:cstheme="majorHAnsi"/>
                <w:sz w:val="22"/>
                <w:szCs w:val="22"/>
                <w:vertAlign w:val="subscript"/>
              </w:rPr>
              <w:t>2</w:t>
            </w:r>
            <w:r w:rsidRPr="000020F0">
              <w:rPr>
                <w:rFonts w:asciiTheme="majorHAnsi" w:hAnsiTheme="majorHAnsi" w:cstheme="majorHAnsi"/>
                <w:sz w:val="22"/>
                <w:szCs w:val="22"/>
              </w:rPr>
              <w:t>) – konstrukcija ostrešja, fasada</w:t>
            </w:r>
          </w:p>
          <w:p w14:paraId="7416F205" w14:textId="77777777" w:rsidR="00B923E9" w:rsidRPr="000020F0" w:rsidRDefault="00B923E9" w:rsidP="00B923E9">
            <w:pPr>
              <w:spacing w:line="276" w:lineRule="auto"/>
              <w:ind w:left="720"/>
              <w:contextualSpacing/>
              <w:rPr>
                <w:rFonts w:asciiTheme="majorHAnsi" w:hAnsiTheme="majorHAnsi" w:cstheme="majorHAnsi"/>
                <w:sz w:val="22"/>
                <w:szCs w:val="22"/>
              </w:rPr>
            </w:pPr>
            <w:proofErr w:type="spellStart"/>
            <w:r w:rsidRPr="000020F0">
              <w:rPr>
                <w:rFonts w:asciiTheme="majorHAnsi" w:hAnsiTheme="majorHAnsi" w:cstheme="majorHAnsi"/>
                <w:sz w:val="22"/>
                <w:szCs w:val="22"/>
              </w:rPr>
              <w:t>Fotovoltaika</w:t>
            </w:r>
            <w:proofErr w:type="spellEnd"/>
            <w:r w:rsidRPr="000020F0">
              <w:rPr>
                <w:rFonts w:asciiTheme="majorHAnsi" w:hAnsiTheme="majorHAnsi" w:cstheme="majorHAnsi"/>
                <w:sz w:val="22"/>
                <w:szCs w:val="22"/>
              </w:rPr>
              <w:t xml:space="preserve"> na južnih strešinah varovane kolesarnice in nadstrešnice AP</w:t>
            </w:r>
          </w:p>
          <w:p w14:paraId="1D5A1DA7" w14:textId="77777777" w:rsidR="00B923E9" w:rsidRPr="000020F0" w:rsidRDefault="00B923E9" w:rsidP="00B923E9">
            <w:pPr>
              <w:numPr>
                <w:ilvl w:val="0"/>
                <w:numId w:val="113"/>
              </w:numPr>
              <w:spacing w:line="276" w:lineRule="auto"/>
              <w:ind w:left="426" w:hanging="357"/>
              <w:contextualSpacing/>
              <w:jc w:val="both"/>
              <w:rPr>
                <w:rFonts w:asciiTheme="majorHAnsi" w:hAnsiTheme="majorHAnsi" w:cstheme="majorHAnsi"/>
                <w:b/>
                <w:bCs/>
                <w:sz w:val="22"/>
                <w:szCs w:val="22"/>
                <w:lang w:eastAsia="zh-TW"/>
              </w:rPr>
            </w:pPr>
            <w:r w:rsidRPr="000020F0">
              <w:rPr>
                <w:rFonts w:asciiTheme="majorHAnsi" w:hAnsiTheme="majorHAnsi" w:cstheme="majorHAnsi"/>
                <w:b/>
                <w:bCs/>
                <w:sz w:val="22"/>
                <w:szCs w:val="22"/>
                <w:lang w:eastAsia="zh-TW"/>
              </w:rPr>
              <w:t>Učinki (širši vplivi projekta)</w:t>
            </w:r>
          </w:p>
          <w:p w14:paraId="25305833" w14:textId="77777777" w:rsidR="00B923E9" w:rsidRPr="000020F0" w:rsidRDefault="00B923E9" w:rsidP="00B923E9">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Povečanje deleža trajnostne mobilnosti</w:t>
            </w:r>
            <w:r w:rsidRPr="000020F0">
              <w:rPr>
                <w:rFonts w:asciiTheme="majorHAnsi" w:hAnsiTheme="majorHAnsi" w:cstheme="majorHAnsi"/>
                <w:sz w:val="22"/>
                <w:szCs w:val="22"/>
                <w:lang w:eastAsia="zh-TW"/>
              </w:rPr>
              <w:t>: več prebivalcev bo uporabljalo hojo, kolesarjenje in JPP namesto osebnih vozil.</w:t>
            </w:r>
          </w:p>
          <w:p w14:paraId="4AB46FC6" w14:textId="77777777" w:rsidR="00B923E9" w:rsidRPr="000020F0" w:rsidRDefault="00B923E9" w:rsidP="00B923E9">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Zmanjšanje negativnih vplivov prometa</w:t>
            </w:r>
            <w:r w:rsidRPr="000020F0">
              <w:rPr>
                <w:rFonts w:asciiTheme="majorHAnsi" w:hAnsiTheme="majorHAnsi" w:cstheme="majorHAnsi"/>
                <w:sz w:val="22"/>
                <w:szCs w:val="22"/>
                <w:lang w:eastAsia="zh-TW"/>
              </w:rPr>
              <w:t>: manj emisij CO</w:t>
            </w:r>
            <w:r w:rsidRPr="000020F0">
              <w:rPr>
                <w:rFonts w:ascii="Cambria Math" w:hAnsi="Cambria Math" w:cs="Cambria Math"/>
                <w:sz w:val="22"/>
                <w:szCs w:val="22"/>
                <w:lang w:eastAsia="zh-TW"/>
              </w:rPr>
              <w:t>₂</w:t>
            </w:r>
            <w:r w:rsidRPr="000020F0">
              <w:rPr>
                <w:rFonts w:asciiTheme="majorHAnsi" w:hAnsiTheme="majorHAnsi" w:cstheme="majorHAnsi"/>
                <w:sz w:val="22"/>
                <w:szCs w:val="22"/>
                <w:lang w:eastAsia="zh-TW"/>
              </w:rPr>
              <w:t>, manj hrupa, manj toplotnih otokov v središču naselja.</w:t>
            </w:r>
          </w:p>
          <w:p w14:paraId="0730D134" w14:textId="77777777" w:rsidR="00B923E9" w:rsidRPr="000020F0" w:rsidRDefault="00B923E9" w:rsidP="00B923E9">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Izboljšanje prometne varnosti</w:t>
            </w:r>
            <w:r w:rsidRPr="000020F0">
              <w:rPr>
                <w:rFonts w:asciiTheme="majorHAnsi" w:hAnsiTheme="majorHAnsi" w:cstheme="majorHAnsi"/>
                <w:sz w:val="22"/>
                <w:szCs w:val="22"/>
                <w:lang w:eastAsia="zh-TW"/>
              </w:rPr>
              <w:t>: predvsem za otroke, šolarje, starejše in gibalno ovirane.</w:t>
            </w:r>
          </w:p>
          <w:p w14:paraId="76D67C4C" w14:textId="77777777" w:rsidR="00B923E9" w:rsidRPr="000020F0" w:rsidRDefault="00B923E9" w:rsidP="00B923E9">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Višja kakovost bivanja in urejen javni prostor</w:t>
            </w:r>
            <w:r w:rsidRPr="000020F0">
              <w:rPr>
                <w:rFonts w:asciiTheme="majorHAnsi" w:hAnsiTheme="majorHAnsi" w:cstheme="majorHAnsi"/>
                <w:sz w:val="22"/>
                <w:szCs w:val="22"/>
                <w:lang w:eastAsia="zh-TW"/>
              </w:rPr>
              <w:t>: privlačnejše in bolj funkcionalno središče Ig, ki spodbuja aktivno življenje.</w:t>
            </w:r>
          </w:p>
          <w:p w14:paraId="1D6B6998" w14:textId="77777777" w:rsidR="00B923E9" w:rsidRPr="000020F0" w:rsidRDefault="00B923E9" w:rsidP="00B923E9">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Krepitev zelene infrastrukture</w:t>
            </w:r>
            <w:r w:rsidRPr="000020F0">
              <w:rPr>
                <w:rFonts w:asciiTheme="majorHAnsi" w:hAnsiTheme="majorHAnsi" w:cstheme="majorHAnsi"/>
                <w:sz w:val="22"/>
                <w:szCs w:val="22"/>
                <w:lang w:eastAsia="zh-TW"/>
              </w:rPr>
              <w:t>: povečanje biotske raznovrstnosti in naravi prijaznih rešitev v urbanem okolju tudi v sinergiji z vzporednim projektom ureditve zelene infrastrukture.</w:t>
            </w:r>
          </w:p>
          <w:p w14:paraId="7FD0BD02" w14:textId="6E0C2D17" w:rsidR="006A22D8" w:rsidRPr="000020F0" w:rsidRDefault="00B923E9" w:rsidP="00A8381C">
            <w:pPr>
              <w:numPr>
                <w:ilvl w:val="0"/>
                <w:numId w:val="112"/>
              </w:numPr>
              <w:spacing w:after="120" w:line="276" w:lineRule="auto"/>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Podpora občinskim in državnim strateškim dokumentom ter občinske celostne prometne strategije</w:t>
            </w:r>
            <w:r w:rsidRPr="000020F0">
              <w:rPr>
                <w:rFonts w:asciiTheme="majorHAnsi" w:hAnsiTheme="majorHAnsi" w:cstheme="majorHAnsi"/>
                <w:sz w:val="22"/>
                <w:szCs w:val="22"/>
                <w:lang w:eastAsia="zh-TW"/>
              </w:rPr>
              <w:t>: projekt neposredno prispeva k doseganju ciljev JR EKP UTM 202</w:t>
            </w:r>
            <w:r w:rsidR="00005BCD" w:rsidRPr="000020F0">
              <w:rPr>
                <w:rFonts w:asciiTheme="majorHAnsi" w:hAnsiTheme="majorHAnsi" w:cstheme="majorHAnsi"/>
                <w:sz w:val="22"/>
                <w:szCs w:val="22"/>
                <w:lang w:eastAsia="zh-TW"/>
              </w:rPr>
              <w:t>5</w:t>
            </w:r>
            <w:r w:rsidRPr="000020F0">
              <w:rPr>
                <w:rFonts w:asciiTheme="majorHAnsi" w:hAnsiTheme="majorHAnsi" w:cstheme="majorHAnsi"/>
                <w:sz w:val="22"/>
                <w:szCs w:val="22"/>
                <w:lang w:eastAsia="zh-TW"/>
              </w:rPr>
              <w:t xml:space="preserve"> in evropske politike podnebne nevtralnosti ter OCPS.</w:t>
            </w:r>
          </w:p>
        </w:tc>
      </w:tr>
      <w:tr w:rsidR="009E6E1A" w:rsidRPr="000020F0" w14:paraId="35E59595" w14:textId="77777777" w:rsidTr="00B923E9">
        <w:trPr>
          <w:trHeight w:val="318"/>
        </w:trPr>
        <w:tc>
          <w:tcPr>
            <w:tcW w:w="1597" w:type="pct"/>
            <w:shd w:val="clear" w:color="auto" w:fill="DBE5F1"/>
            <w:vAlign w:val="center"/>
          </w:tcPr>
          <w:p w14:paraId="0159496D" w14:textId="4700E32C" w:rsidR="009E6E1A" w:rsidRPr="000020F0" w:rsidRDefault="009E6E1A" w:rsidP="009E6E1A">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lastRenderedPageBreak/>
              <w:t>OBSEG INVESTICIJSKIH DEL</w:t>
            </w:r>
          </w:p>
        </w:tc>
        <w:tc>
          <w:tcPr>
            <w:tcW w:w="3403" w:type="pct"/>
          </w:tcPr>
          <w:p w14:paraId="75487204" w14:textId="62A4DC0D" w:rsidR="009E6E1A" w:rsidRPr="000020F0" w:rsidRDefault="009E6E1A" w:rsidP="009E6E1A">
            <w:pPr>
              <w:spacing w:line="276" w:lineRule="auto"/>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Obseg investicijskih del obsega celovit nabor ukrepov, ki bodo izvedeni v središču Občine Ig in se nanašajo na področje trajnostne mobilnosti, skladno z zahtevami javnega razpisa MOPE (JR EKP UTM 202</w:t>
            </w:r>
            <w:r w:rsidR="00005BCD" w:rsidRPr="000020F0">
              <w:rPr>
                <w:rFonts w:asciiTheme="majorHAnsi" w:eastAsia="Arial Unicode MS" w:hAnsiTheme="majorHAnsi" w:cstheme="majorHAnsi"/>
                <w:sz w:val="22"/>
                <w:szCs w:val="22"/>
                <w:lang w:eastAsia="zh-TW"/>
              </w:rPr>
              <w:t>5</w:t>
            </w:r>
            <w:r w:rsidRPr="000020F0">
              <w:rPr>
                <w:rFonts w:asciiTheme="majorHAnsi" w:eastAsia="Arial Unicode MS" w:hAnsiTheme="majorHAnsi" w:cstheme="majorHAnsi"/>
                <w:sz w:val="22"/>
                <w:szCs w:val="22"/>
                <w:lang w:eastAsia="zh-TW"/>
              </w:rPr>
              <w:t>). Dela vključujejo:</w:t>
            </w:r>
          </w:p>
          <w:p w14:paraId="774AF4E4" w14:textId="5EFB4510" w:rsidR="009E6E1A" w:rsidRPr="000020F0" w:rsidRDefault="00D77C97"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Rekonstrukcija ceste, p</w:t>
            </w:r>
            <w:r w:rsidR="009E6E1A" w:rsidRPr="000020F0">
              <w:rPr>
                <w:rFonts w:asciiTheme="majorHAnsi" w:eastAsia="Arial Unicode MS" w:hAnsiTheme="majorHAnsi" w:cstheme="majorHAnsi"/>
                <w:b/>
                <w:bCs/>
                <w:sz w:val="22"/>
                <w:szCs w:val="22"/>
                <w:lang w:eastAsia="zh-TW"/>
              </w:rPr>
              <w:t>reureditev prometnih površin v skupne prometne prostore</w:t>
            </w:r>
          </w:p>
          <w:p w14:paraId="11A1CF55" w14:textId="5BF8DFE0"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rekonstrukcija Govekarjeve ceste z zoženjem vozišča na minimalno širino (5,5 m), dvigom nivelete na raven pločnikov in trga, uvedbo omejitve hitrosti 20 km/h, </w:t>
            </w:r>
            <w:r w:rsidR="006F3BEA" w:rsidRPr="000020F0">
              <w:rPr>
                <w:rFonts w:asciiTheme="majorHAnsi" w:eastAsia="Arial Unicode MS" w:hAnsiTheme="majorHAnsi" w:cstheme="majorHAnsi"/>
                <w:sz w:val="22"/>
                <w:szCs w:val="22"/>
                <w:lang w:eastAsia="zh-TW"/>
              </w:rPr>
              <w:t>odstranitvijo obstoječih parkirišč na zahodni strani Govekarjeve ceste ter njihovo nadomestitvijo z zelenim pasom z drevoredom</w:t>
            </w:r>
            <w:r w:rsidRPr="000020F0">
              <w:rPr>
                <w:rFonts w:asciiTheme="majorHAnsi" w:eastAsia="Arial Unicode MS" w:hAnsiTheme="majorHAnsi" w:cstheme="majorHAnsi"/>
                <w:sz w:val="22"/>
                <w:szCs w:val="22"/>
                <w:lang w:eastAsia="zh-TW"/>
              </w:rPr>
              <w:t>;</w:t>
            </w:r>
          </w:p>
          <w:p w14:paraId="079BB724" w14:textId="699FB8DD"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lastRenderedPageBreak/>
              <w:t xml:space="preserve">rekonstrukcija Troštove ulice </w:t>
            </w:r>
            <w:r w:rsidR="00D320A6" w:rsidRPr="000020F0">
              <w:rPr>
                <w:rFonts w:asciiTheme="majorHAnsi" w:eastAsia="Arial Unicode MS" w:hAnsiTheme="majorHAnsi" w:cstheme="majorHAnsi"/>
                <w:sz w:val="22"/>
                <w:szCs w:val="22"/>
                <w:lang w:eastAsia="zh-TW"/>
              </w:rPr>
              <w:t xml:space="preserve">z novim zelenim pasom, ki se ureja v sklopu projekta zelene infrastrukture, ter zožitvijo vozišča na širino 4 m, pri čemer ulica ostane dvopasovna; na obeh koncih </w:t>
            </w:r>
            <w:proofErr w:type="spellStart"/>
            <w:r w:rsidR="00D320A6" w:rsidRPr="000020F0">
              <w:rPr>
                <w:rFonts w:asciiTheme="majorHAnsi" w:eastAsia="Arial Unicode MS" w:hAnsiTheme="majorHAnsi" w:cstheme="majorHAnsi"/>
                <w:sz w:val="22"/>
                <w:szCs w:val="22"/>
                <w:lang w:eastAsia="zh-TW"/>
              </w:rPr>
              <w:t>zožanja</w:t>
            </w:r>
            <w:proofErr w:type="spellEnd"/>
            <w:r w:rsidR="00D320A6" w:rsidRPr="000020F0">
              <w:rPr>
                <w:rFonts w:asciiTheme="majorHAnsi" w:eastAsia="Arial Unicode MS" w:hAnsiTheme="majorHAnsi" w:cstheme="majorHAnsi"/>
                <w:sz w:val="22"/>
                <w:szCs w:val="22"/>
                <w:lang w:eastAsia="zh-TW"/>
              </w:rPr>
              <w:t xml:space="preserve"> se uredita mesti za čakanje vozil, ki omogočata dobro preglednost </w:t>
            </w:r>
            <w:proofErr w:type="spellStart"/>
            <w:r w:rsidR="00D320A6" w:rsidRPr="000020F0">
              <w:rPr>
                <w:rFonts w:asciiTheme="majorHAnsi" w:eastAsia="Arial Unicode MS" w:hAnsiTheme="majorHAnsi" w:cstheme="majorHAnsi"/>
                <w:sz w:val="22"/>
                <w:szCs w:val="22"/>
                <w:lang w:eastAsia="zh-TW"/>
              </w:rPr>
              <w:t>zožanega</w:t>
            </w:r>
            <w:proofErr w:type="spellEnd"/>
            <w:r w:rsidR="00D320A6" w:rsidRPr="000020F0">
              <w:rPr>
                <w:rFonts w:asciiTheme="majorHAnsi" w:eastAsia="Arial Unicode MS" w:hAnsiTheme="majorHAnsi" w:cstheme="majorHAnsi"/>
                <w:sz w:val="22"/>
                <w:szCs w:val="22"/>
                <w:lang w:eastAsia="zh-TW"/>
              </w:rPr>
              <w:t xml:space="preserve"> dela.</w:t>
            </w:r>
          </w:p>
          <w:p w14:paraId="7BCD8996" w14:textId="77777777" w:rsidR="009E6E1A" w:rsidRPr="000020F0" w:rsidRDefault="009E6E1A"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Umirjanje prometa in digitalni nadzor</w:t>
            </w:r>
          </w:p>
          <w:p w14:paraId="17243176" w14:textId="13DE25D1"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dobava in namestitev </w:t>
            </w:r>
            <w:r w:rsidR="00D320A6" w:rsidRPr="000020F0">
              <w:rPr>
                <w:rFonts w:asciiTheme="majorHAnsi" w:eastAsia="Arial Unicode MS" w:hAnsiTheme="majorHAnsi" w:cstheme="majorHAnsi"/>
                <w:sz w:val="22"/>
                <w:szCs w:val="22"/>
                <w:lang w:eastAsia="zh-TW"/>
              </w:rPr>
              <w:t xml:space="preserve">enega </w:t>
            </w:r>
            <w:r w:rsidRPr="000020F0">
              <w:rPr>
                <w:rFonts w:asciiTheme="majorHAnsi" w:eastAsia="Arial Unicode MS" w:hAnsiTheme="majorHAnsi" w:cstheme="majorHAnsi"/>
                <w:sz w:val="22"/>
                <w:szCs w:val="22"/>
                <w:lang w:eastAsia="zh-TW"/>
              </w:rPr>
              <w:t>merilca in dveh prikazovalnikov hitrosti (z LED prikazovalnikom) in</w:t>
            </w:r>
          </w:p>
          <w:p w14:paraId="628A39FB" w14:textId="7B4750F4"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namestitev števca kolesarjev z možnostjo digitalnega spremljanja.</w:t>
            </w:r>
          </w:p>
          <w:p w14:paraId="6BDF4246" w14:textId="77777777" w:rsidR="009E6E1A" w:rsidRPr="000020F0" w:rsidRDefault="009E6E1A"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Infrastruktura za kolesarje</w:t>
            </w:r>
          </w:p>
          <w:p w14:paraId="6EFE6D70" w14:textId="6C505763"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ureditev 4 </w:t>
            </w:r>
            <w:proofErr w:type="spellStart"/>
            <w:r w:rsidRPr="000020F0">
              <w:rPr>
                <w:rFonts w:asciiTheme="majorHAnsi" w:eastAsia="Arial Unicode MS" w:hAnsiTheme="majorHAnsi" w:cstheme="majorHAnsi"/>
                <w:sz w:val="22"/>
                <w:szCs w:val="22"/>
                <w:lang w:eastAsia="zh-TW"/>
              </w:rPr>
              <w:t>nadkritih</w:t>
            </w:r>
            <w:proofErr w:type="spellEnd"/>
            <w:r w:rsidRPr="000020F0">
              <w:rPr>
                <w:rFonts w:asciiTheme="majorHAnsi" w:eastAsia="Arial Unicode MS" w:hAnsiTheme="majorHAnsi" w:cstheme="majorHAnsi"/>
                <w:sz w:val="22"/>
                <w:szCs w:val="22"/>
                <w:lang w:eastAsia="zh-TW"/>
              </w:rPr>
              <w:t xml:space="preserve"> parkirišč za kolesa (vsako s prostorom za 10 koles, kar skupaj predstavlja 40 </w:t>
            </w:r>
            <w:r w:rsidR="00CB48F8" w:rsidRPr="000020F0">
              <w:rPr>
                <w:rFonts w:asciiTheme="majorHAnsi" w:eastAsia="Arial Unicode MS" w:hAnsiTheme="majorHAnsi" w:cstheme="majorHAnsi"/>
                <w:sz w:val="22"/>
                <w:szCs w:val="22"/>
                <w:lang w:eastAsia="zh-TW"/>
              </w:rPr>
              <w:t xml:space="preserve">parkirnih </w:t>
            </w:r>
            <w:r w:rsidRPr="000020F0">
              <w:rPr>
                <w:rFonts w:asciiTheme="majorHAnsi" w:eastAsia="Arial Unicode MS" w:hAnsiTheme="majorHAnsi" w:cstheme="majorHAnsi"/>
                <w:sz w:val="22"/>
                <w:szCs w:val="22"/>
                <w:lang w:eastAsia="zh-TW"/>
              </w:rPr>
              <w:t>mest),</w:t>
            </w:r>
          </w:p>
          <w:p w14:paraId="31B96530" w14:textId="478D035E"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izgradnja pokrite varne kolesarnice (25 m², 10</w:t>
            </w:r>
            <w:r w:rsidR="00CB48F8" w:rsidRPr="000020F0">
              <w:rPr>
                <w:rFonts w:asciiTheme="majorHAnsi" w:eastAsia="Arial Unicode MS" w:hAnsiTheme="majorHAnsi" w:cstheme="majorHAnsi"/>
                <w:sz w:val="22"/>
                <w:szCs w:val="22"/>
                <w:lang w:eastAsia="zh-TW"/>
              </w:rPr>
              <w:t xml:space="preserve"> parkirnih</w:t>
            </w:r>
            <w:r w:rsidRPr="000020F0">
              <w:rPr>
                <w:rFonts w:asciiTheme="majorHAnsi" w:eastAsia="Arial Unicode MS" w:hAnsiTheme="majorHAnsi" w:cstheme="majorHAnsi"/>
                <w:sz w:val="22"/>
                <w:szCs w:val="22"/>
                <w:lang w:eastAsia="zh-TW"/>
              </w:rPr>
              <w:t xml:space="preserve"> mest),</w:t>
            </w:r>
          </w:p>
          <w:p w14:paraId="306BB3E3" w14:textId="77777777"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vzpostavitev sistema izposoje javnih e-koles: 2 postajališči (avtobusno postajališče Ig 10 PM in parkirišče pri pokopališču 6 PM), 8 električnih koles, spremljanje razpoložljivosti v realnem času).</w:t>
            </w:r>
          </w:p>
          <w:p w14:paraId="2EE0CFF3" w14:textId="77777777" w:rsidR="009E6E1A" w:rsidRPr="000020F0" w:rsidRDefault="009E6E1A"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Avtobusna infrastruktura</w:t>
            </w:r>
          </w:p>
          <w:p w14:paraId="019677DF" w14:textId="71CA10D2"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izgradnja novega avtobusnega postajališča s tremi </w:t>
            </w:r>
            <w:proofErr w:type="spellStart"/>
            <w:r w:rsidRPr="000020F0">
              <w:rPr>
                <w:rFonts w:asciiTheme="majorHAnsi" w:eastAsia="Arial Unicode MS" w:hAnsiTheme="majorHAnsi" w:cstheme="majorHAnsi"/>
                <w:sz w:val="22"/>
                <w:szCs w:val="22"/>
                <w:lang w:eastAsia="zh-TW"/>
              </w:rPr>
              <w:t>nadkritimi</w:t>
            </w:r>
            <w:proofErr w:type="spellEnd"/>
            <w:r w:rsidRPr="000020F0">
              <w:rPr>
                <w:rFonts w:asciiTheme="majorHAnsi" w:eastAsia="Arial Unicode MS" w:hAnsiTheme="majorHAnsi" w:cstheme="majorHAnsi"/>
                <w:sz w:val="22"/>
                <w:szCs w:val="22"/>
                <w:lang w:eastAsia="zh-TW"/>
              </w:rPr>
              <w:t xml:space="preserve"> peroni (cca </w:t>
            </w:r>
            <w:r w:rsidR="0087014C" w:rsidRPr="000020F0">
              <w:rPr>
                <w:rFonts w:asciiTheme="majorHAnsi" w:eastAsia="Arial Unicode MS" w:hAnsiTheme="majorHAnsi" w:cstheme="majorHAnsi"/>
                <w:sz w:val="22"/>
                <w:szCs w:val="22"/>
                <w:lang w:eastAsia="zh-TW"/>
              </w:rPr>
              <w:t xml:space="preserve">900 </w:t>
            </w:r>
            <w:r w:rsidRPr="000020F0">
              <w:rPr>
                <w:rFonts w:asciiTheme="majorHAnsi" w:eastAsia="Arial Unicode MS" w:hAnsiTheme="majorHAnsi" w:cstheme="majorHAnsi"/>
                <w:sz w:val="22"/>
                <w:szCs w:val="22"/>
                <w:lang w:eastAsia="zh-TW"/>
              </w:rPr>
              <w:t>m²)</w:t>
            </w:r>
            <w:r w:rsidR="00E407E7" w:rsidRPr="000020F0">
              <w:rPr>
                <w:rFonts w:asciiTheme="majorHAnsi" w:eastAsia="Arial Unicode MS" w:hAnsiTheme="majorHAnsi" w:cstheme="majorHAnsi"/>
                <w:sz w:val="22"/>
                <w:szCs w:val="22"/>
                <w:lang w:eastAsia="zh-TW"/>
              </w:rPr>
              <w:t xml:space="preserve"> in javnih sanitarij</w:t>
            </w:r>
            <w:r w:rsidRPr="000020F0">
              <w:rPr>
                <w:rFonts w:asciiTheme="majorHAnsi" w:eastAsia="Arial Unicode MS" w:hAnsiTheme="majorHAnsi" w:cstheme="majorHAnsi"/>
                <w:sz w:val="22"/>
                <w:szCs w:val="22"/>
                <w:lang w:eastAsia="zh-TW"/>
              </w:rPr>
              <w:t>.</w:t>
            </w:r>
          </w:p>
          <w:p w14:paraId="04814A48" w14:textId="77777777" w:rsidR="009E6E1A" w:rsidRPr="000020F0" w:rsidRDefault="009E6E1A"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Parkirišča in spremljajoče ureditve</w:t>
            </w:r>
          </w:p>
          <w:p w14:paraId="6F0B5C55" w14:textId="1EAFDEE3"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preureditev parkirišča pred OŠ Ig s skupno </w:t>
            </w:r>
            <w:r w:rsidR="00226941" w:rsidRPr="000020F0">
              <w:rPr>
                <w:rFonts w:asciiTheme="majorHAnsi" w:eastAsia="Arial Unicode MS" w:hAnsiTheme="majorHAnsi" w:cstheme="majorHAnsi"/>
                <w:sz w:val="22"/>
                <w:szCs w:val="22"/>
                <w:lang w:eastAsia="zh-TW"/>
              </w:rPr>
              <w:t>56</w:t>
            </w:r>
            <w:r w:rsidRPr="000020F0">
              <w:rPr>
                <w:rFonts w:asciiTheme="majorHAnsi" w:eastAsia="Arial Unicode MS" w:hAnsiTheme="majorHAnsi" w:cstheme="majorHAnsi"/>
                <w:sz w:val="22"/>
                <w:szCs w:val="22"/>
                <w:lang w:eastAsia="zh-TW"/>
              </w:rPr>
              <w:t xml:space="preserve"> parkirnimi mesti (od tega 6 za gibalno ovirane</w:t>
            </w:r>
            <w:r w:rsidR="00226941" w:rsidRPr="000020F0">
              <w:rPr>
                <w:rFonts w:asciiTheme="majorHAnsi" w:eastAsia="Arial Unicode MS" w:hAnsiTheme="majorHAnsi" w:cstheme="majorHAnsi"/>
                <w:sz w:val="22"/>
                <w:szCs w:val="22"/>
                <w:lang w:eastAsia="zh-TW"/>
              </w:rPr>
              <w:t>, ki so vključeni v skupni prometni prostor Govekarjeve ceste</w:t>
            </w:r>
            <w:r w:rsidRPr="000020F0">
              <w:rPr>
                <w:rFonts w:asciiTheme="majorHAnsi" w:eastAsia="Arial Unicode MS" w:hAnsiTheme="majorHAnsi" w:cstheme="majorHAnsi"/>
                <w:sz w:val="22"/>
                <w:szCs w:val="22"/>
                <w:lang w:eastAsia="zh-TW"/>
              </w:rPr>
              <w:t>),</w:t>
            </w:r>
          </w:p>
          <w:p w14:paraId="21E22CB6" w14:textId="77777777" w:rsidR="009E6E1A"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vzpostavitev </w:t>
            </w:r>
            <w:proofErr w:type="spellStart"/>
            <w:r w:rsidRPr="000020F0">
              <w:rPr>
                <w:rFonts w:asciiTheme="majorHAnsi" w:eastAsia="Arial Unicode MS" w:hAnsiTheme="majorHAnsi" w:cstheme="majorHAnsi"/>
                <w:sz w:val="22"/>
                <w:szCs w:val="22"/>
                <w:lang w:eastAsia="zh-TW"/>
              </w:rPr>
              <w:t>drop-off</w:t>
            </w:r>
            <w:proofErr w:type="spellEnd"/>
            <w:r w:rsidRPr="000020F0">
              <w:rPr>
                <w:rFonts w:asciiTheme="majorHAnsi" w:eastAsia="Arial Unicode MS" w:hAnsiTheme="majorHAnsi" w:cstheme="majorHAnsi"/>
                <w:sz w:val="22"/>
                <w:szCs w:val="22"/>
                <w:lang w:eastAsia="zh-TW"/>
              </w:rPr>
              <w:t xml:space="preserve"> cone za varen prihod šolarjev.</w:t>
            </w:r>
          </w:p>
          <w:p w14:paraId="7CDA180E" w14:textId="77777777" w:rsidR="009E6E1A" w:rsidRPr="000020F0" w:rsidRDefault="009E6E1A" w:rsidP="009E6E1A">
            <w:pPr>
              <w:numPr>
                <w:ilvl w:val="0"/>
                <w:numId w:val="109"/>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b/>
                <w:bCs/>
                <w:sz w:val="22"/>
                <w:szCs w:val="22"/>
                <w:lang w:eastAsia="zh-TW"/>
              </w:rPr>
              <w:t>Zelene in spremljajoče ureditve</w:t>
            </w:r>
          </w:p>
          <w:p w14:paraId="0F91E6F3" w14:textId="60550557" w:rsidR="00CB48F8" w:rsidRPr="000020F0" w:rsidRDefault="009E6E1A" w:rsidP="009E6E1A">
            <w:pPr>
              <w:numPr>
                <w:ilvl w:val="1"/>
                <w:numId w:val="109"/>
              </w:numPr>
              <w:tabs>
                <w:tab w:val="clear" w:pos="1440"/>
              </w:tabs>
              <w:spacing w:line="276" w:lineRule="auto"/>
              <w:ind w:left="545" w:hanging="218"/>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tlakovanje dela površin z betonskimi kockami (najmanj 10 % neasfaltiranih površin),</w:t>
            </w:r>
          </w:p>
          <w:p w14:paraId="59629471" w14:textId="2235DF13" w:rsidR="009E6E1A" w:rsidRPr="000020F0" w:rsidRDefault="009E6E1A" w:rsidP="00AA423F">
            <w:pPr>
              <w:numPr>
                <w:ilvl w:val="1"/>
                <w:numId w:val="109"/>
              </w:numPr>
              <w:tabs>
                <w:tab w:val="clear" w:pos="1440"/>
              </w:tabs>
              <w:spacing w:line="276" w:lineRule="auto"/>
              <w:ind w:left="545" w:hanging="218"/>
              <w:jc w:val="both"/>
              <w:rPr>
                <w:rFonts w:asciiTheme="majorHAnsi" w:eastAsia="Arial Unicode MS" w:hAnsiTheme="majorHAnsi" w:cstheme="majorHAnsi"/>
                <w:i/>
                <w:sz w:val="22"/>
                <w:szCs w:val="22"/>
                <w:lang w:eastAsia="zh-TW"/>
              </w:rPr>
            </w:pPr>
            <w:r w:rsidRPr="000020F0">
              <w:rPr>
                <w:rFonts w:asciiTheme="majorHAnsi" w:eastAsia="Arial Unicode MS" w:hAnsiTheme="majorHAnsi" w:cstheme="majorHAnsi"/>
                <w:sz w:val="22"/>
                <w:szCs w:val="22"/>
                <w:lang w:eastAsia="zh-TW"/>
              </w:rPr>
              <w:t>ponovna uporaba padavinskih voda za zalivanje.</w:t>
            </w:r>
          </w:p>
        </w:tc>
      </w:tr>
      <w:tr w:rsidR="009E6E1A" w:rsidRPr="000020F0" w14:paraId="7050BCD8" w14:textId="77777777" w:rsidTr="00B923E9">
        <w:trPr>
          <w:trHeight w:val="318"/>
        </w:trPr>
        <w:tc>
          <w:tcPr>
            <w:tcW w:w="1597" w:type="pct"/>
            <w:shd w:val="clear" w:color="auto" w:fill="DBE5F1"/>
            <w:vAlign w:val="center"/>
          </w:tcPr>
          <w:p w14:paraId="43A854F6" w14:textId="77777777" w:rsidR="009E6E1A" w:rsidRPr="000020F0" w:rsidRDefault="009E6E1A" w:rsidP="009E6E1A">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lastRenderedPageBreak/>
              <w:t>LOKACIJA INVESTICIJE</w:t>
            </w:r>
          </w:p>
        </w:tc>
        <w:tc>
          <w:tcPr>
            <w:tcW w:w="3403" w:type="pct"/>
          </w:tcPr>
          <w:p w14:paraId="44A5C950" w14:textId="77777777" w:rsidR="009E6E1A" w:rsidRPr="000020F0" w:rsidRDefault="009E6E1A" w:rsidP="009E6E1A">
            <w:pPr>
              <w:spacing w:line="276" w:lineRule="auto"/>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Investicija se izvaja na območju središča naselja Ig, in sicer na naslednjih lokacijah:</w:t>
            </w:r>
          </w:p>
          <w:p w14:paraId="2728CC18" w14:textId="77777777" w:rsidR="009E6E1A" w:rsidRPr="000020F0" w:rsidRDefault="009E6E1A" w:rsidP="009E6E1A">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Govekarjeva cesta,</w:t>
            </w:r>
          </w:p>
          <w:p w14:paraId="632A79E0" w14:textId="77777777" w:rsidR="009E6E1A" w:rsidRPr="000020F0" w:rsidRDefault="009E6E1A" w:rsidP="009E6E1A">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Troštova ulica,</w:t>
            </w:r>
          </w:p>
          <w:p w14:paraId="6F927950" w14:textId="77777777" w:rsidR="009E6E1A" w:rsidRPr="000020F0" w:rsidRDefault="009E6E1A" w:rsidP="009E6E1A">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območje Osnovne šole Ig (parkirišče in </w:t>
            </w:r>
            <w:proofErr w:type="spellStart"/>
            <w:r w:rsidRPr="000020F0">
              <w:rPr>
                <w:rFonts w:asciiTheme="majorHAnsi" w:eastAsia="Arial Unicode MS" w:hAnsiTheme="majorHAnsi" w:cstheme="majorHAnsi"/>
                <w:sz w:val="22"/>
                <w:szCs w:val="22"/>
                <w:lang w:eastAsia="zh-TW"/>
              </w:rPr>
              <w:t>drop-off</w:t>
            </w:r>
            <w:proofErr w:type="spellEnd"/>
            <w:r w:rsidRPr="000020F0">
              <w:rPr>
                <w:rFonts w:asciiTheme="majorHAnsi" w:eastAsia="Arial Unicode MS" w:hAnsiTheme="majorHAnsi" w:cstheme="majorHAnsi"/>
                <w:sz w:val="22"/>
                <w:szCs w:val="22"/>
                <w:lang w:eastAsia="zh-TW"/>
              </w:rPr>
              <w:t xml:space="preserve"> cona),</w:t>
            </w:r>
          </w:p>
          <w:p w14:paraId="74811822" w14:textId="276D989B" w:rsidR="00E407E7" w:rsidRPr="000020F0" w:rsidRDefault="009E6E1A" w:rsidP="009E6E1A">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avtobusno postajališče v centru Iga,</w:t>
            </w:r>
          </w:p>
          <w:p w14:paraId="26E024E5" w14:textId="24C00F19" w:rsidR="00E407E7" w:rsidRPr="000020F0" w:rsidRDefault="00346B2C" w:rsidP="00E407E7">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 xml:space="preserve">območje okoli javnih stavb - občinske stavbe, pošte, športne dvorane, </w:t>
            </w:r>
            <w:proofErr w:type="spellStart"/>
            <w:r w:rsidR="00A72DE4" w:rsidRPr="000020F0">
              <w:rPr>
                <w:rFonts w:asciiTheme="majorHAnsi" w:eastAsia="Arial Unicode MS" w:hAnsiTheme="majorHAnsi" w:cstheme="majorHAnsi"/>
                <w:sz w:val="22"/>
                <w:szCs w:val="22"/>
                <w:lang w:eastAsia="zh-TW"/>
              </w:rPr>
              <w:t>Morostig</w:t>
            </w:r>
            <w:proofErr w:type="spellEnd"/>
            <w:r w:rsidR="00A72DE4" w:rsidRPr="000020F0">
              <w:rPr>
                <w:rFonts w:asciiTheme="majorHAnsi" w:eastAsia="Arial Unicode MS" w:hAnsiTheme="majorHAnsi" w:cstheme="majorHAnsi"/>
                <w:sz w:val="22"/>
                <w:szCs w:val="22"/>
                <w:lang w:eastAsia="zh-TW"/>
              </w:rPr>
              <w:t xml:space="preserve"> – hiša narave in kolišč, </w:t>
            </w:r>
            <w:r w:rsidRPr="000020F0">
              <w:rPr>
                <w:rFonts w:asciiTheme="majorHAnsi" w:eastAsia="Arial Unicode MS" w:hAnsiTheme="majorHAnsi" w:cstheme="majorHAnsi"/>
                <w:sz w:val="22"/>
                <w:szCs w:val="22"/>
                <w:lang w:eastAsia="zh-TW"/>
              </w:rPr>
              <w:t>Centra Ig in »kaplanije«</w:t>
            </w:r>
          </w:p>
          <w:p w14:paraId="2BD0476C" w14:textId="1EEB2928" w:rsidR="009E6E1A" w:rsidRPr="000020F0" w:rsidRDefault="00346B2C" w:rsidP="00E407E7">
            <w:pPr>
              <w:numPr>
                <w:ilvl w:val="0"/>
                <w:numId w:val="110"/>
              </w:numPr>
              <w:tabs>
                <w:tab w:val="clear" w:pos="720"/>
              </w:tabs>
              <w:spacing w:line="276" w:lineRule="auto"/>
              <w:ind w:left="262" w:hanging="219"/>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območje nekdanjega centralnega vrtca</w:t>
            </w:r>
            <w:r w:rsidR="00BB51AE" w:rsidRPr="000020F0">
              <w:rPr>
                <w:rFonts w:asciiTheme="majorHAnsi" w:eastAsia="Arial Unicode MS" w:hAnsiTheme="majorHAnsi" w:cstheme="majorHAnsi"/>
                <w:sz w:val="22"/>
                <w:szCs w:val="22"/>
                <w:lang w:eastAsia="zh-TW"/>
              </w:rPr>
              <w:t>.</w:t>
            </w:r>
          </w:p>
        </w:tc>
      </w:tr>
      <w:tr w:rsidR="009E6E1A" w:rsidRPr="000020F0" w14:paraId="5EB0191D" w14:textId="77777777" w:rsidTr="00B923E9">
        <w:trPr>
          <w:trHeight w:val="318"/>
        </w:trPr>
        <w:tc>
          <w:tcPr>
            <w:tcW w:w="1597" w:type="pct"/>
            <w:shd w:val="clear" w:color="auto" w:fill="DBE5F1"/>
            <w:vAlign w:val="center"/>
          </w:tcPr>
          <w:p w14:paraId="646996AA" w14:textId="77777777" w:rsidR="009E6E1A" w:rsidRPr="000020F0" w:rsidRDefault="009E6E1A" w:rsidP="009E6E1A">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ČASOVNI NAČRT DEL</w:t>
            </w:r>
          </w:p>
        </w:tc>
        <w:tc>
          <w:tcPr>
            <w:tcW w:w="3403" w:type="pct"/>
          </w:tcPr>
          <w:p w14:paraId="41C5DCB0" w14:textId="38BABEA3" w:rsidR="009E6E1A" w:rsidRPr="000020F0" w:rsidRDefault="004169E8" w:rsidP="009E6E1A">
            <w:pPr>
              <w:spacing w:line="276" w:lineRule="auto"/>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Od 08/2024 do 0</w:t>
            </w:r>
            <w:r w:rsidR="00226941" w:rsidRPr="000020F0">
              <w:rPr>
                <w:rFonts w:asciiTheme="majorHAnsi" w:eastAsia="Arial Unicode MS" w:hAnsiTheme="majorHAnsi" w:cstheme="majorHAnsi"/>
                <w:sz w:val="22"/>
                <w:szCs w:val="22"/>
                <w:lang w:eastAsia="zh-TW"/>
              </w:rPr>
              <w:t>3</w:t>
            </w:r>
            <w:r w:rsidRPr="000020F0">
              <w:rPr>
                <w:rFonts w:asciiTheme="majorHAnsi" w:eastAsia="Arial Unicode MS" w:hAnsiTheme="majorHAnsi" w:cstheme="majorHAnsi"/>
                <w:sz w:val="22"/>
                <w:szCs w:val="22"/>
                <w:lang w:eastAsia="zh-TW"/>
              </w:rPr>
              <w:t>/2029, pri čemer je začetek projekta izdelava DIIP</w:t>
            </w:r>
          </w:p>
        </w:tc>
      </w:tr>
      <w:tr w:rsidR="009E6E1A" w:rsidRPr="000020F0" w14:paraId="16C57E39" w14:textId="77777777" w:rsidTr="00B923E9">
        <w:trPr>
          <w:trHeight w:val="479"/>
        </w:trPr>
        <w:tc>
          <w:tcPr>
            <w:tcW w:w="1597" w:type="pct"/>
            <w:shd w:val="clear" w:color="auto" w:fill="DBE5F1"/>
            <w:vAlign w:val="center"/>
          </w:tcPr>
          <w:p w14:paraId="24C04AD3" w14:textId="77777777" w:rsidR="009E6E1A" w:rsidRPr="000020F0" w:rsidRDefault="009E6E1A" w:rsidP="009E6E1A">
            <w:pPr>
              <w:spacing w:line="276" w:lineRule="auto"/>
              <w:rPr>
                <w:rFonts w:asciiTheme="majorHAnsi" w:eastAsia="Arial Unicode MS" w:hAnsiTheme="majorHAnsi" w:cstheme="majorHAnsi"/>
                <w:b/>
                <w:sz w:val="22"/>
                <w:szCs w:val="22"/>
                <w:lang w:eastAsia="zh-TW"/>
              </w:rPr>
            </w:pPr>
            <w:r w:rsidRPr="000020F0">
              <w:rPr>
                <w:rFonts w:asciiTheme="majorHAnsi" w:eastAsia="Arial Unicode MS" w:hAnsiTheme="majorHAnsi" w:cstheme="majorHAnsi"/>
                <w:b/>
                <w:sz w:val="22"/>
                <w:szCs w:val="22"/>
                <w:lang w:eastAsia="zh-TW"/>
              </w:rPr>
              <w:t>VREDNOST INVESTICIJE</w:t>
            </w:r>
          </w:p>
        </w:tc>
        <w:tc>
          <w:tcPr>
            <w:tcW w:w="3403" w:type="pct"/>
          </w:tcPr>
          <w:p w14:paraId="6F9A48F2" w14:textId="14564A38" w:rsidR="00017064" w:rsidRPr="000020F0" w:rsidRDefault="00B204FC" w:rsidP="00B204FC">
            <w:pPr>
              <w:jc w:val="both"/>
              <w:rPr>
                <w:rFonts w:ascii="Arial" w:hAnsi="Arial" w:cs="Arial"/>
                <w:b/>
                <w:bCs/>
                <w:color w:val="000000"/>
                <w:sz w:val="22"/>
                <w:szCs w:val="22"/>
              </w:rPr>
            </w:pPr>
            <w:r w:rsidRPr="000020F0">
              <w:rPr>
                <w:rFonts w:ascii="Arial" w:hAnsi="Arial" w:cs="Arial"/>
                <w:color w:val="000000"/>
                <w:sz w:val="22"/>
                <w:szCs w:val="22"/>
              </w:rPr>
              <w:t>2.736.881,76</w:t>
            </w:r>
            <w:r w:rsidRPr="000020F0">
              <w:rPr>
                <w:rFonts w:ascii="Arial" w:hAnsi="Arial" w:cs="Arial"/>
                <w:b/>
                <w:bCs/>
                <w:color w:val="000000"/>
                <w:sz w:val="22"/>
                <w:szCs w:val="22"/>
              </w:rPr>
              <w:t xml:space="preserve"> </w:t>
            </w:r>
            <w:r w:rsidR="00017064" w:rsidRPr="000020F0">
              <w:rPr>
                <w:rFonts w:asciiTheme="majorHAnsi" w:hAnsiTheme="majorHAnsi" w:cstheme="majorHAnsi"/>
                <w:sz w:val="22"/>
                <w:szCs w:val="22"/>
                <w:lang w:eastAsia="zh-TW"/>
              </w:rPr>
              <w:t xml:space="preserve">EUR brez DDV oziroma </w:t>
            </w:r>
            <w:r w:rsidRPr="000020F0">
              <w:rPr>
                <w:rFonts w:asciiTheme="majorHAnsi" w:hAnsiTheme="majorHAnsi" w:cstheme="majorHAnsi"/>
                <w:sz w:val="22"/>
                <w:szCs w:val="22"/>
                <w:lang w:eastAsia="zh-TW"/>
              </w:rPr>
              <w:t xml:space="preserve">3.277.156,77 </w:t>
            </w:r>
            <w:r w:rsidR="00017064" w:rsidRPr="000020F0">
              <w:rPr>
                <w:rFonts w:asciiTheme="majorHAnsi" w:hAnsiTheme="majorHAnsi" w:cstheme="majorHAnsi"/>
                <w:sz w:val="22"/>
                <w:szCs w:val="22"/>
                <w:lang w:eastAsia="zh-TW"/>
              </w:rPr>
              <w:t xml:space="preserve">EUR po stalnih cenah </w:t>
            </w:r>
          </w:p>
          <w:p w14:paraId="0003399A" w14:textId="0F07008A" w:rsidR="009E6E1A" w:rsidRPr="000020F0" w:rsidRDefault="00B204FC" w:rsidP="00017064">
            <w:pPr>
              <w:pStyle w:val="Napis"/>
              <w:spacing w:line="276" w:lineRule="auto"/>
              <w:jc w:val="both"/>
              <w:rPr>
                <w:rFonts w:asciiTheme="majorHAnsi" w:hAnsiTheme="majorHAnsi" w:cstheme="majorHAnsi"/>
                <w:b w:val="0"/>
                <w:bCs w:val="0"/>
                <w:color w:val="auto"/>
                <w:sz w:val="22"/>
                <w:szCs w:val="22"/>
                <w:highlight w:val="yellow"/>
                <w:lang w:eastAsia="zh-TW"/>
              </w:rPr>
            </w:pPr>
            <w:r w:rsidRPr="000020F0">
              <w:rPr>
                <w:rFonts w:asciiTheme="majorHAnsi" w:hAnsiTheme="majorHAnsi" w:cstheme="majorHAnsi"/>
                <w:b w:val="0"/>
                <w:bCs w:val="0"/>
                <w:color w:val="auto"/>
                <w:sz w:val="22"/>
                <w:szCs w:val="22"/>
                <w:lang w:eastAsia="zh-TW"/>
              </w:rPr>
              <w:t xml:space="preserve">2.826.142,46 </w:t>
            </w:r>
            <w:r w:rsidR="00017064" w:rsidRPr="000020F0">
              <w:rPr>
                <w:rFonts w:asciiTheme="majorHAnsi" w:hAnsiTheme="majorHAnsi" w:cstheme="majorHAnsi"/>
                <w:b w:val="0"/>
                <w:bCs w:val="0"/>
                <w:color w:val="auto"/>
                <w:sz w:val="22"/>
                <w:szCs w:val="22"/>
                <w:lang w:eastAsia="zh-TW"/>
              </w:rPr>
              <w:t xml:space="preserve">EUR brez DDV oziroma </w:t>
            </w:r>
            <w:r w:rsidRPr="000020F0">
              <w:rPr>
                <w:rFonts w:asciiTheme="majorHAnsi" w:hAnsiTheme="majorHAnsi" w:cstheme="majorHAnsi"/>
                <w:b w:val="0"/>
                <w:bCs w:val="0"/>
                <w:color w:val="auto"/>
                <w:sz w:val="22"/>
                <w:szCs w:val="22"/>
                <w:lang w:eastAsia="zh-TW"/>
              </w:rPr>
              <w:t>3.386.054,8</w:t>
            </w:r>
            <w:r w:rsidR="0097557D" w:rsidRPr="000020F0">
              <w:rPr>
                <w:rFonts w:asciiTheme="majorHAnsi" w:hAnsiTheme="majorHAnsi" w:cstheme="majorHAnsi"/>
                <w:b w:val="0"/>
                <w:bCs w:val="0"/>
                <w:color w:val="auto"/>
                <w:sz w:val="22"/>
                <w:szCs w:val="22"/>
                <w:lang w:eastAsia="zh-TW"/>
              </w:rPr>
              <w:t>3</w:t>
            </w:r>
            <w:r w:rsidRPr="000020F0">
              <w:rPr>
                <w:rFonts w:asciiTheme="majorHAnsi" w:hAnsiTheme="majorHAnsi" w:cstheme="majorHAnsi"/>
                <w:b w:val="0"/>
                <w:bCs w:val="0"/>
                <w:color w:val="auto"/>
                <w:sz w:val="22"/>
                <w:szCs w:val="22"/>
                <w:lang w:eastAsia="zh-TW"/>
              </w:rPr>
              <w:t xml:space="preserve"> </w:t>
            </w:r>
            <w:r w:rsidR="00017064" w:rsidRPr="000020F0">
              <w:rPr>
                <w:rFonts w:asciiTheme="majorHAnsi" w:hAnsiTheme="majorHAnsi" w:cstheme="majorHAnsi"/>
                <w:b w:val="0"/>
                <w:bCs w:val="0"/>
                <w:color w:val="auto"/>
                <w:sz w:val="22"/>
                <w:szCs w:val="22"/>
                <w:lang w:eastAsia="zh-TW"/>
              </w:rPr>
              <w:t xml:space="preserve">EUR z DDV v tekočih cenah. </w:t>
            </w:r>
          </w:p>
        </w:tc>
      </w:tr>
      <w:tr w:rsidR="009E6E1A" w:rsidRPr="000020F0" w14:paraId="7F7AE6B6" w14:textId="77777777" w:rsidTr="00B923E9">
        <w:trPr>
          <w:trHeight w:val="121"/>
        </w:trPr>
        <w:tc>
          <w:tcPr>
            <w:tcW w:w="1597" w:type="pct"/>
            <w:shd w:val="clear" w:color="auto" w:fill="DBE5F1"/>
            <w:vAlign w:val="center"/>
          </w:tcPr>
          <w:p w14:paraId="318809CE" w14:textId="77777777" w:rsidR="009E6E1A" w:rsidRPr="000020F0" w:rsidRDefault="009E6E1A" w:rsidP="009E6E1A">
            <w:pPr>
              <w:spacing w:line="276" w:lineRule="auto"/>
              <w:rPr>
                <w:rFonts w:asciiTheme="majorHAnsi" w:hAnsiTheme="majorHAnsi" w:cstheme="majorHAnsi"/>
                <w:b/>
                <w:sz w:val="22"/>
                <w:szCs w:val="22"/>
                <w:lang w:eastAsia="en-US"/>
              </w:rPr>
            </w:pPr>
            <w:r w:rsidRPr="000020F0">
              <w:rPr>
                <w:rFonts w:asciiTheme="majorHAnsi" w:hAnsiTheme="majorHAnsi" w:cstheme="majorHAnsi"/>
                <w:b/>
                <w:sz w:val="22"/>
                <w:szCs w:val="22"/>
                <w:lang w:eastAsia="en-US"/>
              </w:rPr>
              <w:lastRenderedPageBreak/>
              <w:t>VIRI FINANCIRANJA</w:t>
            </w:r>
          </w:p>
        </w:tc>
        <w:tc>
          <w:tcPr>
            <w:tcW w:w="3403" w:type="pct"/>
          </w:tcPr>
          <w:tbl>
            <w:tblPr>
              <w:tblW w:w="5888" w:type="dxa"/>
              <w:tblCellMar>
                <w:left w:w="70" w:type="dxa"/>
                <w:right w:w="70" w:type="dxa"/>
              </w:tblCellMar>
              <w:tblLook w:val="04A0" w:firstRow="1" w:lastRow="0" w:firstColumn="1" w:lastColumn="0" w:noHBand="0" w:noVBand="1"/>
            </w:tblPr>
            <w:tblGrid>
              <w:gridCol w:w="3359"/>
              <w:gridCol w:w="1425"/>
              <w:gridCol w:w="1104"/>
            </w:tblGrid>
            <w:tr w:rsidR="00630D03" w:rsidRPr="000020F0" w14:paraId="79CA975A" w14:textId="77777777" w:rsidTr="00617406">
              <w:trPr>
                <w:trHeight w:val="285"/>
              </w:trPr>
              <w:tc>
                <w:tcPr>
                  <w:tcW w:w="3359" w:type="dxa"/>
                  <w:tcBorders>
                    <w:top w:val="single" w:sz="4" w:space="0" w:color="auto"/>
                    <w:left w:val="single" w:sz="4" w:space="0" w:color="auto"/>
                    <w:bottom w:val="single" w:sz="4" w:space="0" w:color="auto"/>
                    <w:right w:val="single" w:sz="4" w:space="0" w:color="auto"/>
                  </w:tcBorders>
                  <w:noWrap/>
                  <w:vAlign w:val="bottom"/>
                  <w:hideMark/>
                </w:tcPr>
                <w:p w14:paraId="480D263B" w14:textId="77777777" w:rsidR="00630D03" w:rsidRPr="000020F0" w:rsidRDefault="00630D03" w:rsidP="00630D03">
                  <w:pPr>
                    <w:rPr>
                      <w:rFonts w:asciiTheme="majorHAnsi" w:hAnsiTheme="majorHAnsi" w:cstheme="majorHAnsi"/>
                      <w:color w:val="000000"/>
                      <w:sz w:val="22"/>
                      <w:szCs w:val="22"/>
                    </w:rPr>
                  </w:pPr>
                  <w:r w:rsidRPr="000020F0">
                    <w:rPr>
                      <w:rFonts w:asciiTheme="majorHAnsi" w:hAnsiTheme="majorHAnsi" w:cstheme="majorHAnsi"/>
                      <w:color w:val="000000"/>
                      <w:sz w:val="22"/>
                      <w:szCs w:val="22"/>
                    </w:rPr>
                    <w:t>EU sredstva</w:t>
                  </w:r>
                </w:p>
              </w:tc>
              <w:tc>
                <w:tcPr>
                  <w:tcW w:w="1425" w:type="dxa"/>
                  <w:tcBorders>
                    <w:top w:val="single" w:sz="4" w:space="0" w:color="auto"/>
                    <w:left w:val="single" w:sz="4" w:space="0" w:color="auto"/>
                    <w:bottom w:val="single" w:sz="4" w:space="0" w:color="auto"/>
                    <w:right w:val="single" w:sz="4" w:space="0" w:color="auto"/>
                  </w:tcBorders>
                  <w:noWrap/>
                  <w:vAlign w:val="bottom"/>
                  <w:hideMark/>
                </w:tcPr>
                <w:p w14:paraId="3B808724" w14:textId="79848549"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1.698.895,04</w:t>
                  </w:r>
                </w:p>
              </w:tc>
              <w:tc>
                <w:tcPr>
                  <w:tcW w:w="1104" w:type="dxa"/>
                  <w:tcBorders>
                    <w:top w:val="single" w:sz="4" w:space="0" w:color="auto"/>
                    <w:left w:val="nil"/>
                    <w:bottom w:val="single" w:sz="4" w:space="0" w:color="auto"/>
                    <w:right w:val="single" w:sz="4" w:space="0" w:color="auto"/>
                  </w:tcBorders>
                  <w:noWrap/>
                  <w:vAlign w:val="bottom"/>
                  <w:hideMark/>
                </w:tcPr>
                <w:p w14:paraId="4CCD4486" w14:textId="7BA99D16"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50,17%</w:t>
                  </w:r>
                </w:p>
              </w:tc>
            </w:tr>
            <w:tr w:rsidR="00630D03" w:rsidRPr="000020F0" w14:paraId="33F27010" w14:textId="77777777" w:rsidTr="00617406">
              <w:trPr>
                <w:trHeight w:val="285"/>
              </w:trPr>
              <w:tc>
                <w:tcPr>
                  <w:tcW w:w="3359" w:type="dxa"/>
                  <w:tcBorders>
                    <w:top w:val="nil"/>
                    <w:left w:val="single" w:sz="4" w:space="0" w:color="auto"/>
                    <w:bottom w:val="single" w:sz="4" w:space="0" w:color="auto"/>
                    <w:right w:val="single" w:sz="4" w:space="0" w:color="auto"/>
                  </w:tcBorders>
                  <w:noWrap/>
                  <w:vAlign w:val="bottom"/>
                  <w:hideMark/>
                </w:tcPr>
                <w:p w14:paraId="6C1D4D41" w14:textId="77777777" w:rsidR="00630D03" w:rsidRPr="000020F0" w:rsidRDefault="00630D03" w:rsidP="00630D03">
                  <w:pPr>
                    <w:rPr>
                      <w:rFonts w:asciiTheme="majorHAnsi" w:hAnsiTheme="majorHAnsi" w:cstheme="majorHAnsi"/>
                      <w:color w:val="000000"/>
                      <w:sz w:val="22"/>
                      <w:szCs w:val="22"/>
                    </w:rPr>
                  </w:pPr>
                  <w:r w:rsidRPr="000020F0">
                    <w:rPr>
                      <w:rFonts w:asciiTheme="majorHAnsi" w:hAnsiTheme="majorHAnsi" w:cstheme="majorHAnsi"/>
                      <w:color w:val="000000"/>
                      <w:sz w:val="22"/>
                      <w:szCs w:val="22"/>
                    </w:rPr>
                    <w:t>Slovenska udeležba</w:t>
                  </w:r>
                </w:p>
              </w:tc>
              <w:tc>
                <w:tcPr>
                  <w:tcW w:w="1425" w:type="dxa"/>
                  <w:tcBorders>
                    <w:top w:val="nil"/>
                    <w:left w:val="single" w:sz="4" w:space="0" w:color="auto"/>
                    <w:bottom w:val="single" w:sz="4" w:space="0" w:color="auto"/>
                    <w:right w:val="single" w:sz="4" w:space="0" w:color="auto"/>
                  </w:tcBorders>
                  <w:noWrap/>
                  <w:vAlign w:val="bottom"/>
                  <w:hideMark/>
                </w:tcPr>
                <w:p w14:paraId="3B29B6AB" w14:textId="5037A715"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299.804,99</w:t>
                  </w:r>
                </w:p>
              </w:tc>
              <w:tc>
                <w:tcPr>
                  <w:tcW w:w="1104" w:type="dxa"/>
                  <w:tcBorders>
                    <w:top w:val="nil"/>
                    <w:left w:val="nil"/>
                    <w:bottom w:val="single" w:sz="4" w:space="0" w:color="auto"/>
                    <w:right w:val="single" w:sz="4" w:space="0" w:color="auto"/>
                  </w:tcBorders>
                  <w:noWrap/>
                  <w:vAlign w:val="bottom"/>
                  <w:hideMark/>
                </w:tcPr>
                <w:p w14:paraId="4A5181EE" w14:textId="7ACE2EE0"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8,85%</w:t>
                  </w:r>
                </w:p>
              </w:tc>
            </w:tr>
            <w:tr w:rsidR="00630D03" w:rsidRPr="000020F0" w14:paraId="304734FF" w14:textId="77777777" w:rsidTr="00617406">
              <w:trPr>
                <w:trHeight w:val="285"/>
              </w:trPr>
              <w:tc>
                <w:tcPr>
                  <w:tcW w:w="3359" w:type="dxa"/>
                  <w:tcBorders>
                    <w:top w:val="nil"/>
                    <w:left w:val="single" w:sz="4" w:space="0" w:color="auto"/>
                    <w:bottom w:val="single" w:sz="4" w:space="0" w:color="auto"/>
                    <w:right w:val="single" w:sz="4" w:space="0" w:color="auto"/>
                  </w:tcBorders>
                  <w:noWrap/>
                  <w:vAlign w:val="bottom"/>
                  <w:hideMark/>
                </w:tcPr>
                <w:p w14:paraId="76C1DF2A" w14:textId="77777777" w:rsidR="00630D03" w:rsidRPr="000020F0" w:rsidRDefault="00630D03" w:rsidP="00630D03">
                  <w:pPr>
                    <w:rPr>
                      <w:rFonts w:asciiTheme="majorHAnsi" w:hAnsiTheme="majorHAnsi" w:cstheme="majorHAnsi"/>
                      <w:color w:val="000000"/>
                      <w:sz w:val="22"/>
                      <w:szCs w:val="22"/>
                    </w:rPr>
                  </w:pPr>
                  <w:r w:rsidRPr="000020F0">
                    <w:rPr>
                      <w:rFonts w:asciiTheme="majorHAnsi" w:hAnsiTheme="majorHAnsi" w:cstheme="majorHAnsi"/>
                      <w:color w:val="000000"/>
                      <w:sz w:val="22"/>
                      <w:szCs w:val="22"/>
                    </w:rPr>
                    <w:t>Lastna sredstva</w:t>
                  </w:r>
                </w:p>
              </w:tc>
              <w:tc>
                <w:tcPr>
                  <w:tcW w:w="1425" w:type="dxa"/>
                  <w:tcBorders>
                    <w:top w:val="nil"/>
                    <w:left w:val="single" w:sz="4" w:space="0" w:color="auto"/>
                    <w:bottom w:val="single" w:sz="4" w:space="0" w:color="auto"/>
                    <w:right w:val="single" w:sz="4" w:space="0" w:color="auto"/>
                  </w:tcBorders>
                  <w:noWrap/>
                  <w:vAlign w:val="bottom"/>
                  <w:hideMark/>
                </w:tcPr>
                <w:p w14:paraId="069B47CC" w14:textId="588057A1"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1.387.354,80</w:t>
                  </w:r>
                </w:p>
              </w:tc>
              <w:tc>
                <w:tcPr>
                  <w:tcW w:w="1104" w:type="dxa"/>
                  <w:tcBorders>
                    <w:top w:val="nil"/>
                    <w:left w:val="nil"/>
                    <w:bottom w:val="single" w:sz="4" w:space="0" w:color="auto"/>
                    <w:right w:val="single" w:sz="4" w:space="0" w:color="auto"/>
                  </w:tcBorders>
                  <w:noWrap/>
                  <w:vAlign w:val="bottom"/>
                  <w:hideMark/>
                </w:tcPr>
                <w:p w14:paraId="0E1E0234" w14:textId="1C611525" w:rsidR="00630D03" w:rsidRPr="000020F0" w:rsidRDefault="00630D03" w:rsidP="00630D03">
                  <w:pPr>
                    <w:jc w:val="right"/>
                    <w:rPr>
                      <w:rFonts w:asciiTheme="majorHAnsi" w:hAnsiTheme="majorHAnsi" w:cstheme="majorHAnsi"/>
                      <w:color w:val="000000"/>
                      <w:sz w:val="22"/>
                      <w:szCs w:val="22"/>
                      <w:highlight w:val="yellow"/>
                    </w:rPr>
                  </w:pPr>
                  <w:r w:rsidRPr="000020F0">
                    <w:rPr>
                      <w:rFonts w:ascii="Arial" w:hAnsi="Arial" w:cs="Arial"/>
                      <w:color w:val="000000"/>
                      <w:sz w:val="22"/>
                      <w:szCs w:val="22"/>
                    </w:rPr>
                    <w:t>40,97%</w:t>
                  </w:r>
                </w:p>
              </w:tc>
            </w:tr>
          </w:tbl>
          <w:p w14:paraId="4AECF4DF" w14:textId="4C5A768F" w:rsidR="009E6E1A" w:rsidRPr="000020F0" w:rsidRDefault="009E6E1A" w:rsidP="009E6E1A">
            <w:pPr>
              <w:spacing w:line="276" w:lineRule="auto"/>
              <w:jc w:val="both"/>
              <w:rPr>
                <w:rFonts w:asciiTheme="majorHAnsi" w:eastAsia="Arial Unicode MS" w:hAnsiTheme="majorHAnsi" w:cstheme="majorHAnsi"/>
                <w:sz w:val="22"/>
                <w:szCs w:val="22"/>
                <w:highlight w:val="yellow"/>
              </w:rPr>
            </w:pPr>
          </w:p>
        </w:tc>
      </w:tr>
      <w:tr w:rsidR="009E6E1A" w:rsidRPr="000020F0" w14:paraId="0202177C" w14:textId="77777777" w:rsidTr="00B923E9">
        <w:trPr>
          <w:trHeight w:val="121"/>
        </w:trPr>
        <w:tc>
          <w:tcPr>
            <w:tcW w:w="1597" w:type="pct"/>
            <w:shd w:val="clear" w:color="auto" w:fill="DBE5F1"/>
            <w:vAlign w:val="center"/>
          </w:tcPr>
          <w:p w14:paraId="1899AACC" w14:textId="75B37C9A" w:rsidR="009E6E1A" w:rsidRPr="000020F0" w:rsidRDefault="009E6E1A" w:rsidP="009E6E1A">
            <w:pPr>
              <w:spacing w:line="276" w:lineRule="auto"/>
              <w:rPr>
                <w:rFonts w:asciiTheme="majorHAnsi" w:hAnsiTheme="majorHAnsi" w:cstheme="majorHAnsi"/>
                <w:b/>
                <w:sz w:val="22"/>
                <w:szCs w:val="22"/>
                <w:lang w:eastAsia="en-US"/>
              </w:rPr>
            </w:pPr>
            <w:r w:rsidRPr="000020F0">
              <w:rPr>
                <w:rFonts w:asciiTheme="majorHAnsi" w:hAnsiTheme="majorHAnsi" w:cstheme="majorHAnsi"/>
                <w:b/>
                <w:sz w:val="22"/>
                <w:szCs w:val="22"/>
                <w:lang w:eastAsia="en-US"/>
              </w:rPr>
              <w:t>FINANČNI KAZALNIKI</w:t>
            </w:r>
          </w:p>
        </w:tc>
        <w:tc>
          <w:tcPr>
            <w:tcW w:w="3403" w:type="pct"/>
          </w:tcPr>
          <w:tbl>
            <w:tblPr>
              <w:tblW w:w="5761" w:type="dxa"/>
              <w:tblCellMar>
                <w:left w:w="70" w:type="dxa"/>
                <w:right w:w="70" w:type="dxa"/>
              </w:tblCellMar>
              <w:tblLook w:val="04A0" w:firstRow="1" w:lastRow="0" w:firstColumn="1" w:lastColumn="0" w:noHBand="0" w:noVBand="1"/>
            </w:tblPr>
            <w:tblGrid>
              <w:gridCol w:w="4498"/>
              <w:gridCol w:w="1263"/>
            </w:tblGrid>
            <w:tr w:rsidR="004124BF" w:rsidRPr="000020F0" w14:paraId="7CF7BF77" w14:textId="77777777" w:rsidTr="004169E8">
              <w:trPr>
                <w:trHeight w:val="300"/>
              </w:trPr>
              <w:tc>
                <w:tcPr>
                  <w:tcW w:w="4498" w:type="dxa"/>
                  <w:tcBorders>
                    <w:top w:val="nil"/>
                    <w:left w:val="nil"/>
                    <w:bottom w:val="nil"/>
                    <w:right w:val="nil"/>
                  </w:tcBorders>
                  <w:noWrap/>
                  <w:vAlign w:val="bottom"/>
                  <w:hideMark/>
                </w:tcPr>
                <w:p w14:paraId="0D452452" w14:textId="77777777" w:rsidR="004124BF" w:rsidRPr="000020F0" w:rsidRDefault="004124BF" w:rsidP="004124BF">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Neto sedanja vrednost (FNSV/C)</w:t>
                  </w:r>
                </w:p>
              </w:tc>
              <w:tc>
                <w:tcPr>
                  <w:tcW w:w="1263" w:type="dxa"/>
                  <w:tcBorders>
                    <w:top w:val="nil"/>
                    <w:left w:val="nil"/>
                    <w:bottom w:val="nil"/>
                    <w:right w:val="nil"/>
                  </w:tcBorders>
                  <w:noWrap/>
                  <w:vAlign w:val="bottom"/>
                </w:tcPr>
                <w:p w14:paraId="308F1A7B" w14:textId="274D78FB" w:rsidR="004124BF" w:rsidRPr="000020F0" w:rsidRDefault="004124BF" w:rsidP="004124BF">
                  <w:pPr>
                    <w:spacing w:line="276" w:lineRule="auto"/>
                    <w:jc w:val="right"/>
                    <w:rPr>
                      <w:rFonts w:asciiTheme="majorHAnsi" w:hAnsiTheme="majorHAnsi" w:cstheme="majorHAnsi"/>
                      <w:color w:val="000000"/>
                      <w:sz w:val="22"/>
                      <w:szCs w:val="22"/>
                    </w:rPr>
                  </w:pPr>
                  <w:r w:rsidRPr="000020F0">
                    <w:rPr>
                      <w:rFonts w:ascii="Arial" w:hAnsi="Arial" w:cs="Arial"/>
                      <w:color w:val="000000"/>
                      <w:sz w:val="22"/>
                      <w:szCs w:val="22"/>
                    </w:rPr>
                    <w:t>-3.218.649</w:t>
                  </w:r>
                </w:p>
              </w:tc>
            </w:tr>
            <w:tr w:rsidR="004124BF" w:rsidRPr="000020F0" w14:paraId="2EDB3D9A" w14:textId="77777777" w:rsidTr="004169E8">
              <w:trPr>
                <w:trHeight w:val="300"/>
              </w:trPr>
              <w:tc>
                <w:tcPr>
                  <w:tcW w:w="4498" w:type="dxa"/>
                  <w:tcBorders>
                    <w:top w:val="nil"/>
                    <w:left w:val="nil"/>
                    <w:bottom w:val="nil"/>
                    <w:right w:val="nil"/>
                  </w:tcBorders>
                  <w:noWrap/>
                  <w:vAlign w:val="bottom"/>
                  <w:hideMark/>
                </w:tcPr>
                <w:p w14:paraId="47792FD1" w14:textId="77777777" w:rsidR="004124BF" w:rsidRPr="000020F0" w:rsidRDefault="004124BF" w:rsidP="004124BF">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Finančna stopnja donosa  (FSD/C)</w:t>
                  </w:r>
                </w:p>
              </w:tc>
              <w:tc>
                <w:tcPr>
                  <w:tcW w:w="1263" w:type="dxa"/>
                  <w:tcBorders>
                    <w:top w:val="nil"/>
                    <w:left w:val="nil"/>
                    <w:bottom w:val="nil"/>
                    <w:right w:val="nil"/>
                  </w:tcBorders>
                  <w:noWrap/>
                  <w:vAlign w:val="bottom"/>
                </w:tcPr>
                <w:p w14:paraId="0F2C3ADF" w14:textId="09FA8A18" w:rsidR="004124BF" w:rsidRPr="000020F0" w:rsidRDefault="004124BF" w:rsidP="004124BF">
                  <w:pPr>
                    <w:spacing w:line="276" w:lineRule="auto"/>
                    <w:jc w:val="right"/>
                    <w:rPr>
                      <w:rFonts w:asciiTheme="majorHAnsi" w:hAnsiTheme="majorHAnsi" w:cstheme="majorHAnsi"/>
                      <w:color w:val="000000"/>
                      <w:sz w:val="22"/>
                      <w:szCs w:val="22"/>
                    </w:rPr>
                  </w:pPr>
                  <w:r w:rsidRPr="000020F0">
                    <w:rPr>
                      <w:rFonts w:ascii="Arial" w:hAnsi="Arial" w:cs="Arial"/>
                      <w:color w:val="000000"/>
                      <w:sz w:val="22"/>
                      <w:szCs w:val="22"/>
                    </w:rPr>
                    <w:t>-9,64%</w:t>
                  </w:r>
                </w:p>
              </w:tc>
            </w:tr>
            <w:tr w:rsidR="004124BF" w:rsidRPr="000020F0" w14:paraId="35071960" w14:textId="77777777" w:rsidTr="004169E8">
              <w:trPr>
                <w:trHeight w:val="300"/>
              </w:trPr>
              <w:tc>
                <w:tcPr>
                  <w:tcW w:w="4498" w:type="dxa"/>
                  <w:tcBorders>
                    <w:top w:val="nil"/>
                    <w:left w:val="nil"/>
                    <w:bottom w:val="nil"/>
                    <w:right w:val="nil"/>
                  </w:tcBorders>
                  <w:noWrap/>
                  <w:vAlign w:val="bottom"/>
                  <w:hideMark/>
                </w:tcPr>
                <w:p w14:paraId="1FDC6966" w14:textId="77777777" w:rsidR="004124BF" w:rsidRPr="000020F0" w:rsidRDefault="004124BF" w:rsidP="004124BF">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Relativna neto sedanja vrednost (RFNPV)</w:t>
                  </w:r>
                </w:p>
              </w:tc>
              <w:tc>
                <w:tcPr>
                  <w:tcW w:w="1263" w:type="dxa"/>
                  <w:tcBorders>
                    <w:top w:val="nil"/>
                    <w:left w:val="nil"/>
                    <w:bottom w:val="nil"/>
                    <w:right w:val="nil"/>
                  </w:tcBorders>
                  <w:noWrap/>
                  <w:vAlign w:val="bottom"/>
                </w:tcPr>
                <w:p w14:paraId="65C44139" w14:textId="21DA0391" w:rsidR="004124BF" w:rsidRPr="000020F0" w:rsidRDefault="004124BF" w:rsidP="004124BF">
                  <w:pPr>
                    <w:spacing w:line="276" w:lineRule="auto"/>
                    <w:jc w:val="right"/>
                    <w:rPr>
                      <w:rFonts w:asciiTheme="majorHAnsi" w:hAnsiTheme="majorHAnsi" w:cstheme="majorHAnsi"/>
                      <w:color w:val="000000"/>
                      <w:sz w:val="22"/>
                      <w:szCs w:val="22"/>
                    </w:rPr>
                  </w:pPr>
                  <w:r w:rsidRPr="000020F0">
                    <w:rPr>
                      <w:rFonts w:ascii="Arial" w:hAnsi="Arial" w:cs="Arial"/>
                      <w:color w:val="000000"/>
                      <w:sz w:val="22"/>
                      <w:szCs w:val="22"/>
                    </w:rPr>
                    <w:t>-0,95</w:t>
                  </w:r>
                </w:p>
              </w:tc>
            </w:tr>
          </w:tbl>
          <w:p w14:paraId="5A3A19F1" w14:textId="77777777" w:rsidR="009E6E1A" w:rsidRPr="000020F0" w:rsidRDefault="009E6E1A" w:rsidP="009E6E1A">
            <w:pPr>
              <w:spacing w:line="276" w:lineRule="auto"/>
              <w:jc w:val="both"/>
              <w:rPr>
                <w:rFonts w:asciiTheme="majorHAnsi" w:eastAsia="Arial Unicode MS" w:hAnsiTheme="majorHAnsi" w:cstheme="majorHAnsi"/>
                <w:sz w:val="22"/>
                <w:szCs w:val="22"/>
                <w:highlight w:val="yellow"/>
              </w:rPr>
            </w:pPr>
          </w:p>
        </w:tc>
      </w:tr>
      <w:tr w:rsidR="009E6E1A" w:rsidRPr="000020F0" w14:paraId="38AA0F99" w14:textId="77777777" w:rsidTr="00B923E9">
        <w:trPr>
          <w:trHeight w:val="121"/>
        </w:trPr>
        <w:tc>
          <w:tcPr>
            <w:tcW w:w="1597" w:type="pct"/>
            <w:shd w:val="clear" w:color="auto" w:fill="DBE5F1"/>
            <w:vAlign w:val="center"/>
          </w:tcPr>
          <w:p w14:paraId="63FE8BBC" w14:textId="11D55429" w:rsidR="009E6E1A" w:rsidRPr="000020F0" w:rsidRDefault="009E6E1A" w:rsidP="009E6E1A">
            <w:pPr>
              <w:spacing w:line="276" w:lineRule="auto"/>
              <w:rPr>
                <w:rFonts w:asciiTheme="majorHAnsi" w:hAnsiTheme="majorHAnsi" w:cstheme="majorHAnsi"/>
                <w:b/>
                <w:sz w:val="22"/>
                <w:szCs w:val="22"/>
                <w:lang w:eastAsia="en-US"/>
              </w:rPr>
            </w:pPr>
            <w:r w:rsidRPr="000020F0">
              <w:rPr>
                <w:rFonts w:asciiTheme="majorHAnsi" w:hAnsiTheme="majorHAnsi" w:cstheme="majorHAnsi"/>
                <w:b/>
                <w:sz w:val="22"/>
                <w:szCs w:val="22"/>
                <w:lang w:eastAsia="en-US"/>
              </w:rPr>
              <w:t>EKONOMSKI KAZALNIKI</w:t>
            </w:r>
          </w:p>
        </w:tc>
        <w:tc>
          <w:tcPr>
            <w:tcW w:w="3403" w:type="pct"/>
          </w:tcPr>
          <w:tbl>
            <w:tblPr>
              <w:tblW w:w="5810" w:type="dxa"/>
              <w:tblCellMar>
                <w:left w:w="70" w:type="dxa"/>
                <w:right w:w="70" w:type="dxa"/>
              </w:tblCellMar>
              <w:tblLook w:val="04A0" w:firstRow="1" w:lastRow="0" w:firstColumn="1" w:lastColumn="0" w:noHBand="0" w:noVBand="1"/>
            </w:tblPr>
            <w:tblGrid>
              <w:gridCol w:w="4210"/>
              <w:gridCol w:w="1600"/>
            </w:tblGrid>
            <w:tr w:rsidR="00113DCB" w:rsidRPr="000020F0" w14:paraId="6405FF18" w14:textId="77777777" w:rsidTr="00501764">
              <w:trPr>
                <w:trHeight w:val="285"/>
              </w:trPr>
              <w:tc>
                <w:tcPr>
                  <w:tcW w:w="4210" w:type="dxa"/>
                  <w:noWrap/>
                  <w:vAlign w:val="bottom"/>
                  <w:hideMark/>
                </w:tcPr>
                <w:p w14:paraId="495A05EB" w14:textId="77777777" w:rsidR="00113DCB" w:rsidRPr="000020F0" w:rsidRDefault="00113DCB" w:rsidP="00113DCB">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Neto sedanja vrednost (ENSV)</w:t>
                  </w:r>
                </w:p>
              </w:tc>
              <w:tc>
                <w:tcPr>
                  <w:tcW w:w="1600" w:type="dxa"/>
                  <w:noWrap/>
                </w:tcPr>
                <w:p w14:paraId="1DA1D21A" w14:textId="1AD11CBD" w:rsidR="00113DCB" w:rsidRPr="000020F0" w:rsidRDefault="00113DCB" w:rsidP="00113DCB">
                  <w:pPr>
                    <w:spacing w:line="276" w:lineRule="auto"/>
                    <w:jc w:val="right"/>
                    <w:rPr>
                      <w:rFonts w:ascii="Arial" w:hAnsi="Arial" w:cs="Arial"/>
                      <w:color w:val="000000"/>
                      <w:sz w:val="22"/>
                      <w:szCs w:val="22"/>
                    </w:rPr>
                  </w:pPr>
                  <w:r w:rsidRPr="000020F0">
                    <w:rPr>
                      <w:rFonts w:ascii="Arial" w:hAnsi="Arial" w:cs="Arial"/>
                      <w:sz w:val="22"/>
                      <w:szCs w:val="22"/>
                    </w:rPr>
                    <w:t>3.438.311</w:t>
                  </w:r>
                </w:p>
              </w:tc>
            </w:tr>
            <w:tr w:rsidR="00113DCB" w:rsidRPr="000020F0" w14:paraId="542CD673" w14:textId="77777777" w:rsidTr="00501764">
              <w:trPr>
                <w:trHeight w:val="285"/>
              </w:trPr>
              <w:tc>
                <w:tcPr>
                  <w:tcW w:w="4210" w:type="dxa"/>
                  <w:noWrap/>
                  <w:vAlign w:val="bottom"/>
                  <w:hideMark/>
                </w:tcPr>
                <w:p w14:paraId="551818C7" w14:textId="77777777" w:rsidR="00113DCB" w:rsidRPr="000020F0" w:rsidRDefault="00113DCB" w:rsidP="00113DCB">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Ekonomska stopnja donosa (ESD)</w:t>
                  </w:r>
                </w:p>
              </w:tc>
              <w:tc>
                <w:tcPr>
                  <w:tcW w:w="1600" w:type="dxa"/>
                  <w:noWrap/>
                </w:tcPr>
                <w:p w14:paraId="187B7B10" w14:textId="63567EC8" w:rsidR="00113DCB" w:rsidRPr="000020F0" w:rsidRDefault="00113DCB" w:rsidP="00113DCB">
                  <w:pPr>
                    <w:spacing w:line="276" w:lineRule="auto"/>
                    <w:jc w:val="right"/>
                    <w:rPr>
                      <w:rFonts w:ascii="Arial" w:hAnsi="Arial" w:cs="Arial"/>
                      <w:color w:val="000000"/>
                      <w:sz w:val="22"/>
                      <w:szCs w:val="22"/>
                    </w:rPr>
                  </w:pPr>
                  <w:r w:rsidRPr="000020F0">
                    <w:rPr>
                      <w:rFonts w:ascii="Arial" w:hAnsi="Arial" w:cs="Arial"/>
                      <w:sz w:val="22"/>
                      <w:szCs w:val="22"/>
                    </w:rPr>
                    <w:t>15,33%</w:t>
                  </w:r>
                </w:p>
              </w:tc>
            </w:tr>
            <w:tr w:rsidR="00113DCB" w:rsidRPr="000020F0" w14:paraId="73DC2B5E" w14:textId="77777777" w:rsidTr="00501764">
              <w:trPr>
                <w:trHeight w:val="285"/>
              </w:trPr>
              <w:tc>
                <w:tcPr>
                  <w:tcW w:w="4210" w:type="dxa"/>
                  <w:noWrap/>
                  <w:vAlign w:val="bottom"/>
                  <w:hideMark/>
                </w:tcPr>
                <w:p w14:paraId="572BD81C" w14:textId="77777777" w:rsidR="00113DCB" w:rsidRPr="000020F0" w:rsidRDefault="00113DCB" w:rsidP="00113DCB">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Relativna neto sedanja vrednost (</w:t>
                  </w:r>
                  <w:proofErr w:type="spellStart"/>
                  <w:r w:rsidRPr="000020F0">
                    <w:rPr>
                      <w:rFonts w:asciiTheme="majorHAnsi" w:hAnsiTheme="majorHAnsi" w:cstheme="majorHAnsi"/>
                      <w:color w:val="000000"/>
                      <w:sz w:val="22"/>
                      <w:szCs w:val="22"/>
                    </w:rPr>
                    <w:t>ErNSV</w:t>
                  </w:r>
                  <w:proofErr w:type="spellEnd"/>
                  <w:r w:rsidRPr="000020F0">
                    <w:rPr>
                      <w:rFonts w:asciiTheme="majorHAnsi" w:hAnsiTheme="majorHAnsi" w:cstheme="majorHAnsi"/>
                      <w:color w:val="000000"/>
                      <w:sz w:val="22"/>
                      <w:szCs w:val="22"/>
                    </w:rPr>
                    <w:t>)</w:t>
                  </w:r>
                </w:p>
              </w:tc>
              <w:tc>
                <w:tcPr>
                  <w:tcW w:w="1600" w:type="dxa"/>
                  <w:noWrap/>
                </w:tcPr>
                <w:p w14:paraId="480E9E50" w14:textId="3477E764" w:rsidR="00113DCB" w:rsidRPr="000020F0" w:rsidRDefault="00113DCB" w:rsidP="00113DCB">
                  <w:pPr>
                    <w:spacing w:line="276" w:lineRule="auto"/>
                    <w:jc w:val="right"/>
                    <w:rPr>
                      <w:rFonts w:ascii="Arial" w:hAnsi="Arial" w:cs="Arial"/>
                      <w:color w:val="000000"/>
                      <w:sz w:val="22"/>
                      <w:szCs w:val="22"/>
                    </w:rPr>
                  </w:pPr>
                  <w:r w:rsidRPr="000020F0">
                    <w:rPr>
                      <w:rFonts w:ascii="Arial" w:hAnsi="Arial" w:cs="Arial"/>
                      <w:sz w:val="22"/>
                      <w:szCs w:val="22"/>
                    </w:rPr>
                    <w:t>1,43</w:t>
                  </w:r>
                </w:p>
              </w:tc>
            </w:tr>
            <w:tr w:rsidR="00113DCB" w:rsidRPr="000020F0" w14:paraId="2BB294AB" w14:textId="77777777" w:rsidTr="00501764">
              <w:trPr>
                <w:trHeight w:val="285"/>
              </w:trPr>
              <w:tc>
                <w:tcPr>
                  <w:tcW w:w="4210" w:type="dxa"/>
                  <w:noWrap/>
                  <w:vAlign w:val="bottom"/>
                  <w:hideMark/>
                </w:tcPr>
                <w:p w14:paraId="607899DA" w14:textId="77777777" w:rsidR="00113DCB" w:rsidRPr="000020F0" w:rsidRDefault="00113DCB" w:rsidP="00113DCB">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Razmerje med koristmi in stroški (B/</w:t>
                  </w:r>
                  <w:proofErr w:type="spellStart"/>
                  <w:r w:rsidRPr="000020F0">
                    <w:rPr>
                      <w:rFonts w:asciiTheme="majorHAnsi" w:hAnsiTheme="majorHAnsi" w:cstheme="majorHAnsi"/>
                      <w:color w:val="000000"/>
                      <w:sz w:val="22"/>
                      <w:szCs w:val="22"/>
                    </w:rPr>
                    <w:t>C</w:t>
                  </w:r>
                  <w:r w:rsidRPr="000020F0">
                    <w:rPr>
                      <w:rFonts w:asciiTheme="majorHAnsi" w:hAnsiTheme="majorHAnsi" w:cstheme="majorHAnsi"/>
                      <w:color w:val="000000"/>
                      <w:sz w:val="22"/>
                      <w:szCs w:val="22"/>
                      <w:vertAlign w:val="subscript"/>
                    </w:rPr>
                    <w:t>ratio</w:t>
                  </w:r>
                  <w:proofErr w:type="spellEnd"/>
                  <w:r w:rsidRPr="000020F0">
                    <w:rPr>
                      <w:rFonts w:asciiTheme="majorHAnsi" w:hAnsiTheme="majorHAnsi" w:cstheme="majorHAnsi"/>
                      <w:color w:val="000000"/>
                      <w:sz w:val="22"/>
                      <w:szCs w:val="22"/>
                    </w:rPr>
                    <w:t>)</w:t>
                  </w:r>
                </w:p>
              </w:tc>
              <w:tc>
                <w:tcPr>
                  <w:tcW w:w="1600" w:type="dxa"/>
                  <w:noWrap/>
                </w:tcPr>
                <w:p w14:paraId="0DB31ED5" w14:textId="25393097" w:rsidR="00113DCB" w:rsidRPr="000020F0" w:rsidRDefault="00113DCB" w:rsidP="00113DCB">
                  <w:pPr>
                    <w:spacing w:line="276" w:lineRule="auto"/>
                    <w:jc w:val="right"/>
                    <w:rPr>
                      <w:rFonts w:ascii="Arial" w:hAnsi="Arial" w:cs="Arial"/>
                      <w:color w:val="000000"/>
                      <w:sz w:val="22"/>
                      <w:szCs w:val="22"/>
                    </w:rPr>
                  </w:pPr>
                  <w:r w:rsidRPr="000020F0">
                    <w:rPr>
                      <w:rFonts w:ascii="Arial" w:hAnsi="Arial" w:cs="Arial"/>
                      <w:sz w:val="22"/>
                      <w:szCs w:val="22"/>
                    </w:rPr>
                    <w:t>2,14</w:t>
                  </w:r>
                </w:p>
              </w:tc>
            </w:tr>
            <w:tr w:rsidR="00113DCB" w:rsidRPr="000020F0" w14:paraId="24DC06AA" w14:textId="77777777" w:rsidTr="00501764">
              <w:trPr>
                <w:trHeight w:val="285"/>
              </w:trPr>
              <w:tc>
                <w:tcPr>
                  <w:tcW w:w="4210" w:type="dxa"/>
                  <w:noWrap/>
                  <w:vAlign w:val="bottom"/>
                  <w:hideMark/>
                </w:tcPr>
                <w:p w14:paraId="7CFE1BF0" w14:textId="77777777" w:rsidR="00113DCB" w:rsidRPr="000020F0" w:rsidRDefault="00113DCB" w:rsidP="00113DCB">
                  <w:pPr>
                    <w:spacing w:line="276" w:lineRule="auto"/>
                    <w:rPr>
                      <w:rFonts w:asciiTheme="majorHAnsi" w:hAnsiTheme="majorHAnsi" w:cstheme="majorHAnsi"/>
                      <w:color w:val="000000"/>
                      <w:sz w:val="22"/>
                      <w:szCs w:val="22"/>
                    </w:rPr>
                  </w:pPr>
                  <w:r w:rsidRPr="000020F0">
                    <w:rPr>
                      <w:rFonts w:asciiTheme="majorHAnsi" w:hAnsiTheme="majorHAnsi" w:cstheme="majorHAnsi"/>
                      <w:color w:val="000000"/>
                      <w:sz w:val="22"/>
                      <w:szCs w:val="22"/>
                    </w:rPr>
                    <w:t>Doba vračanja</w:t>
                  </w:r>
                </w:p>
              </w:tc>
              <w:tc>
                <w:tcPr>
                  <w:tcW w:w="1600" w:type="dxa"/>
                  <w:noWrap/>
                </w:tcPr>
                <w:p w14:paraId="3B82D2C1" w14:textId="7AC01FE3" w:rsidR="00113DCB" w:rsidRPr="000020F0" w:rsidRDefault="00113DCB" w:rsidP="00113DCB">
                  <w:pPr>
                    <w:spacing w:line="276" w:lineRule="auto"/>
                    <w:jc w:val="right"/>
                    <w:rPr>
                      <w:rFonts w:ascii="Arial" w:hAnsi="Arial" w:cs="Arial"/>
                      <w:color w:val="000000"/>
                      <w:sz w:val="22"/>
                      <w:szCs w:val="22"/>
                    </w:rPr>
                  </w:pPr>
                  <w:r w:rsidRPr="000020F0">
                    <w:rPr>
                      <w:rFonts w:ascii="Arial" w:hAnsi="Arial" w:cs="Arial"/>
                      <w:sz w:val="22"/>
                      <w:szCs w:val="22"/>
                    </w:rPr>
                    <w:t>5,93</w:t>
                  </w:r>
                </w:p>
              </w:tc>
            </w:tr>
          </w:tbl>
          <w:p w14:paraId="3743A1FC" w14:textId="77777777" w:rsidR="009E6E1A" w:rsidRPr="000020F0" w:rsidRDefault="009E6E1A" w:rsidP="009E6E1A">
            <w:pPr>
              <w:spacing w:line="276" w:lineRule="auto"/>
              <w:jc w:val="both"/>
              <w:rPr>
                <w:rFonts w:asciiTheme="majorHAnsi" w:eastAsia="Arial Unicode MS" w:hAnsiTheme="majorHAnsi" w:cstheme="majorHAnsi"/>
                <w:sz w:val="22"/>
                <w:szCs w:val="22"/>
                <w:highlight w:val="yellow"/>
              </w:rPr>
            </w:pPr>
          </w:p>
        </w:tc>
      </w:tr>
    </w:tbl>
    <w:p w14:paraId="18D48479" w14:textId="77777777" w:rsidR="00324C62" w:rsidRPr="000020F0" w:rsidRDefault="00324C62" w:rsidP="00661CF6">
      <w:pPr>
        <w:spacing w:after="200" w:line="276" w:lineRule="auto"/>
        <w:ind w:left="1418" w:hanging="1418"/>
        <w:rPr>
          <w:rFonts w:asciiTheme="majorHAnsi" w:hAnsiTheme="majorHAnsi" w:cstheme="majorHAnsi"/>
          <w:b/>
          <w:bCs/>
          <w:sz w:val="22"/>
          <w:szCs w:val="22"/>
          <w:lang w:eastAsia="en-US"/>
        </w:rPr>
      </w:pPr>
    </w:p>
    <w:p w14:paraId="6327C92A" w14:textId="2CF5CF4E" w:rsidR="00661CF6" w:rsidRPr="000020F0" w:rsidRDefault="00661CF6" w:rsidP="00661CF6">
      <w:pPr>
        <w:spacing w:after="200" w:line="276" w:lineRule="auto"/>
        <w:ind w:left="1418" w:hanging="1418"/>
        <w:rPr>
          <w:rFonts w:asciiTheme="majorHAnsi" w:hAnsiTheme="majorHAnsi" w:cstheme="majorHAnsi"/>
          <w:sz w:val="22"/>
          <w:szCs w:val="22"/>
          <w:lang w:eastAsia="en-US"/>
        </w:rPr>
      </w:pPr>
      <w:bookmarkStart w:id="55" w:name="_Ref230593968"/>
      <w:bookmarkStart w:id="56" w:name="_Ref230593979"/>
      <w:bookmarkStart w:id="57" w:name="_Toc230882282"/>
      <w:r w:rsidRPr="000020F0">
        <w:rPr>
          <w:rFonts w:asciiTheme="majorHAnsi" w:hAnsiTheme="majorHAnsi" w:cstheme="majorHAnsi"/>
          <w:b/>
          <w:bCs/>
          <w:sz w:val="22"/>
          <w:szCs w:val="22"/>
          <w:lang w:eastAsia="en-US"/>
        </w:rPr>
        <w:t>Tabela</w:t>
      </w:r>
      <w:r w:rsidRPr="000020F0">
        <w:rPr>
          <w:rFonts w:asciiTheme="majorHAnsi" w:hAnsiTheme="majorHAnsi" w:cstheme="majorHAnsi"/>
          <w:bCs/>
          <w:sz w:val="22"/>
          <w:szCs w:val="22"/>
          <w:lang w:eastAsia="en-US"/>
        </w:rPr>
        <w:t xml:space="preserve"> </w:t>
      </w:r>
      <w:r w:rsidRPr="000020F0">
        <w:rPr>
          <w:rFonts w:asciiTheme="majorHAnsi" w:hAnsiTheme="majorHAnsi" w:cstheme="majorHAnsi"/>
          <w:b/>
          <w:bCs/>
          <w:sz w:val="22"/>
          <w:szCs w:val="22"/>
          <w:lang w:eastAsia="en-US"/>
        </w:rPr>
        <w:fldChar w:fldCharType="begin"/>
      </w:r>
      <w:r w:rsidRPr="000020F0">
        <w:rPr>
          <w:rFonts w:asciiTheme="majorHAnsi" w:hAnsiTheme="majorHAnsi" w:cstheme="majorHAnsi"/>
          <w:b/>
          <w:bCs/>
          <w:sz w:val="22"/>
          <w:szCs w:val="22"/>
          <w:lang w:eastAsia="en-US"/>
        </w:rPr>
        <w:instrText xml:space="preserve"> SEQ Tabela \* ARABIC </w:instrText>
      </w:r>
      <w:r w:rsidRPr="000020F0">
        <w:rPr>
          <w:rFonts w:asciiTheme="majorHAnsi" w:hAnsiTheme="majorHAnsi" w:cstheme="majorHAnsi"/>
          <w:b/>
          <w:bCs/>
          <w:sz w:val="22"/>
          <w:szCs w:val="22"/>
          <w:lang w:eastAsia="en-US"/>
        </w:rPr>
        <w:fldChar w:fldCharType="separate"/>
      </w:r>
      <w:r w:rsidR="00BB0C0C">
        <w:rPr>
          <w:rFonts w:asciiTheme="majorHAnsi" w:hAnsiTheme="majorHAnsi" w:cstheme="majorHAnsi"/>
          <w:b/>
          <w:bCs/>
          <w:noProof/>
          <w:sz w:val="22"/>
          <w:szCs w:val="22"/>
          <w:lang w:eastAsia="en-US"/>
        </w:rPr>
        <w:t>2</w:t>
      </w:r>
      <w:r w:rsidRPr="000020F0">
        <w:rPr>
          <w:rFonts w:asciiTheme="majorHAnsi" w:hAnsiTheme="majorHAnsi" w:cstheme="majorHAnsi"/>
          <w:b/>
          <w:bCs/>
          <w:sz w:val="22"/>
          <w:szCs w:val="22"/>
          <w:lang w:eastAsia="en-US"/>
        </w:rPr>
        <w:fldChar w:fldCharType="end"/>
      </w:r>
      <w:r w:rsidRPr="000020F0">
        <w:rPr>
          <w:rFonts w:asciiTheme="majorHAnsi" w:hAnsiTheme="majorHAnsi" w:cstheme="majorHAnsi"/>
          <w:bCs/>
          <w:sz w:val="22"/>
          <w:szCs w:val="22"/>
          <w:lang w:eastAsia="en-US"/>
        </w:rPr>
        <w:t xml:space="preserve">: Kazalniki vezani na </w:t>
      </w:r>
      <w:r w:rsidR="001341C7" w:rsidRPr="000020F0">
        <w:rPr>
          <w:rFonts w:ascii="Arial" w:hAnsi="Arial" w:cs="Arial"/>
          <w:bCs/>
          <w:sz w:val="22"/>
          <w:szCs w:val="22"/>
          <w:lang w:eastAsia="zh-TW"/>
        </w:rPr>
        <w:t>JR EKP UTM 202</w:t>
      </w:r>
      <w:r w:rsidR="009F7BC3" w:rsidRPr="000020F0">
        <w:rPr>
          <w:rFonts w:ascii="Arial" w:hAnsi="Arial" w:cs="Arial"/>
          <w:bCs/>
          <w:sz w:val="22"/>
          <w:szCs w:val="22"/>
          <w:lang w:eastAsia="zh-TW"/>
        </w:rPr>
        <w:t>5</w:t>
      </w:r>
      <w:bookmarkEnd w:id="55"/>
      <w:bookmarkEnd w:id="56"/>
      <w:bookmarkEnd w:id="57"/>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9"/>
        <w:gridCol w:w="1277"/>
        <w:gridCol w:w="1094"/>
        <w:gridCol w:w="624"/>
        <w:gridCol w:w="1094"/>
        <w:gridCol w:w="607"/>
        <w:gridCol w:w="1962"/>
      </w:tblGrid>
      <w:tr w:rsidR="00B923E9" w:rsidRPr="000020F0" w14:paraId="2BCF7378" w14:textId="77777777" w:rsidTr="00B923E9">
        <w:trPr>
          <w:trHeight w:val="645"/>
          <w:tblHeader/>
        </w:trPr>
        <w:tc>
          <w:tcPr>
            <w:tcW w:w="3379" w:type="dxa"/>
            <w:vMerge w:val="restart"/>
            <w:shd w:val="clear" w:color="auto" w:fill="DBE5F1" w:themeFill="accent1" w:themeFillTint="33"/>
            <w:vAlign w:val="center"/>
            <w:hideMark/>
          </w:tcPr>
          <w:p w14:paraId="2DA4777B"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Specifični kazalniki učinka</w:t>
            </w:r>
          </w:p>
        </w:tc>
        <w:tc>
          <w:tcPr>
            <w:tcW w:w="1277" w:type="dxa"/>
            <w:vMerge w:val="restart"/>
            <w:shd w:val="clear" w:color="auto" w:fill="DBE5F1" w:themeFill="accent1" w:themeFillTint="33"/>
            <w:vAlign w:val="center"/>
            <w:hideMark/>
          </w:tcPr>
          <w:p w14:paraId="19886F4B"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Okvir smotrnosti</w:t>
            </w:r>
          </w:p>
        </w:tc>
        <w:tc>
          <w:tcPr>
            <w:tcW w:w="1718" w:type="dxa"/>
            <w:gridSpan w:val="2"/>
            <w:shd w:val="clear" w:color="auto" w:fill="DBE5F1" w:themeFill="accent1" w:themeFillTint="33"/>
            <w:vAlign w:val="center"/>
            <w:hideMark/>
          </w:tcPr>
          <w:p w14:paraId="22226046"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Izhodiščna vrednost</w:t>
            </w:r>
          </w:p>
        </w:tc>
        <w:tc>
          <w:tcPr>
            <w:tcW w:w="1701" w:type="dxa"/>
            <w:gridSpan w:val="2"/>
            <w:shd w:val="clear" w:color="auto" w:fill="DBE5F1" w:themeFill="accent1" w:themeFillTint="33"/>
            <w:vAlign w:val="center"/>
            <w:hideMark/>
          </w:tcPr>
          <w:p w14:paraId="1BD4109C"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Načrtovana vrednost</w:t>
            </w:r>
          </w:p>
        </w:tc>
        <w:tc>
          <w:tcPr>
            <w:tcW w:w="1962" w:type="dxa"/>
            <w:vMerge w:val="restart"/>
            <w:shd w:val="clear" w:color="auto" w:fill="DBE5F1" w:themeFill="accent1" w:themeFillTint="33"/>
            <w:vAlign w:val="center"/>
            <w:hideMark/>
          </w:tcPr>
          <w:p w14:paraId="318DE679"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Programska vrstica</w:t>
            </w:r>
          </w:p>
        </w:tc>
      </w:tr>
      <w:tr w:rsidR="00B923E9" w:rsidRPr="000020F0" w14:paraId="15817222" w14:textId="77777777" w:rsidTr="00B923E9">
        <w:trPr>
          <w:trHeight w:val="57"/>
        </w:trPr>
        <w:tc>
          <w:tcPr>
            <w:tcW w:w="3379" w:type="dxa"/>
            <w:vMerge/>
            <w:vAlign w:val="center"/>
            <w:hideMark/>
          </w:tcPr>
          <w:p w14:paraId="508D8F52" w14:textId="77777777" w:rsidR="00324C62" w:rsidRPr="000020F0" w:rsidRDefault="00324C62">
            <w:pPr>
              <w:rPr>
                <w:rFonts w:asciiTheme="majorHAnsi" w:hAnsiTheme="majorHAnsi" w:cstheme="majorHAnsi"/>
                <w:b/>
                <w:bCs/>
                <w:color w:val="000000"/>
                <w:sz w:val="20"/>
                <w:szCs w:val="20"/>
              </w:rPr>
            </w:pPr>
          </w:p>
        </w:tc>
        <w:tc>
          <w:tcPr>
            <w:tcW w:w="1277" w:type="dxa"/>
            <w:vMerge/>
            <w:vAlign w:val="center"/>
            <w:hideMark/>
          </w:tcPr>
          <w:p w14:paraId="61C016A0" w14:textId="77777777" w:rsidR="00324C62" w:rsidRPr="000020F0" w:rsidRDefault="00324C62">
            <w:pPr>
              <w:rPr>
                <w:rFonts w:asciiTheme="majorHAnsi" w:hAnsiTheme="majorHAnsi" w:cstheme="majorHAnsi"/>
                <w:b/>
                <w:bCs/>
                <w:color w:val="000000"/>
                <w:sz w:val="20"/>
                <w:szCs w:val="20"/>
              </w:rPr>
            </w:pPr>
          </w:p>
        </w:tc>
        <w:tc>
          <w:tcPr>
            <w:tcW w:w="1094" w:type="dxa"/>
            <w:shd w:val="clear" w:color="000000" w:fill="D9D9D9"/>
            <w:vAlign w:val="center"/>
            <w:hideMark/>
          </w:tcPr>
          <w:p w14:paraId="2130F02A"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Vrednost</w:t>
            </w:r>
          </w:p>
        </w:tc>
        <w:tc>
          <w:tcPr>
            <w:tcW w:w="624" w:type="dxa"/>
            <w:shd w:val="clear" w:color="000000" w:fill="D9D9D9"/>
            <w:vAlign w:val="center"/>
            <w:hideMark/>
          </w:tcPr>
          <w:p w14:paraId="6D7A2E48"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Leto</w:t>
            </w:r>
          </w:p>
        </w:tc>
        <w:tc>
          <w:tcPr>
            <w:tcW w:w="1094" w:type="dxa"/>
            <w:shd w:val="clear" w:color="000000" w:fill="D9D9D9"/>
            <w:vAlign w:val="center"/>
            <w:hideMark/>
          </w:tcPr>
          <w:p w14:paraId="034E74C0"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Vrednost</w:t>
            </w:r>
          </w:p>
        </w:tc>
        <w:tc>
          <w:tcPr>
            <w:tcW w:w="607" w:type="dxa"/>
            <w:shd w:val="clear" w:color="000000" w:fill="D9D9D9"/>
            <w:vAlign w:val="center"/>
            <w:hideMark/>
          </w:tcPr>
          <w:p w14:paraId="73E18F23" w14:textId="77777777" w:rsidR="00324C62" w:rsidRPr="000020F0" w:rsidRDefault="00324C62">
            <w:pPr>
              <w:jc w:val="cente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Leto</w:t>
            </w:r>
          </w:p>
        </w:tc>
        <w:tc>
          <w:tcPr>
            <w:tcW w:w="1962" w:type="dxa"/>
            <w:vMerge/>
            <w:vAlign w:val="center"/>
            <w:hideMark/>
          </w:tcPr>
          <w:p w14:paraId="2F3D240F" w14:textId="77777777" w:rsidR="00324C62" w:rsidRPr="000020F0" w:rsidRDefault="00324C62">
            <w:pPr>
              <w:rPr>
                <w:rFonts w:asciiTheme="majorHAnsi" w:hAnsiTheme="majorHAnsi" w:cstheme="majorHAnsi"/>
                <w:b/>
                <w:bCs/>
                <w:color w:val="000000"/>
                <w:sz w:val="20"/>
                <w:szCs w:val="20"/>
              </w:rPr>
            </w:pPr>
          </w:p>
        </w:tc>
      </w:tr>
      <w:tr w:rsidR="00324C62" w:rsidRPr="000020F0" w14:paraId="62E9F233" w14:textId="77777777" w:rsidTr="00B923E9">
        <w:trPr>
          <w:trHeight w:val="1050"/>
        </w:trPr>
        <w:tc>
          <w:tcPr>
            <w:tcW w:w="3379" w:type="dxa"/>
            <w:vAlign w:val="center"/>
            <w:hideMark/>
          </w:tcPr>
          <w:p w14:paraId="42A30FC8"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SK127 - Število celovito rekonstruiranih ulic ali cest skladno z načeli trajnostne mobilnosti</w:t>
            </w:r>
          </w:p>
        </w:tc>
        <w:tc>
          <w:tcPr>
            <w:tcW w:w="1277" w:type="dxa"/>
            <w:vAlign w:val="center"/>
            <w:hideMark/>
          </w:tcPr>
          <w:p w14:paraId="04A13E02"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38D477BE"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4A028386" w14:textId="502D40B4"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5D7C7ACD" w14:textId="314AA608" w:rsidR="00324C62" w:rsidRPr="000020F0" w:rsidRDefault="006C0E07">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607" w:type="dxa"/>
            <w:vAlign w:val="center"/>
            <w:hideMark/>
          </w:tcPr>
          <w:p w14:paraId="0B80037C"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49126CEF"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7A0230F0" w14:textId="77777777" w:rsidTr="00B923E9">
        <w:trPr>
          <w:trHeight w:val="585"/>
        </w:trPr>
        <w:tc>
          <w:tcPr>
            <w:tcW w:w="3379" w:type="dxa"/>
            <w:vAlign w:val="center"/>
            <w:hideMark/>
          </w:tcPr>
          <w:p w14:paraId="43FD8583"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SK128 - Površina celovito rekonstruiranih ulic ali cest skladno z načeli trajnostne</w:t>
            </w:r>
          </w:p>
        </w:tc>
        <w:tc>
          <w:tcPr>
            <w:tcW w:w="1277" w:type="dxa"/>
            <w:vAlign w:val="center"/>
            <w:hideMark/>
          </w:tcPr>
          <w:p w14:paraId="6FF7DD83"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12F9CC2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14199477" w14:textId="5BAA0F93"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346157B9" w14:textId="58875C90" w:rsidR="00324C62" w:rsidRPr="000020F0" w:rsidRDefault="006C0E07">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2591,30</w:t>
            </w:r>
            <w:r w:rsidR="00324C62" w:rsidRPr="000020F0">
              <w:rPr>
                <w:rFonts w:asciiTheme="majorHAnsi" w:hAnsiTheme="majorHAnsi" w:cstheme="majorHAnsi"/>
                <w:color w:val="000000"/>
                <w:sz w:val="20"/>
                <w:szCs w:val="20"/>
              </w:rPr>
              <w:t xml:space="preserve"> m2</w:t>
            </w:r>
            <w:r w:rsidR="00E13CBC" w:rsidRPr="000020F0">
              <w:rPr>
                <w:rFonts w:asciiTheme="majorHAnsi" w:hAnsiTheme="majorHAnsi" w:cstheme="majorHAnsi"/>
                <w:color w:val="000000"/>
                <w:sz w:val="20"/>
                <w:szCs w:val="20"/>
              </w:rPr>
              <w:t xml:space="preserve"> *</w:t>
            </w:r>
          </w:p>
        </w:tc>
        <w:tc>
          <w:tcPr>
            <w:tcW w:w="607" w:type="dxa"/>
            <w:vAlign w:val="center"/>
            <w:hideMark/>
          </w:tcPr>
          <w:p w14:paraId="156F1A6B"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625535EA"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5C7D7CFA" w14:textId="77777777" w:rsidTr="00B923E9">
        <w:trPr>
          <w:trHeight w:val="675"/>
        </w:trPr>
        <w:tc>
          <w:tcPr>
            <w:tcW w:w="3379" w:type="dxa"/>
            <w:vAlign w:val="center"/>
            <w:hideMark/>
          </w:tcPr>
          <w:p w14:paraId="411C6CB6"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SK129 - Število novih območij skupnega prometnega prostora</w:t>
            </w:r>
          </w:p>
        </w:tc>
        <w:tc>
          <w:tcPr>
            <w:tcW w:w="1277" w:type="dxa"/>
            <w:vAlign w:val="center"/>
            <w:hideMark/>
          </w:tcPr>
          <w:p w14:paraId="7A834FF7"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1A9FAC5F"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7AA472E1" w14:textId="1AE6BEC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11D80EB0" w14:textId="1FBBB7BF" w:rsidR="00324C62" w:rsidRPr="000020F0" w:rsidRDefault="006C0E07">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607" w:type="dxa"/>
            <w:vAlign w:val="center"/>
            <w:hideMark/>
          </w:tcPr>
          <w:p w14:paraId="28B82D9C"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3CBA91F0"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4FA75DCE" w14:textId="77777777" w:rsidTr="00B923E9">
        <w:trPr>
          <w:trHeight w:val="675"/>
        </w:trPr>
        <w:tc>
          <w:tcPr>
            <w:tcW w:w="3379" w:type="dxa"/>
            <w:vAlign w:val="center"/>
            <w:hideMark/>
          </w:tcPr>
          <w:p w14:paraId="55306606"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SK130 - Površina novih območij skupnega prometnega prostora</w:t>
            </w:r>
          </w:p>
        </w:tc>
        <w:tc>
          <w:tcPr>
            <w:tcW w:w="1277" w:type="dxa"/>
            <w:vAlign w:val="center"/>
            <w:hideMark/>
          </w:tcPr>
          <w:p w14:paraId="3CC6E0E7"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34AEC6E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30113C3F" w14:textId="22935F1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20411CCC" w14:textId="03F24447" w:rsidR="00324C62" w:rsidRPr="000020F0" w:rsidRDefault="0087014C">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1872,1</w:t>
            </w:r>
          </w:p>
        </w:tc>
        <w:tc>
          <w:tcPr>
            <w:tcW w:w="607" w:type="dxa"/>
            <w:vAlign w:val="center"/>
            <w:hideMark/>
          </w:tcPr>
          <w:p w14:paraId="7CFA84C3"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31C4380F"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68501087" w14:textId="77777777" w:rsidTr="00B923E9">
        <w:trPr>
          <w:trHeight w:val="675"/>
        </w:trPr>
        <w:tc>
          <w:tcPr>
            <w:tcW w:w="3379" w:type="dxa"/>
            <w:vAlign w:val="center"/>
            <w:hideMark/>
          </w:tcPr>
          <w:p w14:paraId="62C6972D"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SK137 - Število rekonstruiranih postajališč za JPP</w:t>
            </w:r>
          </w:p>
        </w:tc>
        <w:tc>
          <w:tcPr>
            <w:tcW w:w="1277" w:type="dxa"/>
            <w:vAlign w:val="center"/>
            <w:hideMark/>
          </w:tcPr>
          <w:p w14:paraId="77A2966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3370CD54"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0981D62D" w14:textId="51B4DC00"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55023AD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607" w:type="dxa"/>
            <w:vAlign w:val="center"/>
            <w:hideMark/>
          </w:tcPr>
          <w:p w14:paraId="51981050"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51B6AE78"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754BA77B" w14:textId="77777777" w:rsidTr="00B923E9">
        <w:trPr>
          <w:trHeight w:val="315"/>
        </w:trPr>
        <w:tc>
          <w:tcPr>
            <w:tcW w:w="3379" w:type="dxa"/>
            <w:vAlign w:val="center"/>
            <w:hideMark/>
          </w:tcPr>
          <w:p w14:paraId="6296EA33"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SK144 - Število postavljenih kolesarnic</w:t>
            </w:r>
          </w:p>
        </w:tc>
        <w:tc>
          <w:tcPr>
            <w:tcW w:w="1277" w:type="dxa"/>
            <w:vAlign w:val="center"/>
            <w:hideMark/>
          </w:tcPr>
          <w:p w14:paraId="52A39A97"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696E7A8E"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4E608269" w14:textId="2BA94755"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6777D467"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w:t>
            </w:r>
          </w:p>
        </w:tc>
        <w:tc>
          <w:tcPr>
            <w:tcW w:w="607" w:type="dxa"/>
            <w:vAlign w:val="center"/>
            <w:hideMark/>
          </w:tcPr>
          <w:p w14:paraId="7B1C609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0AB24D49"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061417B6" w14:textId="77777777" w:rsidTr="00B923E9">
        <w:trPr>
          <w:trHeight w:val="675"/>
        </w:trPr>
        <w:tc>
          <w:tcPr>
            <w:tcW w:w="3379" w:type="dxa"/>
            <w:vAlign w:val="center"/>
            <w:hideMark/>
          </w:tcPr>
          <w:p w14:paraId="72652233"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SK145 - Število novih parkirnih mest za kolesa</w:t>
            </w:r>
          </w:p>
        </w:tc>
        <w:tc>
          <w:tcPr>
            <w:tcW w:w="1277" w:type="dxa"/>
            <w:vAlign w:val="center"/>
            <w:hideMark/>
          </w:tcPr>
          <w:p w14:paraId="2CDDFCEF"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5B3D20C8"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531F8F31" w14:textId="28A32ABE"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7CC5324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50</w:t>
            </w:r>
          </w:p>
        </w:tc>
        <w:tc>
          <w:tcPr>
            <w:tcW w:w="607" w:type="dxa"/>
            <w:vAlign w:val="center"/>
            <w:hideMark/>
          </w:tcPr>
          <w:p w14:paraId="3426A1B7"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4916ADBD"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2EF45ACC" w14:textId="77777777" w:rsidTr="00B923E9">
        <w:trPr>
          <w:trHeight w:val="675"/>
        </w:trPr>
        <w:tc>
          <w:tcPr>
            <w:tcW w:w="3379" w:type="dxa"/>
            <w:vAlign w:val="center"/>
            <w:hideMark/>
          </w:tcPr>
          <w:p w14:paraId="4BDE51BF"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SK146 - Število postavljenih števcev kolesarjev</w:t>
            </w:r>
          </w:p>
        </w:tc>
        <w:tc>
          <w:tcPr>
            <w:tcW w:w="1277" w:type="dxa"/>
            <w:vAlign w:val="center"/>
            <w:hideMark/>
          </w:tcPr>
          <w:p w14:paraId="2AF2E1CE"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42CD785F"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5F8FBADD" w14:textId="7353DB40"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28008EC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607" w:type="dxa"/>
            <w:vAlign w:val="center"/>
            <w:hideMark/>
          </w:tcPr>
          <w:p w14:paraId="3871F748"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07284539"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11165BA6" w14:textId="77777777" w:rsidTr="00B923E9">
        <w:trPr>
          <w:trHeight w:val="675"/>
        </w:trPr>
        <w:tc>
          <w:tcPr>
            <w:tcW w:w="3379" w:type="dxa"/>
            <w:vAlign w:val="center"/>
            <w:hideMark/>
          </w:tcPr>
          <w:p w14:paraId="6F4C1BB3"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SK147 - Število novih sistemov izposoje javnih koles</w:t>
            </w:r>
          </w:p>
        </w:tc>
        <w:tc>
          <w:tcPr>
            <w:tcW w:w="1277" w:type="dxa"/>
            <w:vAlign w:val="center"/>
            <w:hideMark/>
          </w:tcPr>
          <w:p w14:paraId="55CF88D4"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15C10EF3"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2A674344" w14:textId="41ED22D8"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568C4A03"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607" w:type="dxa"/>
            <w:vAlign w:val="center"/>
            <w:hideMark/>
          </w:tcPr>
          <w:p w14:paraId="5F004BC6"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2967E058"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73CB4FD1" w14:textId="77777777" w:rsidTr="00B923E9">
        <w:trPr>
          <w:trHeight w:val="675"/>
        </w:trPr>
        <w:tc>
          <w:tcPr>
            <w:tcW w:w="3379" w:type="dxa"/>
            <w:vAlign w:val="center"/>
            <w:hideMark/>
          </w:tcPr>
          <w:p w14:paraId="21C6B451"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SK148 - Število novih postaj sistema izposoje javnih koles</w:t>
            </w:r>
          </w:p>
        </w:tc>
        <w:tc>
          <w:tcPr>
            <w:tcW w:w="1277" w:type="dxa"/>
            <w:vAlign w:val="center"/>
            <w:hideMark/>
          </w:tcPr>
          <w:p w14:paraId="5F004610"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288CCE52"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3CD3F8F4" w14:textId="5CE89AC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2B028853"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w:t>
            </w:r>
          </w:p>
        </w:tc>
        <w:tc>
          <w:tcPr>
            <w:tcW w:w="607" w:type="dxa"/>
            <w:vAlign w:val="center"/>
            <w:hideMark/>
          </w:tcPr>
          <w:p w14:paraId="1B34B045"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4F5B11EB"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r w:rsidR="00324C62" w:rsidRPr="000020F0" w14:paraId="39B84DF6" w14:textId="77777777" w:rsidTr="00B923E9">
        <w:trPr>
          <w:trHeight w:val="675"/>
        </w:trPr>
        <w:tc>
          <w:tcPr>
            <w:tcW w:w="3379" w:type="dxa"/>
            <w:vAlign w:val="center"/>
            <w:hideMark/>
          </w:tcPr>
          <w:p w14:paraId="59C1F0E5" w14:textId="77777777" w:rsidR="00324C62" w:rsidRPr="000020F0" w:rsidRDefault="00324C62">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SK150 - Število novih koles v sistemu izposoje javnih koles</w:t>
            </w:r>
          </w:p>
        </w:tc>
        <w:tc>
          <w:tcPr>
            <w:tcW w:w="1277" w:type="dxa"/>
            <w:vAlign w:val="center"/>
            <w:hideMark/>
          </w:tcPr>
          <w:p w14:paraId="004377A8"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NE</w:t>
            </w:r>
          </w:p>
        </w:tc>
        <w:tc>
          <w:tcPr>
            <w:tcW w:w="1094" w:type="dxa"/>
            <w:vAlign w:val="center"/>
            <w:hideMark/>
          </w:tcPr>
          <w:p w14:paraId="3752222D"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0</w:t>
            </w:r>
          </w:p>
        </w:tc>
        <w:tc>
          <w:tcPr>
            <w:tcW w:w="624" w:type="dxa"/>
            <w:vAlign w:val="center"/>
            <w:hideMark/>
          </w:tcPr>
          <w:p w14:paraId="64F5F063" w14:textId="7204755B"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w:t>
            </w:r>
            <w:r w:rsidR="006F6ED5" w:rsidRPr="000020F0">
              <w:rPr>
                <w:rFonts w:asciiTheme="majorHAnsi" w:hAnsiTheme="majorHAnsi" w:cstheme="majorHAnsi"/>
                <w:color w:val="000000"/>
                <w:sz w:val="20"/>
                <w:szCs w:val="20"/>
              </w:rPr>
              <w:t>6</w:t>
            </w:r>
          </w:p>
        </w:tc>
        <w:tc>
          <w:tcPr>
            <w:tcW w:w="1094" w:type="dxa"/>
            <w:vAlign w:val="center"/>
            <w:hideMark/>
          </w:tcPr>
          <w:p w14:paraId="4A13FE99"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8</w:t>
            </w:r>
          </w:p>
        </w:tc>
        <w:tc>
          <w:tcPr>
            <w:tcW w:w="607" w:type="dxa"/>
            <w:vAlign w:val="center"/>
            <w:hideMark/>
          </w:tcPr>
          <w:p w14:paraId="7C1B1E5A"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2029</w:t>
            </w:r>
          </w:p>
        </w:tc>
        <w:tc>
          <w:tcPr>
            <w:tcW w:w="1962" w:type="dxa"/>
            <w:vAlign w:val="center"/>
            <w:hideMark/>
          </w:tcPr>
          <w:p w14:paraId="37685CAE" w14:textId="77777777" w:rsidR="00324C62" w:rsidRPr="000020F0" w:rsidRDefault="00324C62">
            <w:pPr>
              <w:jc w:val="center"/>
              <w:rPr>
                <w:rFonts w:asciiTheme="majorHAnsi" w:hAnsiTheme="majorHAnsi" w:cstheme="majorHAnsi"/>
                <w:color w:val="000000"/>
                <w:sz w:val="20"/>
                <w:szCs w:val="20"/>
              </w:rPr>
            </w:pPr>
            <w:r w:rsidRPr="000020F0">
              <w:rPr>
                <w:rFonts w:asciiTheme="majorHAnsi" w:hAnsiTheme="majorHAnsi" w:cstheme="majorHAnsi"/>
                <w:color w:val="000000"/>
                <w:sz w:val="20"/>
                <w:szCs w:val="20"/>
              </w:rPr>
              <w:t>5/RSO3.2/KS/SLO</w:t>
            </w:r>
          </w:p>
        </w:tc>
      </w:tr>
    </w:tbl>
    <w:p w14:paraId="0A9722AA" w14:textId="6D25EA73" w:rsidR="00AA423F" w:rsidRPr="000020F0" w:rsidRDefault="00E13CBC" w:rsidP="00576FC2">
      <w:pPr>
        <w:pStyle w:val="Odstavekseznama"/>
        <w:numPr>
          <w:ilvl w:val="0"/>
          <w:numId w:val="110"/>
        </w:numPr>
        <w:rPr>
          <w:rFonts w:eastAsiaTheme="majorEastAsia"/>
        </w:rPr>
      </w:pPr>
      <w:r w:rsidRPr="000020F0">
        <w:rPr>
          <w:rFonts w:eastAsiaTheme="majorEastAsia"/>
        </w:rPr>
        <w:t xml:space="preserve">od tega </w:t>
      </w:r>
      <w:r w:rsidR="0087014C" w:rsidRPr="000020F0">
        <w:rPr>
          <w:rFonts w:eastAsiaTheme="majorEastAsia"/>
        </w:rPr>
        <w:t>1872,1</w:t>
      </w:r>
      <w:r w:rsidRPr="000020F0">
        <w:rPr>
          <w:rFonts w:eastAsiaTheme="majorEastAsia"/>
        </w:rPr>
        <w:t xml:space="preserve"> m</w:t>
      </w:r>
      <w:r w:rsidRPr="000020F0">
        <w:rPr>
          <w:rFonts w:eastAsiaTheme="majorEastAsia"/>
          <w:vertAlign w:val="superscript"/>
        </w:rPr>
        <w:t>2</w:t>
      </w:r>
      <w:r w:rsidRPr="000020F0">
        <w:rPr>
          <w:rFonts w:eastAsiaTheme="majorEastAsia"/>
        </w:rPr>
        <w:t xml:space="preserve"> skupni prometni prostor</w:t>
      </w:r>
    </w:p>
    <w:p w14:paraId="70A28C4E" w14:textId="794FF2A5" w:rsidR="00DE17E6" w:rsidRPr="000020F0" w:rsidRDefault="00DE17E6"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58" w:name="_Ref230593794"/>
      <w:bookmarkStart w:id="59" w:name="_Toc230882164"/>
      <w:r w:rsidRPr="000020F0">
        <w:rPr>
          <w:rFonts w:asciiTheme="majorHAnsi" w:eastAsiaTheme="majorEastAsia" w:hAnsiTheme="majorHAnsi" w:cstheme="majorHAnsi"/>
          <w:color w:val="244061" w:themeColor="accent1" w:themeShade="80"/>
        </w:rPr>
        <w:lastRenderedPageBreak/>
        <w:t>O investitorju</w:t>
      </w:r>
      <w:r w:rsidR="00AA5D4E" w:rsidRPr="000020F0">
        <w:rPr>
          <w:rFonts w:asciiTheme="majorHAnsi" w:eastAsiaTheme="majorEastAsia" w:hAnsiTheme="majorHAnsi" w:cstheme="majorHAnsi"/>
          <w:color w:val="244061" w:themeColor="accent1" w:themeShade="80"/>
        </w:rPr>
        <w:t>, upravljavcu in naročniku</w:t>
      </w:r>
      <w:bookmarkEnd w:id="58"/>
      <w:bookmarkEnd w:id="59"/>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0A0" w:firstRow="1" w:lastRow="0" w:firstColumn="1" w:lastColumn="0" w:noHBand="0" w:noVBand="0"/>
      </w:tblPr>
      <w:tblGrid>
        <w:gridCol w:w="3038"/>
        <w:gridCol w:w="6271"/>
      </w:tblGrid>
      <w:tr w:rsidR="00D92045" w:rsidRPr="000020F0" w14:paraId="38A09EA4" w14:textId="77777777" w:rsidTr="004677E5">
        <w:tc>
          <w:tcPr>
            <w:tcW w:w="1632" w:type="pct"/>
            <w:shd w:val="clear" w:color="auto" w:fill="DBE5F1"/>
            <w:vAlign w:val="center"/>
          </w:tcPr>
          <w:p w14:paraId="0D92F61F"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NAZIV</w:t>
            </w:r>
          </w:p>
        </w:tc>
        <w:tc>
          <w:tcPr>
            <w:tcW w:w="3368" w:type="pct"/>
          </w:tcPr>
          <w:p w14:paraId="59F8CB6B" w14:textId="3EBB6183" w:rsidR="00D92045" w:rsidRPr="000020F0" w:rsidRDefault="00DD138C" w:rsidP="00BD1D20">
            <w:pPr>
              <w:autoSpaceDE w:val="0"/>
              <w:autoSpaceDN w:val="0"/>
              <w:adjustRightInd w:val="0"/>
              <w:spacing w:line="276" w:lineRule="auto"/>
              <w:jc w:val="both"/>
              <w:rPr>
                <w:rFonts w:asciiTheme="majorHAnsi" w:eastAsia="Arial Unicode MS" w:hAnsiTheme="majorHAnsi" w:cstheme="majorHAnsi"/>
                <w:b/>
                <w:bCs/>
                <w:color w:val="000000"/>
                <w:sz w:val="22"/>
                <w:szCs w:val="22"/>
                <w:lang w:eastAsia="en-US"/>
              </w:rPr>
            </w:pPr>
            <w:r w:rsidRPr="000020F0">
              <w:rPr>
                <w:rFonts w:asciiTheme="majorHAnsi" w:eastAsia="Arial Unicode MS" w:hAnsiTheme="majorHAnsi" w:cstheme="majorHAnsi"/>
                <w:b/>
                <w:bCs/>
                <w:color w:val="000000"/>
                <w:sz w:val="22"/>
                <w:szCs w:val="22"/>
                <w:lang w:eastAsia="en-US"/>
              </w:rPr>
              <w:t>Občina Ig</w:t>
            </w:r>
          </w:p>
        </w:tc>
      </w:tr>
      <w:tr w:rsidR="00D92045" w:rsidRPr="000020F0" w14:paraId="7A685693" w14:textId="77777777" w:rsidTr="004677E5">
        <w:tc>
          <w:tcPr>
            <w:tcW w:w="1632" w:type="pct"/>
            <w:shd w:val="clear" w:color="auto" w:fill="DBE5F1"/>
            <w:vAlign w:val="center"/>
          </w:tcPr>
          <w:p w14:paraId="0E86103C"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NASLOV</w:t>
            </w:r>
          </w:p>
        </w:tc>
        <w:tc>
          <w:tcPr>
            <w:tcW w:w="3368" w:type="pct"/>
          </w:tcPr>
          <w:p w14:paraId="48297B34" w14:textId="6A4B2CCC" w:rsidR="00D92045" w:rsidRPr="000020F0" w:rsidRDefault="00B26BA7"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Govekarjeva cesta 6, 1292 Ig</w:t>
            </w:r>
          </w:p>
        </w:tc>
      </w:tr>
      <w:tr w:rsidR="00D92045" w:rsidRPr="000020F0" w14:paraId="70BC7B50" w14:textId="77777777" w:rsidTr="004677E5">
        <w:tc>
          <w:tcPr>
            <w:tcW w:w="1632" w:type="pct"/>
            <w:shd w:val="clear" w:color="auto" w:fill="DBE5F1"/>
            <w:vAlign w:val="center"/>
          </w:tcPr>
          <w:p w14:paraId="0FCE39B2"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KONTAKT</w:t>
            </w:r>
          </w:p>
        </w:tc>
        <w:tc>
          <w:tcPr>
            <w:tcW w:w="3368" w:type="pct"/>
          </w:tcPr>
          <w:p w14:paraId="302A1BF3" w14:textId="5FE778A4" w:rsidR="00FF5FF0" w:rsidRPr="000020F0" w:rsidRDefault="00FF5FF0" w:rsidP="00FF5FF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T: 01 280 23 00</w:t>
            </w:r>
          </w:p>
          <w:p w14:paraId="61F0DF89" w14:textId="281FCCC7" w:rsidR="00D92045" w:rsidRPr="000020F0" w:rsidRDefault="00FF5FF0"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E: info@obcina-ig.si</w:t>
            </w:r>
          </w:p>
        </w:tc>
      </w:tr>
      <w:tr w:rsidR="00D92045" w:rsidRPr="000020F0" w14:paraId="426E280F" w14:textId="77777777" w:rsidTr="004677E5">
        <w:tc>
          <w:tcPr>
            <w:tcW w:w="1632" w:type="pct"/>
            <w:shd w:val="clear" w:color="auto" w:fill="DBE5F1"/>
            <w:vAlign w:val="center"/>
          </w:tcPr>
          <w:p w14:paraId="09D38CCC"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MATIČNA ŠTEVILKA</w:t>
            </w:r>
          </w:p>
        </w:tc>
        <w:tc>
          <w:tcPr>
            <w:tcW w:w="3368" w:type="pct"/>
          </w:tcPr>
          <w:p w14:paraId="13CD34C5" w14:textId="7BA65332" w:rsidR="00D92045" w:rsidRPr="000020F0" w:rsidRDefault="00F71185"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5874769000</w:t>
            </w:r>
          </w:p>
        </w:tc>
      </w:tr>
      <w:tr w:rsidR="00D92045" w:rsidRPr="000020F0" w14:paraId="01E772A0" w14:textId="77777777" w:rsidTr="004677E5">
        <w:tc>
          <w:tcPr>
            <w:tcW w:w="1632" w:type="pct"/>
            <w:shd w:val="clear" w:color="auto" w:fill="DBE5F1"/>
            <w:vAlign w:val="center"/>
          </w:tcPr>
          <w:p w14:paraId="17038DA9"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DAVČNA ŠTEVILKA</w:t>
            </w:r>
          </w:p>
        </w:tc>
        <w:tc>
          <w:tcPr>
            <w:tcW w:w="3368" w:type="pct"/>
          </w:tcPr>
          <w:p w14:paraId="7E5E476F" w14:textId="3F6F0468" w:rsidR="00D92045" w:rsidRPr="000020F0" w:rsidRDefault="00D4410C"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SI 47731206</w:t>
            </w:r>
          </w:p>
        </w:tc>
      </w:tr>
      <w:tr w:rsidR="00D92045" w:rsidRPr="000020F0" w14:paraId="1614A5EC" w14:textId="77777777" w:rsidTr="004677E5">
        <w:tc>
          <w:tcPr>
            <w:tcW w:w="1632" w:type="pct"/>
            <w:shd w:val="clear" w:color="auto" w:fill="DBE5F1"/>
            <w:vAlign w:val="center"/>
          </w:tcPr>
          <w:p w14:paraId="27251CFF"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ŠIFRA DEJAVNOSTI</w:t>
            </w:r>
          </w:p>
        </w:tc>
        <w:tc>
          <w:tcPr>
            <w:tcW w:w="3368" w:type="pct"/>
          </w:tcPr>
          <w:p w14:paraId="55D6374F" w14:textId="78AD1C11" w:rsidR="00D92045" w:rsidRPr="000020F0" w:rsidRDefault="003B764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 xml:space="preserve">84.110 (Splošna </w:t>
            </w:r>
            <w:proofErr w:type="spellStart"/>
            <w:r w:rsidRPr="000020F0">
              <w:rPr>
                <w:rFonts w:asciiTheme="majorHAnsi" w:eastAsia="Arial Unicode MS" w:hAnsiTheme="majorHAnsi" w:cstheme="majorHAnsi"/>
                <w:color w:val="000000"/>
                <w:sz w:val="22"/>
                <w:szCs w:val="22"/>
                <w:lang w:eastAsia="en-US"/>
              </w:rPr>
              <w:t>dej.javne</w:t>
            </w:r>
            <w:proofErr w:type="spellEnd"/>
            <w:r w:rsidRPr="000020F0">
              <w:rPr>
                <w:rFonts w:asciiTheme="majorHAnsi" w:eastAsia="Arial Unicode MS" w:hAnsiTheme="majorHAnsi" w:cstheme="majorHAnsi"/>
                <w:color w:val="000000"/>
                <w:sz w:val="22"/>
                <w:szCs w:val="22"/>
                <w:lang w:eastAsia="en-US"/>
              </w:rPr>
              <w:t xml:space="preserve"> uprave)</w:t>
            </w:r>
          </w:p>
        </w:tc>
      </w:tr>
      <w:tr w:rsidR="00D92045" w:rsidRPr="000020F0" w14:paraId="4DFAE616" w14:textId="77777777" w:rsidTr="004677E5">
        <w:tc>
          <w:tcPr>
            <w:tcW w:w="1632" w:type="pct"/>
            <w:shd w:val="clear" w:color="auto" w:fill="DBE5F1"/>
            <w:vAlign w:val="center"/>
          </w:tcPr>
          <w:p w14:paraId="312E0881"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ŠT. TRANSAKCIJSKEGA RAČUNA</w:t>
            </w:r>
          </w:p>
        </w:tc>
        <w:tc>
          <w:tcPr>
            <w:tcW w:w="3368" w:type="pct"/>
          </w:tcPr>
          <w:p w14:paraId="5757CBFB" w14:textId="77777777" w:rsidR="008653A6" w:rsidRPr="000020F0" w:rsidRDefault="008653A6" w:rsidP="008653A6">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SI56 0123 7010 0000 320</w:t>
            </w:r>
          </w:p>
          <w:p w14:paraId="4E09186D" w14:textId="59DE707D" w:rsidR="00D92045" w:rsidRPr="000020F0" w:rsidRDefault="00D92045" w:rsidP="008653A6">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p>
        </w:tc>
      </w:tr>
      <w:tr w:rsidR="00D92045" w:rsidRPr="000020F0" w14:paraId="26D59D24" w14:textId="77777777" w:rsidTr="004677E5">
        <w:tc>
          <w:tcPr>
            <w:tcW w:w="1632" w:type="pct"/>
            <w:shd w:val="clear" w:color="auto" w:fill="DBE5F1"/>
            <w:vAlign w:val="center"/>
          </w:tcPr>
          <w:p w14:paraId="2D59C7B0" w14:textId="77777777" w:rsidR="00D92045" w:rsidRPr="000020F0" w:rsidRDefault="00D92045"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ODGOVORNA OSEBA</w:t>
            </w:r>
          </w:p>
        </w:tc>
        <w:tc>
          <w:tcPr>
            <w:tcW w:w="3368" w:type="pct"/>
          </w:tcPr>
          <w:p w14:paraId="684E81C7" w14:textId="09B17F45" w:rsidR="00D92045" w:rsidRPr="000020F0" w:rsidRDefault="007A706A"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Župan Zlatko Usenik</w:t>
            </w:r>
          </w:p>
        </w:tc>
      </w:tr>
    </w:tbl>
    <w:p w14:paraId="6BFA2C7E" w14:textId="77777777" w:rsidR="00D92045" w:rsidRPr="000020F0" w:rsidRDefault="00D92045" w:rsidP="00BD1D20">
      <w:pPr>
        <w:spacing w:line="276" w:lineRule="auto"/>
        <w:jc w:val="both"/>
        <w:rPr>
          <w:rFonts w:asciiTheme="majorHAnsi" w:eastAsia="Arial" w:hAnsiTheme="majorHAnsi" w:cstheme="majorHAnsi"/>
          <w:sz w:val="22"/>
          <w:szCs w:val="22"/>
        </w:rPr>
      </w:pPr>
    </w:p>
    <w:p w14:paraId="7D5168B3" w14:textId="77777777" w:rsidR="00387991" w:rsidRPr="000020F0" w:rsidRDefault="00387991" w:rsidP="00387991">
      <w:pPr>
        <w:spacing w:after="120" w:line="276" w:lineRule="auto"/>
        <w:jc w:val="both"/>
        <w:rPr>
          <w:rFonts w:ascii="Arial" w:hAnsi="Arial" w:cs="Arial"/>
          <w:sz w:val="22"/>
          <w:szCs w:val="22"/>
        </w:rPr>
      </w:pPr>
      <w:r w:rsidRPr="000020F0">
        <w:rPr>
          <w:rFonts w:ascii="Arial" w:hAnsi="Arial" w:cs="Arial"/>
          <w:sz w:val="22"/>
          <w:szCs w:val="22"/>
        </w:rPr>
        <w:t>Po podatkih Statističnega urada RS ima občina na dan 30. 6. 2025 7.926 prebivalcev s stalnim prebivališčem, ki živijo v 25 naseljih.</w:t>
      </w:r>
    </w:p>
    <w:p w14:paraId="372A89C6" w14:textId="77777777" w:rsidR="00387991" w:rsidRPr="000020F0" w:rsidRDefault="00387991" w:rsidP="00387991">
      <w:pPr>
        <w:spacing w:after="120" w:line="276" w:lineRule="auto"/>
        <w:jc w:val="both"/>
        <w:rPr>
          <w:rFonts w:ascii="Arial" w:hAnsi="Arial" w:cs="Arial"/>
          <w:sz w:val="22"/>
          <w:szCs w:val="22"/>
        </w:rPr>
      </w:pPr>
      <w:r w:rsidRPr="000020F0">
        <w:rPr>
          <w:rFonts w:ascii="Arial" w:hAnsi="Arial" w:cs="Arial"/>
          <w:sz w:val="22"/>
          <w:szCs w:val="22"/>
        </w:rPr>
        <w:t xml:space="preserve">Na območju občine so številne naravne in kulturne znamenitosti, mnoge med njimi prepoznavne tudi v širšem slovenskem in celo svetovnem merilu (Unesco, Natura 2000). Najbolj prepoznavna naravna dediščina je Ljubljansko barje, zavarovano kot krajinski park, znotraj njega pa naravni rezervati: ribniki v dolini Drage, Iški morost. Gre za območje vključeno v mrežo Natura 2000. Nadalje je priljubljena destinacija Iški vintgar - soteska reke Iške, pa tudi vrh Krima. V občini je urejenih tudi več učnih poti npr. Gozdna učna pot Draga, Pot Barjanska okna, Pot ob reki Iški Okljuk, Koščeva učna pot, Zapotoška učna pot. </w:t>
      </w:r>
    </w:p>
    <w:p w14:paraId="3FE9A67B" w14:textId="77777777" w:rsidR="00387991" w:rsidRPr="000020F0" w:rsidRDefault="00387991" w:rsidP="00387991">
      <w:pPr>
        <w:spacing w:after="120" w:line="276" w:lineRule="auto"/>
        <w:jc w:val="both"/>
        <w:rPr>
          <w:rFonts w:ascii="Arial" w:hAnsi="Arial" w:cs="Arial"/>
          <w:sz w:val="22"/>
          <w:szCs w:val="22"/>
        </w:rPr>
      </w:pPr>
      <w:r w:rsidRPr="000020F0">
        <w:rPr>
          <w:rFonts w:ascii="Arial" w:hAnsi="Arial" w:cs="Arial"/>
          <w:sz w:val="22"/>
          <w:szCs w:val="22"/>
        </w:rPr>
        <w:t xml:space="preserve">Med kulturno dediščino izstopa arheološka dediščina, ki sega od koliščarske do rimske dobe. Kolišča na Igu so del Unescove svetovne dediščine (Prazgodovinska kolišča okoli Alp), ki jih obiskovalcem predstavljamo v </w:t>
      </w:r>
      <w:proofErr w:type="spellStart"/>
      <w:r w:rsidRPr="000020F0">
        <w:rPr>
          <w:rFonts w:ascii="Arial" w:hAnsi="Arial" w:cs="Arial"/>
          <w:sz w:val="22"/>
          <w:szCs w:val="22"/>
        </w:rPr>
        <w:t>Morostigu</w:t>
      </w:r>
      <w:proofErr w:type="spellEnd"/>
      <w:r w:rsidRPr="000020F0">
        <w:rPr>
          <w:rFonts w:ascii="Arial" w:hAnsi="Arial" w:cs="Arial"/>
          <w:sz w:val="22"/>
          <w:szCs w:val="22"/>
        </w:rPr>
        <w:t xml:space="preserve">, hiši narave in kolišč. Razstava je na ogled v središču Iga, urejena tematska pot in rekonstrukcija kolišča pa na barju. Kot lokalni kulturni spomeniki so zavarovani še: arheološko najdišče in cerkev sv. Marjete na Golem, rimski spomenik Stari Dedec, jez in mlinščica ter žaga v Iški, cerkvi sv. Jakoba v </w:t>
      </w:r>
      <w:proofErr w:type="spellStart"/>
      <w:r w:rsidRPr="000020F0">
        <w:rPr>
          <w:rFonts w:ascii="Arial" w:hAnsi="Arial" w:cs="Arial"/>
          <w:sz w:val="22"/>
          <w:szCs w:val="22"/>
        </w:rPr>
        <w:t>Strahomerju</w:t>
      </w:r>
      <w:proofErr w:type="spellEnd"/>
      <w:r w:rsidRPr="000020F0">
        <w:rPr>
          <w:rFonts w:ascii="Arial" w:hAnsi="Arial" w:cs="Arial"/>
          <w:sz w:val="22"/>
          <w:szCs w:val="22"/>
        </w:rPr>
        <w:t xml:space="preserve"> in sv. </w:t>
      </w:r>
      <w:proofErr w:type="spellStart"/>
      <w:r w:rsidRPr="000020F0">
        <w:rPr>
          <w:rFonts w:ascii="Arial" w:hAnsi="Arial" w:cs="Arial"/>
          <w:sz w:val="22"/>
          <w:szCs w:val="22"/>
        </w:rPr>
        <w:t>Nikolaga</w:t>
      </w:r>
      <w:proofErr w:type="spellEnd"/>
      <w:r w:rsidRPr="000020F0">
        <w:rPr>
          <w:rFonts w:ascii="Arial" w:hAnsi="Arial" w:cs="Arial"/>
          <w:sz w:val="22"/>
          <w:szCs w:val="22"/>
        </w:rPr>
        <w:t xml:space="preserve"> na Visokem ter več </w:t>
      </w:r>
      <w:proofErr w:type="spellStart"/>
      <w:r w:rsidRPr="000020F0">
        <w:rPr>
          <w:rFonts w:ascii="Arial" w:hAnsi="Arial" w:cs="Arial"/>
          <w:sz w:val="22"/>
          <w:szCs w:val="22"/>
        </w:rPr>
        <w:t>memorialne</w:t>
      </w:r>
      <w:proofErr w:type="spellEnd"/>
      <w:r w:rsidRPr="000020F0">
        <w:rPr>
          <w:rFonts w:ascii="Arial" w:hAnsi="Arial" w:cs="Arial"/>
          <w:sz w:val="22"/>
          <w:szCs w:val="22"/>
        </w:rPr>
        <w:t xml:space="preserve"> dediščine iz časa NOB. </w:t>
      </w:r>
    </w:p>
    <w:p w14:paraId="23A91F1A" w14:textId="01A49C5F" w:rsidR="00387991" w:rsidRPr="000020F0" w:rsidRDefault="00387991" w:rsidP="00387991">
      <w:pPr>
        <w:spacing w:line="276" w:lineRule="auto"/>
        <w:jc w:val="both"/>
        <w:rPr>
          <w:rFonts w:asciiTheme="majorHAnsi" w:eastAsia="Arial" w:hAnsiTheme="majorHAnsi" w:cstheme="majorHAnsi"/>
          <w:sz w:val="22"/>
          <w:szCs w:val="22"/>
        </w:rPr>
      </w:pPr>
      <w:r w:rsidRPr="000020F0">
        <w:rPr>
          <w:rFonts w:ascii="Arial" w:hAnsi="Arial" w:cs="Arial"/>
          <w:sz w:val="22"/>
          <w:szCs w:val="22"/>
        </w:rPr>
        <w:t>Naravna in kulturna dediščina sta pomemben del lokalne identitete kraja, zaradi česar jo želimo vključiti tudi pri urejanju središča Iga.</w:t>
      </w:r>
    </w:p>
    <w:p w14:paraId="7E75D829" w14:textId="76BE0844" w:rsidR="00387991" w:rsidRPr="000020F0" w:rsidRDefault="00387991">
      <w:pPr>
        <w:spacing w:after="200" w:line="276" w:lineRule="auto"/>
        <w:rPr>
          <w:rFonts w:ascii="Arial" w:eastAsiaTheme="minorEastAsia" w:hAnsi="Arial" w:cs="Arial"/>
          <w:b/>
          <w:bCs/>
          <w:sz w:val="22"/>
          <w:szCs w:val="22"/>
        </w:rPr>
      </w:pPr>
      <w:bookmarkStart w:id="60" w:name="_Toc209029190"/>
      <w:bookmarkStart w:id="61" w:name="_Toc65070483"/>
      <w:bookmarkStart w:id="62" w:name="_Toc99912503"/>
    </w:p>
    <w:p w14:paraId="5BB749AB" w14:textId="77777777" w:rsidR="00324C62" w:rsidRPr="000020F0" w:rsidRDefault="00324C62">
      <w:pPr>
        <w:spacing w:after="200" w:line="276" w:lineRule="auto"/>
        <w:rPr>
          <w:rFonts w:ascii="Arial" w:eastAsiaTheme="minorEastAsia" w:hAnsi="Arial" w:cs="Arial"/>
          <w:b/>
          <w:bCs/>
          <w:sz w:val="22"/>
          <w:szCs w:val="22"/>
        </w:rPr>
      </w:pPr>
      <w:r w:rsidRPr="000020F0">
        <w:rPr>
          <w:rFonts w:ascii="Arial" w:hAnsi="Arial" w:cs="Arial"/>
          <w:sz w:val="22"/>
          <w:szCs w:val="22"/>
        </w:rPr>
        <w:br w:type="page"/>
      </w:r>
    </w:p>
    <w:p w14:paraId="5779F6F5" w14:textId="74781174" w:rsidR="0051033E" w:rsidRPr="000020F0" w:rsidRDefault="0051033E" w:rsidP="0051033E">
      <w:pPr>
        <w:pStyle w:val="Napis"/>
        <w:spacing w:line="276" w:lineRule="auto"/>
        <w:rPr>
          <w:rFonts w:ascii="Arial" w:hAnsi="Arial" w:cs="Arial"/>
          <w:b w:val="0"/>
          <w:color w:val="auto"/>
          <w:sz w:val="22"/>
          <w:szCs w:val="22"/>
        </w:rPr>
      </w:pPr>
      <w:bookmarkStart w:id="63" w:name="_Toc230882316"/>
      <w:r w:rsidRPr="000020F0">
        <w:rPr>
          <w:rFonts w:ascii="Arial" w:hAnsi="Arial" w:cs="Arial"/>
          <w:color w:val="auto"/>
          <w:sz w:val="22"/>
          <w:szCs w:val="22"/>
        </w:rPr>
        <w:lastRenderedPageBreak/>
        <w:t xml:space="preserve">Slika </w:t>
      </w:r>
      <w:r w:rsidRPr="000020F0">
        <w:rPr>
          <w:rFonts w:ascii="Arial" w:hAnsi="Arial" w:cs="Arial"/>
          <w:color w:val="auto"/>
          <w:sz w:val="22"/>
          <w:szCs w:val="22"/>
        </w:rPr>
        <w:fldChar w:fldCharType="begin"/>
      </w:r>
      <w:r w:rsidRPr="000020F0">
        <w:rPr>
          <w:rFonts w:ascii="Arial" w:hAnsi="Arial" w:cs="Arial"/>
          <w:color w:val="auto"/>
          <w:sz w:val="22"/>
          <w:szCs w:val="22"/>
        </w:rPr>
        <w:instrText xml:space="preserve"> SEQ Slika \* ARABIC </w:instrText>
      </w:r>
      <w:r w:rsidRPr="000020F0">
        <w:rPr>
          <w:rFonts w:ascii="Arial" w:hAnsi="Arial" w:cs="Arial"/>
          <w:color w:val="auto"/>
          <w:sz w:val="22"/>
          <w:szCs w:val="22"/>
        </w:rPr>
        <w:fldChar w:fldCharType="separate"/>
      </w:r>
      <w:r w:rsidR="00BB0C0C">
        <w:rPr>
          <w:rFonts w:ascii="Arial" w:hAnsi="Arial" w:cs="Arial"/>
          <w:noProof/>
          <w:color w:val="auto"/>
          <w:sz w:val="22"/>
          <w:szCs w:val="22"/>
        </w:rPr>
        <w:t>2</w:t>
      </w:r>
      <w:r w:rsidRPr="000020F0">
        <w:rPr>
          <w:rFonts w:ascii="Arial" w:hAnsi="Arial" w:cs="Arial"/>
          <w:color w:val="auto"/>
          <w:sz w:val="22"/>
          <w:szCs w:val="22"/>
        </w:rPr>
        <w:fldChar w:fldCharType="end"/>
      </w:r>
      <w:r w:rsidRPr="000020F0">
        <w:rPr>
          <w:rFonts w:ascii="Arial" w:hAnsi="Arial" w:cs="Arial"/>
          <w:color w:val="auto"/>
          <w:sz w:val="22"/>
          <w:szCs w:val="22"/>
        </w:rPr>
        <w:t>:</w:t>
      </w:r>
      <w:r w:rsidR="00387991" w:rsidRPr="000020F0">
        <w:rPr>
          <w:rFonts w:ascii="Arial" w:hAnsi="Arial" w:cs="Arial"/>
          <w:color w:val="auto"/>
          <w:sz w:val="22"/>
          <w:szCs w:val="22"/>
        </w:rPr>
        <w:t xml:space="preserve"> </w:t>
      </w:r>
      <w:r w:rsidRPr="000020F0">
        <w:rPr>
          <w:rFonts w:ascii="Arial" w:hAnsi="Arial" w:cs="Arial"/>
          <w:b w:val="0"/>
          <w:color w:val="auto"/>
          <w:sz w:val="22"/>
          <w:szCs w:val="22"/>
        </w:rPr>
        <w:t>Organigram Občine Ig</w:t>
      </w:r>
      <w:bookmarkEnd w:id="60"/>
      <w:bookmarkEnd w:id="63"/>
      <w:r w:rsidRPr="000020F0">
        <w:rPr>
          <w:rFonts w:ascii="Arial" w:hAnsi="Arial" w:cs="Arial"/>
          <w:b w:val="0"/>
          <w:color w:val="auto"/>
          <w:sz w:val="22"/>
          <w:szCs w:val="22"/>
        </w:rPr>
        <w:t xml:space="preserve"> </w:t>
      </w:r>
    </w:p>
    <w:p w14:paraId="7D03F7AE" w14:textId="7C743B84" w:rsidR="0051033E" w:rsidRPr="000020F0" w:rsidRDefault="0051033E" w:rsidP="0051033E">
      <w:pPr>
        <w:spacing w:line="276" w:lineRule="auto"/>
        <w:rPr>
          <w:rFonts w:ascii="Arial" w:hAnsi="Arial" w:cs="Arial"/>
        </w:rPr>
      </w:pPr>
      <w:r w:rsidRPr="000020F0">
        <w:rPr>
          <w:rFonts w:ascii="Arial" w:hAnsi="Arial" w:cs="Arial"/>
          <w:noProof/>
          <w:color w:val="000000"/>
        </w:rPr>
        <mc:AlternateContent>
          <mc:Choice Requires="wpc">
            <w:drawing>
              <wp:inline distT="0" distB="0" distL="0" distR="0" wp14:anchorId="49C53DEE" wp14:editId="11D21C71">
                <wp:extent cx="5156200" cy="4908292"/>
                <wp:effectExtent l="0" t="0" r="0" b="0"/>
                <wp:docPr id="411619735"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4985380" name="Rectangle 5"/>
                        <wps:cNvSpPr>
                          <a:spLocks noChangeArrowheads="1"/>
                        </wps:cNvSpPr>
                        <wps:spPr bwMode="auto">
                          <a:xfrm>
                            <a:off x="420553" y="35999"/>
                            <a:ext cx="1143000" cy="342900"/>
                          </a:xfrm>
                          <a:prstGeom prst="rect">
                            <a:avLst/>
                          </a:prstGeom>
                          <a:solidFill>
                            <a:srgbClr val="FFFFFF"/>
                          </a:solidFill>
                          <a:ln w="9525">
                            <a:solidFill>
                              <a:srgbClr val="000000"/>
                            </a:solidFill>
                            <a:miter lim="800000"/>
                            <a:headEnd/>
                            <a:tailEnd/>
                          </a:ln>
                        </wps:spPr>
                        <wps:txbx>
                          <w:txbxContent>
                            <w:p w14:paraId="67915D66" w14:textId="77777777" w:rsidR="0051033E" w:rsidRPr="001D2742" w:rsidRDefault="0051033E" w:rsidP="0051033E">
                              <w:pPr>
                                <w:rPr>
                                  <w:rFonts w:ascii="Arial" w:hAnsi="Arial" w:cs="Arial"/>
                                  <w:sz w:val="20"/>
                                  <w:szCs w:val="20"/>
                                </w:rPr>
                              </w:pPr>
                              <w:hyperlink r:id="rId21" w:history="1">
                                <w:r w:rsidRPr="001D2742">
                                  <w:rPr>
                                    <w:rStyle w:val="Hiperpovezava"/>
                                    <w:rFonts w:ascii="Arial" w:eastAsiaTheme="majorEastAsia" w:hAnsi="Arial" w:cs="Arial"/>
                                    <w:color w:val="auto"/>
                                    <w:sz w:val="20"/>
                                    <w:szCs w:val="20"/>
                                    <w:u w:val="none"/>
                                  </w:rPr>
                                  <w:t>Občinski  svet</w:t>
                                </w:r>
                              </w:hyperlink>
                              <w:r w:rsidRPr="001D2742">
                                <w:rPr>
                                  <w:rFonts w:ascii="Arial" w:hAnsi="Arial" w:cs="Arial"/>
                                  <w:sz w:val="20"/>
                                  <w:szCs w:val="20"/>
                                </w:rPr>
                                <w:t xml:space="preserve"> </w:t>
                              </w:r>
                            </w:p>
                          </w:txbxContent>
                        </wps:txbx>
                        <wps:bodyPr rot="0" vert="horz" wrap="square" lIns="91440" tIns="45720" rIns="91440" bIns="45720" anchor="t" anchorCtr="0" upright="1">
                          <a:noAutofit/>
                        </wps:bodyPr>
                      </wps:wsp>
                      <wps:wsp>
                        <wps:cNvPr id="1730773604" name="Rectangle 6"/>
                        <wps:cNvSpPr>
                          <a:spLocks noChangeArrowheads="1"/>
                        </wps:cNvSpPr>
                        <wps:spPr bwMode="auto">
                          <a:xfrm>
                            <a:off x="2249353" y="35999"/>
                            <a:ext cx="914400" cy="457200"/>
                          </a:xfrm>
                          <a:prstGeom prst="rect">
                            <a:avLst/>
                          </a:prstGeom>
                          <a:solidFill>
                            <a:srgbClr val="FFFFFF"/>
                          </a:solidFill>
                          <a:ln w="9525">
                            <a:solidFill>
                              <a:srgbClr val="000000"/>
                            </a:solidFill>
                            <a:miter lim="800000"/>
                            <a:headEnd/>
                            <a:tailEnd/>
                          </a:ln>
                        </wps:spPr>
                        <wps:txbx>
                          <w:txbxContent>
                            <w:p w14:paraId="4EB8F1E3" w14:textId="77777777" w:rsidR="0051033E" w:rsidRPr="00492856" w:rsidRDefault="0051033E" w:rsidP="0051033E">
                              <w:pPr>
                                <w:rPr>
                                  <w:rFonts w:ascii="Arial" w:hAnsi="Arial" w:cs="Arial"/>
                                </w:rPr>
                              </w:pPr>
                              <w:r w:rsidRPr="00492856">
                                <w:rPr>
                                  <w:rFonts w:ascii="Arial" w:hAnsi="Arial" w:cs="Arial"/>
                                </w:rPr>
                                <w:t xml:space="preserve">OBČINA    </w:t>
                              </w:r>
                            </w:p>
                            <w:p w14:paraId="28247785" w14:textId="77777777" w:rsidR="0051033E" w:rsidRPr="00492856" w:rsidRDefault="0051033E" w:rsidP="0051033E">
                              <w:pPr>
                                <w:rPr>
                                  <w:rFonts w:ascii="Arial" w:hAnsi="Arial" w:cs="Arial"/>
                                </w:rPr>
                              </w:pPr>
                              <w:r w:rsidRPr="00492856">
                                <w:rPr>
                                  <w:rFonts w:ascii="Arial" w:hAnsi="Arial" w:cs="Arial"/>
                                </w:rPr>
                                <w:t xml:space="preserve">     IG</w:t>
                              </w:r>
                            </w:p>
                            <w:p w14:paraId="1A09EBEE" w14:textId="77777777" w:rsidR="0051033E" w:rsidRDefault="0051033E" w:rsidP="0051033E"/>
                          </w:txbxContent>
                        </wps:txbx>
                        <wps:bodyPr rot="0" vert="horz" wrap="square" lIns="91440" tIns="45720" rIns="91440" bIns="45720" anchor="t" anchorCtr="0" upright="1">
                          <a:noAutofit/>
                        </wps:bodyPr>
                      </wps:wsp>
                      <wps:wsp>
                        <wps:cNvPr id="974184490" name="Rectangle 7"/>
                        <wps:cNvSpPr>
                          <a:spLocks noChangeArrowheads="1"/>
                        </wps:cNvSpPr>
                        <wps:spPr bwMode="auto">
                          <a:xfrm>
                            <a:off x="4078153" y="35999"/>
                            <a:ext cx="914400" cy="457200"/>
                          </a:xfrm>
                          <a:prstGeom prst="rect">
                            <a:avLst/>
                          </a:prstGeom>
                          <a:solidFill>
                            <a:srgbClr val="FFFFFF"/>
                          </a:solidFill>
                          <a:ln w="9525">
                            <a:solidFill>
                              <a:srgbClr val="000000"/>
                            </a:solidFill>
                            <a:miter lim="800000"/>
                            <a:headEnd/>
                            <a:tailEnd/>
                          </a:ln>
                        </wps:spPr>
                        <wps:txbx>
                          <w:txbxContent>
                            <w:p w14:paraId="09ACCF4C" w14:textId="77777777" w:rsidR="0051033E" w:rsidRPr="00492856" w:rsidRDefault="0051033E" w:rsidP="0051033E">
                              <w:pPr>
                                <w:rPr>
                                  <w:rFonts w:ascii="Arial" w:hAnsi="Arial" w:cs="Arial"/>
                                  <w:sz w:val="20"/>
                                  <w:szCs w:val="20"/>
                                </w:rPr>
                              </w:pPr>
                              <w:r w:rsidRPr="00492856">
                                <w:rPr>
                                  <w:rFonts w:ascii="Arial" w:hAnsi="Arial" w:cs="Arial"/>
                                  <w:sz w:val="20"/>
                                  <w:szCs w:val="20"/>
                                </w:rPr>
                                <w:t xml:space="preserve">Nadzorni </w:t>
                              </w:r>
                              <w:r>
                                <w:rPr>
                                  <w:rFonts w:ascii="Arial" w:hAnsi="Arial" w:cs="Arial"/>
                                  <w:sz w:val="20"/>
                                  <w:szCs w:val="20"/>
                                </w:rPr>
                                <w:t xml:space="preserve">    </w:t>
                              </w:r>
                              <w:r w:rsidRPr="00492856">
                                <w:rPr>
                                  <w:rFonts w:ascii="Arial" w:hAnsi="Arial" w:cs="Arial"/>
                                  <w:sz w:val="20"/>
                                  <w:szCs w:val="20"/>
                                </w:rPr>
                                <w:t>odbor</w:t>
                              </w:r>
                            </w:p>
                          </w:txbxContent>
                        </wps:txbx>
                        <wps:bodyPr rot="0" vert="horz" wrap="square" lIns="91440" tIns="45720" rIns="91440" bIns="45720" anchor="t" anchorCtr="0" upright="1">
                          <a:noAutofit/>
                        </wps:bodyPr>
                      </wps:wsp>
                      <wps:wsp>
                        <wps:cNvPr id="1759920530" name="Line 8"/>
                        <wps:cNvCnPr>
                          <a:cxnSpLocks noChangeShapeType="1"/>
                        </wps:cNvCnPr>
                        <wps:spPr bwMode="auto">
                          <a:xfrm>
                            <a:off x="1563553" y="264599"/>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1917303" name="Rectangle 9"/>
                        <wps:cNvSpPr>
                          <a:spLocks noChangeArrowheads="1"/>
                        </wps:cNvSpPr>
                        <wps:spPr bwMode="auto">
                          <a:xfrm>
                            <a:off x="2249353" y="836099"/>
                            <a:ext cx="914400" cy="228600"/>
                          </a:xfrm>
                          <a:prstGeom prst="rect">
                            <a:avLst/>
                          </a:prstGeom>
                          <a:solidFill>
                            <a:srgbClr val="FFFFFF"/>
                          </a:solidFill>
                          <a:ln w="9525">
                            <a:solidFill>
                              <a:srgbClr val="000000"/>
                            </a:solidFill>
                            <a:miter lim="800000"/>
                            <a:headEnd/>
                            <a:tailEnd/>
                          </a:ln>
                        </wps:spPr>
                        <wps:txbx>
                          <w:txbxContent>
                            <w:p w14:paraId="26656C87" w14:textId="77777777" w:rsidR="0051033E" w:rsidRPr="00A72DE4" w:rsidRDefault="0051033E" w:rsidP="0051033E">
                              <w:pPr>
                                <w:rPr>
                                  <w:rFonts w:ascii="Arial" w:hAnsi="Arial" w:cs="Arial"/>
                                  <w:sz w:val="20"/>
                                  <w:szCs w:val="20"/>
                                </w:rPr>
                              </w:pPr>
                              <w:r w:rsidRPr="00A72DE4">
                                <w:rPr>
                                  <w:rFonts w:ascii="Arial" w:hAnsi="Arial" w:cs="Arial"/>
                                  <w:sz w:val="20"/>
                                  <w:szCs w:val="20"/>
                                </w:rPr>
                                <w:t xml:space="preserve">  </w:t>
                              </w:r>
                              <w:hyperlink r:id="rId22" w:history="1">
                                <w:r w:rsidRPr="00E27D11">
                                  <w:rPr>
                                    <w:rStyle w:val="Hiperpovezava"/>
                                    <w:rFonts w:ascii="Arial" w:eastAsiaTheme="majorEastAsia" w:hAnsi="Arial" w:cs="Arial"/>
                                    <w:color w:val="auto"/>
                                    <w:sz w:val="20"/>
                                    <w:szCs w:val="20"/>
                                    <w:u w:val="none"/>
                                  </w:rPr>
                                  <w:t xml:space="preserve"> ŽUPAN</w:t>
                                </w:r>
                              </w:hyperlink>
                            </w:p>
                          </w:txbxContent>
                        </wps:txbx>
                        <wps:bodyPr rot="0" vert="horz" wrap="square" lIns="91440" tIns="45720" rIns="91440" bIns="45720" anchor="t" anchorCtr="0" upright="1">
                          <a:noAutofit/>
                        </wps:bodyPr>
                      </wps:wsp>
                      <wps:wsp>
                        <wps:cNvPr id="2116608291" name="Rectangle 10"/>
                        <wps:cNvSpPr>
                          <a:spLocks noChangeArrowheads="1"/>
                        </wps:cNvSpPr>
                        <wps:spPr bwMode="auto">
                          <a:xfrm>
                            <a:off x="534853" y="836099"/>
                            <a:ext cx="914400" cy="228600"/>
                          </a:xfrm>
                          <a:prstGeom prst="rect">
                            <a:avLst/>
                          </a:prstGeom>
                          <a:solidFill>
                            <a:srgbClr val="FFFFFF"/>
                          </a:solidFill>
                          <a:ln w="9525">
                            <a:solidFill>
                              <a:srgbClr val="000000"/>
                            </a:solidFill>
                            <a:miter lim="800000"/>
                            <a:headEnd/>
                            <a:tailEnd/>
                          </a:ln>
                        </wps:spPr>
                        <wps:txbx>
                          <w:txbxContent>
                            <w:p w14:paraId="744D3C09" w14:textId="77777777" w:rsidR="0051033E" w:rsidRPr="00E27D11" w:rsidRDefault="0051033E" w:rsidP="0051033E">
                              <w:pPr>
                                <w:rPr>
                                  <w:rFonts w:ascii="Arial" w:hAnsi="Arial" w:cs="Arial"/>
                                  <w:sz w:val="20"/>
                                  <w:szCs w:val="20"/>
                                </w:rPr>
                              </w:pPr>
                              <w:r w:rsidRPr="00E27D11">
                                <w:rPr>
                                  <w:rFonts w:ascii="Arial" w:hAnsi="Arial" w:cs="Arial"/>
                                  <w:sz w:val="20"/>
                                  <w:szCs w:val="20"/>
                                </w:rPr>
                                <w:t xml:space="preserve">  </w:t>
                              </w:r>
                              <w:hyperlink r:id="rId23" w:history="1">
                                <w:r w:rsidRPr="00E27D11">
                                  <w:rPr>
                                    <w:rStyle w:val="Hiperpovezava"/>
                                    <w:rFonts w:ascii="Arial" w:eastAsiaTheme="majorEastAsia" w:hAnsi="Arial" w:cs="Arial"/>
                                    <w:color w:val="auto"/>
                                    <w:sz w:val="20"/>
                                    <w:szCs w:val="20"/>
                                    <w:u w:val="none"/>
                                  </w:rPr>
                                  <w:t>Podžupani</w:t>
                                </w:r>
                              </w:hyperlink>
                            </w:p>
                          </w:txbxContent>
                        </wps:txbx>
                        <wps:bodyPr rot="0" vert="horz" wrap="square" lIns="91440" tIns="45720" rIns="91440" bIns="45720" anchor="t" anchorCtr="0" upright="1">
                          <a:noAutofit/>
                        </wps:bodyPr>
                      </wps:wsp>
                      <wps:wsp>
                        <wps:cNvPr id="245799896" name="Rectangle 11"/>
                        <wps:cNvSpPr>
                          <a:spLocks noChangeArrowheads="1"/>
                        </wps:cNvSpPr>
                        <wps:spPr bwMode="auto">
                          <a:xfrm>
                            <a:off x="2249353" y="1407599"/>
                            <a:ext cx="914400" cy="457200"/>
                          </a:xfrm>
                          <a:prstGeom prst="rect">
                            <a:avLst/>
                          </a:prstGeom>
                          <a:solidFill>
                            <a:srgbClr val="FFFFFF"/>
                          </a:solidFill>
                          <a:ln w="9525">
                            <a:solidFill>
                              <a:srgbClr val="000000"/>
                            </a:solidFill>
                            <a:miter lim="800000"/>
                            <a:headEnd/>
                            <a:tailEnd/>
                          </a:ln>
                        </wps:spPr>
                        <wps:txbx>
                          <w:txbxContent>
                            <w:p w14:paraId="2AC0619A" w14:textId="77777777" w:rsidR="0051033E" w:rsidRDefault="0051033E" w:rsidP="0051033E">
                              <w:r>
                                <w:rPr>
                                  <w:rFonts w:ascii="Arial" w:hAnsi="Arial" w:cs="Arial"/>
                                  <w:sz w:val="20"/>
                                  <w:szCs w:val="20"/>
                                </w:rPr>
                                <w:t>OBČINSKA UPRAVA</w:t>
                              </w:r>
                            </w:p>
                          </w:txbxContent>
                        </wps:txbx>
                        <wps:bodyPr rot="0" vert="horz" wrap="square" lIns="91440" tIns="45720" rIns="91440" bIns="45720" anchor="t" anchorCtr="0" upright="1">
                          <a:noAutofit/>
                        </wps:bodyPr>
                      </wps:wsp>
                      <wps:wsp>
                        <wps:cNvPr id="237137022" name="Rectangle 12"/>
                        <wps:cNvSpPr>
                          <a:spLocks noChangeArrowheads="1"/>
                        </wps:cNvSpPr>
                        <wps:spPr bwMode="auto">
                          <a:xfrm>
                            <a:off x="2135053" y="2207699"/>
                            <a:ext cx="1257300" cy="457200"/>
                          </a:xfrm>
                          <a:prstGeom prst="rect">
                            <a:avLst/>
                          </a:prstGeom>
                          <a:solidFill>
                            <a:srgbClr val="FFFFFF"/>
                          </a:solidFill>
                          <a:ln w="9525">
                            <a:solidFill>
                              <a:srgbClr val="000000"/>
                            </a:solidFill>
                            <a:miter lim="800000"/>
                            <a:headEnd/>
                            <a:tailEnd/>
                          </a:ln>
                        </wps:spPr>
                        <wps:txbx>
                          <w:txbxContent>
                            <w:p w14:paraId="41B66DB8" w14:textId="77777777" w:rsidR="0051033E" w:rsidRPr="001D2742" w:rsidRDefault="0051033E" w:rsidP="0051033E">
                              <w:pPr>
                                <w:rPr>
                                  <w:rStyle w:val="Hiperpovezava"/>
                                  <w:rFonts w:ascii="Arial" w:eastAsiaTheme="majorEastAsia" w:hAnsi="Arial" w:cs="Arial"/>
                                  <w:color w:val="auto"/>
                                  <w:sz w:val="20"/>
                                  <w:szCs w:val="20"/>
                                  <w:u w:val="none"/>
                                </w:rPr>
                              </w:pPr>
                              <w:r w:rsidRPr="001D2742">
                                <w:rPr>
                                  <w:rFonts w:ascii="Arial" w:hAnsi="Arial" w:cs="Arial"/>
                                  <w:sz w:val="20"/>
                                  <w:szCs w:val="20"/>
                                </w:rPr>
                                <w:t xml:space="preserve">      </w:t>
                              </w:r>
                              <w:r w:rsidRPr="001D2742">
                                <w:rPr>
                                  <w:rFonts w:ascii="Arial" w:hAnsi="Arial" w:cs="Arial"/>
                                  <w:sz w:val="20"/>
                                  <w:szCs w:val="20"/>
                                </w:rPr>
                                <w:fldChar w:fldCharType="begin"/>
                              </w:r>
                              <w:r w:rsidRPr="001D2742">
                                <w:rPr>
                                  <w:rFonts w:ascii="Arial" w:hAnsi="Arial" w:cs="Arial"/>
                                  <w:sz w:val="20"/>
                                  <w:szCs w:val="20"/>
                                </w:rPr>
                                <w:instrText>HYPERLINK "http://www.obcina-ig.si/index.php?option=com_content&amp;view=article&amp;id=50&amp;Itemid=84&amp;lang=sl"</w:instrText>
                              </w:r>
                              <w:r w:rsidRPr="001D2742">
                                <w:rPr>
                                  <w:rFonts w:ascii="Arial" w:hAnsi="Arial" w:cs="Arial"/>
                                  <w:sz w:val="20"/>
                                  <w:szCs w:val="20"/>
                                </w:rPr>
                              </w:r>
                              <w:r w:rsidRPr="001D2742">
                                <w:rPr>
                                  <w:rFonts w:ascii="Arial" w:hAnsi="Arial" w:cs="Arial"/>
                                  <w:sz w:val="20"/>
                                  <w:szCs w:val="20"/>
                                </w:rPr>
                                <w:fldChar w:fldCharType="separate"/>
                              </w:r>
                              <w:r w:rsidRPr="001D2742">
                                <w:rPr>
                                  <w:rStyle w:val="Hiperpovezava"/>
                                  <w:rFonts w:ascii="Arial" w:eastAsiaTheme="majorEastAsia" w:hAnsi="Arial" w:cs="Arial"/>
                                  <w:color w:val="auto"/>
                                  <w:sz w:val="20"/>
                                  <w:szCs w:val="20"/>
                                  <w:u w:val="none"/>
                                </w:rPr>
                                <w:t xml:space="preserve">Direktor </w:t>
                              </w:r>
                            </w:p>
                            <w:p w14:paraId="0E9C168C" w14:textId="77777777" w:rsidR="0051033E" w:rsidRPr="001D2742" w:rsidRDefault="0051033E" w:rsidP="0051033E">
                              <w:pPr>
                                <w:rPr>
                                  <w:rFonts w:ascii="Arial" w:hAnsi="Arial" w:cs="Arial"/>
                                  <w:sz w:val="20"/>
                                  <w:szCs w:val="20"/>
                                </w:rPr>
                              </w:pPr>
                              <w:r w:rsidRPr="001D2742">
                                <w:rPr>
                                  <w:rStyle w:val="Hiperpovezava"/>
                                  <w:rFonts w:ascii="Arial" w:eastAsiaTheme="majorEastAsia" w:hAnsi="Arial" w:cs="Arial"/>
                                  <w:color w:val="auto"/>
                                  <w:sz w:val="20"/>
                                  <w:szCs w:val="20"/>
                                  <w:u w:val="none"/>
                                </w:rPr>
                                <w:t>Občinske uprave</w:t>
                              </w:r>
                              <w:r w:rsidRPr="001D2742">
                                <w:rPr>
                                  <w:rFonts w:ascii="Arial" w:hAnsi="Arial" w:cs="Arial"/>
                                  <w:sz w:val="20"/>
                                  <w:szCs w:val="20"/>
                                </w:rPr>
                                <w:fldChar w:fldCharType="end"/>
                              </w:r>
                            </w:p>
                          </w:txbxContent>
                        </wps:txbx>
                        <wps:bodyPr rot="0" vert="horz" wrap="square" lIns="91440" tIns="45720" rIns="91440" bIns="45720" anchor="t" anchorCtr="0" upright="1">
                          <a:noAutofit/>
                        </wps:bodyPr>
                      </wps:wsp>
                      <wps:wsp>
                        <wps:cNvPr id="799382466" name="Line 13"/>
                        <wps:cNvCnPr>
                          <a:cxnSpLocks noChangeShapeType="1"/>
                        </wps:cNvCnPr>
                        <wps:spPr bwMode="auto">
                          <a:xfrm flipH="1">
                            <a:off x="3163753" y="264599"/>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27689" name="Line 14"/>
                        <wps:cNvCnPr>
                          <a:cxnSpLocks noChangeShapeType="1"/>
                        </wps:cNvCnPr>
                        <wps:spPr bwMode="auto">
                          <a:xfrm>
                            <a:off x="2706553" y="493199"/>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525349" name="Line 15"/>
                        <wps:cNvCnPr>
                          <a:cxnSpLocks noChangeShapeType="1"/>
                        </wps:cNvCnPr>
                        <wps:spPr bwMode="auto">
                          <a:xfrm flipH="1">
                            <a:off x="1449253" y="950399"/>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6815044" name="Line 16"/>
                        <wps:cNvCnPr>
                          <a:cxnSpLocks noChangeShapeType="1"/>
                        </wps:cNvCnPr>
                        <wps:spPr bwMode="auto">
                          <a:xfrm>
                            <a:off x="2706553" y="1064699"/>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1282842" name="Line 17"/>
                        <wps:cNvCnPr>
                          <a:cxnSpLocks noChangeShapeType="1"/>
                        </wps:cNvCnPr>
                        <wps:spPr bwMode="auto">
                          <a:xfrm>
                            <a:off x="2706553" y="1864799"/>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7837712" name="Line 18"/>
                        <wps:cNvCnPr>
                          <a:cxnSpLocks noChangeShapeType="1"/>
                        </wps:cNvCnPr>
                        <wps:spPr bwMode="auto">
                          <a:xfrm>
                            <a:off x="2706553" y="2664899"/>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4732303" name="Rectangle 19"/>
                        <wps:cNvSpPr>
                          <a:spLocks noChangeArrowheads="1"/>
                        </wps:cNvSpPr>
                        <wps:spPr bwMode="auto">
                          <a:xfrm>
                            <a:off x="1744464" y="3026594"/>
                            <a:ext cx="2171700" cy="1726381"/>
                          </a:xfrm>
                          <a:prstGeom prst="rect">
                            <a:avLst/>
                          </a:prstGeom>
                          <a:solidFill>
                            <a:srgbClr val="FFFFFF"/>
                          </a:solidFill>
                          <a:ln w="9525">
                            <a:solidFill>
                              <a:srgbClr val="000000"/>
                            </a:solidFill>
                            <a:miter lim="800000"/>
                            <a:headEnd/>
                            <a:tailEnd/>
                          </a:ln>
                        </wps:spPr>
                        <wps:txbx>
                          <w:txbxContent>
                            <w:p w14:paraId="12FB47AE" w14:textId="77777777" w:rsidR="0051033E" w:rsidRPr="001D2742" w:rsidRDefault="0051033E" w:rsidP="0051033E">
                              <w:pPr>
                                <w:rPr>
                                  <w:rFonts w:ascii="Arial" w:hAnsi="Arial" w:cs="Arial"/>
                                  <w:sz w:val="20"/>
                                  <w:szCs w:val="20"/>
                                </w:rPr>
                              </w:pPr>
                              <w:hyperlink r:id="rId24" w:history="1">
                                <w:r w:rsidRPr="001D2742">
                                  <w:rPr>
                                    <w:rStyle w:val="Hiperpovezava"/>
                                    <w:rFonts w:ascii="Arial" w:eastAsiaTheme="majorEastAsia" w:hAnsi="Arial" w:cs="Arial"/>
                                    <w:color w:val="auto"/>
                                    <w:sz w:val="20"/>
                                    <w:szCs w:val="20"/>
                                    <w:u w:val="none"/>
                                  </w:rPr>
                                  <w:t>Sprejemna pisarna</w:t>
                                </w:r>
                              </w:hyperlink>
                            </w:p>
                            <w:p w14:paraId="4CF98DA4" w14:textId="77777777" w:rsidR="0051033E" w:rsidRPr="001D2742" w:rsidRDefault="0051033E" w:rsidP="0051033E">
                              <w:pPr>
                                <w:rPr>
                                  <w:rFonts w:ascii="Arial" w:hAnsi="Arial" w:cs="Arial"/>
                                  <w:sz w:val="20"/>
                                  <w:szCs w:val="20"/>
                                </w:rPr>
                              </w:pPr>
                              <w:hyperlink r:id="rId25" w:history="1">
                                <w:r w:rsidRPr="001D2742">
                                  <w:rPr>
                                    <w:rStyle w:val="Hiperpovezava"/>
                                    <w:rFonts w:ascii="Arial" w:eastAsiaTheme="majorEastAsia" w:hAnsi="Arial" w:cs="Arial"/>
                                    <w:color w:val="auto"/>
                                    <w:sz w:val="20"/>
                                    <w:szCs w:val="20"/>
                                    <w:u w:val="none"/>
                                  </w:rPr>
                                  <w:t>Urbanizem</w:t>
                                </w:r>
                              </w:hyperlink>
                            </w:p>
                            <w:p w14:paraId="1CBBA598" w14:textId="77777777" w:rsidR="0051033E" w:rsidRPr="001D2742" w:rsidRDefault="0051033E" w:rsidP="0051033E">
                              <w:pPr>
                                <w:rPr>
                                  <w:rFonts w:ascii="Arial" w:hAnsi="Arial" w:cs="Arial"/>
                                  <w:sz w:val="20"/>
                                  <w:szCs w:val="20"/>
                                </w:rPr>
                              </w:pPr>
                              <w:hyperlink r:id="rId26" w:history="1">
                                <w:r w:rsidRPr="001D2742">
                                  <w:rPr>
                                    <w:rStyle w:val="Hiperpovezava"/>
                                    <w:rFonts w:ascii="Arial" w:eastAsiaTheme="majorEastAsia" w:hAnsi="Arial" w:cs="Arial"/>
                                    <w:color w:val="auto"/>
                                    <w:sz w:val="20"/>
                                    <w:szCs w:val="20"/>
                                    <w:u w:val="none"/>
                                  </w:rPr>
                                  <w:t>Turizem</w:t>
                                </w:r>
                              </w:hyperlink>
                            </w:p>
                            <w:p w14:paraId="65CC89F7" w14:textId="77777777" w:rsidR="0051033E" w:rsidRPr="001D2742" w:rsidRDefault="0051033E" w:rsidP="0051033E">
                              <w:pPr>
                                <w:rPr>
                                  <w:rFonts w:ascii="Arial" w:hAnsi="Arial" w:cs="Arial"/>
                                  <w:sz w:val="20"/>
                                  <w:szCs w:val="20"/>
                                </w:rPr>
                              </w:pPr>
                              <w:hyperlink r:id="rId27" w:history="1">
                                <w:r w:rsidRPr="001D2742">
                                  <w:rPr>
                                    <w:rStyle w:val="Hiperpovezava"/>
                                    <w:rFonts w:ascii="Arial" w:eastAsiaTheme="majorEastAsia" w:hAnsi="Arial" w:cs="Arial"/>
                                    <w:color w:val="auto"/>
                                    <w:sz w:val="20"/>
                                    <w:szCs w:val="20"/>
                                    <w:u w:val="none"/>
                                  </w:rPr>
                                  <w:t>Komunala</w:t>
                                </w:r>
                              </w:hyperlink>
                            </w:p>
                            <w:p w14:paraId="72D5A916" w14:textId="77777777" w:rsidR="0051033E" w:rsidRPr="001D2742" w:rsidRDefault="0051033E" w:rsidP="0051033E">
                              <w:pPr>
                                <w:rPr>
                                  <w:rFonts w:ascii="Arial" w:hAnsi="Arial" w:cs="Arial"/>
                                  <w:sz w:val="20"/>
                                  <w:szCs w:val="20"/>
                                </w:rPr>
                              </w:pPr>
                              <w:hyperlink r:id="rId28" w:history="1">
                                <w:r w:rsidRPr="001D2742">
                                  <w:rPr>
                                    <w:rStyle w:val="Hiperpovezava"/>
                                    <w:rFonts w:ascii="Arial" w:eastAsiaTheme="majorEastAsia" w:hAnsi="Arial" w:cs="Arial"/>
                                    <w:color w:val="auto"/>
                                    <w:sz w:val="20"/>
                                    <w:szCs w:val="20"/>
                                    <w:u w:val="none"/>
                                  </w:rPr>
                                  <w:t>Finančno računovodstvo</w:t>
                                </w:r>
                              </w:hyperlink>
                            </w:p>
                            <w:p w14:paraId="09C4A177" w14:textId="77777777" w:rsidR="0051033E" w:rsidRPr="001D2742" w:rsidRDefault="0051033E" w:rsidP="0051033E">
                              <w:pPr>
                                <w:rPr>
                                  <w:rFonts w:ascii="Arial" w:hAnsi="Arial" w:cs="Arial"/>
                                  <w:sz w:val="20"/>
                                  <w:szCs w:val="20"/>
                                </w:rPr>
                              </w:pPr>
                              <w:hyperlink r:id="rId29" w:history="1">
                                <w:r w:rsidRPr="001D2742">
                                  <w:rPr>
                                    <w:rStyle w:val="Hiperpovezava"/>
                                    <w:rFonts w:ascii="Arial" w:eastAsiaTheme="majorEastAsia" w:hAnsi="Arial" w:cs="Arial"/>
                                    <w:color w:val="auto"/>
                                    <w:sz w:val="20"/>
                                    <w:szCs w:val="20"/>
                                    <w:u w:val="none"/>
                                  </w:rPr>
                                  <w:t>Družbene dejavnosti</w:t>
                                </w:r>
                              </w:hyperlink>
                            </w:p>
                            <w:p w14:paraId="5772F811" w14:textId="77777777" w:rsidR="0051033E" w:rsidRPr="001D2742" w:rsidRDefault="0051033E" w:rsidP="0051033E">
                              <w:pPr>
                                <w:rPr>
                                  <w:rFonts w:ascii="Arial" w:hAnsi="Arial" w:cs="Arial"/>
                                  <w:sz w:val="20"/>
                                  <w:szCs w:val="20"/>
                                </w:rPr>
                              </w:pPr>
                              <w:hyperlink r:id="rId30" w:history="1">
                                <w:r w:rsidRPr="001D2742">
                                  <w:rPr>
                                    <w:rStyle w:val="Hiperpovezava"/>
                                    <w:rFonts w:ascii="Arial" w:eastAsiaTheme="majorEastAsia" w:hAnsi="Arial" w:cs="Arial"/>
                                    <w:color w:val="auto"/>
                                    <w:sz w:val="20"/>
                                    <w:szCs w:val="20"/>
                                    <w:u w:val="none"/>
                                  </w:rPr>
                                  <w:t>Gospodarske in splošne dejavnosti</w:t>
                                </w:r>
                              </w:hyperlink>
                            </w:p>
                            <w:p w14:paraId="70A399F6" w14:textId="77777777" w:rsidR="0051033E" w:rsidRPr="001D2742" w:rsidRDefault="0051033E" w:rsidP="0051033E">
                              <w:pPr>
                                <w:rPr>
                                  <w:rFonts w:ascii="Arial" w:hAnsi="Arial" w:cs="Arial"/>
                                  <w:sz w:val="20"/>
                                  <w:szCs w:val="20"/>
                                </w:rPr>
                              </w:pPr>
                              <w:hyperlink r:id="rId31" w:history="1">
                                <w:r w:rsidRPr="001D2742">
                                  <w:rPr>
                                    <w:rStyle w:val="Hiperpovezava"/>
                                    <w:rFonts w:ascii="Arial" w:eastAsiaTheme="majorEastAsia" w:hAnsi="Arial" w:cs="Arial"/>
                                    <w:color w:val="auto"/>
                                    <w:sz w:val="20"/>
                                    <w:szCs w:val="20"/>
                                    <w:u w:val="none"/>
                                  </w:rPr>
                                  <w:t>Kmetijstvo</w:t>
                                </w:r>
                              </w:hyperlink>
                            </w:p>
                            <w:p w14:paraId="4F5660E3" w14:textId="77777777" w:rsidR="0051033E" w:rsidRPr="001D2742" w:rsidRDefault="0051033E" w:rsidP="0051033E">
                              <w:pPr>
                                <w:rPr>
                                  <w:rFonts w:ascii="Arial" w:hAnsi="Arial" w:cs="Arial"/>
                                  <w:sz w:val="20"/>
                                  <w:szCs w:val="20"/>
                                </w:rPr>
                              </w:pPr>
                              <w:hyperlink r:id="rId32" w:history="1">
                                <w:r w:rsidRPr="001D2742">
                                  <w:rPr>
                                    <w:rStyle w:val="Hiperpovezava"/>
                                    <w:rFonts w:ascii="Arial" w:eastAsiaTheme="majorEastAsia" w:hAnsi="Arial" w:cs="Arial"/>
                                    <w:color w:val="auto"/>
                                    <w:sz w:val="20"/>
                                    <w:szCs w:val="20"/>
                                    <w:u w:val="none"/>
                                  </w:rPr>
                                  <w:t>Požarna varnost in zaščita</w:t>
                                </w:r>
                              </w:hyperlink>
                            </w:p>
                            <w:p w14:paraId="3FCFBB4F" w14:textId="77777777" w:rsidR="0051033E" w:rsidRPr="001D2742" w:rsidRDefault="0051033E" w:rsidP="0051033E">
                              <w:pPr>
                                <w:rPr>
                                  <w:rFonts w:ascii="Arial" w:hAnsi="Arial" w:cs="Arial"/>
                                  <w:sz w:val="20"/>
                                  <w:szCs w:val="20"/>
                                </w:rPr>
                              </w:pPr>
                              <w:hyperlink r:id="rId33" w:history="1">
                                <w:r w:rsidRPr="001D2742">
                                  <w:rPr>
                                    <w:rStyle w:val="Hiperpovezava"/>
                                    <w:rFonts w:ascii="Arial" w:eastAsiaTheme="majorEastAsia" w:hAnsi="Arial" w:cs="Arial"/>
                                    <w:color w:val="auto"/>
                                    <w:sz w:val="20"/>
                                    <w:szCs w:val="20"/>
                                    <w:u w:val="none"/>
                                  </w:rPr>
                                  <w:t>Režijski obrat</w:t>
                                </w:r>
                              </w:hyperlink>
                            </w:p>
                          </w:txbxContent>
                        </wps:txbx>
                        <wps:bodyPr rot="0" vert="horz" wrap="square" lIns="91440" tIns="45720" rIns="91440" bIns="45720" anchor="t" anchorCtr="0" upright="1">
                          <a:noAutofit/>
                        </wps:bodyPr>
                      </wps:wsp>
                    </wpc:wpc>
                  </a:graphicData>
                </a:graphic>
              </wp:inline>
            </w:drawing>
          </mc:Choice>
          <mc:Fallback>
            <w:pict>
              <v:group w14:anchorId="49C53DEE" id="Canvas 7" o:spid="_x0000_s1027" editas="canvas" style="width:406pt;height:386.5pt;mso-position-horizontal-relative:char;mso-position-vertical-relative:line" coordsize="51562,4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1562;height:49079;visibility:visible;mso-wrap-style:square">
                  <v:fill o:detectmouseclick="t"/>
                  <v:path o:connecttype="none"/>
                </v:shape>
                <v:rect id="Rectangle 5" o:spid="_x0000_s1029" style="position:absolute;left:4205;top:359;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">
                  <v:textbox>
                    <w:txbxContent>
                      <w:p w14:paraId="67915D66" w14:textId="77777777" w:rsidR="0051033E" w:rsidRPr="001D2742" w:rsidRDefault="0051033E" w:rsidP="0051033E">
                        <w:pPr>
                          <w:rPr>
                            <w:rFonts w:ascii="Arial" w:hAnsi="Arial" w:cs="Arial"/>
                            <w:sz w:val="20"/>
                            <w:szCs w:val="20"/>
                          </w:rPr>
                        </w:pPr>
                        <w:hyperlink r:id="rId38" w:history="1">
                          <w:r w:rsidRPr="001D2742">
                            <w:rPr>
                              <w:rStyle w:val="Hiperpovezava"/>
                              <w:rFonts w:ascii="Arial" w:eastAsiaTheme="majorEastAsia" w:hAnsi="Arial" w:cs="Arial"/>
                              <w:color w:val="auto"/>
                              <w:sz w:val="20"/>
                              <w:szCs w:val="20"/>
                              <w:u w:val="none"/>
                            </w:rPr>
                            <w:t>Občinski  svet</w:t>
                          </w:r>
                        </w:hyperlink>
                        <w:r w:rsidRPr="001D2742">
                          <w:rPr>
                            <w:rFonts w:ascii="Arial" w:hAnsi="Arial" w:cs="Arial"/>
                            <w:sz w:val="20"/>
                            <w:szCs w:val="20"/>
                          </w:rPr>
                          <w:t xml:space="preserve"> </w:t>
                        </w:r>
                      </w:p>
                    </w:txbxContent>
                  </v:textbox>
                </v:rect>
                <v:rect id="Rectangle 6" o:spid="_x0000_s1030" style="position:absolute;left:22493;top:359;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">
                  <v:textbox>
                    <w:txbxContent>
                      <w:p w14:paraId="4EB8F1E3" w14:textId="77777777" w:rsidR="0051033E" w:rsidRPr="00492856" w:rsidRDefault="0051033E" w:rsidP="0051033E">
                        <w:pPr>
                          <w:rPr>
                            <w:rFonts w:ascii="Arial" w:hAnsi="Arial" w:cs="Arial"/>
                          </w:rPr>
                        </w:pPr>
                        <w:r w:rsidRPr="00492856">
                          <w:rPr>
                            <w:rFonts w:ascii="Arial" w:hAnsi="Arial" w:cs="Arial"/>
                          </w:rPr>
                          <w:t xml:space="preserve">OBČINA    </w:t>
                        </w:r>
                      </w:p>
                      <w:p w14:paraId="28247785" w14:textId="77777777" w:rsidR="0051033E" w:rsidRPr="00492856" w:rsidRDefault="0051033E" w:rsidP="0051033E">
                        <w:pPr>
                          <w:rPr>
                            <w:rFonts w:ascii="Arial" w:hAnsi="Arial" w:cs="Arial"/>
                          </w:rPr>
                        </w:pPr>
                        <w:r w:rsidRPr="00492856">
                          <w:rPr>
                            <w:rFonts w:ascii="Arial" w:hAnsi="Arial" w:cs="Arial"/>
                          </w:rPr>
                          <w:t xml:space="preserve">     IG</w:t>
                        </w:r>
                      </w:p>
                      <w:p w14:paraId="1A09EBEE" w14:textId="77777777" w:rsidR="0051033E" w:rsidRDefault="0051033E" w:rsidP="0051033E"/>
                    </w:txbxContent>
                  </v:textbox>
                </v:rect>
                <v:rect id="Rectangle 7" o:spid="_x0000_s1031" style="position:absolute;left:40781;top:359;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">
                  <v:textbox>
                    <w:txbxContent>
                      <w:p w14:paraId="09ACCF4C" w14:textId="77777777" w:rsidR="0051033E" w:rsidRPr="00492856" w:rsidRDefault="0051033E" w:rsidP="0051033E">
                        <w:pPr>
                          <w:rPr>
                            <w:rFonts w:ascii="Arial" w:hAnsi="Arial" w:cs="Arial"/>
                            <w:sz w:val="20"/>
                            <w:szCs w:val="20"/>
                          </w:rPr>
                        </w:pPr>
                        <w:r w:rsidRPr="00492856">
                          <w:rPr>
                            <w:rFonts w:ascii="Arial" w:hAnsi="Arial" w:cs="Arial"/>
                            <w:sz w:val="20"/>
                            <w:szCs w:val="20"/>
                          </w:rPr>
                          <w:t xml:space="preserve">Nadzorni </w:t>
                        </w:r>
                        <w:r>
                          <w:rPr>
                            <w:rFonts w:ascii="Arial" w:hAnsi="Arial" w:cs="Arial"/>
                            <w:sz w:val="20"/>
                            <w:szCs w:val="20"/>
                          </w:rPr>
                          <w:t xml:space="preserve">    </w:t>
                        </w:r>
                        <w:r w:rsidRPr="00492856">
                          <w:rPr>
                            <w:rFonts w:ascii="Arial" w:hAnsi="Arial" w:cs="Arial"/>
                            <w:sz w:val="20"/>
                            <w:szCs w:val="20"/>
                          </w:rPr>
                          <w:t>odbor</w:t>
                        </w:r>
                      </w:p>
                    </w:txbxContent>
                  </v:textbox>
                </v:rect>
                <v:line id="Line 8" o:spid="_x0000_s1032" style="position:absolute;visibility:visible;mso-wrap-style:square" from="15635,2645" to="22493,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">
                  <v:stroke endarrow="block"/>
                </v:line>
                <v:rect id="Rectangle 9" o:spid="_x0000_s1033" style="position:absolute;left:22493;top:8360;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">
                  <v:textbox>
                    <w:txbxContent>
                      <w:p w14:paraId="26656C87" w14:textId="77777777" w:rsidR="0051033E" w:rsidRPr="00A72DE4" w:rsidRDefault="0051033E" w:rsidP="0051033E">
                        <w:pPr>
                          <w:rPr>
                            <w:rFonts w:ascii="Arial" w:hAnsi="Arial" w:cs="Arial"/>
                            <w:sz w:val="20"/>
                            <w:szCs w:val="20"/>
                          </w:rPr>
                        </w:pPr>
                        <w:r w:rsidRPr="00A72DE4">
                          <w:rPr>
                            <w:rFonts w:ascii="Arial" w:hAnsi="Arial" w:cs="Arial"/>
                            <w:sz w:val="20"/>
                            <w:szCs w:val="20"/>
                          </w:rPr>
                          <w:t xml:space="preserve">  </w:t>
                        </w:r>
                        <w:hyperlink r:id="rId39" w:history="1">
                          <w:r w:rsidRPr="00E27D11">
                            <w:rPr>
                              <w:rStyle w:val="Hiperpovezava"/>
                              <w:rFonts w:ascii="Arial" w:eastAsiaTheme="majorEastAsia" w:hAnsi="Arial" w:cs="Arial"/>
                              <w:color w:val="auto"/>
                              <w:sz w:val="20"/>
                              <w:szCs w:val="20"/>
                              <w:u w:val="none"/>
                            </w:rPr>
                            <w:t xml:space="preserve"> ŽUPAN</w:t>
                          </w:r>
                        </w:hyperlink>
                      </w:p>
                    </w:txbxContent>
                  </v:textbox>
                </v:rect>
                <v:rect id="Rectangle 10" o:spid="_x0000_s1034" style="position:absolute;left:5348;top:8360;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">
                  <v:textbox>
                    <w:txbxContent>
                      <w:p w14:paraId="744D3C09" w14:textId="77777777" w:rsidR="0051033E" w:rsidRPr="00E27D11" w:rsidRDefault="0051033E" w:rsidP="0051033E">
                        <w:pPr>
                          <w:rPr>
                            <w:rFonts w:ascii="Arial" w:hAnsi="Arial" w:cs="Arial"/>
                            <w:sz w:val="20"/>
                            <w:szCs w:val="20"/>
                          </w:rPr>
                        </w:pPr>
                        <w:r w:rsidRPr="00E27D11">
                          <w:rPr>
                            <w:rFonts w:ascii="Arial" w:hAnsi="Arial" w:cs="Arial"/>
                            <w:sz w:val="20"/>
                            <w:szCs w:val="20"/>
                          </w:rPr>
                          <w:t xml:space="preserve">  </w:t>
                        </w:r>
                        <w:hyperlink r:id="rId40" w:history="1">
                          <w:r w:rsidRPr="00E27D11">
                            <w:rPr>
                              <w:rStyle w:val="Hiperpovezava"/>
                              <w:rFonts w:ascii="Arial" w:eastAsiaTheme="majorEastAsia" w:hAnsi="Arial" w:cs="Arial"/>
                              <w:color w:val="auto"/>
                              <w:sz w:val="20"/>
                              <w:szCs w:val="20"/>
                              <w:u w:val="none"/>
                            </w:rPr>
                            <w:t>Podžupani</w:t>
                          </w:r>
                        </w:hyperlink>
                      </w:p>
                    </w:txbxContent>
                  </v:textbox>
                </v:rect>
                <v:rect id="Rectangle 11" o:spid="_x0000_s1035" style="position:absolute;left:22493;top:14075;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">
                  <v:textbox>
                    <w:txbxContent>
                      <w:p w14:paraId="2AC0619A" w14:textId="77777777" w:rsidR="0051033E" w:rsidRDefault="0051033E" w:rsidP="0051033E">
                        <w:r>
                          <w:rPr>
                            <w:rFonts w:ascii="Arial" w:hAnsi="Arial" w:cs="Arial"/>
                            <w:sz w:val="20"/>
                            <w:szCs w:val="20"/>
                          </w:rPr>
                          <w:t>OBČINSKA UPRAVA</w:t>
                        </w:r>
                      </w:p>
                    </w:txbxContent>
                  </v:textbox>
                </v:rect>
                <v:rect id="Rectangle 12" o:spid="_x0000_s1036" style="position:absolute;left:21350;top:22076;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">
                  <v:textbox>
                    <w:txbxContent>
                      <w:p w14:paraId="41B66DB8" w14:textId="77777777" w:rsidR="0051033E" w:rsidRPr="001D2742" w:rsidRDefault="0051033E" w:rsidP="0051033E">
                        <w:pPr>
                          <w:rPr>
                            <w:rStyle w:val="Hiperpovezava"/>
                            <w:rFonts w:ascii="Arial" w:eastAsiaTheme="majorEastAsia" w:hAnsi="Arial" w:cs="Arial"/>
                            <w:color w:val="auto"/>
                            <w:sz w:val="20"/>
                            <w:szCs w:val="20"/>
                            <w:u w:val="none"/>
                          </w:rPr>
                        </w:pPr>
                        <w:r w:rsidRPr="001D2742">
                          <w:rPr>
                            <w:rFonts w:ascii="Arial" w:hAnsi="Arial" w:cs="Arial"/>
                            <w:sz w:val="20"/>
                            <w:szCs w:val="20"/>
                          </w:rPr>
                          <w:t xml:space="preserve">      </w:t>
                        </w:r>
                        <w:r w:rsidRPr="001D2742">
                          <w:rPr>
                            <w:rFonts w:ascii="Arial" w:hAnsi="Arial" w:cs="Arial"/>
                            <w:sz w:val="20"/>
                            <w:szCs w:val="20"/>
                          </w:rPr>
                          <w:fldChar w:fldCharType="begin"/>
                        </w:r>
                        <w:r w:rsidRPr="001D2742">
                          <w:rPr>
                            <w:rFonts w:ascii="Arial" w:hAnsi="Arial" w:cs="Arial"/>
                            <w:sz w:val="20"/>
                            <w:szCs w:val="20"/>
                          </w:rPr>
                          <w:instrText>HYPERLINK "http://www.obcina-ig.si/index.php?option=com_content&amp;view=article&amp;id=50&amp;Itemid=84&amp;lang=sl"</w:instrText>
                        </w:r>
                        <w:r w:rsidRPr="001D2742">
                          <w:rPr>
                            <w:rFonts w:ascii="Arial" w:hAnsi="Arial" w:cs="Arial"/>
                            <w:sz w:val="20"/>
                            <w:szCs w:val="20"/>
                          </w:rPr>
                        </w:r>
                        <w:r w:rsidRPr="001D2742">
                          <w:rPr>
                            <w:rFonts w:ascii="Arial" w:hAnsi="Arial" w:cs="Arial"/>
                            <w:sz w:val="20"/>
                            <w:szCs w:val="20"/>
                          </w:rPr>
                          <w:fldChar w:fldCharType="separate"/>
                        </w:r>
                        <w:r w:rsidRPr="001D2742">
                          <w:rPr>
                            <w:rStyle w:val="Hiperpovezava"/>
                            <w:rFonts w:ascii="Arial" w:eastAsiaTheme="majorEastAsia" w:hAnsi="Arial" w:cs="Arial"/>
                            <w:color w:val="auto"/>
                            <w:sz w:val="20"/>
                            <w:szCs w:val="20"/>
                            <w:u w:val="none"/>
                          </w:rPr>
                          <w:t xml:space="preserve">Direktor </w:t>
                        </w:r>
                      </w:p>
                      <w:p w14:paraId="0E9C168C" w14:textId="77777777" w:rsidR="0051033E" w:rsidRPr="001D2742" w:rsidRDefault="0051033E" w:rsidP="0051033E">
                        <w:pPr>
                          <w:rPr>
                            <w:rFonts w:ascii="Arial" w:hAnsi="Arial" w:cs="Arial"/>
                            <w:sz w:val="20"/>
                            <w:szCs w:val="20"/>
                          </w:rPr>
                        </w:pPr>
                        <w:r w:rsidRPr="001D2742">
                          <w:rPr>
                            <w:rStyle w:val="Hiperpovezava"/>
                            <w:rFonts w:ascii="Arial" w:eastAsiaTheme="majorEastAsia" w:hAnsi="Arial" w:cs="Arial"/>
                            <w:color w:val="auto"/>
                            <w:sz w:val="20"/>
                            <w:szCs w:val="20"/>
                            <w:u w:val="none"/>
                          </w:rPr>
                          <w:t>Občinske uprave</w:t>
                        </w:r>
                        <w:r w:rsidRPr="001D2742">
                          <w:rPr>
                            <w:rFonts w:ascii="Arial" w:hAnsi="Arial" w:cs="Arial"/>
                            <w:sz w:val="20"/>
                            <w:szCs w:val="20"/>
                          </w:rPr>
                          <w:fldChar w:fldCharType="end"/>
                        </w:r>
                      </w:p>
                    </w:txbxContent>
                  </v:textbox>
                </v:rect>
                <v:line id="Line 13" o:spid="_x0000_s1037" style="position:absolute;flip:x;visibility:visible;mso-wrap-style:square" from="31637,2645" to="40781,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">
                  <v:stroke endarrow="block"/>
                </v:line>
                <v:line id="Line 14" o:spid="_x0000_s1038" style="position:absolute;visibility:visible;mso-wrap-style:square" from="27065,4931" to="27065,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">
                  <v:stroke endarrow="block"/>
                </v:line>
                <v:line id="Line 15" o:spid="_x0000_s1039" style="position:absolute;flip:x;visibility:visible;mso-wrap-style:square" from="14492,9503" to="22493,9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">
                  <v:stroke endarrow="block"/>
                </v:line>
                <v:line id="Line 16" o:spid="_x0000_s1040" style="position:absolute;visibility:visible;mso-wrap-style:square" from="27065,10646" to="27065,1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">
                  <v:stroke endarrow="block"/>
                </v:line>
                <v:line id="Line 17" o:spid="_x0000_s1041" style="position:absolute;visibility:visible;mso-wrap-style:square" from="27065,18647" to="27065,2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">
                  <v:stroke endarrow="block"/>
                </v:line>
                <v:line id="Line 18" o:spid="_x0000_s1042" style="position:absolute;visibility:visible;mso-wrap-style:square" from="27065,26648" to="27065,30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">
                  <v:stroke endarrow="block"/>
                </v:line>
                <v:rect id="Rectangle 19" o:spid="_x0000_s1043" style="position:absolute;left:17444;top:30265;width:21717;height:1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">
                  <v:textbox>
                    <w:txbxContent>
                      <w:p w14:paraId="12FB47AE" w14:textId="77777777" w:rsidR="0051033E" w:rsidRPr="001D2742" w:rsidRDefault="0051033E" w:rsidP="0051033E">
                        <w:pPr>
                          <w:rPr>
                            <w:rFonts w:ascii="Arial" w:hAnsi="Arial" w:cs="Arial"/>
                            <w:sz w:val="20"/>
                            <w:szCs w:val="20"/>
                          </w:rPr>
                        </w:pPr>
                        <w:hyperlink r:id="rId41" w:history="1">
                          <w:r w:rsidRPr="001D2742">
                            <w:rPr>
                              <w:rStyle w:val="Hiperpovezava"/>
                              <w:rFonts w:ascii="Arial" w:eastAsiaTheme="majorEastAsia" w:hAnsi="Arial" w:cs="Arial"/>
                              <w:color w:val="auto"/>
                              <w:sz w:val="20"/>
                              <w:szCs w:val="20"/>
                              <w:u w:val="none"/>
                            </w:rPr>
                            <w:t>Sprejemna pisarna</w:t>
                          </w:r>
                        </w:hyperlink>
                      </w:p>
                      <w:p w14:paraId="4CF98DA4" w14:textId="77777777" w:rsidR="0051033E" w:rsidRPr="001D2742" w:rsidRDefault="0051033E" w:rsidP="0051033E">
                        <w:pPr>
                          <w:rPr>
                            <w:rFonts w:ascii="Arial" w:hAnsi="Arial" w:cs="Arial"/>
                            <w:sz w:val="20"/>
                            <w:szCs w:val="20"/>
                          </w:rPr>
                        </w:pPr>
                        <w:hyperlink r:id="rId42" w:history="1">
                          <w:r w:rsidRPr="001D2742">
                            <w:rPr>
                              <w:rStyle w:val="Hiperpovezava"/>
                              <w:rFonts w:ascii="Arial" w:eastAsiaTheme="majorEastAsia" w:hAnsi="Arial" w:cs="Arial"/>
                              <w:color w:val="auto"/>
                              <w:sz w:val="20"/>
                              <w:szCs w:val="20"/>
                              <w:u w:val="none"/>
                            </w:rPr>
                            <w:t>Urbanizem</w:t>
                          </w:r>
                        </w:hyperlink>
                      </w:p>
                      <w:p w14:paraId="1CBBA598" w14:textId="77777777" w:rsidR="0051033E" w:rsidRPr="001D2742" w:rsidRDefault="0051033E" w:rsidP="0051033E">
                        <w:pPr>
                          <w:rPr>
                            <w:rFonts w:ascii="Arial" w:hAnsi="Arial" w:cs="Arial"/>
                            <w:sz w:val="20"/>
                            <w:szCs w:val="20"/>
                          </w:rPr>
                        </w:pPr>
                        <w:hyperlink r:id="rId43" w:history="1">
                          <w:r w:rsidRPr="001D2742">
                            <w:rPr>
                              <w:rStyle w:val="Hiperpovezava"/>
                              <w:rFonts w:ascii="Arial" w:eastAsiaTheme="majorEastAsia" w:hAnsi="Arial" w:cs="Arial"/>
                              <w:color w:val="auto"/>
                              <w:sz w:val="20"/>
                              <w:szCs w:val="20"/>
                              <w:u w:val="none"/>
                            </w:rPr>
                            <w:t>Turizem</w:t>
                          </w:r>
                        </w:hyperlink>
                      </w:p>
                      <w:p w14:paraId="65CC89F7" w14:textId="77777777" w:rsidR="0051033E" w:rsidRPr="001D2742" w:rsidRDefault="0051033E" w:rsidP="0051033E">
                        <w:pPr>
                          <w:rPr>
                            <w:rFonts w:ascii="Arial" w:hAnsi="Arial" w:cs="Arial"/>
                            <w:sz w:val="20"/>
                            <w:szCs w:val="20"/>
                          </w:rPr>
                        </w:pPr>
                        <w:hyperlink r:id="rId44" w:history="1">
                          <w:r w:rsidRPr="001D2742">
                            <w:rPr>
                              <w:rStyle w:val="Hiperpovezava"/>
                              <w:rFonts w:ascii="Arial" w:eastAsiaTheme="majorEastAsia" w:hAnsi="Arial" w:cs="Arial"/>
                              <w:color w:val="auto"/>
                              <w:sz w:val="20"/>
                              <w:szCs w:val="20"/>
                              <w:u w:val="none"/>
                            </w:rPr>
                            <w:t>Komunala</w:t>
                          </w:r>
                        </w:hyperlink>
                      </w:p>
                      <w:p w14:paraId="72D5A916" w14:textId="77777777" w:rsidR="0051033E" w:rsidRPr="001D2742" w:rsidRDefault="0051033E" w:rsidP="0051033E">
                        <w:pPr>
                          <w:rPr>
                            <w:rFonts w:ascii="Arial" w:hAnsi="Arial" w:cs="Arial"/>
                            <w:sz w:val="20"/>
                            <w:szCs w:val="20"/>
                          </w:rPr>
                        </w:pPr>
                        <w:hyperlink r:id="rId45" w:history="1">
                          <w:r w:rsidRPr="001D2742">
                            <w:rPr>
                              <w:rStyle w:val="Hiperpovezava"/>
                              <w:rFonts w:ascii="Arial" w:eastAsiaTheme="majorEastAsia" w:hAnsi="Arial" w:cs="Arial"/>
                              <w:color w:val="auto"/>
                              <w:sz w:val="20"/>
                              <w:szCs w:val="20"/>
                              <w:u w:val="none"/>
                            </w:rPr>
                            <w:t>Finančno računovodstvo</w:t>
                          </w:r>
                        </w:hyperlink>
                      </w:p>
                      <w:p w14:paraId="09C4A177" w14:textId="77777777" w:rsidR="0051033E" w:rsidRPr="001D2742" w:rsidRDefault="0051033E" w:rsidP="0051033E">
                        <w:pPr>
                          <w:rPr>
                            <w:rFonts w:ascii="Arial" w:hAnsi="Arial" w:cs="Arial"/>
                            <w:sz w:val="20"/>
                            <w:szCs w:val="20"/>
                          </w:rPr>
                        </w:pPr>
                        <w:hyperlink r:id="rId46" w:history="1">
                          <w:r w:rsidRPr="001D2742">
                            <w:rPr>
                              <w:rStyle w:val="Hiperpovezava"/>
                              <w:rFonts w:ascii="Arial" w:eastAsiaTheme="majorEastAsia" w:hAnsi="Arial" w:cs="Arial"/>
                              <w:color w:val="auto"/>
                              <w:sz w:val="20"/>
                              <w:szCs w:val="20"/>
                              <w:u w:val="none"/>
                            </w:rPr>
                            <w:t>Družbene dejavnosti</w:t>
                          </w:r>
                        </w:hyperlink>
                      </w:p>
                      <w:p w14:paraId="5772F811" w14:textId="77777777" w:rsidR="0051033E" w:rsidRPr="001D2742" w:rsidRDefault="0051033E" w:rsidP="0051033E">
                        <w:pPr>
                          <w:rPr>
                            <w:rFonts w:ascii="Arial" w:hAnsi="Arial" w:cs="Arial"/>
                            <w:sz w:val="20"/>
                            <w:szCs w:val="20"/>
                          </w:rPr>
                        </w:pPr>
                        <w:hyperlink r:id="rId47" w:history="1">
                          <w:r w:rsidRPr="001D2742">
                            <w:rPr>
                              <w:rStyle w:val="Hiperpovezava"/>
                              <w:rFonts w:ascii="Arial" w:eastAsiaTheme="majorEastAsia" w:hAnsi="Arial" w:cs="Arial"/>
                              <w:color w:val="auto"/>
                              <w:sz w:val="20"/>
                              <w:szCs w:val="20"/>
                              <w:u w:val="none"/>
                            </w:rPr>
                            <w:t>Gospodarske in splošne dejavnosti</w:t>
                          </w:r>
                        </w:hyperlink>
                      </w:p>
                      <w:p w14:paraId="70A399F6" w14:textId="77777777" w:rsidR="0051033E" w:rsidRPr="001D2742" w:rsidRDefault="0051033E" w:rsidP="0051033E">
                        <w:pPr>
                          <w:rPr>
                            <w:rFonts w:ascii="Arial" w:hAnsi="Arial" w:cs="Arial"/>
                            <w:sz w:val="20"/>
                            <w:szCs w:val="20"/>
                          </w:rPr>
                        </w:pPr>
                        <w:hyperlink r:id="rId48" w:history="1">
                          <w:r w:rsidRPr="001D2742">
                            <w:rPr>
                              <w:rStyle w:val="Hiperpovezava"/>
                              <w:rFonts w:ascii="Arial" w:eastAsiaTheme="majorEastAsia" w:hAnsi="Arial" w:cs="Arial"/>
                              <w:color w:val="auto"/>
                              <w:sz w:val="20"/>
                              <w:szCs w:val="20"/>
                              <w:u w:val="none"/>
                            </w:rPr>
                            <w:t>Kmetijstvo</w:t>
                          </w:r>
                        </w:hyperlink>
                      </w:p>
                      <w:p w14:paraId="4F5660E3" w14:textId="77777777" w:rsidR="0051033E" w:rsidRPr="001D2742" w:rsidRDefault="0051033E" w:rsidP="0051033E">
                        <w:pPr>
                          <w:rPr>
                            <w:rFonts w:ascii="Arial" w:hAnsi="Arial" w:cs="Arial"/>
                            <w:sz w:val="20"/>
                            <w:szCs w:val="20"/>
                          </w:rPr>
                        </w:pPr>
                        <w:hyperlink r:id="rId49" w:history="1">
                          <w:r w:rsidRPr="001D2742">
                            <w:rPr>
                              <w:rStyle w:val="Hiperpovezava"/>
                              <w:rFonts w:ascii="Arial" w:eastAsiaTheme="majorEastAsia" w:hAnsi="Arial" w:cs="Arial"/>
                              <w:color w:val="auto"/>
                              <w:sz w:val="20"/>
                              <w:szCs w:val="20"/>
                              <w:u w:val="none"/>
                            </w:rPr>
                            <w:t>Požarna varnost in zaščita</w:t>
                          </w:r>
                        </w:hyperlink>
                      </w:p>
                      <w:p w14:paraId="3FCFBB4F" w14:textId="77777777" w:rsidR="0051033E" w:rsidRPr="001D2742" w:rsidRDefault="0051033E" w:rsidP="0051033E">
                        <w:pPr>
                          <w:rPr>
                            <w:rFonts w:ascii="Arial" w:hAnsi="Arial" w:cs="Arial"/>
                            <w:sz w:val="20"/>
                            <w:szCs w:val="20"/>
                          </w:rPr>
                        </w:pPr>
                        <w:hyperlink r:id="rId50" w:history="1">
                          <w:r w:rsidRPr="001D2742">
                            <w:rPr>
                              <w:rStyle w:val="Hiperpovezava"/>
                              <w:rFonts w:ascii="Arial" w:eastAsiaTheme="majorEastAsia" w:hAnsi="Arial" w:cs="Arial"/>
                              <w:color w:val="auto"/>
                              <w:sz w:val="20"/>
                              <w:szCs w:val="20"/>
                              <w:u w:val="none"/>
                            </w:rPr>
                            <w:t>Režijski obrat</w:t>
                          </w:r>
                        </w:hyperlink>
                      </w:p>
                    </w:txbxContent>
                  </v:textbox>
                </v:rect>
                <w10:anchorlock/>
              </v:group>
            </w:pict>
          </mc:Fallback>
        </mc:AlternateContent>
      </w:r>
    </w:p>
    <w:p w14:paraId="1C41D6E2" w14:textId="49595EF0" w:rsidR="0051033E" w:rsidRPr="000020F0" w:rsidRDefault="0051033E" w:rsidP="0051033E">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Vir: </w:t>
      </w:r>
      <w:hyperlink r:id="rId51" w:history="1">
        <w:r w:rsidRPr="000020F0">
          <w:rPr>
            <w:rStyle w:val="Hiperpovezava"/>
            <w:rFonts w:asciiTheme="majorHAnsi" w:hAnsiTheme="majorHAnsi" w:cstheme="majorHAnsi"/>
            <w:sz w:val="22"/>
            <w:szCs w:val="22"/>
          </w:rPr>
          <w:t>https://www.obcina-ig.si/obcina/katalog-informacij-javnega-znacaja/</w:t>
        </w:r>
      </w:hyperlink>
    </w:p>
    <w:p w14:paraId="050D6D92" w14:textId="60EDBEDF" w:rsidR="0051033E" w:rsidRPr="000020F0" w:rsidRDefault="0051033E" w:rsidP="0051033E">
      <w:pPr>
        <w:spacing w:after="120" w:line="276" w:lineRule="auto"/>
        <w:jc w:val="both"/>
        <w:rPr>
          <w:rFonts w:ascii="Arial" w:hAnsi="Arial" w:cs="Arial"/>
          <w:sz w:val="22"/>
          <w:szCs w:val="22"/>
        </w:rPr>
      </w:pPr>
      <w:bookmarkStart w:id="64" w:name="_Hlk207624790"/>
      <w:r w:rsidRPr="000020F0">
        <w:rPr>
          <w:rFonts w:ascii="Arial" w:hAnsi="Arial" w:cs="Arial"/>
          <w:sz w:val="22"/>
          <w:szCs w:val="22"/>
        </w:rPr>
        <w:t xml:space="preserve"> </w:t>
      </w:r>
    </w:p>
    <w:p w14:paraId="1372D8A8" w14:textId="1D9EF140" w:rsidR="006B2762" w:rsidRPr="000020F0" w:rsidRDefault="006B276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65" w:name="_Toc230882165"/>
      <w:bookmarkEnd w:id="61"/>
      <w:bookmarkEnd w:id="62"/>
      <w:bookmarkEnd w:id="64"/>
      <w:r w:rsidRPr="000020F0">
        <w:rPr>
          <w:rFonts w:asciiTheme="majorHAnsi" w:eastAsiaTheme="majorEastAsia" w:hAnsiTheme="majorHAnsi" w:cstheme="majorHAnsi"/>
          <w:color w:val="244061" w:themeColor="accent1" w:themeShade="80"/>
        </w:rPr>
        <w:t xml:space="preserve">Predstavitev izdelovalca </w:t>
      </w:r>
      <w:proofErr w:type="spellStart"/>
      <w:r w:rsidR="00155DDE" w:rsidRPr="000020F0">
        <w:rPr>
          <w:rFonts w:asciiTheme="majorHAnsi" w:eastAsiaTheme="majorEastAsia" w:hAnsiTheme="majorHAnsi" w:cstheme="majorHAnsi"/>
          <w:color w:val="244061" w:themeColor="accent1" w:themeShade="80"/>
        </w:rPr>
        <w:t>novelacije</w:t>
      </w:r>
      <w:proofErr w:type="spellEnd"/>
      <w:r w:rsidR="00155DDE" w:rsidRPr="000020F0">
        <w:rPr>
          <w:rFonts w:asciiTheme="majorHAnsi" w:eastAsiaTheme="majorEastAsia" w:hAnsiTheme="majorHAnsi" w:cstheme="majorHAnsi"/>
          <w:color w:val="244061" w:themeColor="accent1" w:themeShade="80"/>
        </w:rPr>
        <w:t xml:space="preserve"> </w:t>
      </w:r>
      <w:r w:rsidRPr="000020F0">
        <w:rPr>
          <w:rFonts w:asciiTheme="majorHAnsi" w:eastAsiaTheme="majorEastAsia" w:hAnsiTheme="majorHAnsi" w:cstheme="majorHAnsi"/>
          <w:color w:val="244061" w:themeColor="accent1" w:themeShade="80"/>
        </w:rPr>
        <w:t>investicijskega programa</w:t>
      </w:r>
      <w:r w:rsidR="00155DDE" w:rsidRPr="000020F0">
        <w:rPr>
          <w:rFonts w:asciiTheme="majorHAnsi" w:eastAsiaTheme="majorEastAsia" w:hAnsiTheme="majorHAnsi" w:cstheme="majorHAnsi"/>
          <w:color w:val="244061" w:themeColor="accent1" w:themeShade="80"/>
        </w:rPr>
        <w:t xml:space="preserve"> št. 1</w:t>
      </w:r>
      <w:bookmarkEnd w:id="65"/>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0A0" w:firstRow="1" w:lastRow="0" w:firstColumn="1" w:lastColumn="0" w:noHBand="0" w:noVBand="0"/>
      </w:tblPr>
      <w:tblGrid>
        <w:gridCol w:w="3833"/>
        <w:gridCol w:w="5476"/>
      </w:tblGrid>
      <w:tr w:rsidR="0084546F" w:rsidRPr="000020F0" w14:paraId="7A4359EB" w14:textId="77777777" w:rsidTr="0084546F">
        <w:tc>
          <w:tcPr>
            <w:tcW w:w="2059" w:type="pct"/>
            <w:shd w:val="clear" w:color="auto" w:fill="DBE5F1"/>
            <w:vAlign w:val="center"/>
          </w:tcPr>
          <w:p w14:paraId="021EEA30"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NAZIV</w:t>
            </w:r>
          </w:p>
        </w:tc>
        <w:tc>
          <w:tcPr>
            <w:tcW w:w="2941" w:type="pct"/>
          </w:tcPr>
          <w:p w14:paraId="770AF419"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proofErr w:type="spellStart"/>
            <w:r w:rsidRPr="000020F0">
              <w:rPr>
                <w:rFonts w:asciiTheme="majorHAnsi" w:eastAsia="Arial Unicode MS" w:hAnsiTheme="majorHAnsi" w:cstheme="majorHAnsi"/>
                <w:color w:val="000000"/>
                <w:sz w:val="22"/>
                <w:szCs w:val="22"/>
                <w:lang w:eastAsia="en-US"/>
              </w:rPr>
              <w:t>ProSVET</w:t>
            </w:r>
            <w:proofErr w:type="spellEnd"/>
            <w:r w:rsidRPr="000020F0">
              <w:rPr>
                <w:rFonts w:asciiTheme="majorHAnsi" w:eastAsia="Arial Unicode MS" w:hAnsiTheme="majorHAnsi" w:cstheme="majorHAnsi"/>
                <w:color w:val="000000"/>
                <w:sz w:val="22"/>
                <w:szCs w:val="22"/>
                <w:lang w:eastAsia="en-US"/>
              </w:rPr>
              <w:t xml:space="preserve">, Martina Magajna </w:t>
            </w:r>
            <w:proofErr w:type="spellStart"/>
            <w:r w:rsidRPr="000020F0">
              <w:rPr>
                <w:rFonts w:asciiTheme="majorHAnsi" w:eastAsia="Arial Unicode MS" w:hAnsiTheme="majorHAnsi" w:cstheme="majorHAnsi"/>
                <w:color w:val="000000"/>
                <w:sz w:val="22"/>
                <w:szCs w:val="22"/>
                <w:lang w:eastAsia="en-US"/>
              </w:rPr>
              <w:t>s.p</w:t>
            </w:r>
            <w:proofErr w:type="spellEnd"/>
            <w:r w:rsidRPr="000020F0">
              <w:rPr>
                <w:rFonts w:asciiTheme="majorHAnsi" w:eastAsia="Arial Unicode MS" w:hAnsiTheme="majorHAnsi" w:cstheme="majorHAnsi"/>
                <w:color w:val="000000"/>
                <w:sz w:val="22"/>
                <w:szCs w:val="22"/>
                <w:lang w:eastAsia="en-US"/>
              </w:rPr>
              <w:t>.</w:t>
            </w:r>
          </w:p>
        </w:tc>
      </w:tr>
      <w:tr w:rsidR="0084546F" w:rsidRPr="000020F0" w14:paraId="30B150E0" w14:textId="77777777" w:rsidTr="0084546F">
        <w:tc>
          <w:tcPr>
            <w:tcW w:w="2059" w:type="pct"/>
            <w:shd w:val="clear" w:color="auto" w:fill="DBE5F1"/>
            <w:vAlign w:val="center"/>
          </w:tcPr>
          <w:p w14:paraId="04DD8070"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NASLOV</w:t>
            </w:r>
          </w:p>
        </w:tc>
        <w:tc>
          <w:tcPr>
            <w:tcW w:w="2941" w:type="pct"/>
          </w:tcPr>
          <w:p w14:paraId="40950A1A"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Dilce 40, 6230 Postojna</w:t>
            </w:r>
          </w:p>
        </w:tc>
      </w:tr>
      <w:tr w:rsidR="0084546F" w:rsidRPr="000020F0" w14:paraId="26878D9F" w14:textId="77777777" w:rsidTr="0084546F">
        <w:tc>
          <w:tcPr>
            <w:tcW w:w="2059" w:type="pct"/>
            <w:shd w:val="clear" w:color="auto" w:fill="DBE5F1"/>
            <w:vAlign w:val="center"/>
          </w:tcPr>
          <w:p w14:paraId="1D787B84"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MATIČNA ŠTEVILKA</w:t>
            </w:r>
          </w:p>
        </w:tc>
        <w:tc>
          <w:tcPr>
            <w:tcW w:w="2941" w:type="pct"/>
          </w:tcPr>
          <w:p w14:paraId="32273E23"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6679889000</w:t>
            </w:r>
          </w:p>
        </w:tc>
      </w:tr>
      <w:tr w:rsidR="0084546F" w:rsidRPr="000020F0" w14:paraId="785D768C" w14:textId="77777777" w:rsidTr="0084546F">
        <w:tc>
          <w:tcPr>
            <w:tcW w:w="2059" w:type="pct"/>
            <w:shd w:val="clear" w:color="auto" w:fill="DBE5F1"/>
            <w:vAlign w:val="center"/>
          </w:tcPr>
          <w:p w14:paraId="3950DC7C"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DAVČNA ŠTEVILKA</w:t>
            </w:r>
          </w:p>
        </w:tc>
        <w:tc>
          <w:tcPr>
            <w:tcW w:w="2941" w:type="pct"/>
          </w:tcPr>
          <w:p w14:paraId="6E276513"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SI 23051094</w:t>
            </w:r>
          </w:p>
        </w:tc>
      </w:tr>
      <w:tr w:rsidR="0084546F" w:rsidRPr="000020F0" w14:paraId="5BE8F4DB" w14:textId="77777777" w:rsidTr="0084546F">
        <w:tc>
          <w:tcPr>
            <w:tcW w:w="2059" w:type="pct"/>
            <w:shd w:val="clear" w:color="auto" w:fill="DBE5F1"/>
            <w:vAlign w:val="center"/>
          </w:tcPr>
          <w:p w14:paraId="3499C163"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ŠIFRA DEJAVNOSTI</w:t>
            </w:r>
          </w:p>
        </w:tc>
        <w:tc>
          <w:tcPr>
            <w:tcW w:w="2941" w:type="pct"/>
          </w:tcPr>
          <w:p w14:paraId="099CB56E"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70.220 (Dr. podjetniško in poslovno svetovanje)</w:t>
            </w:r>
          </w:p>
        </w:tc>
      </w:tr>
      <w:tr w:rsidR="0084546F" w:rsidRPr="000020F0" w14:paraId="4C77E9C0" w14:textId="77777777" w:rsidTr="0084546F">
        <w:tc>
          <w:tcPr>
            <w:tcW w:w="2059" w:type="pct"/>
            <w:shd w:val="clear" w:color="auto" w:fill="DBE5F1"/>
            <w:vAlign w:val="center"/>
          </w:tcPr>
          <w:p w14:paraId="130662BB"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POSLOVNA BANKA</w:t>
            </w:r>
          </w:p>
        </w:tc>
        <w:tc>
          <w:tcPr>
            <w:tcW w:w="2941" w:type="pct"/>
          </w:tcPr>
          <w:p w14:paraId="77066C5B"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 xml:space="preserve">Banka </w:t>
            </w:r>
            <w:proofErr w:type="spellStart"/>
            <w:r w:rsidRPr="000020F0">
              <w:rPr>
                <w:rFonts w:asciiTheme="majorHAnsi" w:eastAsia="Arial Unicode MS" w:hAnsiTheme="majorHAnsi" w:cstheme="majorHAnsi"/>
                <w:color w:val="000000"/>
                <w:sz w:val="22"/>
                <w:szCs w:val="22"/>
                <w:lang w:eastAsia="en-US"/>
              </w:rPr>
              <w:t>Intesa</w:t>
            </w:r>
            <w:proofErr w:type="spellEnd"/>
            <w:r w:rsidRPr="000020F0">
              <w:rPr>
                <w:rFonts w:asciiTheme="majorHAnsi" w:eastAsia="Arial Unicode MS" w:hAnsiTheme="majorHAnsi" w:cstheme="majorHAnsi"/>
                <w:color w:val="000000"/>
                <w:sz w:val="22"/>
                <w:szCs w:val="22"/>
                <w:lang w:eastAsia="en-US"/>
              </w:rPr>
              <w:t xml:space="preserve"> </w:t>
            </w:r>
            <w:proofErr w:type="spellStart"/>
            <w:r w:rsidRPr="000020F0">
              <w:rPr>
                <w:rFonts w:asciiTheme="majorHAnsi" w:eastAsia="Arial Unicode MS" w:hAnsiTheme="majorHAnsi" w:cstheme="majorHAnsi"/>
                <w:color w:val="000000"/>
                <w:sz w:val="22"/>
                <w:szCs w:val="22"/>
                <w:lang w:eastAsia="en-US"/>
              </w:rPr>
              <w:t>Sanpaolo</w:t>
            </w:r>
            <w:proofErr w:type="spellEnd"/>
            <w:r w:rsidRPr="000020F0">
              <w:rPr>
                <w:rFonts w:asciiTheme="majorHAnsi" w:eastAsia="Arial Unicode MS" w:hAnsiTheme="majorHAnsi" w:cstheme="majorHAnsi"/>
                <w:color w:val="000000"/>
                <w:sz w:val="22"/>
                <w:szCs w:val="22"/>
                <w:lang w:eastAsia="en-US"/>
              </w:rPr>
              <w:t xml:space="preserve"> </w:t>
            </w:r>
            <w:proofErr w:type="spellStart"/>
            <w:r w:rsidRPr="000020F0">
              <w:rPr>
                <w:rFonts w:asciiTheme="majorHAnsi" w:eastAsia="Arial Unicode MS" w:hAnsiTheme="majorHAnsi" w:cstheme="majorHAnsi"/>
                <w:color w:val="000000"/>
                <w:sz w:val="22"/>
                <w:szCs w:val="22"/>
                <w:lang w:eastAsia="en-US"/>
              </w:rPr>
              <w:t>d.d</w:t>
            </w:r>
            <w:proofErr w:type="spellEnd"/>
            <w:r w:rsidRPr="000020F0">
              <w:rPr>
                <w:rFonts w:asciiTheme="majorHAnsi" w:eastAsia="Arial Unicode MS" w:hAnsiTheme="majorHAnsi" w:cstheme="majorHAnsi"/>
                <w:color w:val="000000"/>
                <w:sz w:val="22"/>
                <w:szCs w:val="22"/>
                <w:lang w:eastAsia="en-US"/>
              </w:rPr>
              <w:t>.</w:t>
            </w:r>
          </w:p>
        </w:tc>
      </w:tr>
      <w:tr w:rsidR="0084546F" w:rsidRPr="000020F0" w14:paraId="5F2C362F" w14:textId="77777777" w:rsidTr="0084546F">
        <w:tc>
          <w:tcPr>
            <w:tcW w:w="2059" w:type="pct"/>
            <w:shd w:val="clear" w:color="auto" w:fill="DBE5F1"/>
            <w:vAlign w:val="center"/>
          </w:tcPr>
          <w:p w14:paraId="2F4F4CFB"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ŠT. TRANSAKCIJSKEGA RAČUNA</w:t>
            </w:r>
          </w:p>
        </w:tc>
        <w:tc>
          <w:tcPr>
            <w:tcW w:w="2941" w:type="pct"/>
          </w:tcPr>
          <w:p w14:paraId="1049180C"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IBAN SI56 1010 0005 3587 257</w:t>
            </w:r>
          </w:p>
        </w:tc>
      </w:tr>
      <w:tr w:rsidR="0084546F" w:rsidRPr="000020F0" w14:paraId="027C9E53" w14:textId="77777777" w:rsidTr="0084546F">
        <w:tc>
          <w:tcPr>
            <w:tcW w:w="2059" w:type="pct"/>
            <w:shd w:val="clear" w:color="auto" w:fill="DBE5F1"/>
            <w:vAlign w:val="center"/>
          </w:tcPr>
          <w:p w14:paraId="3E27A142" w14:textId="77777777" w:rsidR="0084546F" w:rsidRPr="000020F0" w:rsidRDefault="0084546F" w:rsidP="00BD1D20">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ODGOVORNA OSEBA</w:t>
            </w:r>
          </w:p>
        </w:tc>
        <w:tc>
          <w:tcPr>
            <w:tcW w:w="2941" w:type="pct"/>
          </w:tcPr>
          <w:p w14:paraId="1162484E" w14:textId="77777777" w:rsidR="0084546F" w:rsidRPr="000020F0" w:rsidRDefault="0084546F" w:rsidP="00BD1D20">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 xml:space="preserve">Martina Magajna </w:t>
            </w:r>
          </w:p>
        </w:tc>
      </w:tr>
    </w:tbl>
    <w:p w14:paraId="0592ED1A" w14:textId="77777777" w:rsidR="00EA2A02" w:rsidRPr="000020F0" w:rsidRDefault="00EA2A02" w:rsidP="00BD1D20">
      <w:pPr>
        <w:autoSpaceDE w:val="0"/>
        <w:autoSpaceDN w:val="0"/>
        <w:adjustRightInd w:val="0"/>
        <w:spacing w:line="276" w:lineRule="auto"/>
        <w:jc w:val="both"/>
        <w:rPr>
          <w:rFonts w:asciiTheme="majorHAnsi" w:hAnsiTheme="majorHAnsi" w:cstheme="majorHAnsi"/>
          <w:sz w:val="22"/>
          <w:szCs w:val="22"/>
        </w:rPr>
      </w:pPr>
    </w:p>
    <w:p w14:paraId="0F6B5C73" w14:textId="4539C7A9" w:rsidR="00DA1AC5" w:rsidRPr="000020F0" w:rsidRDefault="00DA1AC5" w:rsidP="00BD1D20">
      <w:pPr>
        <w:autoSpaceDE w:val="0"/>
        <w:autoSpaceDN w:val="0"/>
        <w:adjustRightInd w:val="0"/>
        <w:spacing w:after="200" w:line="276" w:lineRule="auto"/>
        <w:jc w:val="both"/>
        <w:rPr>
          <w:rFonts w:asciiTheme="majorHAnsi" w:hAnsiTheme="majorHAnsi" w:cstheme="majorHAnsi"/>
          <w:sz w:val="22"/>
          <w:szCs w:val="22"/>
        </w:rPr>
      </w:pPr>
      <w:r w:rsidRPr="000020F0">
        <w:rPr>
          <w:rFonts w:asciiTheme="majorHAnsi" w:hAnsiTheme="majorHAnsi" w:cstheme="majorHAnsi"/>
          <w:sz w:val="22"/>
          <w:szCs w:val="22"/>
        </w:rPr>
        <w:t>Izdelovalec predmetne</w:t>
      </w:r>
      <w:r w:rsidR="00155DDE" w:rsidRPr="000020F0">
        <w:rPr>
          <w:rFonts w:asciiTheme="majorHAnsi" w:hAnsiTheme="majorHAnsi" w:cstheme="majorHAnsi"/>
          <w:sz w:val="22"/>
          <w:szCs w:val="22"/>
        </w:rPr>
        <w:t xml:space="preserve"> </w:t>
      </w:r>
      <w:proofErr w:type="spellStart"/>
      <w:r w:rsidR="00155DDE" w:rsidRPr="000020F0">
        <w:rPr>
          <w:rFonts w:asciiTheme="majorHAnsi" w:hAnsiTheme="majorHAnsi" w:cstheme="majorHAnsi"/>
          <w:sz w:val="22"/>
          <w:szCs w:val="22"/>
        </w:rPr>
        <w:t>novelacije</w:t>
      </w:r>
      <w:proofErr w:type="spellEnd"/>
      <w:r w:rsidR="00155DDE" w:rsidRPr="000020F0">
        <w:rPr>
          <w:rFonts w:asciiTheme="majorHAnsi" w:hAnsiTheme="majorHAnsi" w:cstheme="majorHAnsi"/>
          <w:sz w:val="22"/>
          <w:szCs w:val="22"/>
        </w:rPr>
        <w:t xml:space="preserve"> </w:t>
      </w:r>
      <w:r w:rsidRPr="000020F0">
        <w:rPr>
          <w:rFonts w:asciiTheme="majorHAnsi" w:hAnsiTheme="majorHAnsi" w:cstheme="majorHAnsi"/>
          <w:sz w:val="22"/>
          <w:szCs w:val="22"/>
        </w:rPr>
        <w:t xml:space="preserve">investicijskega </w:t>
      </w:r>
      <w:r w:rsidR="003406BD" w:rsidRPr="000020F0">
        <w:rPr>
          <w:rFonts w:asciiTheme="majorHAnsi" w:hAnsiTheme="majorHAnsi" w:cstheme="majorHAnsi"/>
          <w:sz w:val="22"/>
          <w:szCs w:val="22"/>
        </w:rPr>
        <w:t>programa</w:t>
      </w:r>
      <w:r w:rsidRPr="000020F0">
        <w:rPr>
          <w:rFonts w:asciiTheme="majorHAnsi" w:hAnsiTheme="majorHAnsi" w:cstheme="majorHAnsi"/>
          <w:sz w:val="22"/>
          <w:szCs w:val="22"/>
        </w:rPr>
        <w:t xml:space="preserve"> </w:t>
      </w:r>
      <w:r w:rsidR="00155DDE" w:rsidRPr="000020F0">
        <w:rPr>
          <w:rFonts w:asciiTheme="majorHAnsi" w:hAnsiTheme="majorHAnsi" w:cstheme="majorHAnsi"/>
          <w:sz w:val="22"/>
          <w:szCs w:val="22"/>
        </w:rPr>
        <w:t xml:space="preserve">št. 1 </w:t>
      </w:r>
      <w:r w:rsidRPr="000020F0">
        <w:rPr>
          <w:rFonts w:asciiTheme="majorHAnsi" w:hAnsiTheme="majorHAnsi" w:cstheme="majorHAnsi"/>
          <w:sz w:val="22"/>
          <w:szCs w:val="22"/>
        </w:rPr>
        <w:t xml:space="preserve">je podjetje </w:t>
      </w:r>
      <w:proofErr w:type="spellStart"/>
      <w:r w:rsidRPr="000020F0">
        <w:rPr>
          <w:rFonts w:asciiTheme="majorHAnsi" w:hAnsiTheme="majorHAnsi" w:cstheme="majorHAnsi"/>
          <w:sz w:val="22"/>
          <w:szCs w:val="22"/>
        </w:rPr>
        <w:t>ProSVET</w:t>
      </w:r>
      <w:proofErr w:type="spellEnd"/>
      <w:r w:rsidRPr="000020F0">
        <w:rPr>
          <w:rFonts w:asciiTheme="majorHAnsi" w:hAnsiTheme="majorHAnsi" w:cstheme="majorHAnsi"/>
          <w:sz w:val="22"/>
          <w:szCs w:val="22"/>
        </w:rPr>
        <w:t xml:space="preserve">, Martina Magajna </w:t>
      </w:r>
      <w:proofErr w:type="spellStart"/>
      <w:r w:rsidRPr="000020F0">
        <w:rPr>
          <w:rFonts w:asciiTheme="majorHAnsi" w:hAnsiTheme="majorHAnsi" w:cstheme="majorHAnsi"/>
          <w:sz w:val="22"/>
          <w:szCs w:val="22"/>
        </w:rPr>
        <w:t>s.p</w:t>
      </w:r>
      <w:proofErr w:type="spellEnd"/>
      <w:r w:rsidRPr="000020F0">
        <w:rPr>
          <w:rFonts w:asciiTheme="majorHAnsi" w:hAnsiTheme="majorHAnsi" w:cstheme="majorHAnsi"/>
          <w:sz w:val="22"/>
          <w:szCs w:val="22"/>
        </w:rPr>
        <w:t>., ki se ukvarja s pripravo investicijske dokumentacije in strokovnim svetovanjem za javne in zasebne naročnike na področju infrastrukturnih, turističnih, kulturnih in razvojnih projektov.</w:t>
      </w:r>
    </w:p>
    <w:p w14:paraId="24C65FFA" w14:textId="4E619EE3" w:rsidR="00DA1AC5" w:rsidRPr="000020F0" w:rsidRDefault="00571B73" w:rsidP="00BD1D20">
      <w:p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lastRenderedPageBreak/>
        <w:t>Podjetje ima bogate izkušnje z</w:t>
      </w:r>
      <w:r w:rsidR="00DA1AC5" w:rsidRPr="000020F0">
        <w:rPr>
          <w:rFonts w:asciiTheme="majorHAnsi" w:hAnsiTheme="majorHAnsi" w:cstheme="majorHAnsi"/>
          <w:sz w:val="22"/>
          <w:szCs w:val="22"/>
        </w:rPr>
        <w:t>:</w:t>
      </w:r>
    </w:p>
    <w:p w14:paraId="695CB623" w14:textId="77777777" w:rsidR="00DA1AC5" w:rsidRPr="000020F0" w:rsidRDefault="00DA1AC5" w:rsidP="00BD1D20">
      <w:pPr>
        <w:numPr>
          <w:ilvl w:val="0"/>
          <w:numId w:val="31"/>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pripravo investicijskih programov (IP) in dokumentov identifikacije investicijskih projektov (DIIP),</w:t>
      </w:r>
    </w:p>
    <w:p w14:paraId="24C43F06" w14:textId="77777777" w:rsidR="00DA1AC5" w:rsidRPr="000020F0" w:rsidRDefault="00DA1AC5" w:rsidP="00BD1D20">
      <w:pPr>
        <w:numPr>
          <w:ilvl w:val="0"/>
          <w:numId w:val="31"/>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izdelavo analiz stroškov in koristi (CBA) za pridobivanje evropskih sredstev,</w:t>
      </w:r>
    </w:p>
    <w:p w14:paraId="17B288A6" w14:textId="77777777" w:rsidR="00DA1AC5" w:rsidRPr="000020F0" w:rsidRDefault="00DA1AC5" w:rsidP="00BD1D20">
      <w:pPr>
        <w:numPr>
          <w:ilvl w:val="0"/>
          <w:numId w:val="31"/>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svetovanjem pri postopkih javno-finančnega načrtovanja, razvojnega programiranja in usklajevanja projektov z EU politikami.</w:t>
      </w:r>
    </w:p>
    <w:p w14:paraId="15F1539D" w14:textId="77777777" w:rsidR="00DA1AC5" w:rsidRPr="000020F0" w:rsidRDefault="00DA1AC5" w:rsidP="00BD1D20">
      <w:pPr>
        <w:autoSpaceDE w:val="0"/>
        <w:autoSpaceDN w:val="0"/>
        <w:adjustRightInd w:val="0"/>
        <w:spacing w:line="276" w:lineRule="auto"/>
        <w:jc w:val="both"/>
        <w:rPr>
          <w:rFonts w:asciiTheme="majorHAnsi" w:hAnsiTheme="majorHAnsi" w:cstheme="majorHAnsi"/>
          <w:sz w:val="22"/>
          <w:szCs w:val="22"/>
        </w:rPr>
      </w:pPr>
    </w:p>
    <w:p w14:paraId="3730F603" w14:textId="231FCC67" w:rsidR="00DA1AC5" w:rsidRPr="000020F0" w:rsidRDefault="00DA1AC5" w:rsidP="00BD1D20">
      <w:p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Martina Magajna, ustanoviteljica podjetja, je strokovnjakinja z več kot desetletjem izkušenj na področju priprave razvojne dokumentacije. Sodelovala je pri številnih projektih, financiranih iz evropskih sredstev, zlasti v okviru:</w:t>
      </w:r>
    </w:p>
    <w:p w14:paraId="6C5AA349" w14:textId="77777777" w:rsidR="00DA1AC5" w:rsidRPr="000020F0" w:rsidRDefault="00DA1AC5" w:rsidP="00BD1D20">
      <w:pPr>
        <w:numPr>
          <w:ilvl w:val="0"/>
          <w:numId w:val="32"/>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Evropskega sklada za regionalni razvoj (ESRR),</w:t>
      </w:r>
    </w:p>
    <w:p w14:paraId="6C370B52" w14:textId="77777777" w:rsidR="00DA1AC5" w:rsidRPr="000020F0" w:rsidRDefault="00DA1AC5" w:rsidP="00BD1D20">
      <w:pPr>
        <w:numPr>
          <w:ilvl w:val="0"/>
          <w:numId w:val="32"/>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Kohezijskega sklada,</w:t>
      </w:r>
    </w:p>
    <w:p w14:paraId="16BA46E5" w14:textId="77777777" w:rsidR="00DA1AC5" w:rsidRPr="000020F0" w:rsidRDefault="00DA1AC5" w:rsidP="00BD1D20">
      <w:pPr>
        <w:numPr>
          <w:ilvl w:val="0"/>
          <w:numId w:val="32"/>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programov </w:t>
      </w:r>
      <w:proofErr w:type="spellStart"/>
      <w:r w:rsidRPr="000020F0">
        <w:rPr>
          <w:rFonts w:asciiTheme="majorHAnsi" w:hAnsiTheme="majorHAnsi" w:cstheme="majorHAnsi"/>
          <w:sz w:val="22"/>
          <w:szCs w:val="22"/>
        </w:rPr>
        <w:t>Interreg</w:t>
      </w:r>
      <w:proofErr w:type="spellEnd"/>
      <w:r w:rsidRPr="000020F0">
        <w:rPr>
          <w:rFonts w:asciiTheme="majorHAnsi" w:hAnsiTheme="majorHAnsi" w:cstheme="majorHAnsi"/>
          <w:sz w:val="22"/>
          <w:szCs w:val="22"/>
        </w:rPr>
        <w:t xml:space="preserve"> (čezmejno sodelovanje),</w:t>
      </w:r>
    </w:p>
    <w:p w14:paraId="033E8DA5" w14:textId="77777777" w:rsidR="00DA1AC5" w:rsidRPr="000020F0" w:rsidRDefault="00DA1AC5" w:rsidP="00BD1D20">
      <w:pPr>
        <w:numPr>
          <w:ilvl w:val="0"/>
          <w:numId w:val="32"/>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ter priprave projektov v okviru Načrta za okrevanje in odpornost (NOO).</w:t>
      </w:r>
    </w:p>
    <w:p w14:paraId="72A78A24" w14:textId="77777777" w:rsidR="00DA1AC5" w:rsidRPr="000020F0" w:rsidRDefault="00DA1AC5" w:rsidP="00BD1D20">
      <w:pPr>
        <w:autoSpaceDE w:val="0"/>
        <w:autoSpaceDN w:val="0"/>
        <w:adjustRightInd w:val="0"/>
        <w:spacing w:line="276" w:lineRule="auto"/>
        <w:jc w:val="both"/>
        <w:rPr>
          <w:rFonts w:asciiTheme="majorHAnsi" w:hAnsiTheme="majorHAnsi" w:cstheme="majorHAnsi"/>
          <w:sz w:val="22"/>
          <w:szCs w:val="22"/>
        </w:rPr>
      </w:pPr>
    </w:p>
    <w:p w14:paraId="11CCAD3D" w14:textId="7011B707" w:rsidR="00DA1AC5" w:rsidRPr="000020F0" w:rsidRDefault="00DA1AC5" w:rsidP="00BD1D20">
      <w:p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Pri tem je izvajala:</w:t>
      </w:r>
    </w:p>
    <w:p w14:paraId="741EBCC6" w14:textId="715A1648" w:rsidR="00DA1AC5" w:rsidRPr="000020F0" w:rsidRDefault="00DA1AC5" w:rsidP="00BD1D20">
      <w:pPr>
        <w:numPr>
          <w:ilvl w:val="0"/>
          <w:numId w:val="33"/>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pripravo celovitih CBA analiz</w:t>
      </w:r>
      <w:r w:rsidR="00F705B0" w:rsidRPr="000020F0">
        <w:rPr>
          <w:rFonts w:asciiTheme="majorHAnsi" w:hAnsiTheme="majorHAnsi" w:cstheme="majorHAnsi"/>
          <w:sz w:val="22"/>
          <w:szCs w:val="22"/>
        </w:rPr>
        <w:t>,</w:t>
      </w:r>
      <w:r w:rsidRPr="000020F0">
        <w:rPr>
          <w:rFonts w:asciiTheme="majorHAnsi" w:hAnsiTheme="majorHAnsi" w:cstheme="majorHAnsi"/>
          <w:sz w:val="22"/>
          <w:szCs w:val="22"/>
        </w:rPr>
        <w:t xml:space="preserve"> skladno z metodologijo Evropske komisije,</w:t>
      </w:r>
    </w:p>
    <w:p w14:paraId="5A3CF0F0" w14:textId="77777777" w:rsidR="00DA1AC5" w:rsidRPr="000020F0" w:rsidRDefault="00DA1AC5" w:rsidP="00BD1D20">
      <w:pPr>
        <w:numPr>
          <w:ilvl w:val="0"/>
          <w:numId w:val="33"/>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usklajevanje z organi upravljanja (ministrstva, posredniški organi),</w:t>
      </w:r>
    </w:p>
    <w:p w14:paraId="6EF40E83" w14:textId="77777777" w:rsidR="00DA1AC5" w:rsidRPr="000020F0" w:rsidRDefault="00DA1AC5" w:rsidP="00BD1D20">
      <w:pPr>
        <w:numPr>
          <w:ilvl w:val="0"/>
          <w:numId w:val="33"/>
        </w:num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in svetovanje pri oceni upravičenosti, trajnosti in dodatne vrednosti naložb.</w:t>
      </w:r>
    </w:p>
    <w:p w14:paraId="2E43B80D" w14:textId="2CE026E0" w:rsidR="00DA1AC5" w:rsidRPr="000020F0" w:rsidRDefault="00DA1AC5" w:rsidP="00BD1D20">
      <w:pPr>
        <w:autoSpaceDE w:val="0"/>
        <w:autoSpaceDN w:val="0"/>
        <w:adjustRightInd w:val="0"/>
        <w:spacing w:line="276" w:lineRule="auto"/>
        <w:jc w:val="both"/>
        <w:rPr>
          <w:rFonts w:asciiTheme="majorHAnsi" w:hAnsiTheme="majorHAnsi" w:cstheme="majorHAnsi"/>
          <w:sz w:val="22"/>
          <w:szCs w:val="22"/>
        </w:rPr>
      </w:pPr>
    </w:p>
    <w:p w14:paraId="76F89C77" w14:textId="6BD7FE97" w:rsidR="00DA1AC5" w:rsidRPr="000020F0" w:rsidRDefault="00DA1AC5" w:rsidP="00630D03">
      <w:pPr>
        <w:autoSpaceDE w:val="0"/>
        <w:autoSpaceDN w:val="0"/>
        <w:adjustRightInd w:val="0"/>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Podjetje </w:t>
      </w:r>
      <w:proofErr w:type="spellStart"/>
      <w:r w:rsidRPr="000020F0">
        <w:rPr>
          <w:rFonts w:asciiTheme="majorHAnsi" w:hAnsiTheme="majorHAnsi" w:cstheme="majorHAnsi"/>
          <w:sz w:val="22"/>
          <w:szCs w:val="22"/>
        </w:rPr>
        <w:t>ProSVET</w:t>
      </w:r>
      <w:proofErr w:type="spellEnd"/>
      <w:r w:rsidRPr="000020F0">
        <w:rPr>
          <w:rFonts w:asciiTheme="majorHAnsi" w:hAnsiTheme="majorHAnsi" w:cstheme="majorHAnsi"/>
          <w:sz w:val="22"/>
          <w:szCs w:val="22"/>
        </w:rPr>
        <w:t xml:space="preserve">, Martina Magajna </w:t>
      </w:r>
      <w:proofErr w:type="spellStart"/>
      <w:r w:rsidRPr="000020F0">
        <w:rPr>
          <w:rFonts w:asciiTheme="majorHAnsi" w:hAnsiTheme="majorHAnsi" w:cstheme="majorHAnsi"/>
          <w:sz w:val="22"/>
          <w:szCs w:val="22"/>
        </w:rPr>
        <w:t>s.p</w:t>
      </w:r>
      <w:proofErr w:type="spellEnd"/>
      <w:r w:rsidRPr="000020F0">
        <w:rPr>
          <w:rFonts w:asciiTheme="majorHAnsi" w:hAnsiTheme="majorHAnsi" w:cstheme="majorHAnsi"/>
          <w:sz w:val="22"/>
          <w:szCs w:val="22"/>
        </w:rPr>
        <w:t>., združuje strokovno natančnost, poznavanje zakonodaje in praktične izkušnje z evropskimi projekti, kar omogoča pripravo celovitih, izvedljivih in razvojno usmerjenih investicijskih dokumentov.</w:t>
      </w:r>
    </w:p>
    <w:p w14:paraId="4B706D52" w14:textId="77777777" w:rsidR="00630D03" w:rsidRPr="000020F0" w:rsidRDefault="00630D03" w:rsidP="00630D03">
      <w:pPr>
        <w:autoSpaceDE w:val="0"/>
        <w:autoSpaceDN w:val="0"/>
        <w:adjustRightInd w:val="0"/>
        <w:spacing w:line="276" w:lineRule="auto"/>
        <w:jc w:val="both"/>
        <w:rPr>
          <w:rFonts w:asciiTheme="majorHAnsi" w:hAnsiTheme="majorHAnsi" w:cstheme="majorHAnsi"/>
          <w:sz w:val="22"/>
          <w:szCs w:val="22"/>
        </w:rPr>
      </w:pPr>
    </w:p>
    <w:p w14:paraId="124D85B9" w14:textId="77777777" w:rsidR="006B2762" w:rsidRPr="000020F0" w:rsidRDefault="006B2762" w:rsidP="00630D03">
      <w:pPr>
        <w:pStyle w:val="Naslov2"/>
        <w:numPr>
          <w:ilvl w:val="1"/>
          <w:numId w:val="1"/>
        </w:numPr>
        <w:spacing w:before="240" w:after="0"/>
        <w:ind w:left="578" w:hanging="578"/>
        <w:rPr>
          <w:rFonts w:asciiTheme="majorHAnsi" w:eastAsiaTheme="majorEastAsia" w:hAnsiTheme="majorHAnsi" w:cstheme="majorHAnsi"/>
          <w:color w:val="244061" w:themeColor="accent1" w:themeShade="80"/>
        </w:rPr>
      </w:pPr>
      <w:bookmarkStart w:id="66" w:name="_Ref230593844"/>
      <w:bookmarkStart w:id="67" w:name="_Toc230882166"/>
      <w:r w:rsidRPr="000020F0">
        <w:rPr>
          <w:rFonts w:asciiTheme="majorHAnsi" w:eastAsiaTheme="majorEastAsia" w:hAnsiTheme="majorHAnsi" w:cstheme="majorHAnsi"/>
          <w:color w:val="244061" w:themeColor="accent1" w:themeShade="80"/>
        </w:rPr>
        <w:t>Namen in cilj investicijskega projekta</w:t>
      </w:r>
      <w:bookmarkEnd w:id="66"/>
      <w:bookmarkEnd w:id="67"/>
    </w:p>
    <w:p w14:paraId="6B2DC90C" w14:textId="77777777" w:rsidR="004D6B17" w:rsidRPr="000020F0" w:rsidRDefault="004D6B17" w:rsidP="00BD1D20">
      <w:pPr>
        <w:spacing w:line="276" w:lineRule="auto"/>
        <w:jc w:val="both"/>
        <w:rPr>
          <w:rFonts w:ascii="Arial" w:hAnsi="Arial" w:cs="Arial"/>
          <w:bCs/>
          <w:sz w:val="22"/>
          <w:szCs w:val="22"/>
          <w:lang w:eastAsia="zh-TW"/>
        </w:rPr>
      </w:pPr>
    </w:p>
    <w:p w14:paraId="1053E1FF" w14:textId="77777777" w:rsidR="004D6B17" w:rsidRPr="000020F0" w:rsidRDefault="004D6B17" w:rsidP="004D6B17">
      <w:pPr>
        <w:spacing w:after="120" w:line="276" w:lineRule="auto"/>
        <w:jc w:val="both"/>
        <w:rPr>
          <w:rFonts w:ascii="Arial" w:hAnsi="Arial" w:cs="Arial"/>
          <w:bCs/>
          <w:sz w:val="22"/>
          <w:szCs w:val="22"/>
          <w:lang w:eastAsia="zh-TW"/>
        </w:rPr>
      </w:pPr>
      <w:r w:rsidRPr="000020F0">
        <w:rPr>
          <w:rFonts w:ascii="Arial" w:hAnsi="Arial" w:cs="Arial"/>
          <w:bCs/>
          <w:sz w:val="22"/>
          <w:szCs w:val="22"/>
          <w:lang w:eastAsia="zh-TW"/>
        </w:rPr>
        <w:t>Namen projekta je izboljšati pogoje za hojo, kolesarjenje in uporabo javnega potniškega prometa ter s tem zmanjšati odvisnost od osebnih vozil v središču Občine Ig. Z izvedbo ukrepov trajnostne mobilnosti se bo zagotovila varnejša in bolj vključujoča raba javnih površin, povečala prometna varnost ranljivih skupin (otroci, starejši, gibalno ovirani) ter zmanjšali negativni vplivi motornega prometa na okolje.</w:t>
      </w:r>
    </w:p>
    <w:p w14:paraId="7D11B306" w14:textId="4D31E5F7" w:rsidR="004D6B17" w:rsidRPr="000020F0" w:rsidRDefault="004D6B17" w:rsidP="004D6B17">
      <w:pPr>
        <w:spacing w:after="120" w:line="276" w:lineRule="auto"/>
        <w:jc w:val="both"/>
        <w:rPr>
          <w:rFonts w:ascii="Arial" w:hAnsi="Arial" w:cs="Arial"/>
          <w:bCs/>
          <w:sz w:val="22"/>
          <w:szCs w:val="22"/>
          <w:lang w:eastAsia="zh-TW"/>
        </w:rPr>
      </w:pPr>
      <w:r w:rsidRPr="000020F0">
        <w:rPr>
          <w:rFonts w:ascii="Arial" w:hAnsi="Arial" w:cs="Arial"/>
          <w:bCs/>
          <w:sz w:val="22"/>
          <w:szCs w:val="22"/>
          <w:lang w:eastAsia="zh-TW"/>
        </w:rPr>
        <w:t>Projekt neposredno zasleduje namen javnega razpisa JR EKP UTM 202</w:t>
      </w:r>
      <w:r w:rsidR="009F7BC3" w:rsidRPr="000020F0">
        <w:rPr>
          <w:rFonts w:ascii="Arial" w:hAnsi="Arial" w:cs="Arial"/>
          <w:bCs/>
          <w:sz w:val="22"/>
          <w:szCs w:val="22"/>
          <w:lang w:eastAsia="zh-TW"/>
        </w:rPr>
        <w:t>5</w:t>
      </w:r>
      <w:r w:rsidRPr="000020F0">
        <w:rPr>
          <w:rFonts w:ascii="Arial" w:hAnsi="Arial" w:cs="Arial"/>
          <w:bCs/>
          <w:sz w:val="22"/>
          <w:szCs w:val="22"/>
          <w:lang w:eastAsia="zh-TW"/>
        </w:rPr>
        <w:t>, ki je spodbujanje trajnostne mobilnosti, zmanjšanje emisij toplogrednih plinov, izboljšanje kakovosti zraka in bivanja ter razvoj zelene infrastrukture kot podpornega elementa trajnostnega prometa. S tem bo občina prispevala k uresničevanju nacionalnih in evropskih podnebno-</w:t>
      </w:r>
      <w:proofErr w:type="spellStart"/>
      <w:r w:rsidRPr="000020F0">
        <w:rPr>
          <w:rFonts w:ascii="Arial" w:hAnsi="Arial" w:cs="Arial"/>
          <w:bCs/>
          <w:sz w:val="22"/>
          <w:szCs w:val="22"/>
          <w:lang w:eastAsia="zh-TW"/>
        </w:rPr>
        <w:t>okoljskih</w:t>
      </w:r>
      <w:proofErr w:type="spellEnd"/>
      <w:r w:rsidRPr="000020F0">
        <w:rPr>
          <w:rFonts w:ascii="Arial" w:hAnsi="Arial" w:cs="Arial"/>
          <w:bCs/>
          <w:sz w:val="22"/>
          <w:szCs w:val="22"/>
          <w:lang w:eastAsia="zh-TW"/>
        </w:rPr>
        <w:t xml:space="preserve"> ciljev, hkrati pa zagotovila višjo kakovost življenja svojih prebivalcev in obiskovalcev.</w:t>
      </w:r>
    </w:p>
    <w:p w14:paraId="2B0DE0A5" w14:textId="77777777" w:rsidR="004D6B17" w:rsidRPr="000020F0" w:rsidRDefault="004D6B17" w:rsidP="004D6B17">
      <w:pPr>
        <w:spacing w:line="276" w:lineRule="auto"/>
        <w:jc w:val="both"/>
        <w:rPr>
          <w:rFonts w:ascii="Arial" w:hAnsi="Arial" w:cs="Arial"/>
          <w:sz w:val="22"/>
          <w:szCs w:val="22"/>
          <w:lang w:eastAsia="zh-TW"/>
        </w:rPr>
      </w:pPr>
      <w:r w:rsidRPr="000020F0">
        <w:rPr>
          <w:rFonts w:ascii="Arial" w:hAnsi="Arial" w:cs="Arial"/>
          <w:sz w:val="22"/>
          <w:szCs w:val="22"/>
          <w:lang w:eastAsia="zh-TW"/>
        </w:rPr>
        <w:t>Prav tako je namen z inovativnostjo zagotoviti površine v kraju z namenom:</w:t>
      </w:r>
    </w:p>
    <w:p w14:paraId="4E6FF055"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celovite preureditve središča Iga (Govekarjeva cesta) z vidika načel trajnostne mobilnosti,</w:t>
      </w:r>
    </w:p>
    <w:p w14:paraId="3763D747"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vzpostavitve skupnega prometnega prostora po sistemu »</w:t>
      </w:r>
      <w:proofErr w:type="spellStart"/>
      <w:r w:rsidRPr="000020F0">
        <w:rPr>
          <w:rFonts w:ascii="Arial" w:hAnsi="Arial" w:cs="Arial"/>
          <w:sz w:val="22"/>
          <w:szCs w:val="22"/>
          <w:lang w:eastAsia="zh-TW"/>
        </w:rPr>
        <w:t>space</w:t>
      </w:r>
      <w:proofErr w:type="spellEnd"/>
      <w:r w:rsidRPr="000020F0">
        <w:rPr>
          <w:rFonts w:ascii="Arial" w:hAnsi="Arial" w:cs="Arial"/>
          <w:sz w:val="22"/>
          <w:szCs w:val="22"/>
          <w:lang w:eastAsia="zh-TW"/>
        </w:rPr>
        <w:t xml:space="preserve"> </w:t>
      </w:r>
      <w:proofErr w:type="spellStart"/>
      <w:r w:rsidRPr="000020F0">
        <w:rPr>
          <w:rFonts w:ascii="Arial" w:hAnsi="Arial" w:cs="Arial"/>
          <w:sz w:val="22"/>
          <w:szCs w:val="22"/>
          <w:lang w:eastAsia="zh-TW"/>
        </w:rPr>
        <w:t>sharing</w:t>
      </w:r>
      <w:proofErr w:type="spellEnd"/>
      <w:r w:rsidRPr="000020F0">
        <w:rPr>
          <w:rFonts w:ascii="Arial" w:hAnsi="Arial" w:cs="Arial"/>
          <w:sz w:val="22"/>
          <w:szCs w:val="22"/>
          <w:lang w:eastAsia="zh-TW"/>
        </w:rPr>
        <w:t xml:space="preserve">«, </w:t>
      </w:r>
    </w:p>
    <w:p w14:paraId="0C4695F0"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ureditve namenskih površin za javni potniški promet (JPP),</w:t>
      </w:r>
    </w:p>
    <w:p w14:paraId="0AF2D52F"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ureditve infrastrukture za pešce,</w:t>
      </w:r>
    </w:p>
    <w:p w14:paraId="20E91A02"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ureditve infrastrukture za kolesarje,</w:t>
      </w:r>
    </w:p>
    <w:p w14:paraId="29977F77" w14:textId="77777777" w:rsidR="004D6B17" w:rsidRPr="000020F0" w:rsidRDefault="004D6B17" w:rsidP="004D6B17">
      <w:pPr>
        <w:numPr>
          <w:ilvl w:val="0"/>
          <w:numId w:val="111"/>
        </w:numPr>
        <w:spacing w:after="120" w:line="276" w:lineRule="auto"/>
        <w:jc w:val="both"/>
        <w:rPr>
          <w:rFonts w:ascii="Arial" w:hAnsi="Arial" w:cs="Arial"/>
          <w:sz w:val="22"/>
          <w:szCs w:val="22"/>
          <w:lang w:eastAsia="zh-TW"/>
        </w:rPr>
      </w:pPr>
      <w:r w:rsidRPr="000020F0">
        <w:rPr>
          <w:rFonts w:ascii="Arial" w:hAnsi="Arial" w:cs="Arial"/>
          <w:sz w:val="22"/>
          <w:szCs w:val="22"/>
          <w:lang w:eastAsia="zh-TW"/>
        </w:rPr>
        <w:t>povečanja prometne varnosti,</w:t>
      </w:r>
    </w:p>
    <w:p w14:paraId="3401CFAC" w14:textId="77777777" w:rsidR="004D6B17" w:rsidRPr="000020F0" w:rsidRDefault="004D6B17" w:rsidP="004D6B17">
      <w:pPr>
        <w:numPr>
          <w:ilvl w:val="0"/>
          <w:numId w:val="111"/>
        </w:numPr>
        <w:spacing w:line="276" w:lineRule="auto"/>
        <w:jc w:val="both"/>
        <w:rPr>
          <w:rFonts w:ascii="Arial" w:hAnsi="Arial" w:cs="Arial"/>
          <w:sz w:val="22"/>
          <w:szCs w:val="22"/>
          <w:lang w:eastAsia="zh-TW"/>
        </w:rPr>
      </w:pPr>
      <w:r w:rsidRPr="000020F0">
        <w:rPr>
          <w:rFonts w:ascii="Arial" w:hAnsi="Arial" w:cs="Arial"/>
          <w:sz w:val="22"/>
          <w:szCs w:val="22"/>
          <w:lang w:eastAsia="zh-TW"/>
        </w:rPr>
        <w:t>izboljšanja kakovosti zraka in vode, zmanjševanja učinkov toplotnih otokov, blaženja hrupa v urbanih naseljih in prispevek k biotski raznovrstnosti,</w:t>
      </w:r>
    </w:p>
    <w:p w14:paraId="4488D259" w14:textId="77777777" w:rsidR="004D6B17" w:rsidRPr="000020F0" w:rsidRDefault="004D6B17" w:rsidP="004D6B17">
      <w:pPr>
        <w:numPr>
          <w:ilvl w:val="0"/>
          <w:numId w:val="111"/>
        </w:numPr>
        <w:spacing w:after="120" w:line="276" w:lineRule="auto"/>
        <w:jc w:val="both"/>
        <w:rPr>
          <w:rFonts w:ascii="Arial" w:hAnsi="Arial" w:cs="Arial"/>
          <w:sz w:val="22"/>
          <w:szCs w:val="22"/>
          <w:lang w:eastAsia="zh-TW"/>
        </w:rPr>
      </w:pPr>
      <w:r w:rsidRPr="000020F0">
        <w:rPr>
          <w:rFonts w:ascii="Arial" w:hAnsi="Arial" w:cs="Arial"/>
          <w:sz w:val="22"/>
          <w:szCs w:val="22"/>
          <w:lang w:eastAsia="zh-TW"/>
        </w:rPr>
        <w:t>v sklopu vzporednega projekta pa tudi ureditev zelene infrastrukture.</w:t>
      </w:r>
    </w:p>
    <w:p w14:paraId="4FFA8A81" w14:textId="77777777" w:rsidR="004D6B17" w:rsidRPr="000020F0" w:rsidRDefault="004D6B17" w:rsidP="004D6B17">
      <w:pPr>
        <w:spacing w:after="120" w:line="276" w:lineRule="auto"/>
        <w:jc w:val="both"/>
        <w:rPr>
          <w:rFonts w:ascii="Arial" w:hAnsi="Arial" w:cs="Arial"/>
          <w:sz w:val="22"/>
          <w:szCs w:val="22"/>
          <w:lang w:eastAsia="zh-TW"/>
        </w:rPr>
      </w:pPr>
    </w:p>
    <w:p w14:paraId="2CFE14F4" w14:textId="7C21BE69" w:rsidR="00296AEC" w:rsidRPr="000020F0" w:rsidRDefault="00296AEC" w:rsidP="004D6B17">
      <w:pPr>
        <w:spacing w:after="120" w:line="276" w:lineRule="auto"/>
        <w:jc w:val="both"/>
        <w:rPr>
          <w:rFonts w:asciiTheme="majorHAnsi" w:hAnsiTheme="majorHAnsi" w:cstheme="majorHAnsi"/>
          <w:sz w:val="22"/>
          <w:szCs w:val="22"/>
          <w:lang w:eastAsia="zh-TW"/>
        </w:rPr>
      </w:pPr>
      <w:bookmarkStart w:id="68" w:name="_Hlk209442290"/>
      <w:bookmarkStart w:id="69" w:name="_Hlk207271390"/>
      <w:r w:rsidRPr="000020F0">
        <w:rPr>
          <w:rFonts w:asciiTheme="majorHAnsi" w:hAnsiTheme="majorHAnsi" w:cstheme="majorHAnsi"/>
          <w:b/>
          <w:bCs/>
          <w:sz w:val="22"/>
          <w:szCs w:val="22"/>
          <w:lang w:eastAsia="zh-TW"/>
        </w:rPr>
        <w:t>Splošni cilj projekta</w:t>
      </w:r>
      <w:r w:rsidRPr="000020F0">
        <w:rPr>
          <w:rFonts w:asciiTheme="majorHAnsi" w:hAnsiTheme="majorHAnsi" w:cstheme="majorHAnsi"/>
          <w:sz w:val="22"/>
          <w:szCs w:val="22"/>
          <w:lang w:eastAsia="zh-TW"/>
        </w:rPr>
        <w:t xml:space="preserve"> je prispevati k razvoju trajnostne mobilnosti v Občini Ig s celovito preureditvijo središča naselja na način, ki zmanjšuje površine, namenjene osebnemu motornemu prometu, izboljšuje pogoje za pešce, kolesarje in uporabnike javnega potniškega prometa, povečuje prometno varnost ter ustvarja kakovosten, vključujoč in privlačen javni prostor. Projekt z umirjanjem prometa, izboljšanjem javnih površin, povečanjem zelenih površin prispeva k zmanjšanju emisij toplogrednih plinov, izboljšanju kakovosti zraka in bivanja ter doseganju ciljev trajnostnega razvoja.</w:t>
      </w:r>
    </w:p>
    <w:p w14:paraId="68E8BB08" w14:textId="77777777" w:rsidR="00296AEC" w:rsidRPr="000020F0" w:rsidRDefault="00296AEC" w:rsidP="00AC1566">
      <w:pPr>
        <w:spacing w:after="120" w:line="276" w:lineRule="auto"/>
        <w:rPr>
          <w:rFonts w:asciiTheme="majorHAnsi" w:hAnsiTheme="majorHAnsi" w:cstheme="majorHAnsi"/>
          <w:b/>
          <w:bCs/>
          <w:sz w:val="22"/>
          <w:szCs w:val="22"/>
          <w:lang w:eastAsia="zh-TW"/>
        </w:rPr>
      </w:pPr>
      <w:r w:rsidRPr="000020F0">
        <w:rPr>
          <w:rFonts w:asciiTheme="majorHAnsi" w:hAnsiTheme="majorHAnsi" w:cstheme="majorHAnsi"/>
          <w:b/>
          <w:bCs/>
          <w:sz w:val="22"/>
          <w:szCs w:val="22"/>
          <w:lang w:eastAsia="zh-TW"/>
        </w:rPr>
        <w:t>Specifični cilji projekta so:</w:t>
      </w:r>
    </w:p>
    <w:p w14:paraId="435C0809" w14:textId="5FB2AE06"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1. Izboljšati pogoje za trajnostne oblike mobilnosti</w:t>
      </w:r>
      <w:r w:rsidRPr="000020F0">
        <w:rPr>
          <w:rFonts w:asciiTheme="majorHAnsi" w:hAnsiTheme="majorHAnsi" w:cstheme="majorHAnsi"/>
          <w:b/>
          <w:bCs/>
          <w:sz w:val="22"/>
          <w:szCs w:val="22"/>
          <w:lang w:eastAsia="zh-TW"/>
        </w:rPr>
        <w:br/>
      </w:r>
      <w:r w:rsidRPr="000020F0">
        <w:rPr>
          <w:rFonts w:asciiTheme="majorHAnsi" w:hAnsiTheme="majorHAnsi" w:cstheme="majorHAnsi"/>
          <w:sz w:val="22"/>
          <w:szCs w:val="22"/>
          <w:lang w:eastAsia="zh-TW"/>
        </w:rPr>
        <w:t>Vzpostaviti ustrezno infrastrukturo za pešce, kolesarje in uporabnike javnega potniškega prometa, vključno z ureditvijo skupnega prometnega prostora na Govekarjevi cesti</w:t>
      </w:r>
      <w:r w:rsidR="007C3CFC">
        <w:rPr>
          <w:rFonts w:asciiTheme="majorHAnsi" w:hAnsiTheme="majorHAnsi" w:cstheme="majorHAnsi"/>
          <w:sz w:val="22"/>
          <w:szCs w:val="22"/>
          <w:lang w:eastAsia="zh-TW"/>
        </w:rPr>
        <w:t xml:space="preserve"> in </w:t>
      </w:r>
      <w:r w:rsidRPr="000020F0">
        <w:rPr>
          <w:rFonts w:asciiTheme="majorHAnsi" w:hAnsiTheme="majorHAnsi" w:cstheme="majorHAnsi"/>
          <w:sz w:val="22"/>
          <w:szCs w:val="22"/>
          <w:lang w:eastAsia="zh-TW"/>
        </w:rPr>
        <w:t xml:space="preserve"> Troštov</w:t>
      </w:r>
      <w:r w:rsidR="007C3CFC">
        <w:rPr>
          <w:rFonts w:asciiTheme="majorHAnsi" w:hAnsiTheme="majorHAnsi" w:cstheme="majorHAnsi"/>
          <w:sz w:val="22"/>
          <w:szCs w:val="22"/>
          <w:lang w:eastAsia="zh-TW"/>
        </w:rPr>
        <w:t>i</w:t>
      </w:r>
      <w:r w:rsidRPr="000020F0">
        <w:rPr>
          <w:rFonts w:asciiTheme="majorHAnsi" w:hAnsiTheme="majorHAnsi" w:cstheme="majorHAnsi"/>
          <w:sz w:val="22"/>
          <w:szCs w:val="22"/>
          <w:lang w:eastAsia="zh-TW"/>
        </w:rPr>
        <w:t xml:space="preserve"> ulic</w:t>
      </w:r>
      <w:r w:rsidR="007C3CFC">
        <w:rPr>
          <w:rFonts w:asciiTheme="majorHAnsi" w:hAnsiTheme="majorHAnsi" w:cstheme="majorHAnsi"/>
          <w:sz w:val="22"/>
          <w:szCs w:val="22"/>
          <w:lang w:eastAsia="zh-TW"/>
        </w:rPr>
        <w:t>i</w:t>
      </w:r>
      <w:r w:rsidRPr="000020F0">
        <w:rPr>
          <w:rFonts w:asciiTheme="majorHAnsi" w:hAnsiTheme="majorHAnsi" w:cstheme="majorHAnsi"/>
          <w:sz w:val="22"/>
          <w:szCs w:val="22"/>
          <w:lang w:eastAsia="zh-TW"/>
        </w:rPr>
        <w:t xml:space="preserve">, ureditvijo razširjenih peš površin, parkirnih mest za kolesa, varne pokrite kolesarnice in novega avtobusnega postajališča s tremi </w:t>
      </w:r>
      <w:proofErr w:type="spellStart"/>
      <w:r w:rsidRPr="000020F0">
        <w:rPr>
          <w:rFonts w:asciiTheme="majorHAnsi" w:hAnsiTheme="majorHAnsi" w:cstheme="majorHAnsi"/>
          <w:sz w:val="22"/>
          <w:szCs w:val="22"/>
          <w:lang w:eastAsia="zh-TW"/>
        </w:rPr>
        <w:t>nadkritimi</w:t>
      </w:r>
      <w:proofErr w:type="spellEnd"/>
      <w:r w:rsidRPr="000020F0">
        <w:rPr>
          <w:rFonts w:asciiTheme="majorHAnsi" w:hAnsiTheme="majorHAnsi" w:cstheme="majorHAnsi"/>
          <w:sz w:val="22"/>
          <w:szCs w:val="22"/>
          <w:lang w:eastAsia="zh-TW"/>
        </w:rPr>
        <w:t xml:space="preserve"> peroni</w:t>
      </w:r>
      <w:r w:rsidR="00A740A8" w:rsidRPr="000020F0">
        <w:rPr>
          <w:rFonts w:asciiTheme="majorHAnsi" w:hAnsiTheme="majorHAnsi" w:cstheme="majorHAnsi"/>
          <w:sz w:val="22"/>
          <w:szCs w:val="22"/>
          <w:lang w:eastAsia="zh-TW"/>
        </w:rPr>
        <w:t xml:space="preserve"> in javnimi sanitarijami</w:t>
      </w:r>
      <w:r w:rsidRPr="000020F0">
        <w:rPr>
          <w:rFonts w:asciiTheme="majorHAnsi" w:hAnsiTheme="majorHAnsi" w:cstheme="majorHAnsi"/>
          <w:sz w:val="22"/>
          <w:szCs w:val="22"/>
          <w:lang w:eastAsia="zh-TW"/>
        </w:rPr>
        <w:t>.</w:t>
      </w:r>
    </w:p>
    <w:p w14:paraId="3CAD0ADA" w14:textId="77777777"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2. Zmanjšati negativne vplive motornega prometa</w:t>
      </w:r>
      <w:r w:rsidRPr="000020F0">
        <w:rPr>
          <w:rFonts w:asciiTheme="majorHAnsi" w:hAnsiTheme="majorHAnsi" w:cstheme="majorHAnsi"/>
          <w:sz w:val="22"/>
          <w:szCs w:val="22"/>
          <w:lang w:eastAsia="zh-TW"/>
        </w:rPr>
        <w:br/>
        <w:t>Umiriti motorni promet z rekonstrukcijo prometnih površin, zožitvijo vozišč, višinsko izravnavo vozišča s pločniki in tržnimi površinami, vzpostavitvijo skupnega prometnega prostora z omejitvijo hitrosti na 20 km/h ter uporabo merilca hitrosti, dveh prikazovalnikov hitrosti in števca kolesarjev.</w:t>
      </w:r>
    </w:p>
    <w:p w14:paraId="55860EE8" w14:textId="77777777"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3. Povečati prometno varnost ranljivih skupin uporabnikov</w:t>
      </w:r>
      <w:r w:rsidRPr="000020F0">
        <w:rPr>
          <w:rFonts w:asciiTheme="majorHAnsi" w:hAnsiTheme="majorHAnsi" w:cstheme="majorHAnsi"/>
          <w:b/>
          <w:bCs/>
          <w:sz w:val="22"/>
          <w:szCs w:val="22"/>
          <w:lang w:eastAsia="zh-TW"/>
        </w:rPr>
        <w:br/>
      </w:r>
      <w:r w:rsidRPr="000020F0">
        <w:rPr>
          <w:rFonts w:asciiTheme="majorHAnsi" w:hAnsiTheme="majorHAnsi" w:cstheme="majorHAnsi"/>
          <w:sz w:val="22"/>
          <w:szCs w:val="22"/>
          <w:lang w:eastAsia="zh-TW"/>
        </w:rPr>
        <w:t xml:space="preserve">Izboljšati varnost otrok, starejših, gibalno oviranih, slepih in slabovidnih oseb z novimi prometnimi ureditvami, razširjenimi pločniki, izravnanimi talnimi ureditvami, ustreznimi taktilnimi oziroma haptičnimi oznakami, varnejšo </w:t>
      </w:r>
      <w:proofErr w:type="spellStart"/>
      <w:r w:rsidRPr="000020F0">
        <w:rPr>
          <w:rFonts w:asciiTheme="majorHAnsi" w:hAnsiTheme="majorHAnsi" w:cstheme="majorHAnsi"/>
          <w:sz w:val="22"/>
          <w:szCs w:val="22"/>
          <w:lang w:eastAsia="zh-TW"/>
        </w:rPr>
        <w:t>drop-off</w:t>
      </w:r>
      <w:proofErr w:type="spellEnd"/>
      <w:r w:rsidRPr="000020F0">
        <w:rPr>
          <w:rFonts w:asciiTheme="majorHAnsi" w:hAnsiTheme="majorHAnsi" w:cstheme="majorHAnsi"/>
          <w:sz w:val="22"/>
          <w:szCs w:val="22"/>
          <w:lang w:eastAsia="zh-TW"/>
        </w:rPr>
        <w:t xml:space="preserve"> cono pred osnovno šolo ter oblikovanjem javnih površin po načelih univerzalne graditve.</w:t>
      </w:r>
    </w:p>
    <w:p w14:paraId="12F6BF96" w14:textId="77777777"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4. Razviti in povezati zeleno infrastrukturo v središču naselja</w:t>
      </w:r>
      <w:r w:rsidRPr="000020F0">
        <w:rPr>
          <w:rFonts w:asciiTheme="majorHAnsi" w:hAnsiTheme="majorHAnsi" w:cstheme="majorHAnsi"/>
          <w:sz w:val="22"/>
          <w:szCs w:val="22"/>
          <w:lang w:eastAsia="zh-TW"/>
        </w:rPr>
        <w:br/>
        <w:t>Povečati delež zelenih površin z zasaditvami, drevoredi, zelenimi pasovi in zelenimi otoki ob prometnih in parkirnih površinah, ob tem pa v čim večji meri ohranjati obstoječa drevesa ter izboljšati senčenje, kakovost bivanja in odpornost prostora na podnebne spremembe.</w:t>
      </w:r>
    </w:p>
    <w:p w14:paraId="1F20A726" w14:textId="77777777"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5. Spodbujati kolesarjenje in uporabo električnih koles</w:t>
      </w:r>
      <w:r w:rsidRPr="000020F0">
        <w:rPr>
          <w:rFonts w:asciiTheme="majorHAnsi" w:hAnsiTheme="majorHAnsi" w:cstheme="majorHAnsi"/>
          <w:sz w:val="22"/>
          <w:szCs w:val="22"/>
          <w:lang w:eastAsia="zh-TW"/>
        </w:rPr>
        <w:br/>
        <w:t>Zagotoviti več lokacij za parkiranje koles, urediti pokrito varno kolesarnico ter omogočiti navezavo na sistem javne izposoje e-koles, med drugim z lokacijo ob avtobusnem postajališču z 10 priklopnimi mesti in dodatno lokacijo pri pokopališču s 6 parkirnimi mesti za javno izposojo.</w:t>
      </w:r>
    </w:p>
    <w:p w14:paraId="42B9257C" w14:textId="77777777" w:rsidR="00296AEC" w:rsidRPr="000020F0" w:rsidRDefault="00296AEC" w:rsidP="00A72DE4">
      <w:pPr>
        <w:spacing w:after="120" w:line="276" w:lineRule="auto"/>
        <w:rPr>
          <w:rFonts w:asciiTheme="majorHAnsi" w:hAnsiTheme="majorHAnsi" w:cstheme="majorHAnsi"/>
          <w:sz w:val="22"/>
          <w:szCs w:val="22"/>
          <w:lang w:eastAsia="zh-TW"/>
        </w:rPr>
      </w:pPr>
      <w:r w:rsidRPr="000020F0">
        <w:rPr>
          <w:rFonts w:asciiTheme="majorHAnsi" w:hAnsiTheme="majorHAnsi" w:cstheme="majorHAnsi"/>
          <w:b/>
          <w:bCs/>
          <w:sz w:val="22"/>
          <w:szCs w:val="22"/>
        </w:rPr>
        <w:t>6. Uvesti rešitve za spremljanje prometa in spodbujanje trajnostnih potovalnih navad</w:t>
      </w:r>
      <w:r w:rsidRPr="000020F0">
        <w:rPr>
          <w:rFonts w:asciiTheme="majorHAnsi" w:hAnsiTheme="majorHAnsi" w:cstheme="majorHAnsi"/>
          <w:sz w:val="22"/>
          <w:szCs w:val="22"/>
          <w:lang w:eastAsia="zh-TW"/>
        </w:rPr>
        <w:br/>
        <w:t>Vzpostaviti prometno opremo za spremljanje in umirjanje prometa, vključno s števcem kolesarjev, merilcem hitrosti in prikazovalniki hitrosti, ki omogočajo boljše spremljanje prometnih tokov in podatkovno podporo za nadaljnje ukrepe trajnostne mobilnosti.</w:t>
      </w:r>
    </w:p>
    <w:p w14:paraId="4002C33D" w14:textId="6C4A9A64" w:rsidR="00296AEC" w:rsidRPr="000020F0" w:rsidRDefault="00296AEC" w:rsidP="00AC1566">
      <w:pPr>
        <w:spacing w:after="120" w:line="276" w:lineRule="auto"/>
        <w:rPr>
          <w:rFonts w:ascii="Arial" w:hAnsi="Arial" w:cs="Arial"/>
          <w:b/>
          <w:bCs/>
          <w:sz w:val="22"/>
          <w:szCs w:val="22"/>
          <w:lang w:eastAsia="zh-TW"/>
        </w:rPr>
      </w:pPr>
      <w:r w:rsidRPr="000020F0">
        <w:rPr>
          <w:rFonts w:asciiTheme="majorHAnsi" w:hAnsiTheme="majorHAnsi" w:cstheme="majorHAnsi"/>
          <w:b/>
          <w:bCs/>
          <w:sz w:val="22"/>
          <w:szCs w:val="22"/>
        </w:rPr>
        <w:t>7. Prispevati k doseganju nacionalnih in evropskih ciljev trajnostne mobilnosti</w:t>
      </w:r>
      <w:r w:rsidRPr="000020F0">
        <w:rPr>
          <w:rFonts w:asciiTheme="majorHAnsi" w:hAnsiTheme="majorHAnsi" w:cstheme="majorHAnsi"/>
          <w:sz w:val="22"/>
          <w:szCs w:val="22"/>
          <w:lang w:eastAsia="zh-TW"/>
        </w:rPr>
        <w:br/>
        <w:t>Prispevati k zmanjšanju emisij toplogrednih plinov, povečanju deleža trajnostnih oblik mobilnosti, izboljšanju dostopnosti javnega prostora in prilagajanju na podnebne spremembe, skladno z usmeritvami javnega razpisa JR EKP UTM 202</w:t>
      </w:r>
      <w:r w:rsidR="009F7BC3" w:rsidRPr="000020F0">
        <w:rPr>
          <w:rFonts w:asciiTheme="majorHAnsi" w:hAnsiTheme="majorHAnsi" w:cstheme="majorHAnsi"/>
          <w:sz w:val="22"/>
          <w:szCs w:val="22"/>
          <w:lang w:eastAsia="zh-TW"/>
        </w:rPr>
        <w:t>5</w:t>
      </w:r>
      <w:r w:rsidRPr="000020F0">
        <w:rPr>
          <w:rFonts w:asciiTheme="majorHAnsi" w:hAnsiTheme="majorHAnsi" w:cstheme="majorHAnsi"/>
          <w:sz w:val="22"/>
          <w:szCs w:val="22"/>
          <w:lang w:eastAsia="zh-TW"/>
        </w:rPr>
        <w:t xml:space="preserve"> za sofinanciranje ukrepov trajnostne mobilnosti.</w:t>
      </w:r>
    </w:p>
    <w:p w14:paraId="29377664" w14:textId="77777777" w:rsidR="00296AEC" w:rsidRPr="000020F0" w:rsidRDefault="00296AEC" w:rsidP="004D6B17">
      <w:pPr>
        <w:spacing w:after="120" w:line="276" w:lineRule="auto"/>
        <w:jc w:val="both"/>
        <w:rPr>
          <w:rFonts w:ascii="Arial" w:hAnsi="Arial" w:cs="Arial"/>
          <w:b/>
          <w:bCs/>
          <w:sz w:val="22"/>
          <w:szCs w:val="22"/>
          <w:lang w:eastAsia="zh-TW"/>
        </w:rPr>
      </w:pPr>
    </w:p>
    <w:p w14:paraId="10A7E942" w14:textId="5B1DFE02" w:rsidR="00A72DE4" w:rsidRPr="000020F0" w:rsidRDefault="00A72DE4" w:rsidP="004D6B17">
      <w:pPr>
        <w:spacing w:after="120" w:line="276" w:lineRule="auto"/>
        <w:jc w:val="both"/>
        <w:rPr>
          <w:rFonts w:ascii="Arial" w:hAnsi="Arial" w:cs="Arial"/>
          <w:b/>
          <w:bCs/>
          <w:sz w:val="22"/>
          <w:szCs w:val="22"/>
          <w:lang w:eastAsia="zh-TW"/>
        </w:rPr>
      </w:pPr>
      <w:r w:rsidRPr="000020F0">
        <w:rPr>
          <w:rFonts w:ascii="Arial" w:hAnsi="Arial" w:cs="Arial"/>
          <w:b/>
          <w:bCs/>
          <w:sz w:val="22"/>
          <w:szCs w:val="22"/>
          <w:lang w:eastAsia="zh-TW"/>
        </w:rPr>
        <w:t>Pričakovani rezultati in učinki projekta:</w:t>
      </w:r>
    </w:p>
    <w:bookmarkEnd w:id="68"/>
    <w:bookmarkEnd w:id="69"/>
    <w:p w14:paraId="51F906D8" w14:textId="6AFE1C3A" w:rsidR="00296AEC" w:rsidRPr="000020F0" w:rsidRDefault="00FB1907"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1</w:t>
      </w:r>
      <w:r w:rsidR="00296AEC" w:rsidRPr="000020F0">
        <w:rPr>
          <w:rFonts w:asciiTheme="majorHAnsi" w:hAnsiTheme="majorHAnsi" w:cstheme="majorHAnsi"/>
          <w:b/>
          <w:bCs/>
          <w:sz w:val="22"/>
          <w:szCs w:val="22"/>
        </w:rPr>
        <w:t>. Površine in dolžine rekonstruiranih odsekov:</w:t>
      </w:r>
    </w:p>
    <w:p w14:paraId="598871B2" w14:textId="48ECD42F" w:rsidR="00296AEC" w:rsidRPr="000020F0" w:rsidRDefault="00296AEC" w:rsidP="00296AEC">
      <w:pPr>
        <w:numPr>
          <w:ilvl w:val="0"/>
          <w:numId w:val="114"/>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lastRenderedPageBreak/>
        <w:t xml:space="preserve">skupna dolžina rekonstruirane Govekarjeve ceste </w:t>
      </w:r>
    </w:p>
    <w:p w14:paraId="627EA2B6" w14:textId="698BE9C7" w:rsidR="00296AEC" w:rsidRPr="000020F0" w:rsidRDefault="00A740A8" w:rsidP="00296AEC">
      <w:pPr>
        <w:numPr>
          <w:ilvl w:val="0"/>
          <w:numId w:val="114"/>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in</w:t>
      </w:r>
      <w:r w:rsidR="00296AEC" w:rsidRPr="000020F0">
        <w:rPr>
          <w:rFonts w:asciiTheme="majorHAnsi" w:hAnsiTheme="majorHAnsi" w:cstheme="majorHAnsi"/>
          <w:sz w:val="22"/>
          <w:szCs w:val="22"/>
        </w:rPr>
        <w:t xml:space="preserve"> Troštove ulice </w:t>
      </w:r>
      <w:r w:rsidRPr="000020F0">
        <w:rPr>
          <w:rFonts w:asciiTheme="majorHAnsi" w:hAnsiTheme="majorHAnsi" w:cstheme="majorHAnsi"/>
          <w:sz w:val="22"/>
          <w:szCs w:val="22"/>
        </w:rPr>
        <w:t>254</w:t>
      </w:r>
      <w:r w:rsidR="00F22CD1" w:rsidRPr="000020F0">
        <w:rPr>
          <w:rFonts w:asciiTheme="majorHAnsi" w:hAnsiTheme="majorHAnsi" w:cstheme="majorHAnsi"/>
          <w:sz w:val="22"/>
          <w:szCs w:val="22"/>
        </w:rPr>
        <w:t xml:space="preserve"> </w:t>
      </w:r>
      <w:r w:rsidR="00296AEC" w:rsidRPr="000020F0">
        <w:rPr>
          <w:rFonts w:asciiTheme="majorHAnsi" w:hAnsiTheme="majorHAnsi" w:cstheme="majorHAnsi"/>
          <w:sz w:val="22"/>
          <w:szCs w:val="22"/>
        </w:rPr>
        <w:t>m</w:t>
      </w:r>
    </w:p>
    <w:p w14:paraId="2F351349" w14:textId="64CAFAD0" w:rsidR="00296AEC" w:rsidRPr="000020F0" w:rsidRDefault="00296AEC" w:rsidP="00296AEC">
      <w:pPr>
        <w:numPr>
          <w:ilvl w:val="0"/>
          <w:numId w:val="114"/>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skupna površina rekonstruiranih prometnih površin (skupaj z AP) </w:t>
      </w:r>
      <w:r w:rsidR="00F22CD1" w:rsidRPr="000020F0">
        <w:rPr>
          <w:rFonts w:asciiTheme="majorHAnsi" w:hAnsiTheme="majorHAnsi" w:cstheme="majorHAnsi"/>
          <w:sz w:val="22"/>
          <w:szCs w:val="22"/>
        </w:rPr>
        <w:t xml:space="preserve"> </w:t>
      </w:r>
      <w:r w:rsidR="00D26760">
        <w:rPr>
          <w:rFonts w:asciiTheme="majorHAnsi" w:hAnsiTheme="majorHAnsi" w:cstheme="majorHAnsi"/>
          <w:sz w:val="22"/>
          <w:szCs w:val="22"/>
        </w:rPr>
        <w:t>3497,8</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223191F7"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2. Zmanjšanje površin za motorni promet:</w:t>
      </w:r>
    </w:p>
    <w:p w14:paraId="62B97E48"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izhodiščna površina za motorni promet:</w:t>
      </w:r>
    </w:p>
    <w:p w14:paraId="012E69ED"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1446,80 m</w:t>
      </w:r>
      <w:r w:rsidRPr="000020F0">
        <w:rPr>
          <w:rFonts w:asciiTheme="majorHAnsi" w:hAnsiTheme="majorHAnsi" w:cstheme="majorHAnsi"/>
          <w:sz w:val="22"/>
          <w:szCs w:val="22"/>
          <w:vertAlign w:val="superscript"/>
        </w:rPr>
        <w:t>2</w:t>
      </w:r>
    </w:p>
    <w:p w14:paraId="6CA24D6F"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365,1 m</w:t>
      </w:r>
      <w:r w:rsidRPr="000020F0">
        <w:rPr>
          <w:rFonts w:asciiTheme="majorHAnsi" w:hAnsiTheme="majorHAnsi" w:cstheme="majorHAnsi"/>
          <w:sz w:val="22"/>
          <w:szCs w:val="22"/>
          <w:vertAlign w:val="superscript"/>
        </w:rPr>
        <w:t>2</w:t>
      </w:r>
    </w:p>
    <w:p w14:paraId="29819F33" w14:textId="6C6C9458"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Troštova: </w:t>
      </w:r>
      <w:r w:rsidR="0049336B" w:rsidRPr="000020F0">
        <w:rPr>
          <w:rFonts w:asciiTheme="majorHAnsi" w:hAnsiTheme="majorHAnsi" w:cstheme="majorHAnsi"/>
          <w:sz w:val="22"/>
          <w:szCs w:val="22"/>
        </w:rPr>
        <w:t>351,9</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6CC540EA" w14:textId="1C83D5AD" w:rsidR="00296AEC" w:rsidRPr="000020F0" w:rsidRDefault="00296AEC" w:rsidP="00296AEC">
      <w:pPr>
        <w:spacing w:line="276" w:lineRule="auto"/>
        <w:ind w:left="709"/>
        <w:rPr>
          <w:rFonts w:asciiTheme="majorHAnsi" w:hAnsiTheme="majorHAnsi" w:cstheme="majorHAnsi"/>
          <w:sz w:val="22"/>
          <w:szCs w:val="22"/>
          <w:vertAlign w:val="superscript"/>
        </w:rPr>
      </w:pPr>
      <w:r w:rsidRPr="000020F0">
        <w:rPr>
          <w:rFonts w:asciiTheme="majorHAnsi" w:hAnsiTheme="majorHAnsi" w:cstheme="majorHAnsi"/>
          <w:sz w:val="22"/>
          <w:szCs w:val="22"/>
        </w:rPr>
        <w:t xml:space="preserve">SKUPAJ:  </w:t>
      </w:r>
      <w:r w:rsidR="0049336B" w:rsidRPr="000020F0">
        <w:rPr>
          <w:rFonts w:asciiTheme="majorHAnsi" w:hAnsiTheme="majorHAnsi" w:cstheme="majorHAnsi"/>
          <w:sz w:val="22"/>
          <w:szCs w:val="22"/>
        </w:rPr>
        <w:t>2.163,80</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66584598"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nova površina za motorni promet po preureditvi (m²):</w:t>
      </w:r>
    </w:p>
    <w:p w14:paraId="6372CA55"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1221,0 m</w:t>
      </w:r>
      <w:r w:rsidRPr="000020F0">
        <w:rPr>
          <w:rFonts w:asciiTheme="majorHAnsi" w:hAnsiTheme="majorHAnsi" w:cstheme="majorHAnsi"/>
          <w:sz w:val="22"/>
          <w:szCs w:val="22"/>
          <w:vertAlign w:val="superscript"/>
        </w:rPr>
        <w:t>2</w:t>
      </w:r>
    </w:p>
    <w:p w14:paraId="45C91138"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293,6 m</w:t>
      </w:r>
      <w:r w:rsidRPr="000020F0">
        <w:rPr>
          <w:rFonts w:asciiTheme="majorHAnsi" w:hAnsiTheme="majorHAnsi" w:cstheme="majorHAnsi"/>
          <w:sz w:val="22"/>
          <w:szCs w:val="22"/>
          <w:vertAlign w:val="superscript"/>
        </w:rPr>
        <w:t>2</w:t>
      </w:r>
    </w:p>
    <w:p w14:paraId="4DA6723A" w14:textId="08A9224C"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Troštova: </w:t>
      </w:r>
      <w:r w:rsidR="0049336B" w:rsidRPr="000020F0">
        <w:rPr>
          <w:rFonts w:asciiTheme="majorHAnsi" w:hAnsiTheme="majorHAnsi" w:cstheme="majorHAnsi"/>
          <w:sz w:val="22"/>
          <w:szCs w:val="22"/>
        </w:rPr>
        <w:t>254,80</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0578EF98" w14:textId="5B9565EB" w:rsidR="00296AEC" w:rsidRPr="000020F0" w:rsidRDefault="00296AEC" w:rsidP="00296AEC">
      <w:pPr>
        <w:spacing w:line="276" w:lineRule="auto"/>
        <w:ind w:left="709"/>
        <w:rPr>
          <w:rFonts w:asciiTheme="majorHAnsi" w:hAnsiTheme="majorHAnsi" w:cstheme="majorHAnsi"/>
          <w:sz w:val="22"/>
          <w:szCs w:val="22"/>
          <w:vertAlign w:val="superscript"/>
        </w:rPr>
      </w:pPr>
      <w:r w:rsidRPr="000020F0">
        <w:rPr>
          <w:rFonts w:asciiTheme="majorHAnsi" w:hAnsiTheme="majorHAnsi" w:cstheme="majorHAnsi"/>
          <w:sz w:val="22"/>
          <w:szCs w:val="22"/>
        </w:rPr>
        <w:t xml:space="preserve">SKUPAJ: </w:t>
      </w:r>
      <w:r w:rsidR="0049336B" w:rsidRPr="000020F0">
        <w:rPr>
          <w:rFonts w:asciiTheme="majorHAnsi" w:hAnsiTheme="majorHAnsi" w:cstheme="majorHAnsi"/>
          <w:sz w:val="22"/>
          <w:szCs w:val="22"/>
        </w:rPr>
        <w:t>1.769,40</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p>
    <w:p w14:paraId="0B8C4981"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delež zmanjšanja (%) za posamezni odsek in skupaj:</w:t>
      </w:r>
    </w:p>
    <w:p w14:paraId="1FEC7E95"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- 15,61 %</w:t>
      </w:r>
    </w:p>
    <w:p w14:paraId="4EC0CDC1"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- 19,58 %</w:t>
      </w:r>
    </w:p>
    <w:p w14:paraId="55A244B9" w14:textId="0D73DDF0"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Troštova: -  27,</w:t>
      </w:r>
      <w:r w:rsidR="0049336B" w:rsidRPr="000020F0">
        <w:rPr>
          <w:rFonts w:asciiTheme="majorHAnsi" w:hAnsiTheme="majorHAnsi" w:cstheme="majorHAnsi"/>
          <w:sz w:val="22"/>
          <w:szCs w:val="22"/>
        </w:rPr>
        <w:t xml:space="preserve">59 </w:t>
      </w:r>
      <w:r w:rsidRPr="000020F0">
        <w:rPr>
          <w:rFonts w:asciiTheme="majorHAnsi" w:hAnsiTheme="majorHAnsi" w:cstheme="majorHAnsi"/>
          <w:sz w:val="22"/>
          <w:szCs w:val="22"/>
        </w:rPr>
        <w:t>%</w:t>
      </w:r>
    </w:p>
    <w:p w14:paraId="4D333E5B" w14:textId="3115F371"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SKUPAJ: - </w:t>
      </w:r>
      <w:r w:rsidR="002374D8" w:rsidRPr="000020F0">
        <w:rPr>
          <w:rFonts w:asciiTheme="majorHAnsi" w:hAnsiTheme="majorHAnsi" w:cstheme="majorHAnsi"/>
          <w:sz w:val="22"/>
          <w:szCs w:val="22"/>
        </w:rPr>
        <w:t>18,23%</w:t>
      </w:r>
    </w:p>
    <w:p w14:paraId="41EBF809"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3. Površine za motorni promet, ki niso asfaltirane:</w:t>
      </w:r>
    </w:p>
    <w:p w14:paraId="149735FB" w14:textId="67F821AD"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skupna površina tlakovanih površin s kockami/betonom: </w:t>
      </w:r>
      <w:r w:rsidR="0049336B" w:rsidRPr="000020F0">
        <w:rPr>
          <w:rFonts w:asciiTheme="majorHAnsi" w:hAnsiTheme="majorHAnsi" w:cstheme="majorHAnsi"/>
          <w:sz w:val="22"/>
          <w:szCs w:val="22"/>
        </w:rPr>
        <w:t>1.484,70 m</w:t>
      </w:r>
      <w:r w:rsidR="0049336B" w:rsidRPr="000020F0">
        <w:rPr>
          <w:rFonts w:asciiTheme="majorHAnsi" w:hAnsiTheme="majorHAnsi" w:cstheme="majorHAnsi"/>
          <w:sz w:val="22"/>
          <w:szCs w:val="22"/>
          <w:vertAlign w:val="superscript"/>
        </w:rPr>
        <w:t>2</w:t>
      </w:r>
    </w:p>
    <w:p w14:paraId="07FEA751" w14:textId="3530DD50"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delež (%) glede na celotno površino za motorni promet površin: </w:t>
      </w:r>
      <w:r w:rsidR="0049336B" w:rsidRPr="000020F0">
        <w:rPr>
          <w:rFonts w:asciiTheme="majorHAnsi" w:hAnsiTheme="majorHAnsi" w:cstheme="majorHAnsi"/>
          <w:sz w:val="22"/>
          <w:szCs w:val="22"/>
        </w:rPr>
        <w:t xml:space="preserve">57 </w:t>
      </w:r>
      <w:r w:rsidRPr="000020F0">
        <w:rPr>
          <w:rFonts w:asciiTheme="majorHAnsi" w:hAnsiTheme="majorHAnsi" w:cstheme="majorHAnsi"/>
          <w:sz w:val="22"/>
          <w:szCs w:val="22"/>
        </w:rPr>
        <w:t>%</w:t>
      </w:r>
    </w:p>
    <w:p w14:paraId="4F658CB1"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4. Zelene površine in zasaditve v obsegu ločenega projekta zelene infrastrukture, ki se bo izvajal vzporedno</w:t>
      </w:r>
    </w:p>
    <w:p w14:paraId="05D339F9" w14:textId="2EA71C62"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površina zelenih pasov in drevoredov - Celoten projekt Celovite ureditve centra Ig, ki obsega ukrepe trajnostne mobilnosti in zelene infrastrukture, obsega cca </w:t>
      </w:r>
      <w:r w:rsidR="00720806" w:rsidRPr="000020F0">
        <w:rPr>
          <w:rFonts w:asciiTheme="majorHAnsi" w:hAnsiTheme="majorHAnsi" w:cstheme="majorHAnsi"/>
          <w:sz w:val="22"/>
          <w:szCs w:val="22"/>
        </w:rPr>
        <w:t xml:space="preserve">38 </w:t>
      </w:r>
      <w:r w:rsidRPr="000020F0">
        <w:rPr>
          <w:rFonts w:asciiTheme="majorHAnsi" w:hAnsiTheme="majorHAnsi" w:cstheme="majorHAnsi"/>
          <w:sz w:val="22"/>
          <w:szCs w:val="22"/>
        </w:rPr>
        <w:t>% zelenih površin.</w:t>
      </w:r>
    </w:p>
    <w:p w14:paraId="1363A681" w14:textId="5BF898AB"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število novih dreves in zasaditvenih otokov - Znotraj območja Celovite ureditve centra Ig, ki obsega ukrepe trajnostne mobilnosti in zelene infrastrukture, operacija ohranja </w:t>
      </w:r>
      <w:r w:rsidR="00720806" w:rsidRPr="000020F0">
        <w:rPr>
          <w:rFonts w:asciiTheme="majorHAnsi" w:hAnsiTheme="majorHAnsi" w:cstheme="majorHAnsi"/>
          <w:sz w:val="22"/>
          <w:szCs w:val="22"/>
        </w:rPr>
        <w:t xml:space="preserve">oz. presaja </w:t>
      </w:r>
      <w:r w:rsidRPr="000020F0">
        <w:rPr>
          <w:rFonts w:asciiTheme="majorHAnsi" w:hAnsiTheme="majorHAnsi" w:cstheme="majorHAnsi"/>
          <w:sz w:val="22"/>
          <w:szCs w:val="22"/>
        </w:rPr>
        <w:t xml:space="preserve">15 obstoječih dreves in predvideva zasaditev </w:t>
      </w:r>
      <w:r w:rsidR="00627C48" w:rsidRPr="000020F0">
        <w:rPr>
          <w:rFonts w:asciiTheme="majorHAnsi" w:hAnsiTheme="majorHAnsi" w:cstheme="majorHAnsi"/>
          <w:sz w:val="22"/>
          <w:szCs w:val="22"/>
        </w:rPr>
        <w:t xml:space="preserve">103 </w:t>
      </w:r>
      <w:r w:rsidRPr="000020F0">
        <w:rPr>
          <w:rFonts w:asciiTheme="majorHAnsi" w:hAnsiTheme="majorHAnsi" w:cstheme="majorHAnsi"/>
          <w:sz w:val="22"/>
          <w:szCs w:val="22"/>
        </w:rPr>
        <w:t>novih dreves (Park Ig in drugod). Predvidenih je 14 sadilnih jam (linijskih in točkovnih).</w:t>
      </w:r>
    </w:p>
    <w:p w14:paraId="70F75A4F"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V okviru ureditve zelenih površin se ukine 21 parkirnih mest pred občinsko stavbo, 12 parkirnih mest ob Govekarjevi cesti pred </w:t>
      </w:r>
      <w:proofErr w:type="spellStart"/>
      <w:r w:rsidRPr="000020F0">
        <w:rPr>
          <w:rFonts w:asciiTheme="majorHAnsi" w:hAnsiTheme="majorHAnsi" w:cstheme="majorHAnsi"/>
          <w:sz w:val="22"/>
          <w:szCs w:val="22"/>
        </w:rPr>
        <w:t>Morostigom</w:t>
      </w:r>
      <w:proofErr w:type="spellEnd"/>
      <w:r w:rsidRPr="000020F0">
        <w:rPr>
          <w:rFonts w:asciiTheme="majorHAnsi" w:hAnsiTheme="majorHAnsi" w:cstheme="majorHAnsi"/>
          <w:sz w:val="22"/>
          <w:szCs w:val="22"/>
        </w:rPr>
        <w:t xml:space="preserve"> in 5 parkirnih mest ob Troštovi ulici.</w:t>
      </w:r>
    </w:p>
    <w:p w14:paraId="5C50726C"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5. Ukrepi umirjanja prometa:</w:t>
      </w:r>
    </w:p>
    <w:p w14:paraId="15427E77"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seznam vseh ukrepov (dvignjeni prehodi, zožitve, ploščadi ipd.),</w:t>
      </w:r>
    </w:p>
    <w:p w14:paraId="32FA5DEB"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3x dvignjen prehod (2x križišče, 1x začetek Govekarjeve pri AP)</w:t>
      </w:r>
    </w:p>
    <w:p w14:paraId="49F1CD2C"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Zoženje cestišča na minimum (Govekarjeva 5,5 m)</w:t>
      </w:r>
    </w:p>
    <w:p w14:paraId="5C58F1CA"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Prikazovalnika hitrosti (1x na Govekarjevi pri Občinski stavbi, 1x na Govekarjevi ob cerkvi na ulični svetilki proti jugu)</w:t>
      </w:r>
    </w:p>
    <w:p w14:paraId="5B40C64C"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Merilnik hitrosti (1x na Govekarjevi med drevesi pred telovadnico)</w:t>
      </w:r>
    </w:p>
    <w:p w14:paraId="5F042B5F"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Hitrostne ovire na Troštovi (3x, Minimalna grbina v grobem tlakovanju v dolžini 50 cm)</w:t>
      </w:r>
    </w:p>
    <w:p w14:paraId="3E00CC94" w14:textId="77777777" w:rsidR="00296AEC" w:rsidRPr="000020F0" w:rsidRDefault="00296AEC" w:rsidP="00296AEC">
      <w:pPr>
        <w:spacing w:line="276" w:lineRule="auto"/>
        <w:ind w:left="708"/>
        <w:rPr>
          <w:rFonts w:asciiTheme="majorHAnsi" w:hAnsiTheme="majorHAnsi" w:cstheme="majorHAnsi"/>
          <w:sz w:val="22"/>
          <w:szCs w:val="22"/>
        </w:rPr>
      </w:pPr>
      <w:r w:rsidRPr="000020F0">
        <w:rPr>
          <w:rFonts w:asciiTheme="majorHAnsi" w:hAnsiTheme="majorHAnsi" w:cstheme="majorHAnsi"/>
          <w:sz w:val="22"/>
          <w:szCs w:val="22"/>
        </w:rPr>
        <w:t>Omejitev hitrosti na 20 km/h</w:t>
      </w:r>
    </w:p>
    <w:p w14:paraId="3FB52747"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Skupni prometni prostor</w:t>
      </w:r>
    </w:p>
    <w:p w14:paraId="23B09CA5" w14:textId="77777777" w:rsidR="00296AEC" w:rsidRPr="000020F0" w:rsidRDefault="00296AEC" w:rsidP="00296AEC">
      <w:pPr>
        <w:spacing w:line="276" w:lineRule="auto"/>
        <w:ind w:firstLine="708"/>
        <w:rPr>
          <w:rFonts w:asciiTheme="majorHAnsi" w:hAnsiTheme="majorHAnsi" w:cstheme="majorHAnsi"/>
          <w:sz w:val="22"/>
          <w:szCs w:val="22"/>
        </w:rPr>
      </w:pPr>
      <w:r w:rsidRPr="000020F0">
        <w:rPr>
          <w:rFonts w:asciiTheme="majorHAnsi" w:hAnsiTheme="majorHAnsi" w:cstheme="majorHAnsi"/>
          <w:sz w:val="22"/>
          <w:szCs w:val="22"/>
        </w:rPr>
        <w:t>Avtobusno postajališče za šolske avtobuse na cestišču (Govekarjeva, v obe smeri)</w:t>
      </w:r>
    </w:p>
    <w:p w14:paraId="49763537"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število ukrepov na posameznem odseku</w:t>
      </w:r>
    </w:p>
    <w:p w14:paraId="56E45F90"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Govekarjeva cesta (197 m): </w:t>
      </w:r>
    </w:p>
    <w:p w14:paraId="1232F653"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6x ukrep (dvignjen prehod, zoženje, merilec, 2x prikazovalnik, omejitev hitrosti)</w:t>
      </w:r>
    </w:p>
    <w:p w14:paraId="48208DEB" w14:textId="6B05B362"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Troštova ulica (</w:t>
      </w:r>
      <w:r w:rsidR="00720806" w:rsidRPr="000020F0">
        <w:rPr>
          <w:rFonts w:asciiTheme="majorHAnsi" w:hAnsiTheme="majorHAnsi" w:cstheme="majorHAnsi"/>
          <w:sz w:val="22"/>
          <w:szCs w:val="22"/>
        </w:rPr>
        <w:t xml:space="preserve">57 </w:t>
      </w:r>
      <w:r w:rsidRPr="000020F0">
        <w:rPr>
          <w:rFonts w:asciiTheme="majorHAnsi" w:hAnsiTheme="majorHAnsi" w:cstheme="majorHAnsi"/>
          <w:sz w:val="22"/>
          <w:szCs w:val="22"/>
        </w:rPr>
        <w:t xml:space="preserve">m): </w:t>
      </w:r>
    </w:p>
    <w:p w14:paraId="23F139F4" w14:textId="5573C105" w:rsidR="00296AEC" w:rsidRPr="000020F0" w:rsidRDefault="00720806"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lastRenderedPageBreak/>
        <w:t xml:space="preserve">3x </w:t>
      </w:r>
      <w:r w:rsidR="00296AEC" w:rsidRPr="000020F0">
        <w:rPr>
          <w:rFonts w:asciiTheme="majorHAnsi" w:hAnsiTheme="majorHAnsi" w:cstheme="majorHAnsi"/>
          <w:sz w:val="22"/>
          <w:szCs w:val="22"/>
        </w:rPr>
        <w:t>ukrep (</w:t>
      </w:r>
      <w:r w:rsidRPr="000020F0">
        <w:rPr>
          <w:rFonts w:asciiTheme="majorHAnsi" w:hAnsiTheme="majorHAnsi" w:cstheme="majorHAnsi"/>
          <w:sz w:val="22"/>
          <w:szCs w:val="22"/>
        </w:rPr>
        <w:t>3</w:t>
      </w:r>
      <w:r w:rsidR="00296AEC" w:rsidRPr="000020F0">
        <w:rPr>
          <w:rFonts w:asciiTheme="majorHAnsi" w:hAnsiTheme="majorHAnsi" w:cstheme="majorHAnsi"/>
          <w:sz w:val="22"/>
          <w:szCs w:val="22"/>
        </w:rPr>
        <w:t>x hitrostna ovira)</w:t>
      </w:r>
    </w:p>
    <w:p w14:paraId="7849075A" w14:textId="77777777" w:rsidR="00296AEC" w:rsidRPr="000020F0" w:rsidRDefault="00296AEC" w:rsidP="00296AEC">
      <w:pPr>
        <w:numPr>
          <w:ilvl w:val="0"/>
          <w:numId w:val="115"/>
        </w:numPr>
        <w:spacing w:line="276" w:lineRule="auto"/>
        <w:contextualSpacing/>
        <w:rPr>
          <w:rFonts w:asciiTheme="majorHAnsi" w:hAnsiTheme="majorHAnsi" w:cstheme="majorHAnsi"/>
          <w:i/>
          <w:iCs/>
          <w:sz w:val="22"/>
          <w:szCs w:val="22"/>
        </w:rPr>
      </w:pPr>
      <w:r w:rsidRPr="000020F0">
        <w:rPr>
          <w:rFonts w:asciiTheme="majorHAnsi" w:hAnsiTheme="majorHAnsi" w:cstheme="majorHAnsi"/>
          <w:i/>
          <w:iCs/>
          <w:sz w:val="22"/>
          <w:szCs w:val="22"/>
        </w:rPr>
        <w:t>povprečna razdalja med ukrepi (merilo: ukrep/50 m oz. ukrep/100 m).</w:t>
      </w:r>
    </w:p>
    <w:p w14:paraId="24ABED00" w14:textId="77777777" w:rsidR="00296AEC" w:rsidRPr="000020F0" w:rsidRDefault="00296AEC" w:rsidP="00296AEC">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Govekarjeva cesta: ukrep /32,8 m</w:t>
      </w:r>
    </w:p>
    <w:p w14:paraId="72AFE2A7" w14:textId="54C0B921" w:rsidR="00296AEC" w:rsidRPr="000020F0" w:rsidRDefault="00296AEC" w:rsidP="00296AEC">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 xml:space="preserve">Troštova ulica: ukrep / </w:t>
      </w:r>
      <w:r w:rsidR="00720806" w:rsidRPr="000020F0">
        <w:rPr>
          <w:rFonts w:asciiTheme="majorHAnsi" w:hAnsiTheme="majorHAnsi" w:cstheme="majorHAnsi"/>
        </w:rPr>
        <w:t>23,6</w:t>
      </w:r>
      <w:r w:rsidRPr="000020F0">
        <w:rPr>
          <w:rFonts w:asciiTheme="majorHAnsi" w:hAnsiTheme="majorHAnsi" w:cstheme="majorHAnsi"/>
        </w:rPr>
        <w:t xml:space="preserve"> m</w:t>
      </w:r>
    </w:p>
    <w:p w14:paraId="60970FB6"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6. Avtobusno postajališče in kolesarska infrastruktura:</w:t>
      </w:r>
    </w:p>
    <w:p w14:paraId="1E429A74" w14:textId="008AF871"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površina novega avtobusnega postajališča: </w:t>
      </w:r>
      <w:r w:rsidR="0087014C" w:rsidRPr="000020F0">
        <w:rPr>
          <w:rFonts w:asciiTheme="majorHAnsi" w:hAnsiTheme="majorHAnsi" w:cstheme="majorHAnsi"/>
          <w:sz w:val="22"/>
          <w:szCs w:val="22"/>
        </w:rPr>
        <w:t>906,5</w:t>
      </w:r>
      <w:r w:rsidRPr="000020F0">
        <w:rPr>
          <w:rFonts w:asciiTheme="majorHAnsi" w:hAnsiTheme="majorHAnsi" w:cstheme="majorHAnsi"/>
          <w:sz w:val="22"/>
          <w:szCs w:val="22"/>
        </w:rPr>
        <w:t xml:space="preserve"> m</w:t>
      </w:r>
      <w:r w:rsidRPr="000020F0">
        <w:rPr>
          <w:rFonts w:asciiTheme="majorHAnsi" w:hAnsiTheme="majorHAnsi" w:cstheme="majorHAnsi"/>
          <w:sz w:val="22"/>
          <w:szCs w:val="22"/>
          <w:vertAlign w:val="superscript"/>
        </w:rPr>
        <w:t>2</w:t>
      </w:r>
      <w:r w:rsidRPr="000020F0">
        <w:rPr>
          <w:rFonts w:asciiTheme="majorHAnsi" w:hAnsiTheme="majorHAnsi" w:cstheme="majorHAnsi"/>
          <w:sz w:val="22"/>
          <w:szCs w:val="22"/>
        </w:rPr>
        <w:t xml:space="preserve"> – </w:t>
      </w:r>
      <w:proofErr w:type="spellStart"/>
      <w:r w:rsidRPr="000020F0">
        <w:rPr>
          <w:rFonts w:asciiTheme="majorHAnsi" w:hAnsiTheme="majorHAnsi" w:cstheme="majorHAnsi"/>
          <w:sz w:val="22"/>
          <w:szCs w:val="22"/>
        </w:rPr>
        <w:t>povozna</w:t>
      </w:r>
      <w:proofErr w:type="spellEnd"/>
      <w:r w:rsidRPr="000020F0">
        <w:rPr>
          <w:rFonts w:asciiTheme="majorHAnsi" w:hAnsiTheme="majorHAnsi" w:cstheme="majorHAnsi"/>
          <w:sz w:val="22"/>
          <w:szCs w:val="22"/>
        </w:rPr>
        <w:t xml:space="preserve"> površina, peroni, pločniki</w:t>
      </w:r>
      <w:r w:rsidR="0087014C" w:rsidRPr="000020F0">
        <w:rPr>
          <w:rFonts w:asciiTheme="majorHAnsi" w:hAnsiTheme="majorHAnsi" w:cstheme="majorHAnsi"/>
          <w:sz w:val="22"/>
          <w:szCs w:val="22"/>
        </w:rPr>
        <w:t>, zelene površine</w:t>
      </w:r>
      <w:r w:rsidRPr="000020F0">
        <w:rPr>
          <w:rFonts w:asciiTheme="majorHAnsi" w:hAnsiTheme="majorHAnsi" w:cstheme="majorHAnsi"/>
          <w:sz w:val="22"/>
          <w:szCs w:val="22"/>
        </w:rPr>
        <w:tab/>
      </w:r>
      <w:r w:rsidRPr="000020F0">
        <w:rPr>
          <w:rFonts w:asciiTheme="majorHAnsi" w:hAnsiTheme="majorHAnsi" w:cstheme="majorHAnsi"/>
          <w:sz w:val="22"/>
          <w:szCs w:val="22"/>
        </w:rPr>
        <w:tab/>
      </w:r>
    </w:p>
    <w:p w14:paraId="7C2C05BD"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število peronov: 3</w:t>
      </w:r>
    </w:p>
    <w:p w14:paraId="3FE52D4E"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število in lokacije parkirišč za kolesa: 7 lokacij za parkiranje koles</w:t>
      </w:r>
    </w:p>
    <w:p w14:paraId="5607D6BC" w14:textId="77777777" w:rsidR="00296AEC" w:rsidRPr="000020F0" w:rsidRDefault="00296AEC" w:rsidP="00296AEC">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2x izposoja e-koles – 10 PM + 6 PM</w:t>
      </w:r>
    </w:p>
    <w:p w14:paraId="05C5DC7E" w14:textId="77777777" w:rsidR="00296AEC" w:rsidRPr="000020F0" w:rsidRDefault="00296AEC" w:rsidP="00296AEC">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4x nadkrita stojna mesta na prostem – 4x 10 PM</w:t>
      </w:r>
    </w:p>
    <w:p w14:paraId="12A87A5C" w14:textId="77777777" w:rsidR="00296AEC" w:rsidRPr="000020F0" w:rsidRDefault="00296AEC" w:rsidP="00296AEC">
      <w:pPr>
        <w:pStyle w:val="Odstavekseznama"/>
        <w:numPr>
          <w:ilvl w:val="1"/>
          <w:numId w:val="115"/>
        </w:numPr>
        <w:spacing w:after="0"/>
        <w:rPr>
          <w:rFonts w:asciiTheme="majorHAnsi" w:hAnsiTheme="majorHAnsi" w:cstheme="majorHAnsi"/>
        </w:rPr>
      </w:pPr>
      <w:r w:rsidRPr="000020F0">
        <w:rPr>
          <w:rFonts w:asciiTheme="majorHAnsi" w:hAnsiTheme="majorHAnsi" w:cstheme="majorHAnsi"/>
        </w:rPr>
        <w:t>1x varna kolesarnica – 10 PM (25 m</w:t>
      </w:r>
      <w:r w:rsidRPr="000020F0">
        <w:rPr>
          <w:rFonts w:asciiTheme="majorHAnsi" w:hAnsiTheme="majorHAnsi" w:cstheme="majorHAnsi"/>
          <w:vertAlign w:val="superscript"/>
        </w:rPr>
        <w:t>2</w:t>
      </w:r>
      <w:r w:rsidRPr="000020F0">
        <w:rPr>
          <w:rFonts w:asciiTheme="majorHAnsi" w:hAnsiTheme="majorHAnsi" w:cstheme="majorHAnsi"/>
        </w:rPr>
        <w:t>)</w:t>
      </w:r>
    </w:p>
    <w:p w14:paraId="646AD1D1"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število priklopnih mest v sistemu javne izposoje koles: 10 PM + 6 PM</w:t>
      </w:r>
    </w:p>
    <w:p w14:paraId="71003A2E"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nakup 8 e-koles</w:t>
      </w:r>
    </w:p>
    <w:p w14:paraId="30C4EF32"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7. Podatki za spremljanje kazalnikov:</w:t>
      </w:r>
    </w:p>
    <w:p w14:paraId="0E192E01"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predvidena lokacija in število merilcev hitrosti,</w:t>
      </w:r>
    </w:p>
    <w:p w14:paraId="770691DC" w14:textId="31BB6432"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Merilec: 1x na Govekarjevi med drevesi pred </w:t>
      </w:r>
      <w:r w:rsidR="00A72DE4" w:rsidRPr="000020F0">
        <w:rPr>
          <w:rFonts w:asciiTheme="majorHAnsi" w:hAnsiTheme="majorHAnsi" w:cstheme="majorHAnsi"/>
          <w:sz w:val="22"/>
          <w:szCs w:val="22"/>
        </w:rPr>
        <w:t xml:space="preserve">športno dvorano </w:t>
      </w:r>
    </w:p>
    <w:p w14:paraId="52169949"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Prikazovalniki: 1x na Govekarjevi pri Občinski stavbi proti severu, 1x ob cerkvi na ulični svetilki proti jugu</w:t>
      </w:r>
    </w:p>
    <w:p w14:paraId="480362CE"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predvidena lokacija in število števcev kolesarjev:</w:t>
      </w:r>
    </w:p>
    <w:p w14:paraId="44F25825"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Števec kolesarjev je predviden na isti lokaciji kot prikazovalnik hitrosti (merjenje proti severu). Prikazovalnik hitrosti proti jugu je montiran na ulično svetilko.</w:t>
      </w:r>
    </w:p>
    <w:p w14:paraId="202C5F15"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Spremljanje V85 hitrosti.</w:t>
      </w:r>
    </w:p>
    <w:p w14:paraId="614861B9" w14:textId="77777777" w:rsidR="00296AEC" w:rsidRPr="000020F0" w:rsidRDefault="00296AEC" w:rsidP="00296AEC">
      <w:pPr>
        <w:spacing w:line="276" w:lineRule="auto"/>
        <w:rPr>
          <w:rFonts w:asciiTheme="majorHAnsi" w:hAnsiTheme="majorHAnsi" w:cstheme="majorHAnsi"/>
          <w:b/>
          <w:bCs/>
          <w:sz w:val="22"/>
          <w:szCs w:val="22"/>
        </w:rPr>
      </w:pPr>
      <w:r w:rsidRPr="000020F0">
        <w:rPr>
          <w:rFonts w:asciiTheme="majorHAnsi" w:hAnsiTheme="majorHAnsi" w:cstheme="majorHAnsi"/>
          <w:b/>
          <w:bCs/>
          <w:sz w:val="22"/>
          <w:szCs w:val="22"/>
        </w:rPr>
        <w:t>8. Skladnost z načeli krožnega gospodarstva:</w:t>
      </w:r>
    </w:p>
    <w:p w14:paraId="30D9DFC8"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navedba uporabljenih materialov in gradbenih rešitev:</w:t>
      </w:r>
    </w:p>
    <w:p w14:paraId="316AD2E0"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Govekarjeva cesta: kamnite kocke na drenažnem betonu</w:t>
      </w:r>
    </w:p>
    <w:p w14:paraId="6A289F55"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Križišče: Asfalt, dvignjeni prehodi izvedeni z granitnimi kockami</w:t>
      </w:r>
    </w:p>
    <w:p w14:paraId="3375766B"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Troštova: Asfalt, hitrostne ovire izvedene z granitnimi kockami, </w:t>
      </w:r>
      <w:proofErr w:type="spellStart"/>
      <w:r w:rsidRPr="000020F0">
        <w:rPr>
          <w:rFonts w:asciiTheme="majorHAnsi" w:hAnsiTheme="majorHAnsi" w:cstheme="majorHAnsi"/>
          <w:sz w:val="22"/>
          <w:szCs w:val="22"/>
        </w:rPr>
        <w:t>mulda</w:t>
      </w:r>
      <w:proofErr w:type="spellEnd"/>
      <w:r w:rsidRPr="000020F0">
        <w:rPr>
          <w:rFonts w:asciiTheme="majorHAnsi" w:hAnsiTheme="majorHAnsi" w:cstheme="majorHAnsi"/>
          <w:sz w:val="22"/>
          <w:szCs w:val="22"/>
        </w:rPr>
        <w:t xml:space="preserve"> izvedena s kamnitimi kockami, prehod v park izveden v pranem betonu</w:t>
      </w:r>
    </w:p>
    <w:p w14:paraId="3C4CA7FC"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 xml:space="preserve">AP: </w:t>
      </w:r>
      <w:proofErr w:type="spellStart"/>
      <w:r w:rsidRPr="000020F0">
        <w:rPr>
          <w:rFonts w:asciiTheme="majorHAnsi" w:hAnsiTheme="majorHAnsi" w:cstheme="majorHAnsi"/>
          <w:sz w:val="22"/>
          <w:szCs w:val="22"/>
        </w:rPr>
        <w:t>povozne</w:t>
      </w:r>
      <w:proofErr w:type="spellEnd"/>
      <w:r w:rsidRPr="000020F0">
        <w:rPr>
          <w:rFonts w:asciiTheme="majorHAnsi" w:hAnsiTheme="majorHAnsi" w:cstheme="majorHAnsi"/>
          <w:sz w:val="22"/>
          <w:szCs w:val="22"/>
        </w:rPr>
        <w:t xml:space="preserve"> površine asfalt, pločnik asfalt, peroni izvedeni v kamnitih kockah</w:t>
      </w:r>
    </w:p>
    <w:p w14:paraId="63D54277" w14:textId="36244E18"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Nadstrešnica AP</w:t>
      </w:r>
      <w:r w:rsidR="00A740A8" w:rsidRPr="000020F0">
        <w:rPr>
          <w:rFonts w:asciiTheme="majorHAnsi" w:hAnsiTheme="majorHAnsi" w:cstheme="majorHAnsi"/>
          <w:sz w:val="22"/>
          <w:szCs w:val="22"/>
        </w:rPr>
        <w:t>, varna kolesarnica, javne sanitarije</w:t>
      </w:r>
      <w:r w:rsidRPr="000020F0">
        <w:rPr>
          <w:rFonts w:asciiTheme="majorHAnsi" w:hAnsiTheme="majorHAnsi" w:cstheme="majorHAnsi"/>
          <w:sz w:val="22"/>
          <w:szCs w:val="22"/>
        </w:rPr>
        <w:t>: Jekleni okrogli stebri, ostrešje leseno, pločevinasta streha, lesena fasada</w:t>
      </w:r>
    </w:p>
    <w:p w14:paraId="0763B9DB" w14:textId="77777777" w:rsidR="00296AEC" w:rsidRPr="000020F0" w:rsidRDefault="00296AEC" w:rsidP="00296AEC">
      <w:pPr>
        <w:spacing w:line="276" w:lineRule="auto"/>
        <w:ind w:left="709"/>
        <w:rPr>
          <w:rFonts w:asciiTheme="majorHAnsi" w:hAnsiTheme="majorHAnsi" w:cstheme="majorHAnsi"/>
          <w:sz w:val="22"/>
          <w:szCs w:val="22"/>
        </w:rPr>
      </w:pPr>
      <w:r w:rsidRPr="000020F0">
        <w:rPr>
          <w:rFonts w:asciiTheme="majorHAnsi" w:hAnsiTheme="majorHAnsi" w:cstheme="majorHAnsi"/>
          <w:sz w:val="22"/>
          <w:szCs w:val="22"/>
        </w:rPr>
        <w:t>Nadkrita stojna mesta za kolesa: kjer so postavljena v raščenem terene, je tlak izveden iz granitnih kock. Nadstrešnice koles so izvedene iz jeklenih okroglih stebrov, lesene strehe s pločevinasto kritino.</w:t>
      </w:r>
    </w:p>
    <w:p w14:paraId="17DDCC3F"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V največji meri so v projektu uporabljeni naravni materiali: kamen, les. Kjer to ni mogoče so uporabljeni materiali, ki omogočajo dolgo življenjsko dobo: beton, jeklo. </w:t>
      </w:r>
    </w:p>
    <w:p w14:paraId="32F13D84" w14:textId="77777777" w:rsidR="00296AEC" w:rsidRPr="000020F0" w:rsidRDefault="00296AEC" w:rsidP="00296AEC">
      <w:pPr>
        <w:numPr>
          <w:ilvl w:val="0"/>
          <w:numId w:val="115"/>
        </w:numPr>
        <w:spacing w:line="276" w:lineRule="auto"/>
        <w:contextualSpacing/>
        <w:rPr>
          <w:rFonts w:asciiTheme="majorHAnsi" w:hAnsiTheme="majorHAnsi" w:cstheme="majorHAnsi"/>
          <w:sz w:val="22"/>
          <w:szCs w:val="22"/>
        </w:rPr>
      </w:pPr>
      <w:r w:rsidRPr="000020F0">
        <w:rPr>
          <w:rFonts w:asciiTheme="majorHAnsi" w:hAnsiTheme="majorHAnsi" w:cstheme="majorHAnsi"/>
          <w:sz w:val="22"/>
          <w:szCs w:val="22"/>
        </w:rPr>
        <w:t xml:space="preserve">opredelitev, kako projekt prispeva k ponovni uporabi, recikliranju in zmanjšanju </w:t>
      </w:r>
      <w:proofErr w:type="spellStart"/>
      <w:r w:rsidRPr="000020F0">
        <w:rPr>
          <w:rFonts w:asciiTheme="majorHAnsi" w:hAnsiTheme="majorHAnsi" w:cstheme="majorHAnsi"/>
          <w:sz w:val="22"/>
          <w:szCs w:val="22"/>
        </w:rPr>
        <w:t>okoljskega</w:t>
      </w:r>
      <w:proofErr w:type="spellEnd"/>
      <w:r w:rsidRPr="000020F0">
        <w:rPr>
          <w:rFonts w:asciiTheme="majorHAnsi" w:hAnsiTheme="majorHAnsi" w:cstheme="majorHAnsi"/>
          <w:sz w:val="22"/>
          <w:szCs w:val="22"/>
        </w:rPr>
        <w:t xml:space="preserve"> odtisa:</w:t>
      </w:r>
    </w:p>
    <w:p w14:paraId="6BD1C65E" w14:textId="77777777" w:rsidR="00296AEC" w:rsidRPr="000020F0" w:rsidRDefault="00296AEC" w:rsidP="00296AEC">
      <w:pPr>
        <w:spacing w:line="276" w:lineRule="auto"/>
        <w:ind w:left="720"/>
        <w:contextualSpacing/>
        <w:rPr>
          <w:rFonts w:asciiTheme="majorHAnsi" w:hAnsiTheme="majorHAnsi" w:cstheme="majorHAnsi"/>
          <w:sz w:val="22"/>
          <w:szCs w:val="22"/>
        </w:rPr>
      </w:pPr>
      <w:r w:rsidRPr="000020F0">
        <w:rPr>
          <w:rFonts w:asciiTheme="majorHAnsi" w:hAnsiTheme="majorHAnsi" w:cstheme="majorHAnsi"/>
          <w:sz w:val="22"/>
          <w:szCs w:val="22"/>
        </w:rPr>
        <w:t>Pri stavbah se v največji meri uporabi les (skladiščenje CO</w:t>
      </w:r>
      <w:r w:rsidRPr="000020F0">
        <w:rPr>
          <w:rFonts w:asciiTheme="majorHAnsi" w:hAnsiTheme="majorHAnsi" w:cstheme="majorHAnsi"/>
          <w:sz w:val="22"/>
          <w:szCs w:val="22"/>
          <w:vertAlign w:val="subscript"/>
        </w:rPr>
        <w:t>2</w:t>
      </w:r>
      <w:r w:rsidRPr="000020F0">
        <w:rPr>
          <w:rFonts w:asciiTheme="majorHAnsi" w:hAnsiTheme="majorHAnsi" w:cstheme="majorHAnsi"/>
          <w:sz w:val="22"/>
          <w:szCs w:val="22"/>
        </w:rPr>
        <w:t>) – konstrukcija ostrešja, fasada</w:t>
      </w:r>
    </w:p>
    <w:p w14:paraId="69B4070C" w14:textId="77777777" w:rsidR="00296AEC" w:rsidRPr="000020F0" w:rsidRDefault="00296AEC" w:rsidP="00296AEC">
      <w:pPr>
        <w:spacing w:line="276" w:lineRule="auto"/>
        <w:ind w:left="720"/>
        <w:contextualSpacing/>
        <w:rPr>
          <w:rFonts w:asciiTheme="majorHAnsi" w:hAnsiTheme="majorHAnsi" w:cstheme="majorHAnsi"/>
          <w:sz w:val="22"/>
          <w:szCs w:val="22"/>
        </w:rPr>
      </w:pPr>
      <w:proofErr w:type="spellStart"/>
      <w:r w:rsidRPr="000020F0">
        <w:rPr>
          <w:rFonts w:asciiTheme="majorHAnsi" w:hAnsiTheme="majorHAnsi" w:cstheme="majorHAnsi"/>
          <w:sz w:val="22"/>
          <w:szCs w:val="22"/>
        </w:rPr>
        <w:t>Fotovoltaika</w:t>
      </w:r>
      <w:proofErr w:type="spellEnd"/>
      <w:r w:rsidRPr="000020F0">
        <w:rPr>
          <w:rFonts w:asciiTheme="majorHAnsi" w:hAnsiTheme="majorHAnsi" w:cstheme="majorHAnsi"/>
          <w:sz w:val="22"/>
          <w:szCs w:val="22"/>
        </w:rPr>
        <w:t xml:space="preserve"> na južnih strešinah varovane kolesarnice in nadstrešnice AP</w:t>
      </w:r>
    </w:p>
    <w:p w14:paraId="3A7F3DC9" w14:textId="77777777" w:rsidR="00296AEC" w:rsidRPr="000020F0" w:rsidRDefault="00296AEC" w:rsidP="00296AEC">
      <w:pPr>
        <w:numPr>
          <w:ilvl w:val="0"/>
          <w:numId w:val="113"/>
        </w:numPr>
        <w:spacing w:line="276" w:lineRule="auto"/>
        <w:ind w:left="426" w:hanging="357"/>
        <w:contextualSpacing/>
        <w:jc w:val="both"/>
        <w:rPr>
          <w:rFonts w:asciiTheme="majorHAnsi" w:hAnsiTheme="majorHAnsi" w:cstheme="majorHAnsi"/>
          <w:b/>
          <w:bCs/>
          <w:sz w:val="22"/>
          <w:szCs w:val="22"/>
          <w:lang w:eastAsia="zh-TW"/>
        </w:rPr>
      </w:pPr>
      <w:r w:rsidRPr="000020F0">
        <w:rPr>
          <w:rFonts w:asciiTheme="majorHAnsi" w:hAnsiTheme="majorHAnsi" w:cstheme="majorHAnsi"/>
          <w:b/>
          <w:bCs/>
          <w:sz w:val="22"/>
          <w:szCs w:val="22"/>
          <w:lang w:eastAsia="zh-TW"/>
        </w:rPr>
        <w:t>Učinki (širši vplivi projekta)</w:t>
      </w:r>
    </w:p>
    <w:p w14:paraId="3E722D79" w14:textId="77777777" w:rsidR="00296AEC" w:rsidRPr="000020F0" w:rsidRDefault="00296AEC" w:rsidP="00296AEC">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Povečanje deleža trajnostne mobilnosti</w:t>
      </w:r>
      <w:r w:rsidRPr="000020F0">
        <w:rPr>
          <w:rFonts w:asciiTheme="majorHAnsi" w:hAnsiTheme="majorHAnsi" w:cstheme="majorHAnsi"/>
          <w:sz w:val="22"/>
          <w:szCs w:val="22"/>
          <w:lang w:eastAsia="zh-TW"/>
        </w:rPr>
        <w:t>: več prebivalcev bo uporabljalo hojo, kolesarjenje in JPP namesto osebnih vozil.</w:t>
      </w:r>
    </w:p>
    <w:p w14:paraId="3D47528C" w14:textId="77777777" w:rsidR="00296AEC" w:rsidRPr="000020F0" w:rsidRDefault="00296AEC" w:rsidP="00296AEC">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Zmanjšanje negativnih vplivov prometa</w:t>
      </w:r>
      <w:r w:rsidRPr="000020F0">
        <w:rPr>
          <w:rFonts w:asciiTheme="majorHAnsi" w:hAnsiTheme="majorHAnsi" w:cstheme="majorHAnsi"/>
          <w:sz w:val="22"/>
          <w:szCs w:val="22"/>
          <w:lang w:eastAsia="zh-TW"/>
        </w:rPr>
        <w:t>: manj emisij CO</w:t>
      </w:r>
      <w:r w:rsidRPr="000020F0">
        <w:rPr>
          <w:rFonts w:ascii="Cambria Math" w:hAnsi="Cambria Math" w:cs="Cambria Math"/>
          <w:sz w:val="22"/>
          <w:szCs w:val="22"/>
          <w:lang w:eastAsia="zh-TW"/>
        </w:rPr>
        <w:t>₂</w:t>
      </w:r>
      <w:r w:rsidRPr="000020F0">
        <w:rPr>
          <w:rFonts w:asciiTheme="majorHAnsi" w:hAnsiTheme="majorHAnsi" w:cstheme="majorHAnsi"/>
          <w:sz w:val="22"/>
          <w:szCs w:val="22"/>
          <w:lang w:eastAsia="zh-TW"/>
        </w:rPr>
        <w:t>, manj hrupa, manj toplotnih otokov v središču naselja.</w:t>
      </w:r>
    </w:p>
    <w:p w14:paraId="7436ABA8" w14:textId="77777777" w:rsidR="00296AEC" w:rsidRPr="000020F0" w:rsidRDefault="00296AEC" w:rsidP="00296AEC">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Izboljšanje prometne varnosti</w:t>
      </w:r>
      <w:r w:rsidRPr="000020F0">
        <w:rPr>
          <w:rFonts w:asciiTheme="majorHAnsi" w:hAnsiTheme="majorHAnsi" w:cstheme="majorHAnsi"/>
          <w:sz w:val="22"/>
          <w:szCs w:val="22"/>
          <w:lang w:eastAsia="zh-TW"/>
        </w:rPr>
        <w:t>: predvsem za otroke, šolarje, starejše in gibalno ovirane.</w:t>
      </w:r>
    </w:p>
    <w:p w14:paraId="70645453" w14:textId="77777777" w:rsidR="00296AEC" w:rsidRPr="000020F0" w:rsidRDefault="00296AEC" w:rsidP="00296AEC">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lastRenderedPageBreak/>
        <w:t>Višja kakovost bivanja in urejen javni prostor</w:t>
      </w:r>
      <w:r w:rsidRPr="000020F0">
        <w:rPr>
          <w:rFonts w:asciiTheme="majorHAnsi" w:hAnsiTheme="majorHAnsi" w:cstheme="majorHAnsi"/>
          <w:sz w:val="22"/>
          <w:szCs w:val="22"/>
          <w:lang w:eastAsia="zh-TW"/>
        </w:rPr>
        <w:t>: privlačnejše in bolj funkcionalno središče Ig, ki spodbuja aktivno življenje.</w:t>
      </w:r>
    </w:p>
    <w:p w14:paraId="5403DD93" w14:textId="77777777" w:rsidR="00296AEC" w:rsidRPr="000020F0" w:rsidRDefault="00296AEC" w:rsidP="00296AEC">
      <w:pPr>
        <w:numPr>
          <w:ilvl w:val="0"/>
          <w:numId w:val="112"/>
        </w:numPr>
        <w:spacing w:line="276" w:lineRule="auto"/>
        <w:ind w:hanging="357"/>
        <w:jc w:val="both"/>
        <w:rPr>
          <w:rFonts w:asciiTheme="majorHAnsi" w:hAnsiTheme="majorHAnsi" w:cstheme="majorHAnsi"/>
          <w:sz w:val="22"/>
          <w:szCs w:val="22"/>
          <w:lang w:eastAsia="zh-TW"/>
        </w:rPr>
      </w:pPr>
      <w:r w:rsidRPr="000020F0">
        <w:rPr>
          <w:rFonts w:asciiTheme="majorHAnsi" w:hAnsiTheme="majorHAnsi" w:cstheme="majorHAnsi"/>
          <w:b/>
          <w:bCs/>
          <w:sz w:val="22"/>
          <w:szCs w:val="22"/>
          <w:lang w:eastAsia="zh-TW"/>
        </w:rPr>
        <w:t>Krepitev zelene infrastrukture</w:t>
      </w:r>
      <w:r w:rsidRPr="000020F0">
        <w:rPr>
          <w:rFonts w:asciiTheme="majorHAnsi" w:hAnsiTheme="majorHAnsi" w:cstheme="majorHAnsi"/>
          <w:sz w:val="22"/>
          <w:szCs w:val="22"/>
          <w:lang w:eastAsia="zh-TW"/>
        </w:rPr>
        <w:t>: povečanje biotske raznovrstnosti in naravi prijaznih rešitev v urbanem okolju tudi v sinergiji z vzporednim projektom ureditve zelene infrastrukture.</w:t>
      </w:r>
    </w:p>
    <w:p w14:paraId="3E530395" w14:textId="5244091D" w:rsidR="004D6B17" w:rsidRPr="000020F0" w:rsidRDefault="00296AEC" w:rsidP="00296AEC">
      <w:pPr>
        <w:jc w:val="both"/>
        <w:rPr>
          <w:rFonts w:ascii="Arial" w:eastAsia="Arial" w:hAnsi="Arial" w:cs="Arial"/>
          <w:sz w:val="20"/>
          <w:szCs w:val="20"/>
        </w:rPr>
      </w:pPr>
      <w:r w:rsidRPr="000020F0">
        <w:rPr>
          <w:rFonts w:asciiTheme="majorHAnsi" w:hAnsiTheme="majorHAnsi" w:cstheme="majorHAnsi"/>
          <w:b/>
          <w:bCs/>
          <w:sz w:val="22"/>
          <w:szCs w:val="22"/>
          <w:lang w:eastAsia="zh-TW"/>
        </w:rPr>
        <w:t>Podpora občinskim in državnim strateškim dokumentom ter občinske celostne prometne strategije</w:t>
      </w:r>
      <w:r w:rsidRPr="000020F0">
        <w:rPr>
          <w:rFonts w:asciiTheme="majorHAnsi" w:hAnsiTheme="majorHAnsi" w:cstheme="majorHAnsi"/>
          <w:sz w:val="22"/>
          <w:szCs w:val="22"/>
          <w:lang w:eastAsia="zh-TW"/>
        </w:rPr>
        <w:t>: projekt neposredno prispeva k doseganju ciljev JR EKP UTM 202</w:t>
      </w:r>
      <w:r w:rsidR="009F7BC3" w:rsidRPr="000020F0">
        <w:rPr>
          <w:rFonts w:asciiTheme="majorHAnsi" w:hAnsiTheme="majorHAnsi" w:cstheme="majorHAnsi"/>
          <w:sz w:val="22"/>
          <w:szCs w:val="22"/>
          <w:lang w:eastAsia="zh-TW"/>
        </w:rPr>
        <w:t>5</w:t>
      </w:r>
      <w:r w:rsidRPr="000020F0">
        <w:rPr>
          <w:rFonts w:asciiTheme="majorHAnsi" w:hAnsiTheme="majorHAnsi" w:cstheme="majorHAnsi"/>
          <w:sz w:val="22"/>
          <w:szCs w:val="22"/>
          <w:lang w:eastAsia="zh-TW"/>
        </w:rPr>
        <w:t xml:space="preserve"> in evropske politike podnebne nevtralnosti ter OCPS.</w:t>
      </w:r>
    </w:p>
    <w:p w14:paraId="259ACCD9" w14:textId="77777777" w:rsidR="006B2762" w:rsidRPr="000020F0" w:rsidRDefault="00C616C1"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70" w:name="_Toc230882167"/>
      <w:r w:rsidRPr="000020F0">
        <w:rPr>
          <w:rFonts w:asciiTheme="majorHAnsi" w:eastAsiaTheme="majorEastAsia" w:hAnsiTheme="majorHAnsi" w:cstheme="majorHAnsi"/>
          <w:color w:val="244061" w:themeColor="accent1" w:themeShade="80"/>
        </w:rPr>
        <w:t>Obdelava variant</w:t>
      </w:r>
      <w:bookmarkEnd w:id="70"/>
    </w:p>
    <w:p w14:paraId="79CB7238" w14:textId="7F56C4DB" w:rsidR="00BD06EE" w:rsidRPr="000020F0" w:rsidRDefault="00BD06EE" w:rsidP="00BD06EE">
      <w:pPr>
        <w:spacing w:line="276" w:lineRule="auto"/>
        <w:jc w:val="both"/>
        <w:rPr>
          <w:rFonts w:ascii="Arial" w:eastAsia="Arial" w:hAnsi="Arial" w:cs="Arial"/>
          <w:sz w:val="22"/>
          <w:szCs w:val="22"/>
        </w:rPr>
      </w:pPr>
      <w:r w:rsidRPr="000020F0">
        <w:rPr>
          <w:rFonts w:ascii="Arial" w:eastAsia="Arial" w:hAnsi="Arial" w:cs="Arial"/>
          <w:sz w:val="22"/>
          <w:szCs w:val="22"/>
        </w:rPr>
        <w:t xml:space="preserve">Opcijska analiza je </w:t>
      </w:r>
      <w:r w:rsidR="00E47EBC" w:rsidRPr="000020F0">
        <w:rPr>
          <w:rFonts w:ascii="Arial" w:eastAsia="Arial" w:hAnsi="Arial" w:cs="Arial"/>
          <w:sz w:val="22"/>
          <w:szCs w:val="22"/>
        </w:rPr>
        <w:t>bila izdelana v predinvesticijski zasnovi</w:t>
      </w:r>
      <w:r w:rsidRPr="000020F0">
        <w:rPr>
          <w:rFonts w:ascii="Arial" w:eastAsia="Arial" w:hAnsi="Arial" w:cs="Arial"/>
          <w:sz w:val="22"/>
          <w:szCs w:val="22"/>
        </w:rPr>
        <w:t xml:space="preserve"> za dve varianti, ki predvidevata izvedbo projekta ter izhodiščni scenarij predstavlja opcijo »brez projekta«, in sicer:</w:t>
      </w:r>
    </w:p>
    <w:p w14:paraId="0CE9B54C" w14:textId="77777777" w:rsidR="00BD06EE" w:rsidRPr="000020F0" w:rsidRDefault="00BD06EE" w:rsidP="00BD06EE">
      <w:pPr>
        <w:numPr>
          <w:ilvl w:val="0"/>
          <w:numId w:val="71"/>
        </w:numPr>
        <w:spacing w:line="276" w:lineRule="auto"/>
        <w:jc w:val="both"/>
        <w:rPr>
          <w:rFonts w:ascii="Arial" w:eastAsia="Arial" w:hAnsi="Arial" w:cs="Arial"/>
          <w:sz w:val="22"/>
          <w:szCs w:val="22"/>
        </w:rPr>
      </w:pPr>
      <w:r w:rsidRPr="000020F0">
        <w:rPr>
          <w:rFonts w:ascii="Arial" w:eastAsia="Arial" w:hAnsi="Arial" w:cs="Arial"/>
          <w:sz w:val="22"/>
          <w:szCs w:val="22"/>
        </w:rPr>
        <w:t>Varianta »brez projekta« – Varianta 0</w:t>
      </w:r>
    </w:p>
    <w:p w14:paraId="7CDCEE43" w14:textId="77777777" w:rsidR="00BD06EE" w:rsidRPr="000020F0" w:rsidRDefault="00BD06EE" w:rsidP="00BD06EE">
      <w:pPr>
        <w:numPr>
          <w:ilvl w:val="0"/>
          <w:numId w:val="71"/>
        </w:numPr>
        <w:spacing w:line="276" w:lineRule="auto"/>
        <w:jc w:val="both"/>
        <w:rPr>
          <w:rFonts w:ascii="Arial" w:eastAsia="Arial" w:hAnsi="Arial" w:cs="Arial"/>
          <w:sz w:val="22"/>
          <w:szCs w:val="22"/>
        </w:rPr>
      </w:pPr>
      <w:r w:rsidRPr="000020F0">
        <w:rPr>
          <w:rFonts w:ascii="Arial" w:eastAsia="Arial" w:hAnsi="Arial" w:cs="Arial"/>
          <w:sz w:val="22"/>
          <w:szCs w:val="22"/>
        </w:rPr>
        <w:t>Varianta »izvedba projekta z nepovratnimi sredstvi« – Varianta 1</w:t>
      </w:r>
    </w:p>
    <w:p w14:paraId="42AD6F62" w14:textId="77777777" w:rsidR="00BD06EE" w:rsidRPr="000020F0" w:rsidRDefault="00BD06EE" w:rsidP="00BD06EE">
      <w:pPr>
        <w:numPr>
          <w:ilvl w:val="0"/>
          <w:numId w:val="71"/>
        </w:numPr>
        <w:spacing w:line="276" w:lineRule="auto"/>
        <w:jc w:val="both"/>
        <w:rPr>
          <w:rFonts w:ascii="Arial" w:eastAsia="Arial" w:hAnsi="Arial" w:cs="Arial"/>
          <w:sz w:val="22"/>
          <w:szCs w:val="22"/>
        </w:rPr>
      </w:pPr>
      <w:r w:rsidRPr="000020F0">
        <w:rPr>
          <w:rFonts w:ascii="Arial" w:eastAsia="Arial" w:hAnsi="Arial" w:cs="Arial"/>
          <w:sz w:val="22"/>
          <w:szCs w:val="22"/>
        </w:rPr>
        <w:t>Varianta »izvedba projekta z lastnimi sredstvi« – Varianta 2</w:t>
      </w:r>
    </w:p>
    <w:p w14:paraId="1296E3F0" w14:textId="77777777" w:rsidR="00BD06EE" w:rsidRPr="000020F0" w:rsidRDefault="00BD06EE" w:rsidP="00BD06EE">
      <w:pPr>
        <w:spacing w:line="276" w:lineRule="auto"/>
        <w:jc w:val="both"/>
        <w:rPr>
          <w:rFonts w:ascii="Arial" w:eastAsia="Arial" w:hAnsi="Arial" w:cs="Arial"/>
          <w:sz w:val="22"/>
          <w:szCs w:val="22"/>
        </w:rPr>
      </w:pPr>
    </w:p>
    <w:p w14:paraId="41B31FCA" w14:textId="77777777" w:rsidR="00BD06EE" w:rsidRPr="000020F0" w:rsidRDefault="00BD06EE" w:rsidP="00BD06EE">
      <w:pPr>
        <w:spacing w:line="276" w:lineRule="auto"/>
        <w:jc w:val="both"/>
        <w:rPr>
          <w:rFonts w:ascii="Arial" w:eastAsia="Arial" w:hAnsi="Arial" w:cs="Arial"/>
          <w:sz w:val="22"/>
          <w:szCs w:val="22"/>
        </w:rPr>
      </w:pPr>
      <w:r w:rsidRPr="000020F0">
        <w:rPr>
          <w:rFonts w:ascii="Arial" w:eastAsia="Arial" w:hAnsi="Arial" w:cs="Arial"/>
          <w:sz w:val="22"/>
          <w:szCs w:val="22"/>
        </w:rPr>
        <w:t>Opcijska analiza obravnava izhodiščni scenarij brez izvedbe projekta, ki v naravi predstavlja ohranjanje obstoječega stanja ter varianto izvedbe aktivnosti.</w:t>
      </w:r>
    </w:p>
    <w:p w14:paraId="3C5C7DED" w14:textId="77777777" w:rsidR="00953377" w:rsidRPr="000020F0" w:rsidRDefault="00953377" w:rsidP="00953377">
      <w:pPr>
        <w:pStyle w:val="Naslov2"/>
        <w:numPr>
          <w:ilvl w:val="2"/>
          <w:numId w:val="1"/>
        </w:numPr>
        <w:spacing w:before="240" w:after="240"/>
        <w:rPr>
          <w:rFonts w:asciiTheme="majorHAnsi" w:eastAsiaTheme="majorEastAsia" w:hAnsiTheme="majorHAnsi" w:cstheme="majorHAnsi"/>
          <w:color w:val="244061" w:themeColor="accent1" w:themeShade="80"/>
        </w:rPr>
      </w:pPr>
      <w:bookmarkStart w:id="71" w:name="_Toc209277139"/>
      <w:bookmarkStart w:id="72" w:name="_Toc230882168"/>
      <w:bookmarkStart w:id="73" w:name="_Toc125667340"/>
      <w:bookmarkStart w:id="74" w:name="_Toc125667406"/>
      <w:r w:rsidRPr="000020F0">
        <w:rPr>
          <w:rFonts w:asciiTheme="majorHAnsi" w:eastAsiaTheme="majorEastAsia" w:hAnsiTheme="majorHAnsi" w:cstheme="majorHAnsi"/>
          <w:color w:val="244061" w:themeColor="accent1" w:themeShade="80"/>
        </w:rPr>
        <w:t>Varianta 0 – brez projekta</w:t>
      </w:r>
      <w:bookmarkEnd w:id="71"/>
      <w:bookmarkEnd w:id="72"/>
      <w:r w:rsidRPr="000020F0">
        <w:rPr>
          <w:rFonts w:asciiTheme="majorHAnsi" w:eastAsiaTheme="majorEastAsia" w:hAnsiTheme="majorHAnsi" w:cstheme="majorHAnsi"/>
          <w:color w:val="244061" w:themeColor="accent1" w:themeShade="80"/>
        </w:rPr>
        <w:t xml:space="preserve"> </w:t>
      </w:r>
      <w:bookmarkEnd w:id="73"/>
      <w:bookmarkEnd w:id="74"/>
      <w:r w:rsidRPr="000020F0">
        <w:rPr>
          <w:rFonts w:asciiTheme="majorHAnsi" w:eastAsiaTheme="majorEastAsia" w:hAnsiTheme="majorHAnsi" w:cstheme="majorHAnsi"/>
          <w:color w:val="244061" w:themeColor="accent1" w:themeShade="80"/>
        </w:rPr>
        <w:t xml:space="preserve"> </w:t>
      </w:r>
    </w:p>
    <w:p w14:paraId="17E828D7" w14:textId="77777777" w:rsidR="00953377" w:rsidRPr="000020F0" w:rsidRDefault="00953377" w:rsidP="00953377">
      <w:pPr>
        <w:spacing w:line="276" w:lineRule="auto"/>
        <w:jc w:val="both"/>
        <w:rPr>
          <w:rFonts w:ascii="Arial" w:eastAsia="Arial" w:hAnsi="Arial" w:cs="Arial"/>
          <w:sz w:val="22"/>
          <w:szCs w:val="22"/>
        </w:rPr>
      </w:pPr>
      <w:bookmarkStart w:id="75" w:name="_Hlk125796088"/>
      <w:r w:rsidRPr="000020F0">
        <w:rPr>
          <w:rFonts w:ascii="Arial" w:eastAsia="Arial" w:hAnsi="Arial" w:cs="Arial"/>
          <w:sz w:val="22"/>
          <w:szCs w:val="22"/>
        </w:rPr>
        <w:t>V tem primeru se v središču Iga ne izvedejo načrtovani ukrepi trajnostne mobilnosti. Prometna in prostorska ureditev ostane nespremenjena, kar pomeni, da se nadaljujejo obstoječe težave:</w:t>
      </w:r>
    </w:p>
    <w:p w14:paraId="40737082" w14:textId="77777777" w:rsidR="00953377" w:rsidRPr="000020F0" w:rsidRDefault="00953377" w:rsidP="00953377">
      <w:pPr>
        <w:numPr>
          <w:ilvl w:val="0"/>
          <w:numId w:val="117"/>
        </w:numPr>
        <w:spacing w:line="276" w:lineRule="auto"/>
        <w:jc w:val="both"/>
        <w:rPr>
          <w:rFonts w:ascii="Arial" w:eastAsia="Arial" w:hAnsi="Arial" w:cs="Arial"/>
          <w:sz w:val="22"/>
          <w:szCs w:val="22"/>
        </w:rPr>
      </w:pPr>
      <w:r w:rsidRPr="000020F0">
        <w:rPr>
          <w:rFonts w:ascii="Arial" w:eastAsia="Arial" w:hAnsi="Arial" w:cs="Arial"/>
          <w:sz w:val="22"/>
          <w:szCs w:val="22"/>
        </w:rPr>
        <w:t>prometna obremenjenost in zastoje,</w:t>
      </w:r>
    </w:p>
    <w:p w14:paraId="27B0121B" w14:textId="77777777" w:rsidR="00953377" w:rsidRPr="000020F0" w:rsidRDefault="00953377" w:rsidP="00953377">
      <w:pPr>
        <w:numPr>
          <w:ilvl w:val="0"/>
          <w:numId w:val="117"/>
        </w:numPr>
        <w:spacing w:line="276" w:lineRule="auto"/>
        <w:jc w:val="both"/>
        <w:rPr>
          <w:rFonts w:ascii="Arial" w:eastAsia="Arial" w:hAnsi="Arial" w:cs="Arial"/>
          <w:sz w:val="22"/>
          <w:szCs w:val="22"/>
        </w:rPr>
      </w:pPr>
      <w:r w:rsidRPr="000020F0">
        <w:rPr>
          <w:rFonts w:ascii="Arial" w:eastAsia="Arial" w:hAnsi="Arial" w:cs="Arial"/>
          <w:sz w:val="22"/>
          <w:szCs w:val="22"/>
        </w:rPr>
        <w:t>slabša prometna varnost za pešce in kolesarje,</w:t>
      </w:r>
    </w:p>
    <w:p w14:paraId="28B35859" w14:textId="77777777" w:rsidR="00953377" w:rsidRPr="000020F0" w:rsidRDefault="00953377" w:rsidP="00953377">
      <w:pPr>
        <w:numPr>
          <w:ilvl w:val="0"/>
          <w:numId w:val="117"/>
        </w:numPr>
        <w:spacing w:line="276" w:lineRule="auto"/>
        <w:jc w:val="both"/>
        <w:rPr>
          <w:rFonts w:ascii="Arial" w:eastAsia="Arial" w:hAnsi="Arial" w:cs="Arial"/>
          <w:sz w:val="22"/>
          <w:szCs w:val="22"/>
        </w:rPr>
      </w:pPr>
      <w:r w:rsidRPr="000020F0">
        <w:rPr>
          <w:rFonts w:ascii="Arial" w:eastAsia="Arial" w:hAnsi="Arial" w:cs="Arial"/>
          <w:sz w:val="22"/>
          <w:szCs w:val="22"/>
        </w:rPr>
        <w:t>omejene možnosti uporabe trajnostnih oblik mobilnosti,</w:t>
      </w:r>
    </w:p>
    <w:p w14:paraId="03510D33" w14:textId="77777777" w:rsidR="00953377" w:rsidRPr="000020F0" w:rsidRDefault="00953377" w:rsidP="00953377">
      <w:pPr>
        <w:numPr>
          <w:ilvl w:val="0"/>
          <w:numId w:val="117"/>
        </w:numPr>
        <w:spacing w:line="276" w:lineRule="auto"/>
        <w:jc w:val="both"/>
        <w:rPr>
          <w:rFonts w:ascii="Arial" w:eastAsia="Arial" w:hAnsi="Arial" w:cs="Arial"/>
          <w:sz w:val="22"/>
          <w:szCs w:val="22"/>
        </w:rPr>
      </w:pPr>
      <w:r w:rsidRPr="000020F0">
        <w:rPr>
          <w:rFonts w:ascii="Arial" w:eastAsia="Arial" w:hAnsi="Arial" w:cs="Arial"/>
          <w:sz w:val="22"/>
          <w:szCs w:val="22"/>
        </w:rPr>
        <w:t>odsotnost sistema javne izposoje koles in neurejene javne površine.</w:t>
      </w:r>
    </w:p>
    <w:p w14:paraId="57742036" w14:textId="77777777" w:rsidR="00953377" w:rsidRPr="000020F0" w:rsidRDefault="00953377" w:rsidP="00953377">
      <w:pPr>
        <w:spacing w:line="276" w:lineRule="auto"/>
        <w:jc w:val="both"/>
        <w:rPr>
          <w:rFonts w:ascii="Arial" w:eastAsia="Arial" w:hAnsi="Arial" w:cs="Arial"/>
          <w:b/>
          <w:bCs/>
          <w:sz w:val="22"/>
          <w:szCs w:val="22"/>
        </w:rPr>
      </w:pPr>
    </w:p>
    <w:p w14:paraId="1D04AAC9" w14:textId="11A3838F"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Investicijski stroški:</w:t>
      </w:r>
      <w:r w:rsidRPr="000020F0">
        <w:rPr>
          <w:rFonts w:ascii="Arial" w:eastAsia="Arial" w:hAnsi="Arial" w:cs="Arial"/>
          <w:sz w:val="22"/>
          <w:szCs w:val="22"/>
        </w:rPr>
        <w:t xml:space="preserve"> 0 </w:t>
      </w:r>
      <w:r w:rsidR="00B96609" w:rsidRPr="000020F0">
        <w:rPr>
          <w:rFonts w:ascii="Arial" w:eastAsia="Arial" w:hAnsi="Arial" w:cs="Arial"/>
          <w:sz w:val="22"/>
          <w:szCs w:val="22"/>
        </w:rPr>
        <w:t>EUR</w:t>
      </w:r>
    </w:p>
    <w:p w14:paraId="5718B277"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Obratovalni stroški:</w:t>
      </w:r>
      <w:r w:rsidRPr="000020F0">
        <w:rPr>
          <w:rFonts w:ascii="Arial" w:eastAsia="Arial" w:hAnsi="Arial" w:cs="Arial"/>
          <w:sz w:val="22"/>
          <w:szCs w:val="22"/>
        </w:rPr>
        <w:t xml:space="preserve"> ostajajo le stroški vzdrževanja obstoječe infrastrukture.</w:t>
      </w:r>
    </w:p>
    <w:p w14:paraId="69836A13"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Prihodki:</w:t>
      </w:r>
      <w:r w:rsidRPr="000020F0">
        <w:rPr>
          <w:rFonts w:ascii="Arial" w:eastAsia="Arial" w:hAnsi="Arial" w:cs="Arial"/>
          <w:sz w:val="22"/>
          <w:szCs w:val="22"/>
        </w:rPr>
        <w:t xml:space="preserve"> ni dodatnih prihodkov.</w:t>
      </w:r>
    </w:p>
    <w:p w14:paraId="71895BDA"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Koristi:</w:t>
      </w:r>
      <w:r w:rsidRPr="000020F0">
        <w:rPr>
          <w:rFonts w:ascii="Arial" w:eastAsia="Arial" w:hAnsi="Arial" w:cs="Arial"/>
          <w:sz w:val="22"/>
          <w:szCs w:val="22"/>
        </w:rPr>
        <w:t xml:space="preserve"> ni dodatnih koristi.</w:t>
      </w:r>
    </w:p>
    <w:p w14:paraId="3D95AB30" w14:textId="77777777" w:rsidR="00953377" w:rsidRPr="000020F0" w:rsidRDefault="00953377" w:rsidP="00953377">
      <w:pPr>
        <w:spacing w:line="276" w:lineRule="auto"/>
        <w:jc w:val="both"/>
        <w:rPr>
          <w:rFonts w:ascii="Arial" w:eastAsia="Arial" w:hAnsi="Arial" w:cs="Arial"/>
          <w:sz w:val="22"/>
          <w:szCs w:val="22"/>
        </w:rPr>
      </w:pPr>
    </w:p>
    <w:p w14:paraId="31D526FB"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sz w:val="22"/>
          <w:szCs w:val="22"/>
        </w:rPr>
        <w:t>Varianta 0 tako ne prinaša nobenih izboljšav in se uporablja izključno kot izhodiščna referenca pri primerjavi drugih variant.</w:t>
      </w:r>
    </w:p>
    <w:p w14:paraId="5047F66E" w14:textId="77777777" w:rsidR="00953377" w:rsidRPr="000020F0" w:rsidRDefault="00953377" w:rsidP="00953377">
      <w:pPr>
        <w:pStyle w:val="Naslov2"/>
        <w:numPr>
          <w:ilvl w:val="2"/>
          <w:numId w:val="1"/>
        </w:numPr>
        <w:spacing w:before="240" w:after="240"/>
        <w:rPr>
          <w:rFonts w:asciiTheme="majorHAnsi" w:eastAsiaTheme="majorEastAsia" w:hAnsiTheme="majorHAnsi" w:cstheme="majorHAnsi"/>
          <w:color w:val="244061" w:themeColor="accent1" w:themeShade="80"/>
        </w:rPr>
      </w:pPr>
      <w:bookmarkStart w:id="76" w:name="_Toc209277140"/>
      <w:bookmarkStart w:id="77" w:name="_Toc230882169"/>
      <w:r w:rsidRPr="000020F0">
        <w:rPr>
          <w:rFonts w:asciiTheme="majorHAnsi" w:eastAsiaTheme="majorEastAsia" w:hAnsiTheme="majorHAnsi" w:cstheme="majorHAnsi"/>
          <w:color w:val="244061" w:themeColor="accent1" w:themeShade="80"/>
        </w:rPr>
        <w:t>Varianta 1 – izvedba projekta z nepovratnimi sredstvi</w:t>
      </w:r>
      <w:bookmarkEnd w:id="76"/>
      <w:bookmarkEnd w:id="77"/>
    </w:p>
    <w:p w14:paraId="04195F6E" w14:textId="12555841"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sz w:val="22"/>
          <w:szCs w:val="22"/>
        </w:rPr>
        <w:t>Pri tej varianti se projekt uresniči s pomočjo sofinanciranja iz nepovratnih sredstev. Investicija se zaključi leta 202</w:t>
      </w:r>
      <w:r w:rsidR="00D473B8" w:rsidRPr="000020F0">
        <w:rPr>
          <w:rFonts w:ascii="Arial" w:eastAsia="Arial" w:hAnsi="Arial" w:cs="Arial"/>
          <w:sz w:val="22"/>
          <w:szCs w:val="22"/>
        </w:rPr>
        <w:t>9</w:t>
      </w:r>
      <w:r w:rsidRPr="000020F0">
        <w:rPr>
          <w:rFonts w:ascii="Arial" w:eastAsia="Arial" w:hAnsi="Arial" w:cs="Arial"/>
          <w:sz w:val="22"/>
          <w:szCs w:val="22"/>
        </w:rPr>
        <w:t>, koristi pa se začnejo uresničevati takoj po začetku obratovanja.</w:t>
      </w:r>
    </w:p>
    <w:p w14:paraId="5C6EBCED" w14:textId="77777777" w:rsidR="00953377" w:rsidRPr="000020F0" w:rsidRDefault="00953377" w:rsidP="00953377">
      <w:pPr>
        <w:spacing w:line="276" w:lineRule="auto"/>
        <w:jc w:val="both"/>
        <w:rPr>
          <w:rFonts w:ascii="Arial" w:eastAsia="Arial" w:hAnsi="Arial" w:cs="Arial"/>
          <w:b/>
          <w:bCs/>
          <w:sz w:val="22"/>
          <w:szCs w:val="22"/>
        </w:rPr>
      </w:pPr>
    </w:p>
    <w:p w14:paraId="1F52B242"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Investicijski stroški:</w:t>
      </w:r>
    </w:p>
    <w:p w14:paraId="428D3F81" w14:textId="11FC5FF7" w:rsidR="00953377" w:rsidRPr="000020F0" w:rsidRDefault="00953377" w:rsidP="00953377">
      <w:pPr>
        <w:numPr>
          <w:ilvl w:val="0"/>
          <w:numId w:val="118"/>
        </w:numPr>
        <w:spacing w:line="276" w:lineRule="auto"/>
        <w:jc w:val="both"/>
        <w:rPr>
          <w:rFonts w:ascii="Arial" w:eastAsia="Arial" w:hAnsi="Arial" w:cs="Arial"/>
          <w:sz w:val="22"/>
          <w:szCs w:val="22"/>
        </w:rPr>
      </w:pPr>
      <w:r w:rsidRPr="000020F0">
        <w:rPr>
          <w:rFonts w:ascii="Arial" w:eastAsia="Arial" w:hAnsi="Arial" w:cs="Arial"/>
          <w:sz w:val="22"/>
          <w:szCs w:val="22"/>
        </w:rPr>
        <w:t xml:space="preserve">skupna vrednost investicije </w:t>
      </w:r>
      <w:r w:rsidR="00C41385" w:rsidRPr="000020F0">
        <w:rPr>
          <w:rFonts w:ascii="Arial" w:eastAsia="Arial" w:hAnsi="Arial" w:cs="Arial"/>
          <w:sz w:val="22"/>
          <w:szCs w:val="22"/>
        </w:rPr>
        <w:t xml:space="preserve">3.386.054,85 </w:t>
      </w:r>
      <w:r w:rsidRPr="000020F0">
        <w:rPr>
          <w:rFonts w:ascii="Arial" w:eastAsia="Arial" w:hAnsi="Arial" w:cs="Arial"/>
          <w:sz w:val="22"/>
          <w:szCs w:val="22"/>
        </w:rPr>
        <w:t>EUR z DDV,</w:t>
      </w:r>
    </w:p>
    <w:p w14:paraId="3FCA142D" w14:textId="77777777" w:rsidR="00953377" w:rsidRPr="000020F0" w:rsidRDefault="00953377" w:rsidP="00953377">
      <w:pPr>
        <w:numPr>
          <w:ilvl w:val="0"/>
          <w:numId w:val="118"/>
        </w:numPr>
        <w:spacing w:line="276" w:lineRule="auto"/>
        <w:jc w:val="both"/>
        <w:rPr>
          <w:rFonts w:ascii="Arial" w:eastAsia="Arial" w:hAnsi="Arial" w:cs="Arial"/>
          <w:sz w:val="22"/>
          <w:szCs w:val="22"/>
        </w:rPr>
      </w:pPr>
      <w:r w:rsidRPr="000020F0">
        <w:rPr>
          <w:rFonts w:ascii="Arial" w:eastAsia="Arial" w:hAnsi="Arial" w:cs="Arial"/>
          <w:sz w:val="22"/>
          <w:szCs w:val="22"/>
        </w:rPr>
        <w:t>občina krije le del stroškov, saj pomemben delež predstavljajo nepovratna sredstva.</w:t>
      </w:r>
    </w:p>
    <w:p w14:paraId="4674D3CB" w14:textId="77777777" w:rsidR="00953377" w:rsidRPr="000020F0" w:rsidRDefault="00953377" w:rsidP="00953377">
      <w:pPr>
        <w:spacing w:line="276" w:lineRule="auto"/>
        <w:jc w:val="both"/>
        <w:rPr>
          <w:rFonts w:ascii="Arial" w:eastAsia="Arial" w:hAnsi="Arial" w:cs="Arial"/>
          <w:b/>
          <w:bCs/>
          <w:sz w:val="22"/>
          <w:szCs w:val="22"/>
        </w:rPr>
      </w:pPr>
    </w:p>
    <w:p w14:paraId="0AEDFD99"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Obratovalni stroški:</w:t>
      </w:r>
    </w:p>
    <w:p w14:paraId="67268ACE" w14:textId="77777777" w:rsidR="00953377" w:rsidRPr="000020F0" w:rsidRDefault="00953377" w:rsidP="00953377">
      <w:pPr>
        <w:numPr>
          <w:ilvl w:val="0"/>
          <w:numId w:val="119"/>
        </w:numPr>
        <w:spacing w:line="276" w:lineRule="auto"/>
        <w:jc w:val="both"/>
        <w:rPr>
          <w:rFonts w:ascii="Arial" w:eastAsia="Arial" w:hAnsi="Arial" w:cs="Arial"/>
          <w:sz w:val="22"/>
          <w:szCs w:val="22"/>
        </w:rPr>
      </w:pPr>
      <w:r w:rsidRPr="000020F0">
        <w:rPr>
          <w:rFonts w:ascii="Arial" w:eastAsia="Arial" w:hAnsi="Arial" w:cs="Arial"/>
          <w:sz w:val="22"/>
          <w:szCs w:val="22"/>
        </w:rPr>
        <w:t>letni stroški vzdrževanja ocenjeni na 58.400 EUR,</w:t>
      </w:r>
    </w:p>
    <w:p w14:paraId="4CA7F1D4" w14:textId="77777777" w:rsidR="00953377" w:rsidRPr="000020F0" w:rsidRDefault="00953377" w:rsidP="00953377">
      <w:pPr>
        <w:numPr>
          <w:ilvl w:val="0"/>
          <w:numId w:val="119"/>
        </w:numPr>
        <w:spacing w:line="276" w:lineRule="auto"/>
        <w:jc w:val="both"/>
        <w:rPr>
          <w:rFonts w:ascii="Arial" w:eastAsia="Arial" w:hAnsi="Arial" w:cs="Arial"/>
          <w:sz w:val="22"/>
          <w:szCs w:val="22"/>
        </w:rPr>
      </w:pPr>
      <w:r w:rsidRPr="000020F0">
        <w:rPr>
          <w:rFonts w:ascii="Arial" w:eastAsia="Arial" w:hAnsi="Arial" w:cs="Arial"/>
          <w:sz w:val="22"/>
          <w:szCs w:val="22"/>
        </w:rPr>
        <w:t>vključujejo vzdrževanje cest, nadstrešnice, kolesarnice, sistema e-koles, merilnikov in javnih površin.</w:t>
      </w:r>
    </w:p>
    <w:p w14:paraId="61F5288E" w14:textId="77777777" w:rsidR="00953377" w:rsidRPr="000020F0" w:rsidRDefault="00953377" w:rsidP="00953377">
      <w:pPr>
        <w:spacing w:line="276" w:lineRule="auto"/>
        <w:jc w:val="both"/>
        <w:rPr>
          <w:rFonts w:ascii="Arial" w:eastAsia="Arial" w:hAnsi="Arial" w:cs="Arial"/>
          <w:b/>
          <w:bCs/>
          <w:sz w:val="22"/>
          <w:szCs w:val="22"/>
        </w:rPr>
      </w:pPr>
    </w:p>
    <w:p w14:paraId="1C83CCFF" w14:textId="77777777" w:rsidR="00630D03" w:rsidRPr="000020F0" w:rsidRDefault="00630D03" w:rsidP="00953377">
      <w:pPr>
        <w:spacing w:line="276" w:lineRule="auto"/>
        <w:jc w:val="both"/>
        <w:rPr>
          <w:rFonts w:ascii="Arial" w:eastAsia="Arial" w:hAnsi="Arial" w:cs="Arial"/>
          <w:b/>
          <w:bCs/>
          <w:sz w:val="22"/>
          <w:szCs w:val="22"/>
        </w:rPr>
      </w:pPr>
    </w:p>
    <w:p w14:paraId="1521C7EC" w14:textId="46A0A918"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Prihodki iz javnih storitev:</w:t>
      </w:r>
    </w:p>
    <w:p w14:paraId="4BFF77A2" w14:textId="77777777" w:rsidR="00953377" w:rsidRPr="000020F0" w:rsidRDefault="00953377" w:rsidP="00953377">
      <w:pPr>
        <w:numPr>
          <w:ilvl w:val="0"/>
          <w:numId w:val="120"/>
        </w:numPr>
        <w:spacing w:line="276" w:lineRule="auto"/>
        <w:jc w:val="both"/>
        <w:rPr>
          <w:rFonts w:ascii="Arial" w:eastAsia="Arial" w:hAnsi="Arial" w:cs="Arial"/>
          <w:sz w:val="22"/>
          <w:szCs w:val="22"/>
        </w:rPr>
      </w:pPr>
      <w:r w:rsidRPr="000020F0">
        <w:rPr>
          <w:rFonts w:ascii="Arial" w:eastAsia="Arial" w:hAnsi="Arial" w:cs="Arial"/>
          <w:sz w:val="22"/>
          <w:szCs w:val="22"/>
        </w:rPr>
        <w:t>parkirišča 17.160 EUR/leto,</w:t>
      </w:r>
    </w:p>
    <w:p w14:paraId="229D65F5" w14:textId="77777777" w:rsidR="00953377" w:rsidRPr="000020F0" w:rsidRDefault="00953377" w:rsidP="00953377">
      <w:pPr>
        <w:numPr>
          <w:ilvl w:val="0"/>
          <w:numId w:val="120"/>
        </w:numPr>
        <w:spacing w:line="276" w:lineRule="auto"/>
        <w:jc w:val="both"/>
        <w:rPr>
          <w:rFonts w:ascii="Arial" w:eastAsia="Arial" w:hAnsi="Arial" w:cs="Arial"/>
          <w:sz w:val="22"/>
          <w:szCs w:val="22"/>
        </w:rPr>
      </w:pPr>
      <w:r w:rsidRPr="000020F0">
        <w:rPr>
          <w:rFonts w:ascii="Arial" w:eastAsia="Arial" w:hAnsi="Arial" w:cs="Arial"/>
          <w:sz w:val="22"/>
          <w:szCs w:val="22"/>
        </w:rPr>
        <w:t>sistem e-koles 7.800 EUR/leto,</w:t>
      </w:r>
    </w:p>
    <w:p w14:paraId="0B5D3542" w14:textId="77777777" w:rsidR="00953377" w:rsidRPr="000020F0" w:rsidRDefault="00953377" w:rsidP="00953377">
      <w:pPr>
        <w:numPr>
          <w:ilvl w:val="0"/>
          <w:numId w:val="120"/>
        </w:numPr>
        <w:spacing w:line="276" w:lineRule="auto"/>
        <w:jc w:val="both"/>
        <w:rPr>
          <w:rFonts w:ascii="Arial" w:eastAsia="Arial" w:hAnsi="Arial" w:cs="Arial"/>
          <w:sz w:val="22"/>
          <w:szCs w:val="22"/>
        </w:rPr>
      </w:pPr>
      <w:r w:rsidRPr="000020F0">
        <w:rPr>
          <w:rFonts w:ascii="Arial" w:eastAsia="Arial" w:hAnsi="Arial" w:cs="Arial"/>
          <w:sz w:val="22"/>
          <w:szCs w:val="22"/>
        </w:rPr>
        <w:t>skupaj 24.960 EUR/leto.</w:t>
      </w:r>
    </w:p>
    <w:p w14:paraId="11D0E2DF" w14:textId="77777777" w:rsidR="00953377" w:rsidRPr="000020F0" w:rsidRDefault="00953377" w:rsidP="00953377">
      <w:pPr>
        <w:spacing w:line="276" w:lineRule="auto"/>
        <w:jc w:val="both"/>
        <w:rPr>
          <w:rFonts w:ascii="Arial" w:eastAsia="Arial" w:hAnsi="Arial" w:cs="Arial"/>
          <w:b/>
          <w:bCs/>
          <w:sz w:val="22"/>
          <w:szCs w:val="22"/>
        </w:rPr>
      </w:pPr>
    </w:p>
    <w:p w14:paraId="159C39D7"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Izračunljive družbene koristi:</w:t>
      </w:r>
    </w:p>
    <w:p w14:paraId="2563A2C2" w14:textId="77777777" w:rsidR="00953377" w:rsidRPr="000020F0" w:rsidRDefault="00953377" w:rsidP="00953377">
      <w:pPr>
        <w:numPr>
          <w:ilvl w:val="0"/>
          <w:numId w:val="121"/>
        </w:numPr>
        <w:spacing w:line="276" w:lineRule="auto"/>
        <w:jc w:val="both"/>
        <w:rPr>
          <w:rFonts w:ascii="Arial" w:eastAsia="Arial" w:hAnsi="Arial" w:cs="Arial"/>
          <w:sz w:val="22"/>
          <w:szCs w:val="22"/>
        </w:rPr>
      </w:pPr>
      <w:r w:rsidRPr="000020F0">
        <w:rPr>
          <w:rFonts w:ascii="Arial" w:eastAsia="Arial" w:hAnsi="Arial" w:cs="Arial"/>
          <w:sz w:val="22"/>
          <w:szCs w:val="22"/>
        </w:rPr>
        <w:t>prihranek časa uporabnikov (60.800 EUR/leto),</w:t>
      </w:r>
    </w:p>
    <w:p w14:paraId="7A67A20C" w14:textId="53F830FC" w:rsidR="00953377" w:rsidRPr="000020F0" w:rsidRDefault="00953377" w:rsidP="00953377">
      <w:pPr>
        <w:numPr>
          <w:ilvl w:val="0"/>
          <w:numId w:val="121"/>
        </w:numPr>
        <w:spacing w:line="276" w:lineRule="auto"/>
        <w:jc w:val="both"/>
        <w:rPr>
          <w:rFonts w:ascii="Arial" w:eastAsia="Arial" w:hAnsi="Arial" w:cs="Arial"/>
          <w:sz w:val="22"/>
          <w:szCs w:val="22"/>
        </w:rPr>
      </w:pPr>
      <w:r w:rsidRPr="000020F0">
        <w:rPr>
          <w:rFonts w:ascii="Arial" w:eastAsia="Arial" w:hAnsi="Arial" w:cs="Arial"/>
          <w:sz w:val="22"/>
          <w:szCs w:val="22"/>
        </w:rPr>
        <w:t xml:space="preserve">zmanjšanje prometnih nesreč (140.000 </w:t>
      </w:r>
      <w:r w:rsidR="00B96609" w:rsidRPr="000020F0">
        <w:rPr>
          <w:rFonts w:ascii="Arial" w:eastAsia="Arial" w:hAnsi="Arial" w:cs="Arial"/>
          <w:sz w:val="22"/>
          <w:szCs w:val="22"/>
        </w:rPr>
        <w:t>EUR</w:t>
      </w:r>
      <w:r w:rsidRPr="000020F0">
        <w:rPr>
          <w:rFonts w:ascii="Arial" w:eastAsia="Arial" w:hAnsi="Arial" w:cs="Arial"/>
          <w:sz w:val="22"/>
          <w:szCs w:val="22"/>
        </w:rPr>
        <w:t>/leto),</w:t>
      </w:r>
    </w:p>
    <w:p w14:paraId="74C0A1B0" w14:textId="7D2811F2" w:rsidR="00953377" w:rsidRPr="000020F0" w:rsidRDefault="00953377" w:rsidP="00953377">
      <w:pPr>
        <w:numPr>
          <w:ilvl w:val="0"/>
          <w:numId w:val="121"/>
        </w:numPr>
        <w:spacing w:line="276" w:lineRule="auto"/>
        <w:jc w:val="both"/>
        <w:rPr>
          <w:rFonts w:ascii="Arial" w:eastAsia="Arial" w:hAnsi="Arial" w:cs="Arial"/>
          <w:sz w:val="22"/>
          <w:szCs w:val="22"/>
        </w:rPr>
      </w:pPr>
      <w:proofErr w:type="spellStart"/>
      <w:r w:rsidRPr="000020F0">
        <w:rPr>
          <w:rFonts w:ascii="Arial" w:eastAsia="Arial" w:hAnsi="Arial" w:cs="Arial"/>
          <w:sz w:val="22"/>
          <w:szCs w:val="22"/>
        </w:rPr>
        <w:t>okoljske</w:t>
      </w:r>
      <w:proofErr w:type="spellEnd"/>
      <w:r w:rsidRPr="000020F0">
        <w:rPr>
          <w:rFonts w:ascii="Arial" w:eastAsia="Arial" w:hAnsi="Arial" w:cs="Arial"/>
          <w:sz w:val="22"/>
          <w:szCs w:val="22"/>
        </w:rPr>
        <w:t xml:space="preserve"> koristi (10,67 t CO</w:t>
      </w:r>
      <w:r w:rsidRPr="000020F0">
        <w:rPr>
          <w:rFonts w:ascii="Cambria Math" w:eastAsia="Arial" w:hAnsi="Cambria Math" w:cs="Cambria Math"/>
          <w:sz w:val="22"/>
          <w:szCs w:val="22"/>
        </w:rPr>
        <w:t>₂</w:t>
      </w:r>
      <w:r w:rsidRPr="000020F0">
        <w:rPr>
          <w:rFonts w:ascii="Arial" w:eastAsia="Arial" w:hAnsi="Arial" w:cs="Arial"/>
          <w:sz w:val="22"/>
          <w:szCs w:val="22"/>
        </w:rPr>
        <w:t xml:space="preserve"> manj/leto → 320 </w:t>
      </w:r>
      <w:r w:rsidR="00B96609" w:rsidRPr="000020F0">
        <w:rPr>
          <w:rFonts w:ascii="Arial" w:eastAsia="Arial" w:hAnsi="Arial" w:cs="Arial"/>
          <w:sz w:val="22"/>
          <w:szCs w:val="22"/>
        </w:rPr>
        <w:t>EUR</w:t>
      </w:r>
      <w:r w:rsidRPr="000020F0">
        <w:rPr>
          <w:rFonts w:ascii="Arial" w:eastAsia="Arial" w:hAnsi="Arial" w:cs="Arial"/>
          <w:sz w:val="22"/>
          <w:szCs w:val="22"/>
        </w:rPr>
        <w:t>/leto),</w:t>
      </w:r>
    </w:p>
    <w:p w14:paraId="1D07DC8B" w14:textId="77777777" w:rsidR="00953377" w:rsidRPr="000020F0" w:rsidRDefault="00953377" w:rsidP="00953377">
      <w:pPr>
        <w:numPr>
          <w:ilvl w:val="0"/>
          <w:numId w:val="121"/>
        </w:numPr>
        <w:spacing w:line="276" w:lineRule="auto"/>
        <w:jc w:val="both"/>
        <w:rPr>
          <w:rFonts w:ascii="Arial" w:eastAsia="Arial" w:hAnsi="Arial" w:cs="Arial"/>
          <w:sz w:val="22"/>
          <w:szCs w:val="22"/>
        </w:rPr>
      </w:pPr>
      <w:r w:rsidRPr="000020F0">
        <w:rPr>
          <w:rFonts w:ascii="Arial" w:eastAsia="Arial" w:hAnsi="Arial" w:cs="Arial"/>
          <w:sz w:val="22"/>
          <w:szCs w:val="22"/>
        </w:rPr>
        <w:t>zdravstvene koristi zaradi aktivne mobilnosti 290.000,00 EUR/leto).</w:t>
      </w:r>
    </w:p>
    <w:p w14:paraId="51A480DC" w14:textId="77777777" w:rsidR="00953377" w:rsidRPr="000020F0" w:rsidRDefault="00953377" w:rsidP="00953377">
      <w:pPr>
        <w:spacing w:line="276" w:lineRule="auto"/>
        <w:jc w:val="both"/>
        <w:rPr>
          <w:rFonts w:ascii="Arial" w:eastAsia="Arial" w:hAnsi="Arial" w:cs="Arial"/>
          <w:sz w:val="22"/>
          <w:szCs w:val="22"/>
        </w:rPr>
      </w:pPr>
    </w:p>
    <w:p w14:paraId="2EF052E3"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sz w:val="22"/>
          <w:szCs w:val="22"/>
        </w:rPr>
        <w:t>Varianta 1 združuje takojšnje uresničevanje koristi z nižjimi stroški občine zaradi sofinanciranja, zato je z vidika stroškov in koristi najugodnejša možnost.</w:t>
      </w:r>
    </w:p>
    <w:p w14:paraId="39F0DF73" w14:textId="77777777" w:rsidR="00953377" w:rsidRPr="000020F0" w:rsidRDefault="00953377" w:rsidP="00953377">
      <w:pPr>
        <w:pStyle w:val="Naslov2"/>
        <w:numPr>
          <w:ilvl w:val="2"/>
          <w:numId w:val="1"/>
        </w:numPr>
        <w:spacing w:before="240" w:after="240"/>
        <w:rPr>
          <w:rFonts w:asciiTheme="majorHAnsi" w:eastAsiaTheme="majorEastAsia" w:hAnsiTheme="majorHAnsi" w:cstheme="majorHAnsi"/>
          <w:color w:val="244061" w:themeColor="accent1" w:themeShade="80"/>
        </w:rPr>
      </w:pPr>
      <w:bookmarkStart w:id="78" w:name="_Toc209277141"/>
      <w:bookmarkStart w:id="79" w:name="_Toc230882170"/>
      <w:r w:rsidRPr="000020F0">
        <w:rPr>
          <w:rFonts w:asciiTheme="majorHAnsi" w:eastAsiaTheme="majorEastAsia" w:hAnsiTheme="majorHAnsi" w:cstheme="majorHAnsi"/>
          <w:color w:val="244061" w:themeColor="accent1" w:themeShade="80"/>
        </w:rPr>
        <w:t>Varianta 2 – izvedba projekta z lastnimi sredstvi</w:t>
      </w:r>
      <w:bookmarkEnd w:id="78"/>
      <w:bookmarkEnd w:id="79"/>
    </w:p>
    <w:p w14:paraId="216AC621"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sz w:val="22"/>
          <w:szCs w:val="22"/>
        </w:rPr>
        <w:t>Ta varianta predvideva izvedbo projekta v celoti iz lastnih sredstev občine. Zaradi proračunskih omejitev se investicija zamakne in izvede šele v 11. letu (okoli 2035).</w:t>
      </w:r>
    </w:p>
    <w:p w14:paraId="183FB69C" w14:textId="77777777" w:rsidR="00953377" w:rsidRPr="000020F0" w:rsidRDefault="00953377" w:rsidP="00953377">
      <w:pPr>
        <w:spacing w:line="276" w:lineRule="auto"/>
        <w:jc w:val="both"/>
        <w:rPr>
          <w:rFonts w:ascii="Arial" w:eastAsia="Arial" w:hAnsi="Arial" w:cs="Arial"/>
          <w:b/>
          <w:bCs/>
          <w:sz w:val="22"/>
          <w:szCs w:val="22"/>
        </w:rPr>
      </w:pPr>
    </w:p>
    <w:p w14:paraId="5F4D313F"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Investicijski stroški:</w:t>
      </w:r>
    </w:p>
    <w:p w14:paraId="2F672F08" w14:textId="77777777" w:rsidR="00953377" w:rsidRPr="000020F0" w:rsidRDefault="00953377" w:rsidP="00953377">
      <w:pPr>
        <w:numPr>
          <w:ilvl w:val="0"/>
          <w:numId w:val="122"/>
        </w:numPr>
        <w:spacing w:line="276" w:lineRule="auto"/>
        <w:jc w:val="both"/>
        <w:rPr>
          <w:rFonts w:ascii="Arial" w:eastAsia="Arial" w:hAnsi="Arial" w:cs="Arial"/>
          <w:sz w:val="22"/>
          <w:szCs w:val="22"/>
        </w:rPr>
      </w:pPr>
      <w:r w:rsidRPr="000020F0">
        <w:rPr>
          <w:rFonts w:ascii="Arial" w:eastAsia="Arial" w:hAnsi="Arial" w:cs="Arial"/>
          <w:sz w:val="22"/>
          <w:szCs w:val="22"/>
        </w:rPr>
        <w:t>enaki kot pri varianti 1, vendar v celoti bremenijo občinski proračun,</w:t>
      </w:r>
    </w:p>
    <w:p w14:paraId="24840406" w14:textId="77777777" w:rsidR="00953377" w:rsidRPr="000020F0" w:rsidRDefault="00953377" w:rsidP="00953377">
      <w:pPr>
        <w:numPr>
          <w:ilvl w:val="0"/>
          <w:numId w:val="122"/>
        </w:numPr>
        <w:spacing w:line="276" w:lineRule="auto"/>
        <w:jc w:val="both"/>
        <w:rPr>
          <w:rFonts w:ascii="Arial" w:eastAsia="Arial" w:hAnsi="Arial" w:cs="Arial"/>
          <w:sz w:val="22"/>
          <w:szCs w:val="22"/>
        </w:rPr>
      </w:pPr>
      <w:r w:rsidRPr="000020F0">
        <w:rPr>
          <w:rFonts w:ascii="Arial" w:eastAsia="Arial" w:hAnsi="Arial" w:cs="Arial"/>
          <w:sz w:val="22"/>
          <w:szCs w:val="22"/>
        </w:rPr>
        <w:t>zaradi časovnega zamika je realno pričakovati dodatne podražitve zaradi inflacije.</w:t>
      </w:r>
    </w:p>
    <w:p w14:paraId="779B23E8" w14:textId="77777777" w:rsidR="00953377" w:rsidRPr="000020F0" w:rsidRDefault="00953377" w:rsidP="00953377">
      <w:pPr>
        <w:spacing w:line="276" w:lineRule="auto"/>
        <w:jc w:val="both"/>
        <w:rPr>
          <w:rFonts w:ascii="Arial" w:eastAsia="Arial" w:hAnsi="Arial" w:cs="Arial"/>
          <w:b/>
          <w:bCs/>
          <w:sz w:val="22"/>
          <w:szCs w:val="22"/>
        </w:rPr>
      </w:pPr>
    </w:p>
    <w:p w14:paraId="15BD714C"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Obratovalni stroški:</w:t>
      </w:r>
    </w:p>
    <w:p w14:paraId="1FB02762" w14:textId="77777777" w:rsidR="00953377" w:rsidRPr="000020F0" w:rsidRDefault="00953377" w:rsidP="00953377">
      <w:pPr>
        <w:numPr>
          <w:ilvl w:val="0"/>
          <w:numId w:val="123"/>
        </w:numPr>
        <w:spacing w:line="276" w:lineRule="auto"/>
        <w:jc w:val="both"/>
        <w:rPr>
          <w:rFonts w:ascii="Arial" w:eastAsia="Arial" w:hAnsi="Arial" w:cs="Arial"/>
          <w:sz w:val="22"/>
          <w:szCs w:val="22"/>
        </w:rPr>
      </w:pPr>
      <w:r w:rsidRPr="000020F0">
        <w:rPr>
          <w:rFonts w:ascii="Arial" w:eastAsia="Arial" w:hAnsi="Arial" w:cs="Arial"/>
          <w:sz w:val="22"/>
          <w:szCs w:val="22"/>
        </w:rPr>
        <w:t>enaki kot pri varianti 1, vendar se začnejo šele po letu 2035.</w:t>
      </w:r>
    </w:p>
    <w:p w14:paraId="43E3ABF9" w14:textId="77777777" w:rsidR="00953377" w:rsidRPr="000020F0" w:rsidRDefault="00953377" w:rsidP="00953377">
      <w:pPr>
        <w:spacing w:line="276" w:lineRule="auto"/>
        <w:jc w:val="both"/>
        <w:rPr>
          <w:rFonts w:ascii="Arial" w:eastAsia="Arial" w:hAnsi="Arial" w:cs="Arial"/>
          <w:b/>
          <w:bCs/>
          <w:sz w:val="22"/>
          <w:szCs w:val="22"/>
        </w:rPr>
      </w:pPr>
    </w:p>
    <w:p w14:paraId="10495357"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Prihodki iz javnih storitev:</w:t>
      </w:r>
    </w:p>
    <w:p w14:paraId="680EE8F3" w14:textId="77777777" w:rsidR="00953377" w:rsidRPr="000020F0" w:rsidRDefault="00953377" w:rsidP="00953377">
      <w:pPr>
        <w:numPr>
          <w:ilvl w:val="0"/>
          <w:numId w:val="124"/>
        </w:numPr>
        <w:spacing w:line="276" w:lineRule="auto"/>
        <w:jc w:val="both"/>
        <w:rPr>
          <w:rFonts w:ascii="Arial" w:eastAsia="Arial" w:hAnsi="Arial" w:cs="Arial"/>
          <w:sz w:val="22"/>
          <w:szCs w:val="22"/>
        </w:rPr>
      </w:pPr>
      <w:r w:rsidRPr="000020F0">
        <w:rPr>
          <w:rFonts w:ascii="Arial" w:eastAsia="Arial" w:hAnsi="Arial" w:cs="Arial"/>
          <w:sz w:val="22"/>
          <w:szCs w:val="22"/>
        </w:rPr>
        <w:t>parkirišča: enaki kot pri varianti 1</w:t>
      </w:r>
    </w:p>
    <w:p w14:paraId="1F0BA2E6" w14:textId="77777777" w:rsidR="00953377" w:rsidRPr="000020F0" w:rsidRDefault="00953377" w:rsidP="00953377">
      <w:pPr>
        <w:numPr>
          <w:ilvl w:val="0"/>
          <w:numId w:val="124"/>
        </w:numPr>
        <w:spacing w:line="276" w:lineRule="auto"/>
        <w:jc w:val="both"/>
        <w:rPr>
          <w:rFonts w:ascii="Arial" w:eastAsia="Arial" w:hAnsi="Arial" w:cs="Arial"/>
          <w:sz w:val="22"/>
          <w:szCs w:val="22"/>
        </w:rPr>
      </w:pPr>
      <w:r w:rsidRPr="000020F0">
        <w:rPr>
          <w:rFonts w:ascii="Arial" w:eastAsia="Arial" w:hAnsi="Arial" w:cs="Arial"/>
          <w:sz w:val="22"/>
          <w:szCs w:val="22"/>
        </w:rPr>
        <w:t>sistem e-koles: enaki kot pri varianti 1</w:t>
      </w:r>
    </w:p>
    <w:p w14:paraId="1C750542" w14:textId="77777777" w:rsidR="00953377" w:rsidRPr="000020F0" w:rsidRDefault="00953377" w:rsidP="00953377">
      <w:pPr>
        <w:spacing w:line="276" w:lineRule="auto"/>
        <w:jc w:val="both"/>
        <w:rPr>
          <w:rFonts w:ascii="Arial" w:eastAsia="Arial" w:hAnsi="Arial" w:cs="Arial"/>
          <w:sz w:val="22"/>
          <w:szCs w:val="22"/>
        </w:rPr>
      </w:pPr>
    </w:p>
    <w:p w14:paraId="50577530"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b/>
          <w:bCs/>
          <w:sz w:val="22"/>
          <w:szCs w:val="22"/>
        </w:rPr>
        <w:t>Izračunljive družbene koristi:</w:t>
      </w:r>
    </w:p>
    <w:p w14:paraId="4637A5D4" w14:textId="77777777" w:rsidR="00953377" w:rsidRPr="000020F0" w:rsidRDefault="00953377" w:rsidP="00953377">
      <w:pPr>
        <w:numPr>
          <w:ilvl w:val="0"/>
          <w:numId w:val="125"/>
        </w:numPr>
        <w:spacing w:line="276" w:lineRule="auto"/>
        <w:jc w:val="both"/>
        <w:rPr>
          <w:rFonts w:ascii="Arial" w:eastAsia="Arial" w:hAnsi="Arial" w:cs="Arial"/>
          <w:sz w:val="22"/>
          <w:szCs w:val="22"/>
        </w:rPr>
      </w:pPr>
      <w:r w:rsidRPr="000020F0">
        <w:rPr>
          <w:rFonts w:ascii="Arial" w:eastAsia="Arial" w:hAnsi="Arial" w:cs="Arial"/>
          <w:sz w:val="22"/>
          <w:szCs w:val="22"/>
        </w:rPr>
        <w:t>enake vrste kot pri varianti 1, vendar se uresničijo šele z desetletnim zamikom,</w:t>
      </w:r>
    </w:p>
    <w:p w14:paraId="5FE1855D" w14:textId="77777777" w:rsidR="00953377" w:rsidRPr="000020F0" w:rsidRDefault="00953377" w:rsidP="00953377">
      <w:pPr>
        <w:numPr>
          <w:ilvl w:val="0"/>
          <w:numId w:val="125"/>
        </w:numPr>
        <w:spacing w:line="276" w:lineRule="auto"/>
        <w:jc w:val="both"/>
        <w:rPr>
          <w:rFonts w:ascii="Arial" w:eastAsia="Arial" w:hAnsi="Arial" w:cs="Arial"/>
          <w:sz w:val="22"/>
          <w:szCs w:val="22"/>
        </w:rPr>
      </w:pPr>
      <w:r w:rsidRPr="000020F0">
        <w:rPr>
          <w:rFonts w:ascii="Arial" w:eastAsia="Arial" w:hAnsi="Arial" w:cs="Arial"/>
          <w:sz w:val="22"/>
          <w:szCs w:val="22"/>
        </w:rPr>
        <w:t>posledično je njihova sedanja vrednost bistveno nižja,</w:t>
      </w:r>
    </w:p>
    <w:p w14:paraId="69C62855" w14:textId="77777777" w:rsidR="00953377" w:rsidRPr="000020F0" w:rsidRDefault="00953377" w:rsidP="00953377">
      <w:pPr>
        <w:numPr>
          <w:ilvl w:val="0"/>
          <w:numId w:val="125"/>
        </w:numPr>
        <w:spacing w:line="276" w:lineRule="auto"/>
        <w:jc w:val="both"/>
        <w:rPr>
          <w:rFonts w:ascii="Arial" w:eastAsia="Arial" w:hAnsi="Arial" w:cs="Arial"/>
          <w:sz w:val="22"/>
          <w:szCs w:val="22"/>
        </w:rPr>
      </w:pPr>
      <w:r w:rsidRPr="000020F0">
        <w:rPr>
          <w:rFonts w:ascii="Arial" w:eastAsia="Arial" w:hAnsi="Arial" w:cs="Arial"/>
          <w:sz w:val="22"/>
          <w:szCs w:val="22"/>
        </w:rPr>
        <w:t>v prvih desetih letih se korist za prebivalce ne ustvarja.</w:t>
      </w:r>
    </w:p>
    <w:p w14:paraId="72064621" w14:textId="77777777" w:rsidR="00953377" w:rsidRPr="000020F0" w:rsidRDefault="00953377" w:rsidP="00953377">
      <w:pPr>
        <w:spacing w:line="276" w:lineRule="auto"/>
        <w:jc w:val="both"/>
        <w:rPr>
          <w:rFonts w:ascii="Arial" w:eastAsia="Arial" w:hAnsi="Arial" w:cs="Arial"/>
          <w:sz w:val="22"/>
          <w:szCs w:val="22"/>
        </w:rPr>
      </w:pPr>
    </w:p>
    <w:p w14:paraId="75BD467D" w14:textId="77777777" w:rsidR="00953377" w:rsidRPr="000020F0" w:rsidRDefault="00953377" w:rsidP="00953377">
      <w:pPr>
        <w:spacing w:line="276" w:lineRule="auto"/>
        <w:jc w:val="both"/>
        <w:rPr>
          <w:rFonts w:ascii="Arial" w:eastAsia="Arial" w:hAnsi="Arial" w:cs="Arial"/>
          <w:sz w:val="22"/>
          <w:szCs w:val="22"/>
        </w:rPr>
      </w:pPr>
      <w:r w:rsidRPr="000020F0">
        <w:rPr>
          <w:rFonts w:ascii="Arial" w:eastAsia="Arial" w:hAnsi="Arial" w:cs="Arial"/>
          <w:sz w:val="22"/>
          <w:szCs w:val="22"/>
        </w:rPr>
        <w:t>Varianta 2 je manj ugodna, saj občina v celoti nosi stroške in izgubi desetletje možnih koristi.</w:t>
      </w:r>
    </w:p>
    <w:bookmarkEnd w:id="75"/>
    <w:p w14:paraId="2DA410F7" w14:textId="77777777" w:rsidR="002D78B4" w:rsidRPr="000020F0" w:rsidRDefault="002D78B4" w:rsidP="00BD1D20">
      <w:pPr>
        <w:spacing w:after="200" w:line="276" w:lineRule="auto"/>
        <w:jc w:val="both"/>
        <w:rPr>
          <w:rFonts w:asciiTheme="majorHAnsi" w:hAnsiTheme="majorHAnsi" w:cstheme="majorHAnsi"/>
          <w:sz w:val="22"/>
          <w:szCs w:val="22"/>
          <w:lang w:eastAsia="en-US"/>
        </w:rPr>
      </w:pPr>
    </w:p>
    <w:p w14:paraId="4160136F" w14:textId="77777777" w:rsidR="000176A3" w:rsidRPr="000020F0" w:rsidRDefault="000176A3" w:rsidP="000176A3">
      <w:pPr>
        <w:pBdr>
          <w:top w:val="single" w:sz="4" w:space="1" w:color="auto"/>
          <w:left w:val="single" w:sz="4" w:space="4" w:color="auto"/>
          <w:bottom w:val="single" w:sz="4" w:space="1" w:color="auto"/>
          <w:right w:val="single" w:sz="4" w:space="4" w:color="auto"/>
        </w:pBdr>
        <w:shd w:val="clear" w:color="auto" w:fill="DBE5F1" w:themeFill="accent1" w:themeFillTint="33"/>
        <w:spacing w:after="200" w:line="276" w:lineRule="auto"/>
        <w:jc w:val="both"/>
        <w:rPr>
          <w:rFonts w:asciiTheme="majorHAnsi" w:hAnsiTheme="majorHAnsi" w:cstheme="majorHAnsi"/>
          <w:b/>
          <w:sz w:val="22"/>
          <w:szCs w:val="22"/>
        </w:rPr>
      </w:pPr>
      <w:r w:rsidRPr="000020F0">
        <w:rPr>
          <w:rFonts w:asciiTheme="majorHAnsi" w:hAnsiTheme="majorHAnsi" w:cstheme="majorHAnsi"/>
          <w:b/>
          <w:sz w:val="22"/>
          <w:szCs w:val="22"/>
        </w:rPr>
        <w:t xml:space="preserve">Primerjava treh obravnavanih variant jasno pokaže, da je varianta 0 – ohranitev obstoječega stanja – za občino in prebivalce Iga neustrezna, saj ne prinaša nobenih izboljšav in pomeni nadaljevanje obstoječih prometnih, </w:t>
      </w:r>
      <w:proofErr w:type="spellStart"/>
      <w:r w:rsidRPr="000020F0">
        <w:rPr>
          <w:rFonts w:asciiTheme="majorHAnsi" w:hAnsiTheme="majorHAnsi" w:cstheme="majorHAnsi"/>
          <w:b/>
          <w:sz w:val="22"/>
          <w:szCs w:val="22"/>
        </w:rPr>
        <w:t>okoljskih</w:t>
      </w:r>
      <w:proofErr w:type="spellEnd"/>
      <w:r w:rsidRPr="000020F0">
        <w:rPr>
          <w:rFonts w:asciiTheme="majorHAnsi" w:hAnsiTheme="majorHAnsi" w:cstheme="majorHAnsi"/>
          <w:b/>
          <w:sz w:val="22"/>
          <w:szCs w:val="22"/>
        </w:rPr>
        <w:t xml:space="preserve"> in varnostnih težav.</w:t>
      </w:r>
    </w:p>
    <w:p w14:paraId="45ACA829" w14:textId="77777777" w:rsidR="000176A3" w:rsidRPr="000020F0" w:rsidRDefault="000176A3" w:rsidP="000176A3">
      <w:pPr>
        <w:pBdr>
          <w:top w:val="single" w:sz="4" w:space="1" w:color="auto"/>
          <w:left w:val="single" w:sz="4" w:space="4" w:color="auto"/>
          <w:bottom w:val="single" w:sz="4" w:space="1" w:color="auto"/>
          <w:right w:val="single" w:sz="4" w:space="4" w:color="auto"/>
        </w:pBdr>
        <w:shd w:val="clear" w:color="auto" w:fill="DBE5F1" w:themeFill="accent1" w:themeFillTint="33"/>
        <w:spacing w:after="200" w:line="276" w:lineRule="auto"/>
        <w:jc w:val="both"/>
        <w:rPr>
          <w:rFonts w:asciiTheme="majorHAnsi" w:hAnsiTheme="majorHAnsi" w:cstheme="majorHAnsi"/>
          <w:b/>
          <w:sz w:val="22"/>
          <w:szCs w:val="22"/>
        </w:rPr>
      </w:pPr>
      <w:r w:rsidRPr="000020F0">
        <w:rPr>
          <w:rFonts w:asciiTheme="majorHAnsi" w:hAnsiTheme="majorHAnsi" w:cstheme="majorHAnsi"/>
          <w:b/>
          <w:sz w:val="22"/>
          <w:szCs w:val="22"/>
        </w:rPr>
        <w:t>Varianta 2 – izvedba projekta z lastnimi sredstvi – je vsebinsko enaka kot varianta 1, vendar finančno bistveno manj ugodna, saj celotno breme investicije nosi občina, poleg tega pa zaradi desetletnega časovnega zamika prebivalci izgubijo deset let potencialnih koristi.</w:t>
      </w:r>
    </w:p>
    <w:p w14:paraId="1A0A5C3F" w14:textId="48947DDF" w:rsidR="00887E28" w:rsidRPr="000020F0" w:rsidRDefault="000176A3" w:rsidP="000176A3">
      <w:pPr>
        <w:pBdr>
          <w:top w:val="single" w:sz="4" w:space="1" w:color="auto"/>
          <w:left w:val="single" w:sz="4" w:space="4" w:color="auto"/>
          <w:bottom w:val="single" w:sz="4" w:space="1" w:color="auto"/>
          <w:right w:val="single" w:sz="4" w:space="4" w:color="auto"/>
        </w:pBdr>
        <w:shd w:val="clear" w:color="auto" w:fill="DBE5F1" w:themeFill="accent1" w:themeFillTint="33"/>
        <w:spacing w:after="200" w:line="276" w:lineRule="auto"/>
        <w:jc w:val="both"/>
        <w:rPr>
          <w:rFonts w:asciiTheme="majorHAnsi" w:hAnsiTheme="majorHAnsi" w:cstheme="majorHAnsi"/>
          <w:b/>
          <w:sz w:val="22"/>
          <w:szCs w:val="22"/>
        </w:rPr>
      </w:pPr>
      <w:r w:rsidRPr="000020F0">
        <w:rPr>
          <w:rFonts w:asciiTheme="majorHAnsi" w:hAnsiTheme="majorHAnsi" w:cstheme="majorHAnsi"/>
          <w:b/>
          <w:sz w:val="22"/>
          <w:szCs w:val="22"/>
        </w:rPr>
        <w:t xml:space="preserve">Najbolj uravnotežena in učinkovita rešitev je zato varianta 1 – izvedba projekta z nepovratnimi sredstvi, ki omogoča takojšnje uresničevanje koristi za prebivalce in </w:t>
      </w:r>
      <w:r w:rsidRPr="000020F0">
        <w:rPr>
          <w:rFonts w:asciiTheme="majorHAnsi" w:hAnsiTheme="majorHAnsi" w:cstheme="majorHAnsi"/>
          <w:b/>
          <w:sz w:val="22"/>
          <w:szCs w:val="22"/>
        </w:rPr>
        <w:lastRenderedPageBreak/>
        <w:t xml:space="preserve">obiskovalce ter hkrati pomembno razbremeni občinski proračun. Ta varianta zagotavlja tako finančno kot ekonomsko in </w:t>
      </w:r>
      <w:proofErr w:type="spellStart"/>
      <w:r w:rsidRPr="000020F0">
        <w:rPr>
          <w:rFonts w:asciiTheme="majorHAnsi" w:hAnsiTheme="majorHAnsi" w:cstheme="majorHAnsi"/>
          <w:b/>
          <w:sz w:val="22"/>
          <w:szCs w:val="22"/>
        </w:rPr>
        <w:t>okoljsko</w:t>
      </w:r>
      <w:proofErr w:type="spellEnd"/>
      <w:r w:rsidRPr="000020F0">
        <w:rPr>
          <w:rFonts w:asciiTheme="majorHAnsi" w:hAnsiTheme="majorHAnsi" w:cstheme="majorHAnsi"/>
          <w:b/>
          <w:sz w:val="22"/>
          <w:szCs w:val="22"/>
        </w:rPr>
        <w:t xml:space="preserve"> najustreznejšo podlago za izvedbo projekta.</w:t>
      </w:r>
      <w:r w:rsidR="001B6EB8" w:rsidRPr="000020F0">
        <w:rPr>
          <w:rFonts w:asciiTheme="majorHAnsi" w:hAnsiTheme="majorHAnsi" w:cstheme="majorHAnsi"/>
          <w:b/>
          <w:sz w:val="22"/>
          <w:szCs w:val="22"/>
          <w:highlight w:val="yellow"/>
        </w:rPr>
        <w:t xml:space="preserve"> </w:t>
      </w:r>
    </w:p>
    <w:p w14:paraId="79F64E6C" w14:textId="1F70B82B" w:rsidR="00BF13FA" w:rsidRPr="000020F0" w:rsidRDefault="00BF13FA"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80" w:name="_Toc230882171"/>
      <w:r w:rsidRPr="000020F0">
        <w:rPr>
          <w:rFonts w:asciiTheme="majorHAnsi" w:eastAsiaTheme="majorEastAsia" w:hAnsiTheme="majorHAnsi" w:cstheme="majorHAnsi"/>
          <w:color w:val="244061" w:themeColor="accent1" w:themeShade="80"/>
        </w:rPr>
        <w:t>Povzetek dokumenta identifikacije investicijskega projekta</w:t>
      </w:r>
      <w:bookmarkEnd w:id="80"/>
    </w:p>
    <w:p w14:paraId="38876F0F" w14:textId="77777777"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Dokument identifikacije investicijskega projekta (DIIP) »</w:t>
      </w:r>
      <w:r w:rsidRPr="000020F0">
        <w:rPr>
          <w:rFonts w:asciiTheme="majorHAnsi" w:eastAsiaTheme="majorEastAsia" w:hAnsiTheme="majorHAnsi" w:cstheme="majorHAnsi"/>
          <w:b/>
          <w:bCs/>
          <w:sz w:val="22"/>
          <w:szCs w:val="22"/>
          <w:lang w:eastAsia="zh-TW"/>
        </w:rPr>
        <w:t>Celovita ureditev centra Ig – ukrepi trajnostne mobilnosti</w:t>
      </w:r>
      <w:r w:rsidRPr="000020F0">
        <w:rPr>
          <w:rFonts w:asciiTheme="majorHAnsi" w:eastAsiaTheme="majorEastAsia" w:hAnsiTheme="majorHAnsi" w:cstheme="majorHAnsi"/>
          <w:sz w:val="22"/>
          <w:szCs w:val="22"/>
          <w:lang w:eastAsia="zh-TW"/>
        </w:rPr>
        <w:t xml:space="preserve">« je avgusta 2025 pripravila družba </w:t>
      </w:r>
      <w:proofErr w:type="spellStart"/>
      <w:r w:rsidRPr="000020F0">
        <w:rPr>
          <w:rFonts w:asciiTheme="majorHAnsi" w:eastAsiaTheme="majorEastAsia" w:hAnsiTheme="majorHAnsi" w:cstheme="majorHAnsi"/>
          <w:b/>
          <w:bCs/>
          <w:sz w:val="22"/>
          <w:szCs w:val="22"/>
          <w:lang w:eastAsia="zh-TW"/>
        </w:rPr>
        <w:t>ProSVET</w:t>
      </w:r>
      <w:proofErr w:type="spellEnd"/>
      <w:r w:rsidRPr="000020F0">
        <w:rPr>
          <w:rFonts w:asciiTheme="majorHAnsi" w:eastAsiaTheme="majorEastAsia" w:hAnsiTheme="majorHAnsi" w:cstheme="majorHAnsi"/>
          <w:b/>
          <w:bCs/>
          <w:sz w:val="22"/>
          <w:szCs w:val="22"/>
          <w:lang w:eastAsia="zh-TW"/>
        </w:rPr>
        <w:t xml:space="preserve">, Martina Magajna </w:t>
      </w:r>
      <w:proofErr w:type="spellStart"/>
      <w:r w:rsidRPr="000020F0">
        <w:rPr>
          <w:rFonts w:asciiTheme="majorHAnsi" w:eastAsiaTheme="majorEastAsia" w:hAnsiTheme="majorHAnsi" w:cstheme="majorHAnsi"/>
          <w:b/>
          <w:bCs/>
          <w:sz w:val="22"/>
          <w:szCs w:val="22"/>
          <w:lang w:eastAsia="zh-TW"/>
        </w:rPr>
        <w:t>s.p</w:t>
      </w:r>
      <w:proofErr w:type="spellEnd"/>
      <w:r w:rsidRPr="000020F0">
        <w:rPr>
          <w:rFonts w:asciiTheme="majorHAnsi" w:eastAsiaTheme="majorEastAsia" w:hAnsiTheme="majorHAnsi" w:cstheme="majorHAnsi"/>
          <w:b/>
          <w:bCs/>
          <w:sz w:val="22"/>
          <w:szCs w:val="22"/>
          <w:lang w:eastAsia="zh-TW"/>
        </w:rPr>
        <w:t>.</w:t>
      </w:r>
      <w:r w:rsidRPr="000020F0">
        <w:rPr>
          <w:rFonts w:asciiTheme="majorHAnsi" w:eastAsiaTheme="majorEastAsia" w:hAnsiTheme="majorHAnsi" w:cstheme="majorHAnsi"/>
          <w:sz w:val="22"/>
          <w:szCs w:val="22"/>
          <w:lang w:eastAsia="zh-TW"/>
        </w:rPr>
        <w:t xml:space="preserve"> za naročnika in investitorja </w:t>
      </w:r>
      <w:r w:rsidRPr="000020F0">
        <w:rPr>
          <w:rFonts w:asciiTheme="majorHAnsi" w:eastAsiaTheme="majorEastAsia" w:hAnsiTheme="majorHAnsi" w:cstheme="majorHAnsi"/>
          <w:b/>
          <w:bCs/>
          <w:sz w:val="22"/>
          <w:szCs w:val="22"/>
          <w:lang w:eastAsia="zh-TW"/>
        </w:rPr>
        <w:t>Občino Ig</w:t>
      </w:r>
      <w:r w:rsidRPr="000020F0">
        <w:rPr>
          <w:rFonts w:asciiTheme="majorHAnsi" w:eastAsiaTheme="majorEastAsia" w:hAnsiTheme="majorHAnsi" w:cstheme="majorHAnsi"/>
          <w:sz w:val="22"/>
          <w:szCs w:val="22"/>
          <w:lang w:eastAsia="zh-TW"/>
        </w:rPr>
        <w:t>.</w:t>
      </w:r>
    </w:p>
    <w:p w14:paraId="78FD3514" w14:textId="77777777" w:rsidR="00201753" w:rsidRPr="000020F0" w:rsidRDefault="00201753" w:rsidP="00201753">
      <w:pPr>
        <w:spacing w:line="276" w:lineRule="auto"/>
        <w:jc w:val="both"/>
        <w:rPr>
          <w:rFonts w:asciiTheme="majorHAnsi" w:eastAsiaTheme="majorEastAsia" w:hAnsiTheme="majorHAnsi" w:cstheme="majorHAnsi"/>
          <w:sz w:val="22"/>
          <w:szCs w:val="22"/>
          <w:lang w:eastAsia="zh-TW"/>
        </w:rPr>
      </w:pPr>
    </w:p>
    <w:p w14:paraId="3EBC5549" w14:textId="77777777"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Projekt obravnava preureditev ožjega središča Iga ob Govekarjevi cesti in Troštovi ulici z ukrepi trajnostne mobilnosti, ki bodo izboljšali prometno varnost, zmanjšali negativne vplive motornega prometa in ustvarili kakovostnejši javni prostor.</w:t>
      </w:r>
    </w:p>
    <w:p w14:paraId="3608FB90" w14:textId="77777777" w:rsidR="00201753" w:rsidRPr="000020F0" w:rsidRDefault="00201753" w:rsidP="00201753">
      <w:pPr>
        <w:spacing w:line="276" w:lineRule="auto"/>
        <w:jc w:val="both"/>
        <w:rPr>
          <w:rFonts w:asciiTheme="majorHAnsi" w:eastAsiaTheme="majorEastAsia" w:hAnsiTheme="majorHAnsi" w:cstheme="majorHAnsi"/>
          <w:sz w:val="22"/>
          <w:szCs w:val="22"/>
          <w:lang w:eastAsia="zh-TW"/>
        </w:rPr>
      </w:pPr>
    </w:p>
    <w:p w14:paraId="5A20AC42" w14:textId="0A60938B"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V DIIP-u sta obravnavani dve varianti:</w:t>
      </w:r>
    </w:p>
    <w:p w14:paraId="327D388B" w14:textId="77777777" w:rsidR="00201753" w:rsidRPr="000020F0" w:rsidRDefault="00201753" w:rsidP="00201753">
      <w:pPr>
        <w:numPr>
          <w:ilvl w:val="0"/>
          <w:numId w:val="216"/>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b/>
          <w:bCs/>
          <w:sz w:val="22"/>
          <w:szCs w:val="22"/>
          <w:lang w:eastAsia="zh-TW"/>
        </w:rPr>
        <w:t>Varianta 0 – brez investicije</w:t>
      </w:r>
      <w:r w:rsidRPr="000020F0">
        <w:rPr>
          <w:rFonts w:asciiTheme="majorHAnsi" w:eastAsiaTheme="majorEastAsia" w:hAnsiTheme="majorHAnsi" w:cstheme="majorHAnsi"/>
          <w:sz w:val="22"/>
          <w:szCs w:val="22"/>
          <w:lang w:eastAsia="zh-TW"/>
        </w:rPr>
        <w:t>: ohranitev obstoječega stanja, kar pomeni nadaljevanje prometnih zastojev, nizke prometne varnosti, odsotnosti ustrezne kolesarske in peš infrastrukture ter neurejenih javnih površin.</w:t>
      </w:r>
    </w:p>
    <w:p w14:paraId="08EEFACD" w14:textId="77777777" w:rsidR="00201753" w:rsidRPr="000020F0" w:rsidRDefault="00201753" w:rsidP="00201753">
      <w:pPr>
        <w:numPr>
          <w:ilvl w:val="0"/>
          <w:numId w:val="216"/>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b/>
          <w:bCs/>
          <w:sz w:val="22"/>
          <w:szCs w:val="22"/>
          <w:lang w:eastAsia="zh-TW"/>
        </w:rPr>
        <w:t>Varianta 1 – izvedba projekta</w:t>
      </w:r>
      <w:r w:rsidRPr="000020F0">
        <w:rPr>
          <w:rFonts w:asciiTheme="majorHAnsi" w:eastAsiaTheme="majorEastAsia" w:hAnsiTheme="majorHAnsi" w:cstheme="majorHAnsi"/>
          <w:sz w:val="22"/>
          <w:szCs w:val="22"/>
          <w:lang w:eastAsia="zh-TW"/>
        </w:rPr>
        <w:t>: rekonstrukcija cest v skupne prometne prostore, ureditev avtobusnega postajališča, ureditev kolesarske infrastrukture (varna kolesarnica, stojala, sistem e-koles), ukrepi umirjanja prometa (merilci hitrosti, dvignjeni prehodi, zožitve) ter spremljajoče zelene ureditve.</w:t>
      </w:r>
    </w:p>
    <w:p w14:paraId="151CB268" w14:textId="77777777" w:rsidR="00201753" w:rsidRPr="000020F0" w:rsidRDefault="00201753" w:rsidP="00201753">
      <w:pPr>
        <w:spacing w:line="276" w:lineRule="auto"/>
        <w:jc w:val="both"/>
        <w:rPr>
          <w:rFonts w:asciiTheme="majorHAnsi" w:eastAsiaTheme="majorEastAsia" w:hAnsiTheme="majorHAnsi" w:cstheme="majorHAnsi"/>
          <w:b/>
          <w:bCs/>
          <w:sz w:val="22"/>
          <w:szCs w:val="22"/>
          <w:lang w:eastAsia="zh-TW"/>
        </w:rPr>
      </w:pPr>
    </w:p>
    <w:p w14:paraId="531836D4" w14:textId="3DA24422"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b/>
          <w:bCs/>
          <w:sz w:val="22"/>
          <w:szCs w:val="22"/>
          <w:lang w:eastAsia="zh-TW"/>
        </w:rPr>
        <w:t>Namen in cilji projekta</w:t>
      </w:r>
      <w:r w:rsidRPr="000020F0">
        <w:rPr>
          <w:rFonts w:asciiTheme="majorHAnsi" w:eastAsiaTheme="majorEastAsia" w:hAnsiTheme="majorHAnsi" w:cstheme="majorHAnsi"/>
          <w:sz w:val="22"/>
          <w:szCs w:val="22"/>
          <w:lang w:eastAsia="zh-TW"/>
        </w:rPr>
        <w:t xml:space="preserve"> so izboljšanje pogojev za hojo, kolesarjenje in uporabo javnega potniškega prometa, povečanje prometne varnosti ranljivih skupin (otroci, starejši, gibalno ovirani), zmanjšanje emisij CO</w:t>
      </w:r>
      <w:r w:rsidRPr="000020F0">
        <w:rPr>
          <w:rFonts w:ascii="Cambria Math" w:eastAsiaTheme="majorEastAsia" w:hAnsi="Cambria Math" w:cs="Cambria Math"/>
          <w:sz w:val="22"/>
          <w:szCs w:val="22"/>
          <w:lang w:eastAsia="zh-TW"/>
        </w:rPr>
        <w:t>₂</w:t>
      </w:r>
      <w:r w:rsidRPr="000020F0">
        <w:rPr>
          <w:rFonts w:asciiTheme="majorHAnsi" w:eastAsiaTheme="majorEastAsia" w:hAnsiTheme="majorHAnsi" w:cstheme="majorHAnsi"/>
          <w:sz w:val="22"/>
          <w:szCs w:val="22"/>
          <w:lang w:eastAsia="zh-TW"/>
        </w:rPr>
        <w:t xml:space="preserve"> in drugih negativnih vplivov motornega prometa ter izbolj</w:t>
      </w:r>
      <w:r w:rsidRPr="000020F0">
        <w:rPr>
          <w:rFonts w:ascii="Arial" w:eastAsiaTheme="majorEastAsia" w:hAnsi="Arial" w:cs="Arial"/>
          <w:sz w:val="22"/>
          <w:szCs w:val="22"/>
          <w:lang w:eastAsia="zh-TW"/>
        </w:rPr>
        <w:t>š</w:t>
      </w:r>
      <w:r w:rsidRPr="000020F0">
        <w:rPr>
          <w:rFonts w:asciiTheme="majorHAnsi" w:eastAsiaTheme="majorEastAsia" w:hAnsiTheme="majorHAnsi" w:cstheme="majorHAnsi"/>
          <w:sz w:val="22"/>
          <w:szCs w:val="22"/>
          <w:lang w:eastAsia="zh-TW"/>
        </w:rPr>
        <w:t>anje kakovosti zraka in bivanja v sredi</w:t>
      </w:r>
      <w:r w:rsidRPr="000020F0">
        <w:rPr>
          <w:rFonts w:ascii="Arial" w:eastAsiaTheme="majorEastAsia" w:hAnsi="Arial" w:cs="Arial"/>
          <w:sz w:val="22"/>
          <w:szCs w:val="22"/>
          <w:lang w:eastAsia="zh-TW"/>
        </w:rPr>
        <w:t>šč</w:t>
      </w:r>
      <w:r w:rsidRPr="000020F0">
        <w:rPr>
          <w:rFonts w:asciiTheme="majorHAnsi" w:eastAsiaTheme="majorEastAsia" w:hAnsiTheme="majorHAnsi" w:cstheme="majorHAnsi"/>
          <w:sz w:val="22"/>
          <w:szCs w:val="22"/>
          <w:lang w:eastAsia="zh-TW"/>
        </w:rPr>
        <w:t>u naselja.</w:t>
      </w:r>
    </w:p>
    <w:p w14:paraId="2E211C4B" w14:textId="77777777" w:rsidR="00201753" w:rsidRPr="000020F0" w:rsidRDefault="00201753" w:rsidP="00201753">
      <w:pPr>
        <w:spacing w:line="276" w:lineRule="auto"/>
        <w:jc w:val="both"/>
        <w:rPr>
          <w:rFonts w:asciiTheme="majorHAnsi" w:eastAsiaTheme="majorEastAsia" w:hAnsiTheme="majorHAnsi" w:cstheme="majorHAnsi"/>
          <w:b/>
          <w:bCs/>
          <w:sz w:val="22"/>
          <w:szCs w:val="22"/>
          <w:lang w:eastAsia="zh-TW"/>
        </w:rPr>
      </w:pPr>
    </w:p>
    <w:p w14:paraId="62FC513C" w14:textId="7BEF807C"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b/>
          <w:bCs/>
          <w:sz w:val="22"/>
          <w:szCs w:val="22"/>
          <w:lang w:eastAsia="zh-TW"/>
        </w:rPr>
        <w:t>Ključni pričakovani rezultati</w:t>
      </w:r>
      <w:r w:rsidRPr="000020F0">
        <w:rPr>
          <w:rFonts w:asciiTheme="majorHAnsi" w:eastAsiaTheme="majorEastAsia" w:hAnsiTheme="majorHAnsi" w:cstheme="majorHAnsi"/>
          <w:sz w:val="22"/>
          <w:szCs w:val="22"/>
          <w:lang w:eastAsia="zh-TW"/>
        </w:rPr>
        <w:t>:</w:t>
      </w:r>
    </w:p>
    <w:p w14:paraId="04C54C0F" w14:textId="425A81AD"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3616 m² rekonstruiranih prometnih površin,</w:t>
      </w:r>
    </w:p>
    <w:p w14:paraId="20038616" w14:textId="68944F0C"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zmanjšanje površin za motorni promet za več kot 1</w:t>
      </w:r>
      <w:r w:rsidR="00485D0D" w:rsidRPr="000020F0">
        <w:rPr>
          <w:rFonts w:asciiTheme="majorHAnsi" w:eastAsiaTheme="majorEastAsia" w:hAnsiTheme="majorHAnsi" w:cstheme="majorHAnsi"/>
          <w:sz w:val="22"/>
          <w:szCs w:val="22"/>
          <w:lang w:eastAsia="zh-TW"/>
        </w:rPr>
        <w:t>9</w:t>
      </w:r>
      <w:r w:rsidRPr="000020F0">
        <w:rPr>
          <w:rFonts w:asciiTheme="majorHAnsi" w:eastAsiaTheme="majorEastAsia" w:hAnsiTheme="majorHAnsi" w:cstheme="majorHAnsi"/>
          <w:sz w:val="22"/>
          <w:szCs w:val="22"/>
          <w:lang w:eastAsia="zh-TW"/>
        </w:rPr>
        <w:t xml:space="preserve"> %,</w:t>
      </w:r>
    </w:p>
    <w:p w14:paraId="423BBB08" w14:textId="77777777"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3 novi avtobusni peroni in 7 lokacij za parkiranje koles,</w:t>
      </w:r>
    </w:p>
    <w:p w14:paraId="0882EEDC" w14:textId="77777777"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2 postaji za izposojo e-koles in varna kolesarnica,</w:t>
      </w:r>
    </w:p>
    <w:p w14:paraId="2212364E" w14:textId="4EF604BD"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 xml:space="preserve">18 novih dreves v parku in </w:t>
      </w:r>
      <w:r w:rsidR="00485D0D" w:rsidRPr="000020F0">
        <w:rPr>
          <w:rFonts w:asciiTheme="majorHAnsi" w:eastAsiaTheme="majorEastAsia" w:hAnsiTheme="majorHAnsi" w:cstheme="majorHAnsi"/>
          <w:sz w:val="22"/>
          <w:szCs w:val="22"/>
          <w:lang w:eastAsia="zh-TW"/>
        </w:rPr>
        <w:t>99</w:t>
      </w:r>
      <w:r w:rsidRPr="000020F0">
        <w:rPr>
          <w:rFonts w:asciiTheme="majorHAnsi" w:eastAsiaTheme="majorEastAsia" w:hAnsiTheme="majorHAnsi" w:cstheme="majorHAnsi"/>
          <w:sz w:val="22"/>
          <w:szCs w:val="22"/>
          <w:lang w:eastAsia="zh-TW"/>
        </w:rPr>
        <w:t xml:space="preserve"> novih dreves drugod,</w:t>
      </w:r>
    </w:p>
    <w:p w14:paraId="2FBA13A5" w14:textId="77777777"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vzpostavitev »</w:t>
      </w:r>
      <w:proofErr w:type="spellStart"/>
      <w:r w:rsidRPr="000020F0">
        <w:rPr>
          <w:rFonts w:asciiTheme="majorHAnsi" w:eastAsiaTheme="majorEastAsia" w:hAnsiTheme="majorHAnsi" w:cstheme="majorHAnsi"/>
          <w:sz w:val="22"/>
          <w:szCs w:val="22"/>
          <w:lang w:eastAsia="zh-TW"/>
        </w:rPr>
        <w:t>shared</w:t>
      </w:r>
      <w:proofErr w:type="spellEnd"/>
      <w:r w:rsidRPr="000020F0">
        <w:rPr>
          <w:rFonts w:asciiTheme="majorHAnsi" w:eastAsiaTheme="majorEastAsia" w:hAnsiTheme="majorHAnsi" w:cstheme="majorHAnsi"/>
          <w:sz w:val="22"/>
          <w:szCs w:val="22"/>
          <w:lang w:eastAsia="zh-TW"/>
        </w:rPr>
        <w:t xml:space="preserve"> </w:t>
      </w:r>
      <w:proofErr w:type="spellStart"/>
      <w:r w:rsidRPr="000020F0">
        <w:rPr>
          <w:rFonts w:asciiTheme="majorHAnsi" w:eastAsiaTheme="majorEastAsia" w:hAnsiTheme="majorHAnsi" w:cstheme="majorHAnsi"/>
          <w:sz w:val="22"/>
          <w:szCs w:val="22"/>
          <w:lang w:eastAsia="zh-TW"/>
        </w:rPr>
        <w:t>space</w:t>
      </w:r>
      <w:proofErr w:type="spellEnd"/>
      <w:r w:rsidRPr="000020F0">
        <w:rPr>
          <w:rFonts w:asciiTheme="majorHAnsi" w:eastAsiaTheme="majorEastAsia" w:hAnsiTheme="majorHAnsi" w:cstheme="majorHAnsi"/>
          <w:sz w:val="22"/>
          <w:szCs w:val="22"/>
          <w:lang w:eastAsia="zh-TW"/>
        </w:rPr>
        <w:t>« prometne ureditve,</w:t>
      </w:r>
    </w:p>
    <w:p w14:paraId="10907B75" w14:textId="77777777" w:rsidR="00201753" w:rsidRPr="000020F0" w:rsidRDefault="00201753" w:rsidP="00201753">
      <w:pPr>
        <w:numPr>
          <w:ilvl w:val="0"/>
          <w:numId w:val="217"/>
        </w:num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zmanjšanje emisij toplogrednih plinov in hrupa, večja prometna varnost ter privlačnejši javni prostor.</w:t>
      </w:r>
    </w:p>
    <w:p w14:paraId="7368C689" w14:textId="77777777" w:rsidR="00201753" w:rsidRPr="000020F0" w:rsidRDefault="00201753" w:rsidP="00201753">
      <w:pPr>
        <w:spacing w:line="276" w:lineRule="auto"/>
        <w:jc w:val="both"/>
        <w:rPr>
          <w:rFonts w:asciiTheme="majorHAnsi" w:eastAsiaTheme="majorEastAsia" w:hAnsiTheme="majorHAnsi" w:cstheme="majorHAnsi"/>
          <w:b/>
          <w:bCs/>
          <w:sz w:val="22"/>
          <w:szCs w:val="22"/>
          <w:lang w:eastAsia="zh-TW"/>
        </w:rPr>
      </w:pPr>
    </w:p>
    <w:p w14:paraId="11DCFB2B" w14:textId="3179D3D8" w:rsidR="00201753" w:rsidRPr="000020F0" w:rsidRDefault="00201753" w:rsidP="001322C1">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b/>
          <w:bCs/>
          <w:sz w:val="22"/>
          <w:szCs w:val="22"/>
          <w:lang w:eastAsia="zh-TW"/>
        </w:rPr>
        <w:t>Vrednost investicije</w:t>
      </w:r>
      <w:r w:rsidRPr="000020F0">
        <w:rPr>
          <w:rFonts w:asciiTheme="majorHAnsi" w:eastAsiaTheme="majorEastAsia" w:hAnsiTheme="majorHAnsi" w:cstheme="majorHAnsi"/>
          <w:sz w:val="22"/>
          <w:szCs w:val="22"/>
          <w:lang w:eastAsia="zh-TW"/>
        </w:rPr>
        <w:t xml:space="preserve"> znaša po tekočih cenah znaša </w:t>
      </w:r>
      <w:r w:rsidR="006A7516" w:rsidRPr="000020F0">
        <w:rPr>
          <w:rFonts w:asciiTheme="majorHAnsi" w:eastAsiaTheme="majorEastAsia" w:hAnsiTheme="majorHAnsi" w:cstheme="majorHAnsi"/>
          <w:sz w:val="22"/>
          <w:szCs w:val="22"/>
          <w:lang w:eastAsia="zh-TW"/>
        </w:rPr>
        <w:t xml:space="preserve">3.386.054,85 </w:t>
      </w:r>
      <w:r w:rsidRPr="000020F0">
        <w:rPr>
          <w:rFonts w:asciiTheme="majorHAnsi" w:eastAsiaTheme="majorEastAsia" w:hAnsiTheme="majorHAnsi" w:cstheme="majorHAnsi"/>
          <w:sz w:val="22"/>
          <w:szCs w:val="22"/>
          <w:lang w:eastAsia="zh-TW"/>
        </w:rPr>
        <w:t>EUR z DDV</w:t>
      </w:r>
      <w:r w:rsidR="001322C1" w:rsidRPr="000020F0">
        <w:rPr>
          <w:rFonts w:asciiTheme="majorHAnsi" w:eastAsiaTheme="majorEastAsia" w:hAnsiTheme="majorHAnsi" w:cstheme="majorHAnsi"/>
          <w:sz w:val="22"/>
          <w:szCs w:val="22"/>
          <w:lang w:eastAsia="zh-TW"/>
        </w:rPr>
        <w:t xml:space="preserve">, ob načrtovanem financiranju z lastnimi sredstvi in </w:t>
      </w:r>
      <w:r w:rsidRPr="000020F0">
        <w:rPr>
          <w:rFonts w:asciiTheme="majorHAnsi" w:eastAsiaTheme="majorEastAsia" w:hAnsiTheme="majorHAnsi" w:cstheme="majorHAnsi"/>
          <w:sz w:val="22"/>
          <w:szCs w:val="22"/>
          <w:lang w:eastAsia="zh-TW"/>
        </w:rPr>
        <w:t>nepovratn</w:t>
      </w:r>
      <w:r w:rsidR="001322C1" w:rsidRPr="000020F0">
        <w:rPr>
          <w:rFonts w:asciiTheme="majorHAnsi" w:eastAsiaTheme="majorEastAsia" w:hAnsiTheme="majorHAnsi" w:cstheme="majorHAnsi"/>
          <w:sz w:val="22"/>
          <w:szCs w:val="22"/>
          <w:lang w:eastAsia="zh-TW"/>
        </w:rPr>
        <w:t>imi</w:t>
      </w:r>
      <w:r w:rsidRPr="000020F0">
        <w:rPr>
          <w:rFonts w:asciiTheme="majorHAnsi" w:eastAsiaTheme="majorEastAsia" w:hAnsiTheme="majorHAnsi" w:cstheme="majorHAnsi"/>
          <w:sz w:val="22"/>
          <w:szCs w:val="22"/>
          <w:lang w:eastAsia="zh-TW"/>
        </w:rPr>
        <w:t xml:space="preserve"> sredstv</w:t>
      </w:r>
      <w:r w:rsidR="001322C1" w:rsidRPr="000020F0">
        <w:rPr>
          <w:rFonts w:asciiTheme="majorHAnsi" w:eastAsiaTheme="majorEastAsia" w:hAnsiTheme="majorHAnsi" w:cstheme="majorHAnsi"/>
          <w:sz w:val="22"/>
          <w:szCs w:val="22"/>
          <w:lang w:eastAsia="zh-TW"/>
        </w:rPr>
        <w:t>i</w:t>
      </w:r>
      <w:r w:rsidRPr="000020F0">
        <w:rPr>
          <w:rFonts w:asciiTheme="majorHAnsi" w:eastAsiaTheme="majorEastAsia" w:hAnsiTheme="majorHAnsi" w:cstheme="majorHAnsi"/>
          <w:sz w:val="22"/>
          <w:szCs w:val="22"/>
          <w:lang w:eastAsia="zh-TW"/>
        </w:rPr>
        <w:t xml:space="preserve"> iz </w:t>
      </w:r>
      <w:r w:rsidRPr="000020F0">
        <w:rPr>
          <w:rFonts w:asciiTheme="majorHAnsi" w:eastAsiaTheme="majorEastAsia" w:hAnsiTheme="majorHAnsi" w:cstheme="majorHAnsi"/>
          <w:b/>
          <w:bCs/>
          <w:sz w:val="22"/>
          <w:szCs w:val="22"/>
          <w:lang w:eastAsia="zh-TW"/>
        </w:rPr>
        <w:t>javnega razpisa MOPE (JR EKP UTM 202</w:t>
      </w:r>
      <w:r w:rsidR="008240FF" w:rsidRPr="000020F0">
        <w:rPr>
          <w:rFonts w:asciiTheme="majorHAnsi" w:eastAsiaTheme="majorEastAsia" w:hAnsiTheme="majorHAnsi" w:cstheme="majorHAnsi"/>
          <w:b/>
          <w:bCs/>
          <w:sz w:val="22"/>
          <w:szCs w:val="22"/>
          <w:lang w:eastAsia="zh-TW"/>
        </w:rPr>
        <w:t>5</w:t>
      </w:r>
      <w:r w:rsidRPr="000020F0">
        <w:rPr>
          <w:rFonts w:asciiTheme="majorHAnsi" w:eastAsiaTheme="majorEastAsia" w:hAnsiTheme="majorHAnsi" w:cstheme="majorHAnsi"/>
          <w:b/>
          <w:bCs/>
          <w:sz w:val="22"/>
          <w:szCs w:val="22"/>
          <w:lang w:eastAsia="zh-TW"/>
        </w:rPr>
        <w:t>)</w:t>
      </w:r>
      <w:r w:rsidRPr="000020F0">
        <w:rPr>
          <w:rFonts w:asciiTheme="majorHAnsi" w:eastAsiaTheme="majorEastAsia" w:hAnsiTheme="majorHAnsi" w:cstheme="majorHAnsi"/>
          <w:sz w:val="22"/>
          <w:szCs w:val="22"/>
          <w:lang w:eastAsia="zh-TW"/>
        </w:rPr>
        <w:t>.</w:t>
      </w:r>
    </w:p>
    <w:p w14:paraId="5C82FAA7" w14:textId="77777777" w:rsidR="00201753" w:rsidRPr="000020F0" w:rsidRDefault="00201753" w:rsidP="00201753">
      <w:pPr>
        <w:spacing w:line="276" w:lineRule="auto"/>
        <w:jc w:val="both"/>
        <w:rPr>
          <w:rFonts w:asciiTheme="majorHAnsi" w:eastAsiaTheme="majorEastAsia" w:hAnsiTheme="majorHAnsi" w:cstheme="majorHAnsi"/>
          <w:sz w:val="22"/>
          <w:szCs w:val="22"/>
          <w:lang w:eastAsia="zh-TW"/>
        </w:rPr>
      </w:pPr>
    </w:p>
    <w:p w14:paraId="659C54EB" w14:textId="347A8D14" w:rsidR="00201753" w:rsidRPr="000020F0" w:rsidRDefault="00201753" w:rsidP="00201753">
      <w:pPr>
        <w:spacing w:line="276" w:lineRule="auto"/>
        <w:jc w:val="both"/>
        <w:rPr>
          <w:rFonts w:asciiTheme="majorHAnsi" w:eastAsiaTheme="majorEastAsia" w:hAnsiTheme="majorHAnsi" w:cstheme="majorHAnsi"/>
          <w:sz w:val="22"/>
          <w:szCs w:val="22"/>
          <w:lang w:eastAsia="zh-TW"/>
        </w:rPr>
      </w:pPr>
      <w:r w:rsidRPr="000020F0">
        <w:rPr>
          <w:rFonts w:asciiTheme="majorHAnsi" w:eastAsiaTheme="majorEastAsia" w:hAnsiTheme="majorHAnsi" w:cstheme="majorHAnsi"/>
          <w:sz w:val="22"/>
          <w:szCs w:val="22"/>
          <w:lang w:eastAsia="zh-TW"/>
        </w:rPr>
        <w:t xml:space="preserve">DIIP utemeljuje, da je </w:t>
      </w:r>
      <w:r w:rsidRPr="000020F0">
        <w:rPr>
          <w:rFonts w:asciiTheme="majorHAnsi" w:eastAsiaTheme="majorEastAsia" w:hAnsiTheme="majorHAnsi" w:cstheme="majorHAnsi"/>
          <w:b/>
          <w:bCs/>
          <w:sz w:val="22"/>
          <w:szCs w:val="22"/>
          <w:lang w:eastAsia="zh-TW"/>
        </w:rPr>
        <w:t>varianta 1 – izvedba projekta</w:t>
      </w:r>
      <w:r w:rsidRPr="000020F0">
        <w:rPr>
          <w:rFonts w:asciiTheme="majorHAnsi" w:eastAsiaTheme="majorEastAsia" w:hAnsiTheme="majorHAnsi" w:cstheme="majorHAnsi"/>
          <w:sz w:val="22"/>
          <w:szCs w:val="22"/>
          <w:lang w:eastAsia="zh-TW"/>
        </w:rPr>
        <w:t xml:space="preserve"> optimalna, saj prinaša celovite prometne, </w:t>
      </w:r>
      <w:proofErr w:type="spellStart"/>
      <w:r w:rsidRPr="000020F0">
        <w:rPr>
          <w:rFonts w:asciiTheme="majorHAnsi" w:eastAsiaTheme="majorEastAsia" w:hAnsiTheme="majorHAnsi" w:cstheme="majorHAnsi"/>
          <w:sz w:val="22"/>
          <w:szCs w:val="22"/>
          <w:lang w:eastAsia="zh-TW"/>
        </w:rPr>
        <w:t>okoljske</w:t>
      </w:r>
      <w:proofErr w:type="spellEnd"/>
      <w:r w:rsidRPr="000020F0">
        <w:rPr>
          <w:rFonts w:asciiTheme="majorHAnsi" w:eastAsiaTheme="majorEastAsia" w:hAnsiTheme="majorHAnsi" w:cstheme="majorHAnsi"/>
          <w:sz w:val="22"/>
          <w:szCs w:val="22"/>
          <w:lang w:eastAsia="zh-TW"/>
        </w:rPr>
        <w:t xml:space="preserve"> in družbene koristi, ki so skladne z občinskimi, nacionalnimi in evropskimi razvojnimi cilji.</w:t>
      </w:r>
    </w:p>
    <w:p w14:paraId="32CC714F" w14:textId="2699D7E6" w:rsidR="00BF13FA" w:rsidRPr="000020F0" w:rsidRDefault="00BF13FA"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81" w:name="_Toc230882172"/>
      <w:r w:rsidRPr="000020F0">
        <w:rPr>
          <w:rFonts w:asciiTheme="majorHAnsi" w:eastAsiaTheme="majorEastAsia" w:hAnsiTheme="majorHAnsi" w:cstheme="majorHAnsi"/>
          <w:color w:val="244061" w:themeColor="accent1" w:themeShade="80"/>
        </w:rPr>
        <w:t>Povzetek predinvesticijske zasnove</w:t>
      </w:r>
      <w:bookmarkEnd w:id="81"/>
    </w:p>
    <w:p w14:paraId="4CF3A604" w14:textId="77777777" w:rsidR="00315205" w:rsidRPr="000020F0" w:rsidRDefault="00315205" w:rsidP="00315205">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 xml:space="preserve">Predinvesticijska zasnova »Celovita ureditev centra Ig – ukrepi trajnostne mobilnosti« je bila avgusta 2025 izdelana za naročnika Občina Ig (izdelovalec </w:t>
      </w:r>
      <w:proofErr w:type="spellStart"/>
      <w:r w:rsidRPr="000020F0">
        <w:rPr>
          <w:rFonts w:asciiTheme="majorHAnsi" w:hAnsiTheme="majorHAnsi" w:cstheme="majorHAnsi"/>
          <w:b/>
          <w:bCs/>
          <w:sz w:val="22"/>
          <w:szCs w:val="22"/>
          <w:lang w:eastAsia="en-US"/>
        </w:rPr>
        <w:t>ProSVET</w:t>
      </w:r>
      <w:proofErr w:type="spellEnd"/>
      <w:r w:rsidRPr="000020F0">
        <w:rPr>
          <w:rFonts w:asciiTheme="majorHAnsi" w:hAnsiTheme="majorHAnsi" w:cstheme="majorHAnsi"/>
          <w:b/>
          <w:bCs/>
          <w:sz w:val="22"/>
          <w:szCs w:val="22"/>
          <w:lang w:eastAsia="en-US"/>
        </w:rPr>
        <w:t xml:space="preserve">, Martina Magajna </w:t>
      </w:r>
      <w:proofErr w:type="spellStart"/>
      <w:r w:rsidRPr="000020F0">
        <w:rPr>
          <w:rFonts w:asciiTheme="majorHAnsi" w:hAnsiTheme="majorHAnsi" w:cstheme="majorHAnsi"/>
          <w:b/>
          <w:bCs/>
          <w:sz w:val="22"/>
          <w:szCs w:val="22"/>
          <w:lang w:eastAsia="en-US"/>
        </w:rPr>
        <w:t>s.p</w:t>
      </w:r>
      <w:proofErr w:type="spellEnd"/>
      <w:r w:rsidRPr="000020F0">
        <w:rPr>
          <w:rFonts w:asciiTheme="majorHAnsi" w:hAnsiTheme="majorHAnsi" w:cstheme="majorHAnsi"/>
          <w:b/>
          <w:bCs/>
          <w:sz w:val="22"/>
          <w:szCs w:val="22"/>
          <w:lang w:eastAsia="en-US"/>
        </w:rPr>
        <w:t>.).</w:t>
      </w:r>
    </w:p>
    <w:p w14:paraId="3A34D8BF" w14:textId="77777777" w:rsidR="00315205" w:rsidRPr="000020F0" w:rsidRDefault="00315205" w:rsidP="00315205">
      <w:p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lastRenderedPageBreak/>
        <w:t>Za investicijo so bile obravnavane tri variante:</w:t>
      </w:r>
    </w:p>
    <w:p w14:paraId="186BFA72" w14:textId="77777777" w:rsidR="00315205" w:rsidRPr="000020F0" w:rsidRDefault="00315205" w:rsidP="00315205">
      <w:pPr>
        <w:numPr>
          <w:ilvl w:val="0"/>
          <w:numId w:val="126"/>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Varianta 0</w:t>
      </w:r>
      <w:r w:rsidRPr="000020F0">
        <w:rPr>
          <w:rFonts w:asciiTheme="majorHAnsi" w:hAnsiTheme="majorHAnsi" w:cstheme="majorHAnsi"/>
          <w:sz w:val="22"/>
          <w:szCs w:val="22"/>
          <w:lang w:eastAsia="en-US"/>
        </w:rPr>
        <w:t>: brez projekta (ohranitev obstoječega stanja),</w:t>
      </w:r>
    </w:p>
    <w:p w14:paraId="01739FD7" w14:textId="705C309F" w:rsidR="00315205" w:rsidRPr="000020F0" w:rsidRDefault="00315205" w:rsidP="00315205">
      <w:pPr>
        <w:numPr>
          <w:ilvl w:val="0"/>
          <w:numId w:val="126"/>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Varianta 1</w:t>
      </w:r>
      <w:r w:rsidRPr="000020F0">
        <w:rPr>
          <w:rFonts w:asciiTheme="majorHAnsi" w:hAnsiTheme="majorHAnsi" w:cstheme="majorHAnsi"/>
          <w:sz w:val="22"/>
          <w:szCs w:val="22"/>
          <w:lang w:eastAsia="en-US"/>
        </w:rPr>
        <w:t>: izvedba projekta z nepovratnimi sredstvi (JR EKP UTM 202</w:t>
      </w:r>
      <w:r w:rsidR="00255C83" w:rsidRPr="000020F0">
        <w:rPr>
          <w:rFonts w:asciiTheme="majorHAnsi" w:hAnsiTheme="majorHAnsi" w:cstheme="majorHAnsi"/>
          <w:sz w:val="22"/>
          <w:szCs w:val="22"/>
          <w:lang w:eastAsia="en-US"/>
        </w:rPr>
        <w:t>5</w:t>
      </w:r>
      <w:r w:rsidRPr="000020F0">
        <w:rPr>
          <w:rFonts w:asciiTheme="majorHAnsi" w:hAnsiTheme="majorHAnsi" w:cstheme="majorHAnsi"/>
          <w:sz w:val="22"/>
          <w:szCs w:val="22"/>
          <w:lang w:eastAsia="en-US"/>
        </w:rPr>
        <w:t>),</w:t>
      </w:r>
    </w:p>
    <w:p w14:paraId="4BC7A5F7" w14:textId="77777777" w:rsidR="00315205" w:rsidRPr="000020F0" w:rsidRDefault="00315205" w:rsidP="00315205">
      <w:pPr>
        <w:numPr>
          <w:ilvl w:val="0"/>
          <w:numId w:val="126"/>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Varianta 2</w:t>
      </w:r>
      <w:r w:rsidRPr="000020F0">
        <w:rPr>
          <w:rFonts w:asciiTheme="majorHAnsi" w:hAnsiTheme="majorHAnsi" w:cstheme="majorHAnsi"/>
          <w:sz w:val="22"/>
          <w:szCs w:val="22"/>
          <w:lang w:eastAsia="en-US"/>
        </w:rPr>
        <w:t>: izvedba projekta z lastnimi sredstvi.</w:t>
      </w:r>
    </w:p>
    <w:p w14:paraId="4536CAAD" w14:textId="77777777" w:rsidR="00315205" w:rsidRPr="000020F0" w:rsidRDefault="00315205" w:rsidP="00315205">
      <w:pPr>
        <w:spacing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Rezultati in koristi izvedbene variante (izbrana je Varianta 1):</w:t>
      </w:r>
    </w:p>
    <w:p w14:paraId="620A1AE6" w14:textId="77777777" w:rsidR="00315205" w:rsidRPr="000020F0" w:rsidRDefault="00315205" w:rsidP="00315205">
      <w:pPr>
        <w:numPr>
          <w:ilvl w:val="0"/>
          <w:numId w:val="127"/>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celovita preureditev središča Iga z ukrepi trajnostne mobilnosti: preureditev Govekarjeve in Troštove ulice, sodobno avtobusno postajališče, kolesarnica, parkirišča za kolesa, varne šolske poti, sistem e-koles, umirjanje prometa, digitalni prikazovalniki hitrosti,</w:t>
      </w:r>
    </w:p>
    <w:p w14:paraId="38B6D168" w14:textId="77777777" w:rsidR="00315205" w:rsidRPr="000020F0" w:rsidRDefault="00315205" w:rsidP="00315205">
      <w:pPr>
        <w:numPr>
          <w:ilvl w:val="0"/>
          <w:numId w:val="127"/>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povečana prometna varnost, zlasti za šolarje, starejše in ranljive skupine,</w:t>
      </w:r>
    </w:p>
    <w:p w14:paraId="588C532E" w14:textId="77777777" w:rsidR="00315205" w:rsidRPr="000020F0" w:rsidRDefault="00315205" w:rsidP="00315205">
      <w:pPr>
        <w:numPr>
          <w:ilvl w:val="0"/>
          <w:numId w:val="127"/>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zmanjšanje emisij CO</w:t>
      </w:r>
      <w:r w:rsidRPr="000020F0">
        <w:rPr>
          <w:rFonts w:ascii="Cambria Math" w:hAnsi="Cambria Math" w:cs="Cambria Math"/>
          <w:sz w:val="22"/>
          <w:szCs w:val="22"/>
          <w:lang w:eastAsia="en-US"/>
        </w:rPr>
        <w:t>₂</w:t>
      </w:r>
      <w:r w:rsidRPr="000020F0">
        <w:rPr>
          <w:rFonts w:asciiTheme="majorHAnsi" w:hAnsiTheme="majorHAnsi" w:cstheme="majorHAnsi"/>
          <w:sz w:val="22"/>
          <w:szCs w:val="22"/>
          <w:lang w:eastAsia="en-US"/>
        </w:rPr>
        <w:t xml:space="preserve"> (10,67 t/leto), manj hrupa in toplotnih otokov,</w:t>
      </w:r>
    </w:p>
    <w:p w14:paraId="1A5FE1BB" w14:textId="77777777" w:rsidR="00315205" w:rsidRPr="000020F0" w:rsidRDefault="00315205" w:rsidP="00315205">
      <w:pPr>
        <w:numPr>
          <w:ilvl w:val="0"/>
          <w:numId w:val="127"/>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spodbujanje hoje, kolesarjenja in uporabe javnega potniškega prometa,</w:t>
      </w:r>
    </w:p>
    <w:p w14:paraId="6B638A7D" w14:textId="77777777" w:rsidR="00315205" w:rsidRPr="000020F0" w:rsidRDefault="00315205" w:rsidP="00315205">
      <w:pPr>
        <w:numPr>
          <w:ilvl w:val="0"/>
          <w:numId w:val="127"/>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izboljšanje kakovosti bivanja in višja privlačnost javnih površin,</w:t>
      </w:r>
    </w:p>
    <w:p w14:paraId="64C4C928" w14:textId="77777777" w:rsidR="00315205" w:rsidRPr="000020F0" w:rsidRDefault="00315205" w:rsidP="00315205">
      <w:pPr>
        <w:numPr>
          <w:ilvl w:val="0"/>
          <w:numId w:val="127"/>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pozitiven vpliv na lokalni razvoj, turizem in vrednost nepremičnin.</w:t>
      </w:r>
    </w:p>
    <w:p w14:paraId="6C65E529" w14:textId="77777777" w:rsidR="00315205" w:rsidRPr="000020F0" w:rsidRDefault="00315205" w:rsidP="00315205">
      <w:pPr>
        <w:spacing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Investicijska vrednost:</w:t>
      </w:r>
    </w:p>
    <w:p w14:paraId="1C1549BC" w14:textId="77777777" w:rsidR="00315205" w:rsidRPr="000020F0" w:rsidRDefault="00315205" w:rsidP="00315205">
      <w:pPr>
        <w:numPr>
          <w:ilvl w:val="0"/>
          <w:numId w:val="128"/>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skupna vrednost investicije (varianta 1): 3,14 mio EUR z DDV,</w:t>
      </w:r>
    </w:p>
    <w:p w14:paraId="77BA843D" w14:textId="77777777" w:rsidR="00315205" w:rsidRPr="000020F0" w:rsidRDefault="00315205" w:rsidP="00315205">
      <w:pPr>
        <w:numPr>
          <w:ilvl w:val="0"/>
          <w:numId w:val="128"/>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občina krije približno 40 % stroškov, preostalo so nepovratna sredstva.</w:t>
      </w:r>
    </w:p>
    <w:p w14:paraId="49701B49" w14:textId="77777777" w:rsidR="00315205" w:rsidRPr="000020F0" w:rsidRDefault="00315205" w:rsidP="00315205">
      <w:pPr>
        <w:spacing w:line="276" w:lineRule="auto"/>
        <w:jc w:val="both"/>
        <w:rPr>
          <w:rFonts w:asciiTheme="majorHAnsi" w:hAnsiTheme="majorHAnsi" w:cstheme="majorHAnsi"/>
          <w:sz w:val="22"/>
          <w:szCs w:val="22"/>
          <w:lang w:eastAsia="en-US"/>
        </w:rPr>
      </w:pPr>
      <w:r w:rsidRPr="000020F0">
        <w:rPr>
          <w:rFonts w:asciiTheme="majorHAnsi" w:hAnsiTheme="majorHAnsi" w:cstheme="majorHAnsi"/>
          <w:b/>
          <w:bCs/>
          <w:sz w:val="22"/>
          <w:szCs w:val="22"/>
          <w:lang w:eastAsia="en-US"/>
        </w:rPr>
        <w:t>Ekonomski učinki (varianta 1):</w:t>
      </w:r>
    </w:p>
    <w:p w14:paraId="6CD39490" w14:textId="77777777" w:rsidR="00315205" w:rsidRPr="000020F0" w:rsidRDefault="00315205" w:rsidP="00315205">
      <w:pPr>
        <w:numPr>
          <w:ilvl w:val="0"/>
          <w:numId w:val="129"/>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pozitivna neto sedanja vrednost (ENPV ≈ 3,38 mio EUR),</w:t>
      </w:r>
    </w:p>
    <w:p w14:paraId="0BF73860" w14:textId="77777777" w:rsidR="00315205" w:rsidRPr="000020F0" w:rsidRDefault="00315205" w:rsidP="00315205">
      <w:pPr>
        <w:numPr>
          <w:ilvl w:val="0"/>
          <w:numId w:val="129"/>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interna ekonomska stopnja donosnosti (15,1 %) presega diskontno stopnjo,</w:t>
      </w:r>
    </w:p>
    <w:p w14:paraId="263A6942" w14:textId="77777777" w:rsidR="00315205" w:rsidRPr="000020F0" w:rsidRDefault="00315205" w:rsidP="00315205">
      <w:pPr>
        <w:numPr>
          <w:ilvl w:val="0"/>
          <w:numId w:val="129"/>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razmerje koristi/stroški (B/C) = 2,16,</w:t>
      </w:r>
    </w:p>
    <w:p w14:paraId="29E4CD2A" w14:textId="77777777" w:rsidR="00315205" w:rsidRPr="000020F0" w:rsidRDefault="00315205" w:rsidP="00315205">
      <w:pPr>
        <w:numPr>
          <w:ilvl w:val="0"/>
          <w:numId w:val="129"/>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krajša povračilna doba (≈ 5,9 let).</w:t>
      </w:r>
    </w:p>
    <w:p w14:paraId="5A464E8B" w14:textId="77777777" w:rsidR="00315205" w:rsidRPr="000020F0" w:rsidRDefault="00315205" w:rsidP="00315205">
      <w:pPr>
        <w:spacing w:after="200" w:line="276" w:lineRule="auto"/>
        <w:jc w:val="both"/>
        <w:rPr>
          <w:rFonts w:asciiTheme="majorHAnsi" w:hAnsiTheme="majorHAnsi" w:cstheme="majorHAnsi"/>
          <w:b/>
          <w:bCs/>
          <w:sz w:val="22"/>
          <w:szCs w:val="22"/>
          <w:lang w:eastAsia="en-US"/>
        </w:rPr>
      </w:pPr>
      <w:r w:rsidRPr="000020F0">
        <w:rPr>
          <w:rFonts w:asciiTheme="majorHAnsi" w:hAnsiTheme="majorHAnsi" w:cstheme="majorHAnsi"/>
          <w:b/>
          <w:bCs/>
          <w:sz w:val="22"/>
          <w:szCs w:val="22"/>
          <w:lang w:eastAsia="en-US"/>
        </w:rPr>
        <w:t>Izbor optimalne variante:</w:t>
      </w:r>
    </w:p>
    <w:p w14:paraId="499F82F9" w14:textId="74B18B9F" w:rsidR="00315205" w:rsidRPr="000020F0" w:rsidRDefault="00315205" w:rsidP="00315205">
      <w:p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Na podlagi finančne, ekonomske in </w:t>
      </w:r>
      <w:proofErr w:type="spellStart"/>
      <w:r w:rsidRPr="000020F0">
        <w:rPr>
          <w:rFonts w:asciiTheme="majorHAnsi" w:hAnsiTheme="majorHAnsi" w:cstheme="majorHAnsi"/>
          <w:sz w:val="22"/>
          <w:szCs w:val="22"/>
          <w:lang w:eastAsia="en-US"/>
        </w:rPr>
        <w:t>okoljske</w:t>
      </w:r>
      <w:proofErr w:type="spellEnd"/>
      <w:r w:rsidRPr="000020F0">
        <w:rPr>
          <w:rFonts w:asciiTheme="majorHAnsi" w:hAnsiTheme="majorHAnsi" w:cstheme="majorHAnsi"/>
          <w:sz w:val="22"/>
          <w:szCs w:val="22"/>
          <w:lang w:eastAsia="en-US"/>
        </w:rPr>
        <w:t xml:space="preserve"> analize je kot optimalna potrjena </w:t>
      </w:r>
      <w:r w:rsidRPr="000020F0">
        <w:rPr>
          <w:rFonts w:asciiTheme="majorHAnsi" w:hAnsiTheme="majorHAnsi" w:cstheme="majorHAnsi"/>
          <w:b/>
          <w:bCs/>
          <w:sz w:val="22"/>
          <w:szCs w:val="22"/>
          <w:lang w:eastAsia="en-US"/>
        </w:rPr>
        <w:t>Varianta 1 – izvedba projekta z nepovratnimi sredstvi</w:t>
      </w:r>
      <w:r w:rsidRPr="000020F0">
        <w:rPr>
          <w:rFonts w:asciiTheme="majorHAnsi" w:hAnsiTheme="majorHAnsi" w:cstheme="majorHAnsi"/>
          <w:sz w:val="22"/>
          <w:szCs w:val="22"/>
          <w:lang w:eastAsia="en-US"/>
        </w:rPr>
        <w:t>, saj:</w:t>
      </w:r>
    </w:p>
    <w:p w14:paraId="07706593" w14:textId="77777777" w:rsidR="00315205" w:rsidRPr="000020F0" w:rsidRDefault="00315205" w:rsidP="00315205">
      <w:pPr>
        <w:numPr>
          <w:ilvl w:val="0"/>
          <w:numId w:val="130"/>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razbremeni občinski proračun,</w:t>
      </w:r>
    </w:p>
    <w:p w14:paraId="7DF56714" w14:textId="77777777" w:rsidR="00315205" w:rsidRPr="000020F0" w:rsidRDefault="00315205" w:rsidP="00315205">
      <w:pPr>
        <w:numPr>
          <w:ilvl w:val="0"/>
          <w:numId w:val="130"/>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prinaša znatne družbene koristi že do leta 2029,</w:t>
      </w:r>
    </w:p>
    <w:p w14:paraId="4A8070B0" w14:textId="77777777" w:rsidR="00315205" w:rsidRPr="000020F0" w:rsidRDefault="00315205" w:rsidP="00315205">
      <w:pPr>
        <w:numPr>
          <w:ilvl w:val="0"/>
          <w:numId w:val="130"/>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je skladna z nacionalnimi in evropskimi strateškimi dokumenti ter cilji trajnostne mobilnosti,</w:t>
      </w:r>
    </w:p>
    <w:p w14:paraId="3C6FE4AF" w14:textId="77777777" w:rsidR="00315205" w:rsidRPr="000020F0" w:rsidRDefault="00315205" w:rsidP="00315205">
      <w:pPr>
        <w:numPr>
          <w:ilvl w:val="0"/>
          <w:numId w:val="130"/>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zagotavlja večjo varnost, kakovost bivanja in trajnostni razvoj prostora.</w:t>
      </w:r>
    </w:p>
    <w:p w14:paraId="7A61169B" w14:textId="270C2DCE" w:rsidR="006E2ACD" w:rsidRPr="000020F0" w:rsidRDefault="006E2AC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82" w:name="_Toc230882173"/>
      <w:r w:rsidRPr="000020F0">
        <w:rPr>
          <w:rFonts w:asciiTheme="majorHAnsi" w:eastAsiaTheme="majorEastAsia" w:hAnsiTheme="majorHAnsi" w:cstheme="majorHAnsi"/>
          <w:color w:val="244061" w:themeColor="accent1" w:themeShade="80"/>
        </w:rPr>
        <w:t xml:space="preserve">Spremembe </w:t>
      </w:r>
      <w:r w:rsidR="00A653EF" w:rsidRPr="000020F0">
        <w:rPr>
          <w:rFonts w:asciiTheme="majorHAnsi" w:eastAsiaTheme="majorEastAsia" w:hAnsiTheme="majorHAnsi" w:cstheme="majorHAnsi"/>
          <w:color w:val="244061" w:themeColor="accent1" w:themeShade="80"/>
        </w:rPr>
        <w:t>v fazi izdelave investicijske dokumentacije</w:t>
      </w:r>
      <w:bookmarkEnd w:id="82"/>
    </w:p>
    <w:p w14:paraId="05431AA0" w14:textId="2BFA1D0A" w:rsidR="006E2ACD" w:rsidRPr="000020F0" w:rsidRDefault="00A653EF" w:rsidP="00BD1D20">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Od </w:t>
      </w:r>
      <w:r w:rsidR="005020A0" w:rsidRPr="000020F0">
        <w:rPr>
          <w:rFonts w:asciiTheme="majorHAnsi" w:hAnsiTheme="majorHAnsi" w:cstheme="majorHAnsi"/>
          <w:sz w:val="22"/>
          <w:szCs w:val="22"/>
          <w:lang w:eastAsia="en-US"/>
        </w:rPr>
        <w:t xml:space="preserve">izdelave </w:t>
      </w:r>
      <w:r w:rsidR="00617DC4" w:rsidRPr="000020F0">
        <w:rPr>
          <w:rFonts w:asciiTheme="majorHAnsi" w:hAnsiTheme="majorHAnsi" w:cstheme="majorHAnsi"/>
          <w:sz w:val="22"/>
          <w:szCs w:val="22"/>
          <w:lang w:eastAsia="en-US"/>
        </w:rPr>
        <w:t>predinvesticijske zasnove</w:t>
      </w:r>
      <w:r w:rsidR="005020A0" w:rsidRPr="000020F0">
        <w:rPr>
          <w:rFonts w:asciiTheme="majorHAnsi" w:hAnsiTheme="majorHAnsi" w:cstheme="majorHAnsi"/>
          <w:sz w:val="22"/>
          <w:szCs w:val="22"/>
          <w:lang w:eastAsia="en-US"/>
        </w:rPr>
        <w:t xml:space="preserve"> </w:t>
      </w:r>
      <w:r w:rsidR="008842D1" w:rsidRPr="000020F0">
        <w:rPr>
          <w:rFonts w:asciiTheme="majorHAnsi" w:hAnsiTheme="majorHAnsi" w:cstheme="majorHAnsi"/>
          <w:sz w:val="22"/>
          <w:szCs w:val="22"/>
          <w:lang w:eastAsia="en-US"/>
        </w:rPr>
        <w:t xml:space="preserve">pa do izdelave investicijskega programa </w:t>
      </w:r>
      <w:r w:rsidR="008252A9" w:rsidRPr="000020F0">
        <w:rPr>
          <w:rFonts w:asciiTheme="majorHAnsi" w:hAnsiTheme="majorHAnsi" w:cstheme="majorHAnsi"/>
          <w:sz w:val="22"/>
          <w:szCs w:val="22"/>
          <w:lang w:eastAsia="en-US"/>
        </w:rPr>
        <w:t xml:space="preserve">je prišlo do sprememb zaradi izdelave višjega nivoja projektne dokumentacije, kjer so vrednosti bolj natančno ocenjene. Prišlo je do sprememb, ki vplivajo na višino investicije. </w:t>
      </w:r>
    </w:p>
    <w:p w14:paraId="4839CAF9" w14:textId="77777777" w:rsidR="00E672F9" w:rsidRPr="000020F0" w:rsidRDefault="00E672F9" w:rsidP="00E672F9">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V fazi priprave in dopolnjevanja investicijske dokumentacije so bile identificirane določene spremembe oziroma odstopanja od prvotno načrtovanih izhodišč projekta. Spremembe so posledica nadaljnje vsebinske, tehnične, finančne in terminske preveritve projekta ter prilagoditve dokumentacije zahtevam javnega razpisa in aktualnim razmeram izvedbe.</w:t>
      </w:r>
    </w:p>
    <w:p w14:paraId="6C2C9403" w14:textId="44339AE1" w:rsidR="00E672F9" w:rsidRPr="000020F0" w:rsidRDefault="00E672F9" w:rsidP="00E672F9">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Občina Ig je projekt predhodno že prijavila na prvi rok javnega razpisa MOPE JR EKP UTM 202</w:t>
      </w:r>
      <w:r w:rsidR="008240FF" w:rsidRPr="000020F0">
        <w:rPr>
          <w:rFonts w:asciiTheme="majorHAnsi" w:hAnsiTheme="majorHAnsi" w:cstheme="majorHAnsi"/>
          <w:sz w:val="22"/>
          <w:szCs w:val="22"/>
          <w:lang w:eastAsia="en-US"/>
        </w:rPr>
        <w:t>5</w:t>
      </w:r>
      <w:r w:rsidRPr="000020F0">
        <w:rPr>
          <w:rFonts w:asciiTheme="majorHAnsi" w:hAnsiTheme="majorHAnsi" w:cstheme="majorHAnsi"/>
          <w:sz w:val="22"/>
          <w:szCs w:val="22"/>
          <w:lang w:eastAsia="en-US"/>
        </w:rPr>
        <w:t>, vendar pri pridobitvi nepovratnih sredstev ni bila uspešna. Zaradi navedenega je pristopila k nadgradnji projekta, ponovni preveritvi investicijskih izhodišč ter pripravi dokumentacije za prijavo projekta na drugi rok istega javnega razpisa.</w:t>
      </w:r>
    </w:p>
    <w:p w14:paraId="053723F7" w14:textId="77777777" w:rsidR="00E672F9" w:rsidRPr="000020F0" w:rsidRDefault="00E672F9" w:rsidP="00E672F9">
      <w:p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lastRenderedPageBreak/>
        <w:t xml:space="preserve">V okviru </w:t>
      </w:r>
      <w:proofErr w:type="spellStart"/>
      <w:r w:rsidRPr="000020F0">
        <w:rPr>
          <w:rFonts w:asciiTheme="majorHAnsi" w:hAnsiTheme="majorHAnsi" w:cstheme="majorHAnsi"/>
          <w:sz w:val="22"/>
          <w:szCs w:val="22"/>
          <w:lang w:eastAsia="en-US"/>
        </w:rPr>
        <w:t>novelacije</w:t>
      </w:r>
      <w:proofErr w:type="spellEnd"/>
      <w:r w:rsidRPr="000020F0">
        <w:rPr>
          <w:rFonts w:asciiTheme="majorHAnsi" w:hAnsiTheme="majorHAnsi" w:cstheme="majorHAnsi"/>
          <w:sz w:val="22"/>
          <w:szCs w:val="22"/>
          <w:lang w:eastAsia="en-US"/>
        </w:rPr>
        <w:t xml:space="preserve"> investicijskega programa so bile zato obravnavane in upoštevane predvsem naslednje spremembe:</w:t>
      </w:r>
    </w:p>
    <w:p w14:paraId="2F6B6B5C" w14:textId="77777777" w:rsidR="00E672F9" w:rsidRPr="000020F0" w:rsidRDefault="00E672F9" w:rsidP="00E672F9">
      <w:pPr>
        <w:numPr>
          <w:ilvl w:val="0"/>
          <w:numId w:val="222"/>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sprememba ocenjene vrednosti investicije, </w:t>
      </w:r>
    </w:p>
    <w:p w14:paraId="47027DD7" w14:textId="77777777" w:rsidR="00E672F9" w:rsidRPr="000020F0" w:rsidRDefault="00E672F9" w:rsidP="00E672F9">
      <w:pPr>
        <w:numPr>
          <w:ilvl w:val="0"/>
          <w:numId w:val="222"/>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sprememba predvidene časovne dinamike izvedbe projekta, </w:t>
      </w:r>
    </w:p>
    <w:p w14:paraId="45A27DA4" w14:textId="77777777" w:rsidR="00E672F9" w:rsidRPr="000020F0" w:rsidRDefault="00E672F9" w:rsidP="00E672F9">
      <w:pPr>
        <w:numPr>
          <w:ilvl w:val="0"/>
          <w:numId w:val="222"/>
        </w:numPr>
        <w:spacing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sprememba oziroma uskladitev virov in višine zagotovljenih sredstev, </w:t>
      </w:r>
    </w:p>
    <w:p w14:paraId="05BAE2EF" w14:textId="77777777" w:rsidR="00E672F9" w:rsidRPr="000020F0" w:rsidRDefault="00E672F9" w:rsidP="00E672F9">
      <w:pPr>
        <w:numPr>
          <w:ilvl w:val="0"/>
          <w:numId w:val="222"/>
        </w:num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sprememba oziroma dopolnitev tehnične rešitve projekta. </w:t>
      </w:r>
    </w:p>
    <w:p w14:paraId="6DA0A2F1" w14:textId="77777777" w:rsidR="00E672F9" w:rsidRPr="000020F0" w:rsidRDefault="00E672F9" w:rsidP="00E672F9">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Navedene spremembe vplivajo na vsebino, obseg, finančno konstrukcijo in terminski načrt izvedbe investicije, zato je potrebna </w:t>
      </w:r>
      <w:proofErr w:type="spellStart"/>
      <w:r w:rsidRPr="000020F0">
        <w:rPr>
          <w:rFonts w:asciiTheme="majorHAnsi" w:hAnsiTheme="majorHAnsi" w:cstheme="majorHAnsi"/>
          <w:sz w:val="22"/>
          <w:szCs w:val="22"/>
          <w:lang w:eastAsia="en-US"/>
        </w:rPr>
        <w:t>novelacija</w:t>
      </w:r>
      <w:proofErr w:type="spellEnd"/>
      <w:r w:rsidRPr="000020F0">
        <w:rPr>
          <w:rFonts w:asciiTheme="majorHAnsi" w:hAnsiTheme="majorHAnsi" w:cstheme="majorHAnsi"/>
          <w:sz w:val="22"/>
          <w:szCs w:val="22"/>
          <w:lang w:eastAsia="en-US"/>
        </w:rPr>
        <w:t xml:space="preserve"> investicijskega programa. Namen </w:t>
      </w:r>
      <w:proofErr w:type="spellStart"/>
      <w:r w:rsidRPr="000020F0">
        <w:rPr>
          <w:rFonts w:asciiTheme="majorHAnsi" w:hAnsiTheme="majorHAnsi" w:cstheme="majorHAnsi"/>
          <w:sz w:val="22"/>
          <w:szCs w:val="22"/>
          <w:lang w:eastAsia="en-US"/>
        </w:rPr>
        <w:t>novelacije</w:t>
      </w:r>
      <w:proofErr w:type="spellEnd"/>
      <w:r w:rsidRPr="000020F0">
        <w:rPr>
          <w:rFonts w:asciiTheme="majorHAnsi" w:hAnsiTheme="majorHAnsi" w:cstheme="majorHAnsi"/>
          <w:sz w:val="22"/>
          <w:szCs w:val="22"/>
          <w:lang w:eastAsia="en-US"/>
        </w:rPr>
        <w:t xml:space="preserve"> je zagotoviti, da investicijska dokumentacija odraža dejansko stanje projekta, posodobljene projektne rešitve, realne investicijske vrednosti ter usklajene vire financiranja za nadaljnjo izvedbo projekta.</w:t>
      </w:r>
    </w:p>
    <w:p w14:paraId="0F05DE86" w14:textId="0F233EDB" w:rsidR="007F6FE2" w:rsidRPr="000020F0" w:rsidRDefault="007F6FE2" w:rsidP="00BD1D20">
      <w:pPr>
        <w:spacing w:after="200" w:line="276" w:lineRule="auto"/>
        <w:jc w:val="both"/>
        <w:rPr>
          <w:rFonts w:asciiTheme="majorHAnsi" w:hAnsiTheme="majorHAnsi" w:cstheme="majorHAnsi"/>
          <w:sz w:val="22"/>
          <w:szCs w:val="22"/>
          <w:lang w:eastAsia="en-US"/>
        </w:rPr>
      </w:pPr>
    </w:p>
    <w:p w14:paraId="4DF0477B" w14:textId="675C15D0" w:rsidR="00570AB0" w:rsidRPr="000020F0" w:rsidRDefault="00570AB0" w:rsidP="00BD1D20">
      <w:pPr>
        <w:pBdr>
          <w:top w:val="single" w:sz="4" w:space="1" w:color="auto"/>
          <w:left w:val="single" w:sz="4" w:space="4" w:color="auto"/>
          <w:bottom w:val="single" w:sz="4" w:space="1" w:color="auto"/>
          <w:right w:val="single" w:sz="4" w:space="4" w:color="auto"/>
        </w:pBdr>
        <w:spacing w:after="200" w:line="276" w:lineRule="auto"/>
        <w:jc w:val="both"/>
        <w:rPr>
          <w:rFonts w:asciiTheme="majorHAnsi" w:hAnsiTheme="majorHAnsi" w:cstheme="majorHAnsi"/>
          <w:b/>
          <w:sz w:val="22"/>
          <w:szCs w:val="22"/>
        </w:rPr>
      </w:pPr>
      <w:r w:rsidRPr="000020F0">
        <w:rPr>
          <w:rFonts w:asciiTheme="majorHAnsi" w:hAnsiTheme="majorHAnsi" w:cstheme="majorHAnsi"/>
        </w:rPr>
        <w:br w:type="page"/>
      </w:r>
    </w:p>
    <w:p w14:paraId="15F30E81" w14:textId="56AE537E" w:rsidR="00570AB0" w:rsidRPr="000020F0" w:rsidRDefault="00570AB0" w:rsidP="00BD1D20">
      <w:pPr>
        <w:pStyle w:val="Naslov1"/>
        <w:numPr>
          <w:ilvl w:val="0"/>
          <w:numId w:val="3"/>
        </w:numPr>
        <w:rPr>
          <w:rFonts w:cstheme="majorHAnsi"/>
        </w:rPr>
      </w:pPr>
      <w:bookmarkStart w:id="83" w:name="_Toc230882174"/>
      <w:r w:rsidRPr="000020F0">
        <w:rPr>
          <w:rFonts w:cstheme="majorHAnsi"/>
        </w:rPr>
        <w:lastRenderedPageBreak/>
        <w:t xml:space="preserve">POVZETEK </w:t>
      </w:r>
      <w:r w:rsidR="007F6FE2" w:rsidRPr="000020F0">
        <w:rPr>
          <w:rFonts w:cstheme="majorHAnsi"/>
        </w:rPr>
        <w:t xml:space="preserve">NOVELACIJE </w:t>
      </w:r>
      <w:r w:rsidRPr="000020F0">
        <w:rPr>
          <w:rFonts w:cstheme="majorHAnsi"/>
        </w:rPr>
        <w:t>INVESTICIJSKEGA PROGRAMA</w:t>
      </w:r>
      <w:r w:rsidR="007F6FE2" w:rsidRPr="000020F0">
        <w:rPr>
          <w:rFonts w:cstheme="majorHAnsi"/>
        </w:rPr>
        <w:t xml:space="preserve"> ŠT. 1</w:t>
      </w:r>
      <w:bookmarkEnd w:id="83"/>
    </w:p>
    <w:p w14:paraId="28803605" w14:textId="77777777" w:rsidR="001373D3" w:rsidRPr="000020F0" w:rsidRDefault="001373D3" w:rsidP="00BD1D20">
      <w:pPr>
        <w:spacing w:after="120" w:line="276" w:lineRule="auto"/>
        <w:jc w:val="both"/>
        <w:rPr>
          <w:rFonts w:asciiTheme="majorHAnsi" w:hAnsiTheme="majorHAnsi" w:cstheme="majorHAnsi"/>
          <w:sz w:val="22"/>
          <w:szCs w:val="22"/>
        </w:rPr>
      </w:pPr>
    </w:p>
    <w:p w14:paraId="50FE9916" w14:textId="1F0E54AF" w:rsidR="00055F83" w:rsidRPr="000020F0" w:rsidRDefault="00055F83" w:rsidP="00055F83">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Predmetn</w:t>
      </w:r>
      <w:r w:rsidR="007F6FE2" w:rsidRPr="000020F0">
        <w:rPr>
          <w:rFonts w:asciiTheme="majorHAnsi" w:hAnsiTheme="majorHAnsi" w:cstheme="majorHAnsi"/>
          <w:sz w:val="22"/>
          <w:szCs w:val="22"/>
        </w:rPr>
        <w:t>a</w:t>
      </w:r>
      <w:r w:rsidRPr="000020F0">
        <w:rPr>
          <w:rFonts w:asciiTheme="majorHAnsi" w:hAnsiTheme="majorHAnsi" w:cstheme="majorHAnsi"/>
          <w:sz w:val="22"/>
          <w:szCs w:val="22"/>
        </w:rPr>
        <w:t xml:space="preserve"> </w:t>
      </w:r>
      <w:proofErr w:type="spellStart"/>
      <w:r w:rsidR="007F6FE2" w:rsidRPr="000020F0">
        <w:rPr>
          <w:rFonts w:asciiTheme="majorHAnsi" w:eastAsia="Arial Unicode MS" w:hAnsiTheme="majorHAnsi" w:cstheme="majorHAnsi"/>
          <w:sz w:val="22"/>
          <w:szCs w:val="22"/>
          <w:lang w:eastAsia="zh-TW"/>
        </w:rPr>
        <w:t>novelacija</w:t>
      </w:r>
      <w:proofErr w:type="spellEnd"/>
      <w:r w:rsidR="007F6FE2" w:rsidRPr="000020F0">
        <w:rPr>
          <w:rFonts w:asciiTheme="majorHAnsi" w:eastAsia="Arial Unicode MS" w:hAnsiTheme="majorHAnsi" w:cstheme="majorHAnsi"/>
          <w:sz w:val="22"/>
          <w:szCs w:val="22"/>
          <w:lang w:eastAsia="zh-TW"/>
        </w:rPr>
        <w:t xml:space="preserve"> investicijskega programa št. 1</w:t>
      </w:r>
      <w:r w:rsidR="00C0128B" w:rsidRPr="000020F0">
        <w:rPr>
          <w:rFonts w:asciiTheme="majorHAnsi" w:eastAsia="Arial Unicode MS" w:hAnsiTheme="majorHAnsi" w:cstheme="majorHAnsi"/>
          <w:sz w:val="22"/>
          <w:szCs w:val="22"/>
          <w:lang w:eastAsia="zh-TW"/>
        </w:rPr>
        <w:t xml:space="preserve"> </w:t>
      </w:r>
      <w:r w:rsidRPr="000020F0">
        <w:rPr>
          <w:rFonts w:asciiTheme="majorHAnsi" w:hAnsiTheme="majorHAnsi" w:cstheme="majorHAnsi"/>
          <w:sz w:val="22"/>
          <w:szCs w:val="22"/>
        </w:rPr>
        <w:t xml:space="preserve">obravnava projekt </w:t>
      </w:r>
      <w:r w:rsidRPr="000020F0">
        <w:rPr>
          <w:rFonts w:asciiTheme="majorHAnsi" w:hAnsiTheme="majorHAnsi" w:cstheme="majorHAnsi"/>
          <w:b/>
          <w:bCs/>
          <w:sz w:val="22"/>
          <w:szCs w:val="22"/>
        </w:rPr>
        <w:t>Celovita ureditev centra Ig – ukrepi trajnostne mobilnosti</w:t>
      </w:r>
      <w:r w:rsidRPr="000020F0">
        <w:rPr>
          <w:rFonts w:asciiTheme="majorHAnsi" w:hAnsiTheme="majorHAnsi" w:cstheme="majorHAnsi"/>
          <w:sz w:val="22"/>
          <w:szCs w:val="22"/>
        </w:rPr>
        <w:t xml:space="preserve">, katerega nosilec je </w:t>
      </w:r>
      <w:r w:rsidRPr="000020F0">
        <w:rPr>
          <w:rFonts w:asciiTheme="majorHAnsi" w:hAnsiTheme="majorHAnsi" w:cstheme="majorHAnsi"/>
          <w:b/>
          <w:bCs/>
          <w:sz w:val="22"/>
          <w:szCs w:val="22"/>
        </w:rPr>
        <w:t>Občina Ig</w:t>
      </w:r>
      <w:r w:rsidRPr="000020F0">
        <w:rPr>
          <w:rFonts w:asciiTheme="majorHAnsi" w:hAnsiTheme="majorHAnsi" w:cstheme="majorHAnsi"/>
          <w:sz w:val="22"/>
          <w:szCs w:val="22"/>
        </w:rPr>
        <w:t>. Projekt je del dolgoročnega prizadevanja za izboljšanje prometne varnosti, kakovosti bivanja ter doseganje ciljev trajnostne mobilnosti in podnebne nevtralnosti.</w:t>
      </w:r>
    </w:p>
    <w:p w14:paraId="0B942CDB" w14:textId="77777777" w:rsidR="00055F83" w:rsidRPr="000020F0" w:rsidRDefault="00055F83" w:rsidP="00055F83">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Projekt predvideva celovito preureditev prometnih površin in javnega prostora v središču Iga. Glavni ukrepi vključujejo:</w:t>
      </w:r>
    </w:p>
    <w:p w14:paraId="4E898741" w14:textId="6F62337B"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rekonstrukcijo Govekarjeve ceste in Troštove ulice </w:t>
      </w:r>
      <w:r w:rsidR="00E13CBC" w:rsidRPr="000020F0">
        <w:rPr>
          <w:rFonts w:asciiTheme="majorHAnsi" w:hAnsiTheme="majorHAnsi" w:cstheme="majorHAnsi"/>
          <w:sz w:val="22"/>
          <w:szCs w:val="22"/>
        </w:rPr>
        <w:t xml:space="preserve">ter </w:t>
      </w:r>
      <w:r w:rsidRPr="000020F0">
        <w:rPr>
          <w:rFonts w:asciiTheme="majorHAnsi" w:hAnsiTheme="majorHAnsi" w:cstheme="majorHAnsi"/>
          <w:sz w:val="22"/>
          <w:szCs w:val="22"/>
        </w:rPr>
        <w:t>uvedb</w:t>
      </w:r>
      <w:r w:rsidR="00E13CBC" w:rsidRPr="000020F0">
        <w:rPr>
          <w:rFonts w:asciiTheme="majorHAnsi" w:hAnsiTheme="majorHAnsi" w:cstheme="majorHAnsi"/>
          <w:sz w:val="22"/>
          <w:szCs w:val="22"/>
        </w:rPr>
        <w:t>o</w:t>
      </w:r>
      <w:r w:rsidRPr="000020F0">
        <w:rPr>
          <w:rFonts w:asciiTheme="majorHAnsi" w:hAnsiTheme="majorHAnsi" w:cstheme="majorHAnsi"/>
          <w:sz w:val="22"/>
          <w:szCs w:val="22"/>
        </w:rPr>
        <w:t xml:space="preserve"> skupnega prometnega prostora</w:t>
      </w:r>
      <w:r w:rsidR="006D34F3" w:rsidRPr="000020F0">
        <w:rPr>
          <w:rFonts w:asciiTheme="majorHAnsi" w:hAnsiTheme="majorHAnsi" w:cstheme="majorHAnsi"/>
          <w:sz w:val="22"/>
          <w:szCs w:val="22"/>
        </w:rPr>
        <w:t xml:space="preserve"> na Govekarjevi cesti in Troštovi ulici</w:t>
      </w:r>
      <w:r w:rsidRPr="000020F0">
        <w:rPr>
          <w:rFonts w:asciiTheme="majorHAnsi" w:hAnsiTheme="majorHAnsi" w:cstheme="majorHAnsi"/>
          <w:sz w:val="22"/>
          <w:szCs w:val="22"/>
        </w:rPr>
        <w:t>, kjer bodo prednost imeli pešci in kolesarji,</w:t>
      </w:r>
    </w:p>
    <w:p w14:paraId="0D169D36" w14:textId="0D97AACC"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ureditev sodobnega avtobusnega postajališča s tremi peroni in nadstrešnico</w:t>
      </w:r>
      <w:r w:rsidR="006D6372" w:rsidRPr="000020F0">
        <w:rPr>
          <w:rFonts w:asciiTheme="majorHAnsi" w:hAnsiTheme="majorHAnsi" w:cstheme="majorHAnsi"/>
          <w:sz w:val="22"/>
          <w:szCs w:val="22"/>
        </w:rPr>
        <w:t xml:space="preserve"> ter javnimi sanitarijami (umeščene na trgu pri občini</w:t>
      </w:r>
      <w:r w:rsidR="00CB5363" w:rsidRPr="000020F0">
        <w:rPr>
          <w:rFonts w:asciiTheme="majorHAnsi" w:hAnsiTheme="majorHAnsi" w:cstheme="majorHAnsi"/>
          <w:sz w:val="22"/>
          <w:szCs w:val="22"/>
        </w:rPr>
        <w:t>, oddaljene cca. 100 metrov od avtobusnega postajališča</w:t>
      </w:r>
      <w:r w:rsidR="006D6372" w:rsidRPr="000020F0">
        <w:rPr>
          <w:rFonts w:asciiTheme="majorHAnsi" w:hAnsiTheme="majorHAnsi" w:cstheme="majorHAnsi"/>
          <w:sz w:val="22"/>
          <w:szCs w:val="22"/>
        </w:rPr>
        <w:t>)</w:t>
      </w:r>
      <w:r w:rsidRPr="000020F0">
        <w:rPr>
          <w:rFonts w:asciiTheme="majorHAnsi" w:hAnsiTheme="majorHAnsi" w:cstheme="majorHAnsi"/>
          <w:sz w:val="22"/>
          <w:szCs w:val="22"/>
        </w:rPr>
        <w:t>,</w:t>
      </w:r>
    </w:p>
    <w:p w14:paraId="3799D6DE" w14:textId="77777777"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vzpostavitev javnega sistema izposoje e-koles,</w:t>
      </w:r>
    </w:p>
    <w:p w14:paraId="23D4C99C" w14:textId="77777777"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izgradnjo več kolesarnic in parkirišč za kolesa na strateških lokacijah (šola, trg, park, športni objekti),</w:t>
      </w:r>
    </w:p>
    <w:p w14:paraId="354719AC" w14:textId="77777777"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postavitev merilnikov hitrosti in prikazovalnikov, ki bodo prispevali k umirjanju prometa,</w:t>
      </w:r>
    </w:p>
    <w:p w14:paraId="03B0B793" w14:textId="77777777" w:rsidR="00055F83" w:rsidRPr="000020F0" w:rsidRDefault="00055F83" w:rsidP="00055F83">
      <w:pPr>
        <w:numPr>
          <w:ilvl w:val="0"/>
          <w:numId w:val="214"/>
        </w:num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povečanje deleža zelenih in prepustnih površin ter uvedbo ukrepov za zbiranje in ponovno rabo padavinskih voda.</w:t>
      </w:r>
    </w:p>
    <w:p w14:paraId="2D7F3EF2" w14:textId="77777777" w:rsidR="00055F83" w:rsidRPr="000020F0" w:rsidRDefault="00055F83" w:rsidP="00055F83">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Namen investicije je zagotoviti večjo prometno varnost, zmanjšati emisije CO</w:t>
      </w:r>
      <w:r w:rsidRPr="000020F0">
        <w:rPr>
          <w:rFonts w:ascii="Cambria Math" w:hAnsi="Cambria Math" w:cs="Cambria Math"/>
          <w:sz w:val="22"/>
          <w:szCs w:val="22"/>
        </w:rPr>
        <w:t>₂</w:t>
      </w:r>
      <w:r w:rsidRPr="000020F0">
        <w:rPr>
          <w:rFonts w:asciiTheme="majorHAnsi" w:hAnsiTheme="majorHAnsi" w:cstheme="majorHAnsi"/>
          <w:sz w:val="22"/>
          <w:szCs w:val="22"/>
        </w:rPr>
        <w:t xml:space="preserve"> in hrupa, spodbuditi uporabo trajnostnih oblik mobilnosti ter izbolj</w:t>
      </w:r>
      <w:r w:rsidRPr="000020F0">
        <w:rPr>
          <w:rFonts w:ascii="Arial" w:hAnsi="Arial" w:cs="Arial"/>
          <w:sz w:val="22"/>
          <w:szCs w:val="22"/>
        </w:rPr>
        <w:t>š</w:t>
      </w:r>
      <w:r w:rsidRPr="000020F0">
        <w:rPr>
          <w:rFonts w:asciiTheme="majorHAnsi" w:hAnsiTheme="majorHAnsi" w:cstheme="majorHAnsi"/>
          <w:sz w:val="22"/>
          <w:szCs w:val="22"/>
        </w:rPr>
        <w:t>ati privla</w:t>
      </w:r>
      <w:r w:rsidRPr="000020F0">
        <w:rPr>
          <w:rFonts w:ascii="Arial" w:hAnsi="Arial" w:cs="Arial"/>
          <w:sz w:val="22"/>
          <w:szCs w:val="22"/>
        </w:rPr>
        <w:t>č</w:t>
      </w:r>
      <w:r w:rsidRPr="000020F0">
        <w:rPr>
          <w:rFonts w:asciiTheme="majorHAnsi" w:hAnsiTheme="majorHAnsi" w:cstheme="majorHAnsi"/>
          <w:sz w:val="22"/>
          <w:szCs w:val="22"/>
        </w:rPr>
        <w:t>nost javnega prostora v sredi</w:t>
      </w:r>
      <w:r w:rsidRPr="000020F0">
        <w:rPr>
          <w:rFonts w:ascii="Arial" w:hAnsi="Arial" w:cs="Arial"/>
          <w:sz w:val="22"/>
          <w:szCs w:val="22"/>
        </w:rPr>
        <w:t>šč</w:t>
      </w:r>
      <w:r w:rsidRPr="000020F0">
        <w:rPr>
          <w:rFonts w:asciiTheme="majorHAnsi" w:hAnsiTheme="majorHAnsi" w:cstheme="majorHAnsi"/>
          <w:sz w:val="22"/>
          <w:szCs w:val="22"/>
        </w:rPr>
        <w:t>u Iga.</w:t>
      </w:r>
    </w:p>
    <w:p w14:paraId="30A4044E" w14:textId="4A8984EB" w:rsidR="00055F83" w:rsidRPr="000020F0" w:rsidRDefault="00055F83" w:rsidP="00055F83">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Izvedba projekta se je začela leta 2023 z odkupom zemljišč, zaključek gradbenih del in predaja namenu pa sta predvidena v prvi polovici leta 2029. Projekt se izvaja fazno, pri čemer bodo pripravljalne aktivnosti (dokumentacija, razpisi) potekale v letih 2024–202</w:t>
      </w:r>
      <w:r w:rsidR="00C1415C" w:rsidRPr="000020F0">
        <w:rPr>
          <w:rFonts w:asciiTheme="majorHAnsi" w:hAnsiTheme="majorHAnsi" w:cstheme="majorHAnsi"/>
          <w:sz w:val="22"/>
          <w:szCs w:val="22"/>
        </w:rPr>
        <w:t>6</w:t>
      </w:r>
      <w:r w:rsidRPr="000020F0">
        <w:rPr>
          <w:rFonts w:asciiTheme="majorHAnsi" w:hAnsiTheme="majorHAnsi" w:cstheme="majorHAnsi"/>
          <w:sz w:val="22"/>
          <w:szCs w:val="22"/>
        </w:rPr>
        <w:t xml:space="preserve">, fizična izvedba v obdobju </w:t>
      </w:r>
      <w:r w:rsidR="00C1415C" w:rsidRPr="000020F0">
        <w:rPr>
          <w:rFonts w:asciiTheme="majorHAnsi" w:hAnsiTheme="majorHAnsi" w:cstheme="majorHAnsi"/>
          <w:sz w:val="22"/>
          <w:szCs w:val="22"/>
        </w:rPr>
        <w:t>2027</w:t>
      </w:r>
      <w:r w:rsidRPr="000020F0">
        <w:rPr>
          <w:rFonts w:asciiTheme="majorHAnsi" w:hAnsiTheme="majorHAnsi" w:cstheme="majorHAnsi"/>
          <w:sz w:val="22"/>
          <w:szCs w:val="22"/>
        </w:rPr>
        <w:t>–2028, leto 2029 pa je namenjeno zaključnim delom.</w:t>
      </w:r>
    </w:p>
    <w:p w14:paraId="00E9FD3C" w14:textId="77777777" w:rsidR="00570AB0" w:rsidRPr="000020F0" w:rsidRDefault="00570AB0"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84" w:name="_Toc3698200"/>
      <w:bookmarkStart w:id="85" w:name="_Toc230882175"/>
      <w:r w:rsidRPr="000020F0">
        <w:rPr>
          <w:rFonts w:asciiTheme="majorHAnsi" w:eastAsiaTheme="majorEastAsia" w:hAnsiTheme="majorHAnsi" w:cstheme="majorHAnsi"/>
          <w:color w:val="244061" w:themeColor="accent1" w:themeShade="80"/>
        </w:rPr>
        <w:t>Spisek strokovnih podlag</w:t>
      </w:r>
      <w:bookmarkEnd w:id="84"/>
      <w:bookmarkEnd w:id="85"/>
    </w:p>
    <w:p w14:paraId="2BA48DD6" w14:textId="48421428" w:rsidR="00570AB0" w:rsidRPr="000020F0" w:rsidRDefault="00570AB0" w:rsidP="00BD1D20">
      <w:pPr>
        <w:spacing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 xml:space="preserve">Strokovne podlage za izdelavo </w:t>
      </w:r>
      <w:proofErr w:type="spellStart"/>
      <w:r w:rsidR="00C0128B" w:rsidRPr="000020F0">
        <w:rPr>
          <w:rFonts w:asciiTheme="majorHAnsi" w:hAnsiTheme="majorHAnsi" w:cstheme="majorHAnsi"/>
          <w:sz w:val="22"/>
          <w:szCs w:val="22"/>
          <w:lang w:eastAsia="zh-TW"/>
        </w:rPr>
        <w:t>n</w:t>
      </w:r>
      <w:r w:rsidR="00C0128B" w:rsidRPr="000020F0">
        <w:rPr>
          <w:rFonts w:asciiTheme="majorHAnsi" w:eastAsia="Arial Unicode MS" w:hAnsiTheme="majorHAnsi" w:cstheme="majorHAnsi"/>
          <w:sz w:val="22"/>
          <w:szCs w:val="22"/>
          <w:lang w:eastAsia="zh-TW"/>
        </w:rPr>
        <w:t>ovelacije</w:t>
      </w:r>
      <w:proofErr w:type="spellEnd"/>
      <w:r w:rsidR="00C0128B" w:rsidRPr="000020F0">
        <w:rPr>
          <w:rFonts w:asciiTheme="majorHAnsi" w:eastAsia="Arial Unicode MS" w:hAnsiTheme="majorHAnsi" w:cstheme="majorHAnsi"/>
          <w:sz w:val="22"/>
          <w:szCs w:val="22"/>
          <w:lang w:eastAsia="zh-TW"/>
        </w:rPr>
        <w:t xml:space="preserve"> investicijskega programa št. 1 </w:t>
      </w:r>
      <w:r w:rsidRPr="000020F0">
        <w:rPr>
          <w:rFonts w:asciiTheme="majorHAnsi" w:hAnsiTheme="majorHAnsi" w:cstheme="majorHAnsi"/>
          <w:sz w:val="22"/>
          <w:szCs w:val="22"/>
          <w:lang w:eastAsia="zh-TW"/>
        </w:rPr>
        <w:t>so:</w:t>
      </w:r>
    </w:p>
    <w:p w14:paraId="77951B69" w14:textId="77777777" w:rsidR="00C30113" w:rsidRPr="000020F0" w:rsidRDefault="00C30113" w:rsidP="00C30113">
      <w:pPr>
        <w:numPr>
          <w:ilvl w:val="0"/>
          <w:numId w:val="30"/>
        </w:numPr>
        <w:spacing w:line="276" w:lineRule="auto"/>
        <w:contextualSpacing/>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Uredba o enotni metodologiji za pripravo in obravnavo investicijske dokumentacije na področju javnih financ (Uradni list RS, št. 60/06, 54/10 in 27/16)</w:t>
      </w:r>
    </w:p>
    <w:p w14:paraId="2E498F78" w14:textId="08A45FA5" w:rsidR="00C30113" w:rsidRPr="000020F0" w:rsidRDefault="00C30113" w:rsidP="00C30113">
      <w:pPr>
        <w:numPr>
          <w:ilvl w:val="0"/>
          <w:numId w:val="30"/>
        </w:numPr>
        <w:spacing w:line="276" w:lineRule="auto"/>
        <w:contextualSpacing/>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 xml:space="preserve">Zakon o financiranju občin (Uradni list RS, št. </w:t>
      </w:r>
      <w:r w:rsidR="003761B6" w:rsidRPr="000020F0">
        <w:rPr>
          <w:rFonts w:asciiTheme="majorHAnsi" w:hAnsiTheme="majorHAnsi" w:cstheme="majorHAnsi"/>
          <w:sz w:val="22"/>
          <w:szCs w:val="22"/>
          <w:lang w:eastAsia="zh-TW"/>
        </w:rPr>
        <w:t xml:space="preserve">123/06, 57/08, 36/11, 14/15 – ZUUJFO, 71/17, 21/18 – </w:t>
      </w:r>
      <w:proofErr w:type="spellStart"/>
      <w:r w:rsidR="003761B6" w:rsidRPr="000020F0">
        <w:rPr>
          <w:rFonts w:asciiTheme="majorHAnsi" w:hAnsiTheme="majorHAnsi" w:cstheme="majorHAnsi"/>
          <w:sz w:val="22"/>
          <w:szCs w:val="22"/>
          <w:lang w:eastAsia="zh-TW"/>
        </w:rPr>
        <w:t>popr</w:t>
      </w:r>
      <w:proofErr w:type="spellEnd"/>
      <w:r w:rsidR="003761B6" w:rsidRPr="000020F0">
        <w:rPr>
          <w:rFonts w:asciiTheme="majorHAnsi" w:hAnsiTheme="majorHAnsi" w:cstheme="majorHAnsi"/>
          <w:sz w:val="22"/>
          <w:szCs w:val="22"/>
          <w:lang w:eastAsia="zh-TW"/>
        </w:rPr>
        <w:t>., 80/20 – ZIUOOPE, 189/20 – ZFRO, 207/21, 44/22 – ZVO-2, 17/25, 93/25 – ZNUZJV in 14/26</w:t>
      </w:r>
      <w:r w:rsidRPr="000020F0">
        <w:rPr>
          <w:rFonts w:asciiTheme="majorHAnsi" w:hAnsiTheme="majorHAnsi" w:cstheme="majorHAnsi"/>
          <w:sz w:val="22"/>
          <w:szCs w:val="22"/>
          <w:lang w:eastAsia="zh-TW"/>
        </w:rPr>
        <w:t>)</w:t>
      </w:r>
    </w:p>
    <w:p w14:paraId="75C20EB3" w14:textId="77777777" w:rsidR="005571DC" w:rsidRPr="000020F0" w:rsidRDefault="00C30113" w:rsidP="00456B3A">
      <w:pPr>
        <w:numPr>
          <w:ilvl w:val="0"/>
          <w:numId w:val="30"/>
        </w:numPr>
        <w:spacing w:line="276" w:lineRule="auto"/>
        <w:jc w:val="both"/>
        <w:rPr>
          <w:rFonts w:ascii="Arial" w:eastAsia="Arial" w:hAnsi="Arial" w:cs="Arial"/>
          <w:sz w:val="22"/>
          <w:szCs w:val="22"/>
        </w:rPr>
      </w:pPr>
      <w:bookmarkStart w:id="86" w:name="_Hlk125795979"/>
      <w:r w:rsidRPr="000020F0">
        <w:rPr>
          <w:rFonts w:asciiTheme="majorHAnsi" w:eastAsia="Arial" w:hAnsiTheme="majorHAnsi" w:cstheme="majorHAnsi"/>
          <w:sz w:val="22"/>
          <w:szCs w:val="22"/>
        </w:rPr>
        <w:t>Zakon o javnem naročanju (ZJN-3)</w:t>
      </w:r>
      <w:r w:rsidR="003761B6" w:rsidRPr="000020F0">
        <w:rPr>
          <w:rFonts w:asciiTheme="majorHAnsi" w:eastAsia="Arial" w:hAnsiTheme="majorHAnsi" w:cstheme="majorHAnsi"/>
          <w:sz w:val="22"/>
          <w:szCs w:val="22"/>
        </w:rPr>
        <w:t xml:space="preserve"> (</w:t>
      </w:r>
      <w:r w:rsidRPr="000020F0">
        <w:rPr>
          <w:rFonts w:asciiTheme="majorHAnsi" w:eastAsia="Arial" w:hAnsiTheme="majorHAnsi" w:cstheme="majorHAnsi"/>
          <w:sz w:val="22"/>
          <w:szCs w:val="22"/>
        </w:rPr>
        <w:t>Uradni list RS, št. </w:t>
      </w:r>
      <w:r w:rsidR="003761B6" w:rsidRPr="000020F0">
        <w:rPr>
          <w:rFonts w:asciiTheme="majorHAnsi" w:hAnsiTheme="majorHAnsi" w:cstheme="majorHAnsi"/>
          <w:sz w:val="22"/>
          <w:szCs w:val="22"/>
        </w:rPr>
        <w:t xml:space="preserve">91/15, 14/18, 121/21, 10/22, 74/22 – </w:t>
      </w:r>
      <w:proofErr w:type="spellStart"/>
      <w:r w:rsidR="003761B6" w:rsidRPr="000020F0">
        <w:rPr>
          <w:rFonts w:asciiTheme="majorHAnsi" w:hAnsiTheme="majorHAnsi" w:cstheme="majorHAnsi"/>
          <w:sz w:val="22"/>
          <w:szCs w:val="22"/>
        </w:rPr>
        <w:t>odl</w:t>
      </w:r>
      <w:proofErr w:type="spellEnd"/>
      <w:r w:rsidR="003761B6" w:rsidRPr="000020F0">
        <w:rPr>
          <w:rFonts w:asciiTheme="majorHAnsi" w:hAnsiTheme="majorHAnsi" w:cstheme="majorHAnsi"/>
          <w:sz w:val="22"/>
          <w:szCs w:val="22"/>
        </w:rPr>
        <w:t>. US, 100/22 – ZNUZSZS, 28/23, 88/23 – ZOPNN-F in 83/25 – ZOUL)</w:t>
      </w:r>
      <w:r w:rsidR="005571DC" w:rsidRPr="000020F0">
        <w:t xml:space="preserve"> </w:t>
      </w:r>
    </w:p>
    <w:p w14:paraId="50EA277B" w14:textId="77777777"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Sveta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2020/2093 z dne 17. decembra 2020 o določitvi večletnega finančnega okvira za obdobje 2021–2027 (UL L št. 433I z dne 22. 12. 2020, str. 11), zadnjič spremenjena z Uredbo Sveta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2024/765 z dne 29. februarja 2024 o spremembi Uredbe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2020/2093 o določitvi večletnega finančnega okvira za obdobje 2021–2027 (UL L, 2024/765 z dne 29. 2. 2024);</w:t>
      </w:r>
    </w:p>
    <w:p w14:paraId="41F9880E" w14:textId="02D74717"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2020/2092 Evropskega parlamenta in Sveta z dne 16. decembra 2020 o splošnem režimu pogojenosti za zaščito proračuna Unije (UL L št. 433I z dne 22. </w:t>
      </w:r>
      <w:r w:rsidRPr="000020F0">
        <w:rPr>
          <w:rFonts w:asciiTheme="majorHAnsi" w:eastAsia="Arial" w:hAnsiTheme="majorHAnsi" w:cstheme="majorHAnsi"/>
          <w:sz w:val="22"/>
          <w:szCs w:val="22"/>
        </w:rPr>
        <w:lastRenderedPageBreak/>
        <w:t xml:space="preserve">12. 2020, str. 1), zadnjič popravljena s Popravkom Uredbe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2020/2092 Evropskega parlamenta in Sveta z dne 16. decembra 2020 o splošnem režimu pogojenosti za zaščito proračuna Unije (UL L, 2023/90149 z dne 5. 12. 2023);</w:t>
      </w:r>
    </w:p>
    <w:p w14:paraId="1CE549EB" w14:textId="1865576A"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nadaljnjem besedilu: Uredba (EU) 2021/1060);</w:t>
      </w:r>
    </w:p>
    <w:p w14:paraId="23518521" w14:textId="0B996FDE"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2021/1058 Evropskega parlamenta in Sveta z dne 24. junija 2021 o Evropskem skladu za regionalni razvoj in Kohezijskem skladu (UL L št. 231 z dne 30. 6. 2021, str. 60),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w:t>
      </w:r>
    </w:p>
    <w:p w14:paraId="096D04C7" w14:textId="610EB097"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2024/2509 Evropskega parlamenta in Sveta z dne 23. septembra 2024 o finančnih pravilih, ki se uporabljajo za splošni proračun Unije (UL L, 2024/2509 z dne 26. 9. 2024);</w:t>
      </w:r>
    </w:p>
    <w:p w14:paraId="365D0C34" w14:textId="080FCBEB"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2020/852 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 2024/90104 z dne 15. 2. 2024) (v nadaljnjem besedilu: Uredba (EU) 2020/852);</w:t>
      </w:r>
    </w:p>
    <w:p w14:paraId="2AA9EC6D" w14:textId="7CEF6C04"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0020F0">
        <w:rPr>
          <w:rFonts w:asciiTheme="majorHAnsi" w:eastAsia="Arial" w:hAnsiTheme="majorHAnsi" w:cstheme="majorHAnsi"/>
          <w:sz w:val="22"/>
          <w:szCs w:val="22"/>
        </w:rPr>
        <w:t>okoljskih</w:t>
      </w:r>
      <w:proofErr w:type="spellEnd"/>
      <w:r w:rsidRPr="000020F0">
        <w:rPr>
          <w:rFonts w:asciiTheme="majorHAnsi" w:eastAsia="Arial" w:hAnsiTheme="majorHAnsi" w:cstheme="majorHAnsi"/>
          <w:sz w:val="22"/>
          <w:szCs w:val="22"/>
        </w:rPr>
        <w:t xml:space="preserve"> ciljev (UL L št. 442 z dne 9. 12. 2021, str. 1), zadnjič spremenjena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0020F0">
        <w:rPr>
          <w:rFonts w:asciiTheme="majorHAnsi" w:eastAsia="Arial" w:hAnsiTheme="majorHAnsi" w:cstheme="majorHAnsi"/>
          <w:sz w:val="22"/>
          <w:szCs w:val="22"/>
        </w:rPr>
        <w:t>okoljskih</w:t>
      </w:r>
      <w:proofErr w:type="spellEnd"/>
      <w:r w:rsidRPr="000020F0">
        <w:rPr>
          <w:rFonts w:asciiTheme="majorHAnsi" w:eastAsia="Arial" w:hAnsiTheme="majorHAnsi" w:cstheme="majorHAnsi"/>
          <w:sz w:val="22"/>
          <w:szCs w:val="22"/>
        </w:rPr>
        <w:t xml:space="preserve"> ciljev (UL L, 2023/2485 z dne 21. 11. 2023);</w:t>
      </w:r>
    </w:p>
    <w:p w14:paraId="53DFDAA7" w14:textId="4804D86B" w:rsidR="005C3DC6" w:rsidRPr="000020F0" w:rsidRDefault="005C3DC6" w:rsidP="00053218">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w:t>
      </w:r>
      <w:r w:rsidRPr="000020F0">
        <w:rPr>
          <w:rFonts w:asciiTheme="majorHAnsi" w:eastAsia="Arial" w:hAnsiTheme="majorHAnsi" w:cstheme="majorHAnsi"/>
          <w:sz w:val="22"/>
          <w:szCs w:val="22"/>
        </w:rPr>
        <w:lastRenderedPageBreak/>
        <w:t>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https://ec.europa.eu/regional_policy/sources/guidance/GL_corrections_pp_irregularities_SL.pdf in https://ec.europa.eu/regional_policy/sources/guidance/GL_corrections_pp_irregularities_annex_SL.pdf;</w:t>
      </w:r>
    </w:p>
    <w:p w14:paraId="4DD41654" w14:textId="0FE4650A"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2016/679 Evropskega parlamenta in Sveta z dne 27. aprila 2016 o varstvu posameznikov pri obdelavi osebnih podatkov in o prostem pretoku takih podatkov ter o razveljavitvi Direktive 95/46/ES (Splošna uredba o varstvu podatkov) (UL L št. 119 str.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 (v nadaljnjem besedilu: Uredba (EU) 2016/679);</w:t>
      </w:r>
    </w:p>
    <w:p w14:paraId="5C69704D" w14:textId="7DB124F9"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2022/2039 Evropskega parlamenta in Sveta z dne 19. oktobra 2022 o spremembi uredb (EU) št. 1303/2013 in (EU) 2021/1060 glede dodatne prožnosti za obravnavanje posledic vojaške agresije Ruske federacije FAST (prožna pomoč za ozemlja) – CARE (UL L št. 275 z dne 25.10.2022, str. 23);</w:t>
      </w:r>
    </w:p>
    <w:p w14:paraId="5406275E" w14:textId="478969EB"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drugi delegirani in izvedbeni akti, ki jih Komisija sprejme v skladu s 113. in 114. členom Uredbe (EU) 2021/1060 z vsemi spremembami;</w:t>
      </w:r>
    </w:p>
    <w:p w14:paraId="0B21227C" w14:textId="1A584630"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(v nadaljnjem besedilu: Direktiva 2015/849/EU);</w:t>
      </w:r>
    </w:p>
    <w:p w14:paraId="1134A0A7" w14:textId="55362C8F"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Listina Evropske unije o temeljnih pravicah (UL L št. 326 z dne 26. 10. 2012, str. 391);</w:t>
      </w:r>
    </w:p>
    <w:p w14:paraId="2B03E396" w14:textId="6C9CC4C8"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Smernice o načelih, merilih in okvirnih lestvicah, ki se morajo uporabljati v zvezi s finančnimi popravki, ki jih Komisija izvede v skladu s členoma 99 in 100 Uredbe Sveta (ES) št. 1083/2006, z dne 11. julija 2006, objavljene na https://www.eu-skladi.si/sl/dokumenti/navodila/skmbt_c654e16032914450.pdf;</w:t>
      </w:r>
    </w:p>
    <w:p w14:paraId="4F3EBED1" w14:textId="2D74959F"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Obvestilo Komisije Smernice o izogibanju in obvladovanju nasprotja interesov v skladu s finančno uredbo (2021/C 121/01), objavljeno na https://eur-lex.europa.eu/legal-content/SL/TXT/PDF/?uri=CELEX:52021XC0409(01)&amp;from=SL;</w:t>
      </w:r>
    </w:p>
    <w:p w14:paraId="352B4326" w14:textId="078FA9DF"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Sporazum o partnerstvu med Slovenijo in Evropsko komisijo za obdobje 2021–2027, št. CCI 2021SI16FFPA001, z dne 12. 9. 2022, objavljen na spletni strani https://evropskasredstva.si/evropska-kohezijska-politika/kljucni-dokumenti/programski-dokumenti-za-obdobje-2021-2027/;</w:t>
      </w:r>
    </w:p>
    <w:p w14:paraId="57BBDFDF" w14:textId="7545886D"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Program evropske kohezijske politike v obdobju 2021-2027 v Sloveniji, št. CCI 2021SI16FFPR001, z dne 22. 11. 2024, objavljen na spletni strani https://evropskasredstva.si/evropska-kohezijska-politika/kljucni-dokumenti/programski-dokumenti-za-obdobje-2021-2027/;</w:t>
      </w:r>
    </w:p>
    <w:p w14:paraId="5D884A66" w14:textId="055F9F66"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javnih financah (Uradni list RS, št. 11/11 – uradno prečiščeno besedilo, 14/13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101/13, 55/15 – </w:t>
      </w:r>
      <w:proofErr w:type="spellStart"/>
      <w:r w:rsidRPr="000020F0">
        <w:rPr>
          <w:rFonts w:asciiTheme="majorHAnsi" w:eastAsia="Arial" w:hAnsiTheme="majorHAnsi" w:cstheme="majorHAnsi"/>
          <w:sz w:val="22"/>
          <w:szCs w:val="22"/>
        </w:rPr>
        <w:t>ZFisP</w:t>
      </w:r>
      <w:proofErr w:type="spellEnd"/>
      <w:r w:rsidRPr="000020F0">
        <w:rPr>
          <w:rFonts w:asciiTheme="majorHAnsi" w:eastAsia="Arial" w:hAnsiTheme="majorHAnsi" w:cstheme="majorHAnsi"/>
          <w:sz w:val="22"/>
          <w:szCs w:val="22"/>
        </w:rPr>
        <w:t xml:space="preserve">, 96/15 – ZIPRS1617, 13/18, 195/20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18/23 – ZDU-1O, 76/23</w:t>
      </w:r>
      <w:r w:rsidR="00281DC5" w:rsidRPr="000020F0">
        <w:rPr>
          <w:rFonts w:asciiTheme="majorHAnsi" w:eastAsia="Arial" w:hAnsiTheme="majorHAnsi" w:cstheme="majorHAnsi"/>
          <w:sz w:val="22"/>
          <w:szCs w:val="22"/>
        </w:rPr>
        <w:t>,</w:t>
      </w:r>
      <w:r w:rsidRPr="000020F0">
        <w:rPr>
          <w:rFonts w:asciiTheme="majorHAnsi" w:eastAsia="Arial" w:hAnsiTheme="majorHAnsi" w:cstheme="majorHAnsi"/>
          <w:sz w:val="22"/>
          <w:szCs w:val="22"/>
        </w:rPr>
        <w:t xml:space="preserve"> 24/25 – ZFisP-1</w:t>
      </w:r>
      <w:r w:rsidR="005B51F9" w:rsidRPr="000020F0">
        <w:rPr>
          <w:rFonts w:asciiTheme="majorHAnsi" w:eastAsia="Arial" w:hAnsiTheme="majorHAnsi" w:cstheme="majorHAnsi"/>
          <w:sz w:val="22"/>
          <w:szCs w:val="22"/>
        </w:rPr>
        <w:t>, 39/25 – ZJF-J in 112/25 – ZJF-K</w:t>
      </w:r>
      <w:r w:rsidRPr="000020F0">
        <w:rPr>
          <w:rFonts w:asciiTheme="majorHAnsi" w:eastAsia="Arial" w:hAnsiTheme="majorHAnsi" w:cstheme="majorHAnsi"/>
          <w:sz w:val="22"/>
          <w:szCs w:val="22"/>
        </w:rPr>
        <w:t>);</w:t>
      </w:r>
    </w:p>
    <w:p w14:paraId="509B0378" w14:textId="472BEA63"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Proračun Republike Slovenije za leto 2025 (Uradni list RS, št. 123/23 in 104/24);</w:t>
      </w:r>
    </w:p>
    <w:p w14:paraId="65E0F952" w14:textId="26831EA4"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Proračun Republike Slovenije za leto 2026 (Uradni list RS, št. 104/24</w:t>
      </w:r>
      <w:r w:rsidR="00A40CAA" w:rsidRPr="000020F0">
        <w:rPr>
          <w:rFonts w:asciiTheme="majorHAnsi" w:eastAsia="Arial" w:hAnsiTheme="majorHAnsi" w:cstheme="majorHAnsi"/>
          <w:sz w:val="22"/>
          <w:szCs w:val="22"/>
        </w:rPr>
        <w:t xml:space="preserve"> IN 95/25</w:t>
      </w:r>
      <w:r w:rsidRPr="000020F0">
        <w:rPr>
          <w:rFonts w:asciiTheme="majorHAnsi" w:eastAsia="Arial" w:hAnsiTheme="majorHAnsi" w:cstheme="majorHAnsi"/>
          <w:sz w:val="22"/>
          <w:szCs w:val="22"/>
        </w:rPr>
        <w:t>);</w:t>
      </w:r>
    </w:p>
    <w:p w14:paraId="02C999C2" w14:textId="102AE4CF"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lastRenderedPageBreak/>
        <w:t xml:space="preserve">Zakon o izvrševanju proračunov Republike Slovenije za leti 2025 in 2026 (Uradni list RS, št. </w:t>
      </w:r>
      <w:r w:rsidR="00F73738" w:rsidRPr="000020F0">
        <w:rPr>
          <w:rFonts w:asciiTheme="majorHAnsi" w:eastAsia="Arial" w:hAnsiTheme="majorHAnsi" w:cstheme="majorHAnsi"/>
          <w:sz w:val="22"/>
          <w:szCs w:val="22"/>
        </w:rPr>
        <w:t>104/24, 17/25 – ZFO-1E, 32/25 – ZJU-1 in 95/25 – ZIPRS2627</w:t>
      </w:r>
      <w:r w:rsidRPr="000020F0">
        <w:rPr>
          <w:rFonts w:asciiTheme="majorHAnsi" w:eastAsia="Arial" w:hAnsiTheme="majorHAnsi" w:cstheme="majorHAnsi"/>
          <w:sz w:val="22"/>
          <w:szCs w:val="22"/>
        </w:rPr>
        <w:t>);</w:t>
      </w:r>
    </w:p>
    <w:p w14:paraId="6A367C1B" w14:textId="55768DF0" w:rsidR="00F73738" w:rsidRPr="000020F0" w:rsidRDefault="00F73738"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izvrševanju proračunov Republike Slovenije za leti 2026 in 2027 (Uradni list RS, št. 95/25);</w:t>
      </w:r>
    </w:p>
    <w:p w14:paraId="0B1C4839" w14:textId="0F84D674"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davku na dodano vrednost (Uradni list RS, št. 13/11 – uradno prečiščeno besedilo, 18/11, 78/11, 38/12, 83/12, 86/14, 90/15, 77/18, 59/19, 72/19, 196/21 – </w:t>
      </w:r>
      <w:proofErr w:type="spellStart"/>
      <w:r w:rsidRPr="000020F0">
        <w:rPr>
          <w:rFonts w:asciiTheme="majorHAnsi" w:eastAsia="Arial" w:hAnsiTheme="majorHAnsi" w:cstheme="majorHAnsi"/>
          <w:sz w:val="22"/>
          <w:szCs w:val="22"/>
        </w:rPr>
        <w:t>ZDOsk</w:t>
      </w:r>
      <w:proofErr w:type="spellEnd"/>
      <w:r w:rsidRPr="000020F0">
        <w:rPr>
          <w:rFonts w:asciiTheme="majorHAnsi" w:eastAsia="Arial" w:hAnsiTheme="majorHAnsi" w:cstheme="majorHAnsi"/>
          <w:sz w:val="22"/>
          <w:szCs w:val="22"/>
        </w:rPr>
        <w:t xml:space="preserve">, 3/22, 29/22 – ZUOPDCE, 40/23 – </w:t>
      </w:r>
      <w:proofErr w:type="spellStart"/>
      <w:r w:rsidRPr="000020F0">
        <w:rPr>
          <w:rFonts w:asciiTheme="majorHAnsi" w:eastAsia="Arial" w:hAnsiTheme="majorHAnsi" w:cstheme="majorHAnsi"/>
          <w:sz w:val="22"/>
          <w:szCs w:val="22"/>
        </w:rPr>
        <w:t>ZDavPR</w:t>
      </w:r>
      <w:proofErr w:type="spellEnd"/>
      <w:r w:rsidRPr="000020F0">
        <w:rPr>
          <w:rFonts w:asciiTheme="majorHAnsi" w:eastAsia="Arial" w:hAnsiTheme="majorHAnsi" w:cstheme="majorHAnsi"/>
          <w:sz w:val="22"/>
          <w:szCs w:val="22"/>
        </w:rPr>
        <w:t>-B, 122/23 in 104/24; v nadaljnjem besedilu: ZDDV-1);</w:t>
      </w:r>
    </w:p>
    <w:p w14:paraId="6D86C8C7" w14:textId="2D34F089"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pravnem varstvu v postopkih javnega naročanja (Uradni list RS, št. 43/11, 60/11 – ZTP-D, 63/13, 90/14 – ZDU-1I, 60/17 in 72/19);</w:t>
      </w:r>
    </w:p>
    <w:p w14:paraId="66D16BF5" w14:textId="0B7A923B"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splošnem upravnem postopku (Uradni list RS, št. 24/06 – uradno prečiščeno besedilo, 105/06 – ZUS-1, 126/07, 65/08, 8/10, 82/13 in 175/20 – ZIUOPDVE</w:t>
      </w:r>
      <w:r w:rsidR="000B39BF" w:rsidRPr="000020F0">
        <w:rPr>
          <w:rFonts w:asciiTheme="majorHAnsi" w:eastAsia="Arial" w:hAnsiTheme="majorHAnsi" w:cstheme="majorHAnsi"/>
          <w:sz w:val="22"/>
          <w:szCs w:val="22"/>
        </w:rPr>
        <w:t xml:space="preserve">, </w:t>
      </w:r>
      <w:r w:rsidRPr="000020F0">
        <w:rPr>
          <w:rFonts w:asciiTheme="majorHAnsi" w:eastAsia="Arial" w:hAnsiTheme="majorHAnsi" w:cstheme="majorHAnsi"/>
          <w:sz w:val="22"/>
          <w:szCs w:val="22"/>
        </w:rPr>
        <w:t xml:space="preserve">3/22 – </w:t>
      </w:r>
      <w:proofErr w:type="spellStart"/>
      <w:r w:rsidRPr="000020F0">
        <w:rPr>
          <w:rFonts w:asciiTheme="majorHAnsi" w:eastAsia="Arial" w:hAnsiTheme="majorHAnsi" w:cstheme="majorHAnsi"/>
          <w:sz w:val="22"/>
          <w:szCs w:val="22"/>
        </w:rPr>
        <w:t>ZDeb</w:t>
      </w:r>
      <w:proofErr w:type="spellEnd"/>
      <w:r w:rsidR="000B39BF" w:rsidRPr="000020F0">
        <w:rPr>
          <w:rFonts w:asciiTheme="majorHAnsi" w:eastAsia="Arial" w:hAnsiTheme="majorHAnsi" w:cstheme="majorHAnsi"/>
          <w:sz w:val="22"/>
          <w:szCs w:val="22"/>
        </w:rPr>
        <w:t xml:space="preserve"> IN 85/25</w:t>
      </w:r>
      <w:r w:rsidRPr="000020F0">
        <w:rPr>
          <w:rFonts w:asciiTheme="majorHAnsi" w:eastAsia="Arial" w:hAnsiTheme="majorHAnsi" w:cstheme="majorHAnsi"/>
          <w:sz w:val="22"/>
          <w:szCs w:val="22"/>
        </w:rPr>
        <w:t>);</w:t>
      </w:r>
    </w:p>
    <w:p w14:paraId="0B2784FA" w14:textId="0B250B2C"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varstvu osebnih podatkov (Uradni list RS, št. 163/22</w:t>
      </w:r>
      <w:r w:rsidR="00234758" w:rsidRPr="000020F0">
        <w:rPr>
          <w:rFonts w:asciiTheme="majorHAnsi" w:eastAsia="Arial" w:hAnsiTheme="majorHAnsi" w:cstheme="majorHAnsi"/>
          <w:sz w:val="22"/>
          <w:szCs w:val="22"/>
        </w:rPr>
        <w:t xml:space="preserve"> IN 40/25 – ZInfV-1 in 10/26 – ZP-1L</w:t>
      </w:r>
      <w:r w:rsidRPr="000020F0">
        <w:rPr>
          <w:rFonts w:asciiTheme="majorHAnsi" w:eastAsia="Arial" w:hAnsiTheme="majorHAnsi" w:cstheme="majorHAnsi"/>
          <w:sz w:val="22"/>
          <w:szCs w:val="22"/>
        </w:rPr>
        <w:t>);</w:t>
      </w:r>
    </w:p>
    <w:p w14:paraId="06251EAD" w14:textId="6E25955D"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poslovni skrivnosti (Uradni list RS, št. 22/19);</w:t>
      </w:r>
    </w:p>
    <w:p w14:paraId="59167AA2" w14:textId="0DE6E681"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integriteti in preprečevanju korupcije (Uradni list RS, št. 69/11 – uradno prečiščeno besedilo, 158/20, 3/22 – </w:t>
      </w:r>
      <w:proofErr w:type="spellStart"/>
      <w:r w:rsidRPr="000020F0">
        <w:rPr>
          <w:rFonts w:asciiTheme="majorHAnsi" w:eastAsia="Arial" w:hAnsiTheme="majorHAnsi" w:cstheme="majorHAnsi"/>
          <w:sz w:val="22"/>
          <w:szCs w:val="22"/>
        </w:rPr>
        <w:t>ZDeb</w:t>
      </w:r>
      <w:proofErr w:type="spellEnd"/>
      <w:r w:rsidRPr="000020F0">
        <w:rPr>
          <w:rFonts w:asciiTheme="majorHAnsi" w:eastAsia="Arial" w:hAnsiTheme="majorHAnsi" w:cstheme="majorHAnsi"/>
          <w:sz w:val="22"/>
          <w:szCs w:val="22"/>
        </w:rPr>
        <w:t xml:space="preserve"> in 16/23 – </w:t>
      </w:r>
      <w:proofErr w:type="spellStart"/>
      <w:r w:rsidRPr="000020F0">
        <w:rPr>
          <w:rFonts w:asciiTheme="majorHAnsi" w:eastAsia="Arial" w:hAnsiTheme="majorHAnsi" w:cstheme="majorHAnsi"/>
          <w:sz w:val="22"/>
          <w:szCs w:val="22"/>
        </w:rPr>
        <w:t>ZZPri</w:t>
      </w:r>
      <w:proofErr w:type="spellEnd"/>
      <w:r w:rsidRPr="000020F0">
        <w:rPr>
          <w:rFonts w:asciiTheme="majorHAnsi" w:eastAsia="Arial" w:hAnsiTheme="majorHAnsi" w:cstheme="majorHAnsi"/>
          <w:sz w:val="22"/>
          <w:szCs w:val="22"/>
        </w:rPr>
        <w:t>);</w:t>
      </w:r>
    </w:p>
    <w:p w14:paraId="4E6B8400" w14:textId="7FBA076E"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preprečevanju pranja denarja in financiranja terorizma (Uradni list RS, št. </w:t>
      </w:r>
      <w:r w:rsidR="00234758" w:rsidRPr="000020F0">
        <w:rPr>
          <w:rFonts w:asciiTheme="majorHAnsi" w:eastAsia="Arial" w:hAnsiTheme="majorHAnsi" w:cstheme="majorHAnsi"/>
          <w:sz w:val="22"/>
          <w:szCs w:val="22"/>
        </w:rPr>
        <w:t>48/22, 145/22, 17/25 in 74/25</w:t>
      </w:r>
      <w:r w:rsidRPr="000020F0">
        <w:rPr>
          <w:rFonts w:asciiTheme="majorHAnsi" w:eastAsia="Arial" w:hAnsiTheme="majorHAnsi" w:cstheme="majorHAnsi"/>
          <w:sz w:val="22"/>
          <w:szCs w:val="22"/>
        </w:rPr>
        <w:t>; v nadaljnjem besedilu: ZPPDFT-2);</w:t>
      </w:r>
    </w:p>
    <w:p w14:paraId="0DB3C41A" w14:textId="6CC45435"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finančnem poslovanju, postopkih zaradi insolventnosti in prisilnem prenehanju (Uradni list RS, št. 176/21 – uradno prečiščeno besedilo, 178/21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196/21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157/22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35/23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57/23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102/23 in 25/25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w:t>
      </w:r>
    </w:p>
    <w:p w14:paraId="4476D397" w14:textId="68B46CF1"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ratifikaciji Konvencije o pravicah invalidov in Izbirnega protokola h Konvenciji o pravicah invalidov (Uradni list RS - Mednarodne pogodbe, št. 10/08);</w:t>
      </w:r>
    </w:p>
    <w:p w14:paraId="1DA01FE6" w14:textId="55D50883"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varstvu okolja (Uradni list RS, št. 44/22, 18/23 – ZDU-1O, 78/23 – ZUNPEOVE, 23/24 in 21/25 – ZOPVOOV);</w:t>
      </w:r>
    </w:p>
    <w:p w14:paraId="22F47E71" w14:textId="0F38EA72"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Gradbeni zakon (Uradni list RS, št. </w:t>
      </w:r>
      <w:r w:rsidR="00F40EB0" w:rsidRPr="000020F0">
        <w:rPr>
          <w:rFonts w:asciiTheme="majorHAnsi" w:eastAsia="Arial" w:hAnsiTheme="majorHAnsi" w:cstheme="majorHAnsi"/>
          <w:sz w:val="22"/>
          <w:szCs w:val="22"/>
        </w:rPr>
        <w:t>199/21, 105/22 – ZZNŠPP, 133/23, 85/24 – ZAID-A in 75/25 – GZ-1B; v nadaljnjem besedilu: GZ-1</w:t>
      </w:r>
      <w:r w:rsidRPr="000020F0">
        <w:rPr>
          <w:rFonts w:asciiTheme="majorHAnsi" w:eastAsia="Arial" w:hAnsiTheme="majorHAnsi" w:cstheme="majorHAnsi"/>
          <w:sz w:val="22"/>
          <w:szCs w:val="22"/>
        </w:rPr>
        <w:t>);</w:t>
      </w:r>
    </w:p>
    <w:p w14:paraId="18A37E42" w14:textId="136C884A"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celostnem prometnem načrtovanju (Uradni list RS, št. 130/22 in 22/25; v nadaljnjem besedilu: ZCPN);</w:t>
      </w:r>
    </w:p>
    <w:p w14:paraId="532F6F36" w14:textId="696CF128"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cestah (Uradni list RS, št. 132/22, 140/22 – ZSDH-1A, 29/23 in 78/23 – ZUNPEOVE; v nadaljnjem besedilu: ZCes-2);</w:t>
      </w:r>
    </w:p>
    <w:p w14:paraId="5DCA3E29" w14:textId="79B4D0BC"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dostopnosti do proizvodov in storitev za invalide (Uradni list RS, št. </w:t>
      </w:r>
      <w:r w:rsidR="00F40EB0" w:rsidRPr="000020F0">
        <w:rPr>
          <w:rFonts w:asciiTheme="majorHAnsi" w:eastAsia="Arial" w:hAnsiTheme="majorHAnsi" w:cstheme="majorHAnsi"/>
          <w:sz w:val="22"/>
          <w:szCs w:val="22"/>
        </w:rPr>
        <w:t>14/23 in 14/26 – ZDPSI-A; v nadaljnjem besedilu: ZDPSI</w:t>
      </w:r>
      <w:r w:rsidRPr="000020F0">
        <w:rPr>
          <w:rFonts w:asciiTheme="majorHAnsi" w:eastAsia="Arial" w:hAnsiTheme="majorHAnsi" w:cstheme="majorHAnsi"/>
          <w:sz w:val="22"/>
          <w:szCs w:val="22"/>
        </w:rPr>
        <w:t>);</w:t>
      </w:r>
    </w:p>
    <w:p w14:paraId="32BF990A" w14:textId="1047EDD9"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infrastrukturi za alternativna goriva in spodbujanju prehoda na alternativna goriva v prometu (Uradni list RS, št. 62/23);</w:t>
      </w:r>
    </w:p>
    <w:p w14:paraId="7B5EEEEB" w14:textId="086B1D19"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Kazenski zakonik (Uradni list RS, št. 50/12 – uradno prečiščeno besedilo, 54/15, 6/16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38/16, 27/17, 23/20, 91/20, 95/21, 186/21, 105/22 – ZZNŠPP, 16/23 in 107/24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v nadaljnjem besedilu: KZ-1);</w:t>
      </w:r>
    </w:p>
    <w:p w14:paraId="0400A8DB" w14:textId="1046D521"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Obligacijski zakonik (Uradni list RS, št. 97/07 – uradno prečiščeno besedilo, 64/16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in 20/18 – OROZ631; v nadaljnjem besedilu: OZ);</w:t>
      </w:r>
    </w:p>
    <w:p w14:paraId="285A9A39" w14:textId="38EA5189"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Podnebni zakon (Uradni list RS, št. 56/25; v nadaljnjem </w:t>
      </w:r>
      <w:proofErr w:type="spellStart"/>
      <w:r w:rsidRPr="000020F0">
        <w:rPr>
          <w:rFonts w:asciiTheme="majorHAnsi" w:eastAsia="Arial" w:hAnsiTheme="majorHAnsi" w:cstheme="majorHAnsi"/>
          <w:sz w:val="22"/>
          <w:szCs w:val="22"/>
        </w:rPr>
        <w:t>besedilu_PoZ</w:t>
      </w:r>
      <w:proofErr w:type="spellEnd"/>
      <w:r w:rsidRPr="000020F0">
        <w:rPr>
          <w:rFonts w:asciiTheme="majorHAnsi" w:eastAsia="Arial" w:hAnsiTheme="majorHAnsi" w:cstheme="majorHAnsi"/>
          <w:sz w:val="22"/>
          <w:szCs w:val="22"/>
        </w:rPr>
        <w:t>);</w:t>
      </w:r>
    </w:p>
    <w:p w14:paraId="36DB4D2E" w14:textId="4CDB79A6"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izvajanju uredb (EU) in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na področju izvajanja evropske kohezijske politike v obdobju 2021–2027 za cilj naložbe za rast in delovna mesta (Uradni list RS št. 21/23 in 13/25);</w:t>
      </w:r>
    </w:p>
    <w:p w14:paraId="162CBAB3" w14:textId="13B99C25"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zelenem javnem naročanju (Uradni list RS, št. 51/17, 64/19, 121/21 in 132/23);</w:t>
      </w:r>
    </w:p>
    <w:p w14:paraId="4D032876" w14:textId="22C21B4D"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lastRenderedPageBreak/>
        <w:t xml:space="preserve">Uredba o postopku, merilih in načinih dodeljevanja sredstev za spodbujanje razvojnih programov in prednostnih nalog  (Uradni list RS, št. </w:t>
      </w:r>
      <w:r w:rsidR="006050AD" w:rsidRPr="000020F0">
        <w:rPr>
          <w:rFonts w:asciiTheme="majorHAnsi" w:eastAsia="Arial" w:hAnsiTheme="majorHAnsi" w:cstheme="majorHAnsi"/>
          <w:sz w:val="22"/>
          <w:szCs w:val="22"/>
        </w:rPr>
        <w:t>56/11 in 13/26</w:t>
      </w:r>
      <w:r w:rsidRPr="000020F0">
        <w:rPr>
          <w:rFonts w:asciiTheme="majorHAnsi" w:eastAsia="Arial" w:hAnsiTheme="majorHAnsi" w:cstheme="majorHAnsi"/>
          <w:sz w:val="22"/>
          <w:szCs w:val="22"/>
        </w:rPr>
        <w:t>);</w:t>
      </w:r>
    </w:p>
    <w:p w14:paraId="242F21DF" w14:textId="12B1DF98" w:rsidR="005C3DC6" w:rsidRPr="000020F0" w:rsidRDefault="005C3DC6" w:rsidP="005C3DC6">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razvrščanju objektov (Uradni list RS, št. 96/22);</w:t>
      </w:r>
    </w:p>
    <w:p w14:paraId="3DD8DB88" w14:textId="4115EE28" w:rsidR="002069BA" w:rsidRPr="000020F0" w:rsidRDefault="005571DC" w:rsidP="00456B3A">
      <w:pPr>
        <w:numPr>
          <w:ilvl w:val="0"/>
          <w:numId w:val="30"/>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Odlok o prostorskem redu občine Ig (Uradni list RS, št.: </w:t>
      </w:r>
      <w:r w:rsidR="00A462DC" w:rsidRPr="000020F0">
        <w:rPr>
          <w:rFonts w:asciiTheme="majorHAnsi" w:eastAsia="Arial" w:hAnsiTheme="majorHAnsi" w:cstheme="majorHAnsi"/>
          <w:sz w:val="22"/>
          <w:szCs w:val="22"/>
        </w:rPr>
        <w:t>35/12, 77/12, 101/13 – popravek, 8/15, 51/18, 54/18 – popravek, 107/20 – popravek in 68/25 – tehnična posodobitev grafičnega dela prostorskega izvedbenega akta Občine Ig</w:t>
      </w:r>
      <w:r w:rsidRPr="000020F0">
        <w:rPr>
          <w:rFonts w:asciiTheme="majorHAnsi" w:eastAsia="Arial" w:hAnsiTheme="majorHAnsi" w:cstheme="majorHAnsi"/>
          <w:sz w:val="22"/>
          <w:szCs w:val="22"/>
        </w:rPr>
        <w:t>)</w:t>
      </w:r>
    </w:p>
    <w:p w14:paraId="0DFE0E44" w14:textId="7A2C8D81" w:rsidR="005C3DC6" w:rsidRPr="000020F0" w:rsidRDefault="00BB7A3E"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Proračun Občine Ig za leto 2025</w:t>
      </w:r>
    </w:p>
    <w:p w14:paraId="42CE3E8C" w14:textId="538F4FDA" w:rsidR="00BB7A3E" w:rsidRPr="000020F0" w:rsidRDefault="00BB7A3E"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Proračun Občine Ig za leto 2026</w:t>
      </w:r>
    </w:p>
    <w:p w14:paraId="1A24354B" w14:textId="2BE6D258" w:rsidR="00BB7A3E" w:rsidRPr="000020F0" w:rsidRDefault="00A071F7"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DGD</w:t>
      </w:r>
      <w:r w:rsidR="00A4028D" w:rsidRPr="000020F0">
        <w:rPr>
          <w:rFonts w:ascii="Arial" w:eastAsia="Arial" w:hAnsi="Arial" w:cs="Arial"/>
          <w:sz w:val="22"/>
          <w:szCs w:val="22"/>
        </w:rPr>
        <w:t xml:space="preserve"> št. 06/2025 maj 2025, dopolnitev julij 2025, projektant </w:t>
      </w:r>
      <w:proofErr w:type="spellStart"/>
      <w:r w:rsidR="00A4028D" w:rsidRPr="000020F0">
        <w:rPr>
          <w:rFonts w:ascii="Arial" w:eastAsia="Arial" w:hAnsi="Arial" w:cs="Arial"/>
          <w:sz w:val="22"/>
          <w:szCs w:val="22"/>
        </w:rPr>
        <w:t>Atekt</w:t>
      </w:r>
      <w:proofErr w:type="spellEnd"/>
      <w:r w:rsidR="00A4028D" w:rsidRPr="000020F0">
        <w:rPr>
          <w:rFonts w:ascii="Arial" w:eastAsia="Arial" w:hAnsi="Arial" w:cs="Arial"/>
          <w:sz w:val="22"/>
          <w:szCs w:val="22"/>
        </w:rPr>
        <w:t xml:space="preserve"> d.o.o.</w:t>
      </w:r>
    </w:p>
    <w:p w14:paraId="43040C8B" w14:textId="7EF715BF" w:rsidR="006050AD" w:rsidRPr="000020F0" w:rsidRDefault="006050AD"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 xml:space="preserve">Gradbeno dovoljenje št. </w:t>
      </w:r>
      <w:r w:rsidR="00A4028D" w:rsidRPr="000020F0">
        <w:rPr>
          <w:rFonts w:ascii="Arial" w:eastAsia="Arial" w:hAnsi="Arial" w:cs="Arial"/>
          <w:sz w:val="22"/>
          <w:szCs w:val="22"/>
        </w:rPr>
        <w:t>351-1772/2025-6224-10 z dne 12.9.2025</w:t>
      </w:r>
    </w:p>
    <w:p w14:paraId="75056B8A" w14:textId="5F3389C4" w:rsidR="00A071F7" w:rsidRPr="000020F0" w:rsidRDefault="00A071F7"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 xml:space="preserve">PZI </w:t>
      </w:r>
      <w:r w:rsidR="0087014C" w:rsidRPr="000020F0">
        <w:rPr>
          <w:rFonts w:ascii="Arial" w:eastAsia="Arial" w:hAnsi="Arial" w:cs="Arial"/>
          <w:sz w:val="22"/>
          <w:szCs w:val="22"/>
        </w:rPr>
        <w:t>št.</w:t>
      </w:r>
      <w:r w:rsidR="00A4028D" w:rsidRPr="000020F0">
        <w:rPr>
          <w:rFonts w:ascii="Arial" w:eastAsia="Arial" w:hAnsi="Arial" w:cs="Arial"/>
          <w:sz w:val="22"/>
          <w:szCs w:val="22"/>
        </w:rPr>
        <w:t>6/2025, september 2025</w:t>
      </w:r>
      <w:r w:rsidR="0087014C" w:rsidRPr="000020F0">
        <w:rPr>
          <w:rFonts w:ascii="Arial" w:eastAsia="Arial" w:hAnsi="Arial" w:cs="Arial"/>
          <w:sz w:val="22"/>
          <w:szCs w:val="22"/>
        </w:rPr>
        <w:t xml:space="preserve">, </w:t>
      </w:r>
      <w:proofErr w:type="spellStart"/>
      <w:r w:rsidR="0087014C" w:rsidRPr="000020F0">
        <w:rPr>
          <w:rFonts w:ascii="Arial" w:eastAsia="Arial" w:hAnsi="Arial" w:cs="Arial"/>
          <w:sz w:val="22"/>
          <w:szCs w:val="22"/>
        </w:rPr>
        <w:t>novelacija</w:t>
      </w:r>
      <w:proofErr w:type="spellEnd"/>
      <w:r w:rsidR="0087014C" w:rsidRPr="000020F0">
        <w:rPr>
          <w:rFonts w:ascii="Arial" w:eastAsia="Arial" w:hAnsi="Arial" w:cs="Arial"/>
          <w:sz w:val="22"/>
          <w:szCs w:val="22"/>
        </w:rPr>
        <w:t xml:space="preserve"> maj 2026</w:t>
      </w:r>
    </w:p>
    <w:p w14:paraId="1E084209" w14:textId="50381AE0" w:rsidR="00A071F7" w:rsidRPr="000020F0" w:rsidRDefault="00A071F7" w:rsidP="00456B3A">
      <w:pPr>
        <w:numPr>
          <w:ilvl w:val="0"/>
          <w:numId w:val="30"/>
        </w:numPr>
        <w:spacing w:line="276" w:lineRule="auto"/>
        <w:jc w:val="both"/>
        <w:rPr>
          <w:rFonts w:ascii="Arial" w:eastAsia="Arial" w:hAnsi="Arial" w:cs="Arial"/>
          <w:sz w:val="22"/>
          <w:szCs w:val="22"/>
        </w:rPr>
      </w:pPr>
      <w:r w:rsidRPr="000020F0">
        <w:rPr>
          <w:rFonts w:ascii="Arial" w:eastAsia="Arial" w:hAnsi="Arial" w:cs="Arial"/>
          <w:sz w:val="22"/>
          <w:szCs w:val="22"/>
        </w:rPr>
        <w:t>Interni podatki investitorja</w:t>
      </w:r>
    </w:p>
    <w:p w14:paraId="28853597" w14:textId="4124A34B" w:rsidR="000B4C12" w:rsidRPr="000020F0" w:rsidRDefault="000B4C12" w:rsidP="006050AD">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87" w:name="_Toc3698205"/>
      <w:bookmarkStart w:id="88" w:name="_Toc230882176"/>
      <w:bookmarkEnd w:id="86"/>
      <w:r w:rsidRPr="000020F0">
        <w:rPr>
          <w:rFonts w:asciiTheme="majorHAnsi" w:eastAsiaTheme="majorEastAsia" w:hAnsiTheme="majorHAnsi" w:cstheme="majorHAnsi"/>
          <w:color w:val="244061" w:themeColor="accent1" w:themeShade="80"/>
        </w:rPr>
        <w:t>Opredelitev vrste projekta</w:t>
      </w:r>
      <w:bookmarkEnd w:id="87"/>
      <w:bookmarkEnd w:id="88"/>
      <w:r w:rsidRPr="000020F0">
        <w:rPr>
          <w:rFonts w:asciiTheme="majorHAnsi" w:eastAsiaTheme="majorEastAsia" w:hAnsiTheme="majorHAnsi" w:cstheme="majorHAnsi"/>
          <w:color w:val="244061" w:themeColor="accent1" w:themeShade="80"/>
        </w:rPr>
        <w:t xml:space="preserve"> </w:t>
      </w:r>
    </w:p>
    <w:p w14:paraId="1965A9B7" w14:textId="77777777" w:rsidR="000B4C12" w:rsidRPr="000020F0" w:rsidRDefault="000B4C12" w:rsidP="00BD1D20">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89" w:name="_Toc3698206"/>
      <w:bookmarkStart w:id="90" w:name="_Toc230882177"/>
      <w:r w:rsidRPr="000020F0">
        <w:rPr>
          <w:rFonts w:asciiTheme="majorHAnsi" w:eastAsiaTheme="majorEastAsia" w:hAnsiTheme="majorHAnsi" w:cstheme="majorHAnsi"/>
          <w:color w:val="244061" w:themeColor="accent1" w:themeShade="80"/>
          <w:szCs w:val="22"/>
        </w:rPr>
        <w:t>Opredelitev vrste investicijskega naročila (ukrepa)</w:t>
      </w:r>
      <w:bookmarkEnd w:id="89"/>
      <w:bookmarkEnd w:id="90"/>
      <w:r w:rsidRPr="000020F0">
        <w:rPr>
          <w:rFonts w:asciiTheme="majorHAnsi" w:eastAsiaTheme="majorEastAsia" w:hAnsiTheme="majorHAnsi" w:cstheme="majorHAnsi"/>
          <w:color w:val="244061" w:themeColor="accent1" w:themeShade="80"/>
          <w:szCs w:val="22"/>
        </w:rPr>
        <w:t xml:space="preserve"> </w:t>
      </w:r>
    </w:p>
    <w:p w14:paraId="6C2C8C5F" w14:textId="610A7C53" w:rsidR="000B4C12" w:rsidRPr="000020F0" w:rsidRDefault="000B4C12" w:rsidP="00BD1D20">
      <w:pPr>
        <w:pStyle w:val="Napis"/>
        <w:keepNext/>
        <w:spacing w:after="0" w:line="276" w:lineRule="auto"/>
        <w:rPr>
          <w:rFonts w:asciiTheme="majorHAnsi" w:eastAsia="Arial Unicode MS" w:hAnsiTheme="majorHAnsi" w:cstheme="majorHAnsi"/>
          <w:b w:val="0"/>
          <w:color w:val="auto"/>
          <w:sz w:val="22"/>
          <w:szCs w:val="22"/>
        </w:rPr>
      </w:pPr>
      <w:bookmarkStart w:id="91" w:name="_Toc354488725"/>
      <w:bookmarkStart w:id="92" w:name="_Toc463339311"/>
      <w:bookmarkStart w:id="93" w:name="_Toc465928601"/>
      <w:bookmarkStart w:id="94" w:name="_Toc467156425"/>
      <w:bookmarkStart w:id="95" w:name="_Toc468254111"/>
      <w:bookmarkStart w:id="96" w:name="_Toc468952050"/>
      <w:bookmarkStart w:id="97" w:name="_Toc469059559"/>
      <w:bookmarkStart w:id="98" w:name="_Toc471460984"/>
      <w:bookmarkStart w:id="99" w:name="_Toc498998292"/>
      <w:bookmarkStart w:id="100" w:name="_Toc3698124"/>
      <w:bookmarkStart w:id="101" w:name="_Toc230882283"/>
      <w:r w:rsidRPr="000020F0">
        <w:rPr>
          <w:rFonts w:asciiTheme="majorHAnsi" w:eastAsia="Arial Unicode MS" w:hAnsiTheme="majorHAnsi" w:cstheme="majorHAnsi"/>
          <w:color w:val="auto"/>
          <w:sz w:val="22"/>
          <w:szCs w:val="22"/>
        </w:rPr>
        <w:t xml:space="preserve">Tabela </w:t>
      </w:r>
      <w:r w:rsidRPr="000020F0">
        <w:rPr>
          <w:rFonts w:asciiTheme="majorHAnsi" w:eastAsia="Arial Unicode MS" w:hAnsiTheme="majorHAnsi" w:cstheme="majorHAnsi"/>
          <w:color w:val="auto"/>
          <w:sz w:val="22"/>
          <w:szCs w:val="22"/>
        </w:rPr>
        <w:fldChar w:fldCharType="begin"/>
      </w:r>
      <w:r w:rsidRPr="000020F0">
        <w:rPr>
          <w:rFonts w:asciiTheme="majorHAnsi" w:eastAsia="Arial Unicode MS" w:hAnsiTheme="majorHAnsi" w:cstheme="majorHAnsi"/>
          <w:color w:val="auto"/>
          <w:sz w:val="22"/>
          <w:szCs w:val="22"/>
        </w:rPr>
        <w:instrText xml:space="preserve"> SEQ Tabela \* ARABIC </w:instrText>
      </w:r>
      <w:r w:rsidRPr="000020F0">
        <w:rPr>
          <w:rFonts w:asciiTheme="majorHAnsi" w:eastAsia="Arial Unicode MS" w:hAnsiTheme="majorHAnsi" w:cstheme="majorHAnsi"/>
          <w:color w:val="auto"/>
          <w:sz w:val="22"/>
          <w:szCs w:val="22"/>
        </w:rPr>
        <w:fldChar w:fldCharType="separate"/>
      </w:r>
      <w:r w:rsidR="00BB0C0C">
        <w:rPr>
          <w:rFonts w:asciiTheme="majorHAnsi" w:eastAsia="Arial Unicode MS" w:hAnsiTheme="majorHAnsi" w:cstheme="majorHAnsi"/>
          <w:noProof/>
          <w:color w:val="auto"/>
          <w:sz w:val="22"/>
          <w:szCs w:val="22"/>
        </w:rPr>
        <w:t>3</w:t>
      </w:r>
      <w:r w:rsidRPr="000020F0">
        <w:rPr>
          <w:rFonts w:asciiTheme="majorHAnsi" w:eastAsia="Arial Unicode MS" w:hAnsiTheme="majorHAnsi" w:cstheme="majorHAnsi"/>
          <w:color w:val="auto"/>
          <w:sz w:val="22"/>
          <w:szCs w:val="22"/>
        </w:rPr>
        <w:fldChar w:fldCharType="end"/>
      </w:r>
      <w:r w:rsidRPr="000020F0">
        <w:rPr>
          <w:rFonts w:asciiTheme="majorHAnsi" w:eastAsia="Arial Unicode MS" w:hAnsiTheme="majorHAnsi" w:cstheme="majorHAnsi"/>
          <w:color w:val="auto"/>
          <w:sz w:val="22"/>
          <w:szCs w:val="22"/>
        </w:rPr>
        <w:t>:</w:t>
      </w:r>
      <w:r w:rsidRPr="000020F0">
        <w:rPr>
          <w:rFonts w:asciiTheme="majorHAnsi" w:eastAsia="Arial Unicode MS" w:hAnsiTheme="majorHAnsi" w:cstheme="majorHAnsi"/>
          <w:b w:val="0"/>
          <w:color w:val="auto"/>
          <w:sz w:val="22"/>
          <w:szCs w:val="22"/>
        </w:rPr>
        <w:t xml:space="preserve"> Določitev vrste investicije</w:t>
      </w:r>
      <w:bookmarkEnd w:id="91"/>
      <w:bookmarkEnd w:id="92"/>
      <w:bookmarkEnd w:id="93"/>
      <w:bookmarkEnd w:id="94"/>
      <w:bookmarkEnd w:id="95"/>
      <w:bookmarkEnd w:id="96"/>
      <w:bookmarkEnd w:id="97"/>
      <w:bookmarkEnd w:id="98"/>
      <w:bookmarkEnd w:id="99"/>
      <w:bookmarkEnd w:id="100"/>
      <w:bookmarkEnd w:id="101"/>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0A0" w:firstRow="1" w:lastRow="0" w:firstColumn="1" w:lastColumn="0" w:noHBand="0" w:noVBand="0"/>
      </w:tblPr>
      <w:tblGrid>
        <w:gridCol w:w="455"/>
        <w:gridCol w:w="3187"/>
        <w:gridCol w:w="465"/>
        <w:gridCol w:w="5189"/>
        <w:gridCol w:w="13"/>
      </w:tblGrid>
      <w:tr w:rsidR="002653CC" w:rsidRPr="000020F0" w14:paraId="4A9527C3" w14:textId="77777777" w:rsidTr="00BC59C8">
        <w:tc>
          <w:tcPr>
            <w:tcW w:w="244" w:type="pct"/>
          </w:tcPr>
          <w:p w14:paraId="04120FE0" w14:textId="77777777" w:rsidR="002653CC" w:rsidRPr="000020F0" w:rsidRDefault="002653CC" w:rsidP="00BD1D20">
            <w:pPr>
              <w:spacing w:before="120" w:after="120" w:line="276" w:lineRule="auto"/>
              <w:jc w:val="both"/>
              <w:rPr>
                <w:rFonts w:asciiTheme="majorHAnsi" w:hAnsiTheme="majorHAnsi" w:cstheme="majorHAnsi"/>
                <w:b/>
                <w:sz w:val="22"/>
                <w:szCs w:val="22"/>
              </w:rPr>
            </w:pPr>
          </w:p>
        </w:tc>
        <w:tc>
          <w:tcPr>
            <w:tcW w:w="1712" w:type="pct"/>
            <w:shd w:val="clear" w:color="auto" w:fill="D9D9D9"/>
          </w:tcPr>
          <w:p w14:paraId="43F7C57D"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Investicija v nakup</w:t>
            </w:r>
          </w:p>
        </w:tc>
        <w:tc>
          <w:tcPr>
            <w:tcW w:w="250" w:type="pct"/>
          </w:tcPr>
          <w:p w14:paraId="13602055" w14:textId="77777777" w:rsidR="002653CC" w:rsidRPr="000020F0" w:rsidRDefault="002653CC" w:rsidP="00BD1D20">
            <w:pPr>
              <w:spacing w:before="120" w:after="120" w:line="276" w:lineRule="auto"/>
              <w:jc w:val="both"/>
              <w:rPr>
                <w:rFonts w:asciiTheme="majorHAnsi" w:hAnsiTheme="majorHAnsi" w:cstheme="majorHAnsi"/>
                <w:b/>
                <w:sz w:val="22"/>
                <w:szCs w:val="22"/>
              </w:rPr>
            </w:pPr>
          </w:p>
        </w:tc>
        <w:tc>
          <w:tcPr>
            <w:tcW w:w="2794" w:type="pct"/>
            <w:gridSpan w:val="2"/>
            <w:shd w:val="clear" w:color="auto" w:fill="D9D9D9"/>
          </w:tcPr>
          <w:p w14:paraId="69C52123"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Adaptacija</w:t>
            </w:r>
          </w:p>
        </w:tc>
      </w:tr>
      <w:tr w:rsidR="002653CC" w:rsidRPr="000020F0" w14:paraId="52CD939A" w14:textId="77777777" w:rsidTr="00BC59C8">
        <w:tc>
          <w:tcPr>
            <w:tcW w:w="244" w:type="pct"/>
          </w:tcPr>
          <w:p w14:paraId="57233AD5" w14:textId="77777777" w:rsidR="002653CC" w:rsidRPr="000020F0" w:rsidRDefault="00764B47" w:rsidP="00BD1D20">
            <w:pPr>
              <w:spacing w:before="120" w:after="120" w:line="276" w:lineRule="auto"/>
              <w:jc w:val="both"/>
              <w:rPr>
                <w:rFonts w:asciiTheme="majorHAnsi" w:hAnsiTheme="majorHAnsi" w:cstheme="majorHAnsi"/>
                <w:b/>
                <w:sz w:val="22"/>
                <w:szCs w:val="22"/>
              </w:rPr>
            </w:pPr>
            <w:r w:rsidRPr="000020F0">
              <w:rPr>
                <w:rFonts w:asciiTheme="majorHAnsi" w:hAnsiTheme="majorHAnsi" w:cstheme="majorHAnsi"/>
                <w:b/>
                <w:sz w:val="22"/>
                <w:szCs w:val="22"/>
              </w:rPr>
              <w:t>X</w:t>
            </w:r>
          </w:p>
        </w:tc>
        <w:tc>
          <w:tcPr>
            <w:tcW w:w="1712" w:type="pct"/>
            <w:shd w:val="clear" w:color="auto" w:fill="D9D9D9"/>
          </w:tcPr>
          <w:p w14:paraId="7D94D2CB" w14:textId="766317C5"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Novogradnja</w:t>
            </w:r>
          </w:p>
        </w:tc>
        <w:tc>
          <w:tcPr>
            <w:tcW w:w="250" w:type="pct"/>
          </w:tcPr>
          <w:p w14:paraId="5167B8A5" w14:textId="77777777" w:rsidR="002653CC" w:rsidRPr="000020F0" w:rsidRDefault="002653CC" w:rsidP="00BD1D20">
            <w:pPr>
              <w:spacing w:before="120" w:after="120" w:line="276" w:lineRule="auto"/>
              <w:jc w:val="both"/>
              <w:rPr>
                <w:rFonts w:asciiTheme="majorHAnsi" w:hAnsiTheme="majorHAnsi" w:cstheme="majorHAnsi"/>
                <w:b/>
                <w:sz w:val="22"/>
                <w:szCs w:val="22"/>
              </w:rPr>
            </w:pPr>
          </w:p>
        </w:tc>
        <w:tc>
          <w:tcPr>
            <w:tcW w:w="2794" w:type="pct"/>
            <w:gridSpan w:val="2"/>
            <w:shd w:val="clear" w:color="auto" w:fill="D9D9D9"/>
          </w:tcPr>
          <w:p w14:paraId="1323785F"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Investicijsko vzdrževanje osnovnih sredstev</w:t>
            </w:r>
          </w:p>
        </w:tc>
      </w:tr>
      <w:tr w:rsidR="002653CC" w:rsidRPr="000020F0" w14:paraId="766128DF" w14:textId="77777777" w:rsidTr="00BC59C8">
        <w:tc>
          <w:tcPr>
            <w:tcW w:w="244" w:type="pct"/>
          </w:tcPr>
          <w:p w14:paraId="33A4528A" w14:textId="3648A57A" w:rsidR="002653CC" w:rsidRPr="000020F0" w:rsidRDefault="00887E28" w:rsidP="00BD1D20">
            <w:pPr>
              <w:spacing w:before="120" w:after="120" w:line="276" w:lineRule="auto"/>
              <w:jc w:val="both"/>
              <w:rPr>
                <w:rFonts w:asciiTheme="majorHAnsi" w:hAnsiTheme="majorHAnsi" w:cstheme="majorHAnsi"/>
                <w:b/>
                <w:sz w:val="22"/>
                <w:szCs w:val="22"/>
              </w:rPr>
            </w:pPr>
            <w:r w:rsidRPr="000020F0">
              <w:rPr>
                <w:rFonts w:asciiTheme="majorHAnsi" w:hAnsiTheme="majorHAnsi" w:cstheme="majorHAnsi"/>
                <w:b/>
                <w:sz w:val="22"/>
                <w:szCs w:val="22"/>
              </w:rPr>
              <w:t>X</w:t>
            </w:r>
          </w:p>
        </w:tc>
        <w:tc>
          <w:tcPr>
            <w:tcW w:w="1712" w:type="pct"/>
            <w:shd w:val="clear" w:color="auto" w:fill="D9D9D9"/>
          </w:tcPr>
          <w:p w14:paraId="41FF3892"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Rekonstrukcija</w:t>
            </w:r>
          </w:p>
        </w:tc>
        <w:tc>
          <w:tcPr>
            <w:tcW w:w="250" w:type="pct"/>
          </w:tcPr>
          <w:p w14:paraId="772A1AF8" w14:textId="77777777" w:rsidR="002653CC" w:rsidRPr="000020F0" w:rsidRDefault="002653CC" w:rsidP="00BD1D20">
            <w:pPr>
              <w:spacing w:before="120" w:after="120" w:line="276" w:lineRule="auto"/>
              <w:jc w:val="both"/>
              <w:rPr>
                <w:rFonts w:asciiTheme="majorHAnsi" w:hAnsiTheme="majorHAnsi" w:cstheme="majorHAnsi"/>
                <w:sz w:val="22"/>
                <w:szCs w:val="22"/>
              </w:rPr>
            </w:pPr>
          </w:p>
        </w:tc>
        <w:tc>
          <w:tcPr>
            <w:tcW w:w="2794" w:type="pct"/>
            <w:gridSpan w:val="2"/>
            <w:shd w:val="clear" w:color="auto" w:fill="D9D9D9"/>
          </w:tcPr>
          <w:p w14:paraId="25598572"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Prodaja in opustitev rabe osnovnih sredstev</w:t>
            </w:r>
          </w:p>
        </w:tc>
      </w:tr>
      <w:tr w:rsidR="002653CC" w:rsidRPr="000020F0" w14:paraId="644DEF2C" w14:textId="77777777" w:rsidTr="00BC59C8">
        <w:trPr>
          <w:gridAfter w:val="1"/>
          <w:wAfter w:w="7" w:type="pct"/>
        </w:trPr>
        <w:tc>
          <w:tcPr>
            <w:tcW w:w="4993" w:type="pct"/>
            <w:gridSpan w:val="4"/>
          </w:tcPr>
          <w:p w14:paraId="0869F7A3"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Poleg tega pa tudi:</w:t>
            </w:r>
          </w:p>
        </w:tc>
      </w:tr>
      <w:tr w:rsidR="002653CC" w:rsidRPr="000020F0" w14:paraId="31F0478B" w14:textId="77777777" w:rsidTr="00BC59C8">
        <w:trPr>
          <w:gridAfter w:val="1"/>
          <w:wAfter w:w="7" w:type="pct"/>
        </w:trPr>
        <w:tc>
          <w:tcPr>
            <w:tcW w:w="244" w:type="pct"/>
          </w:tcPr>
          <w:p w14:paraId="1CDD455A" w14:textId="77777777" w:rsidR="002653CC" w:rsidRPr="000020F0" w:rsidRDefault="002653CC" w:rsidP="00BD1D20">
            <w:pPr>
              <w:spacing w:before="120" w:after="120" w:line="276" w:lineRule="auto"/>
              <w:jc w:val="both"/>
              <w:rPr>
                <w:rFonts w:asciiTheme="majorHAnsi" w:hAnsiTheme="majorHAnsi" w:cstheme="majorHAnsi"/>
                <w:sz w:val="22"/>
                <w:szCs w:val="22"/>
              </w:rPr>
            </w:pPr>
          </w:p>
        </w:tc>
        <w:tc>
          <w:tcPr>
            <w:tcW w:w="1712" w:type="pct"/>
            <w:shd w:val="clear" w:color="auto" w:fill="D9D9D9"/>
          </w:tcPr>
          <w:p w14:paraId="6FBA436B"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Če je podano državno poroštvo</w:t>
            </w:r>
          </w:p>
        </w:tc>
        <w:tc>
          <w:tcPr>
            <w:tcW w:w="250" w:type="pct"/>
          </w:tcPr>
          <w:p w14:paraId="57B942C6" w14:textId="77777777" w:rsidR="002653CC" w:rsidRPr="000020F0" w:rsidRDefault="002653CC" w:rsidP="00BD1D20">
            <w:pPr>
              <w:spacing w:before="120" w:after="120" w:line="276" w:lineRule="auto"/>
              <w:jc w:val="both"/>
              <w:rPr>
                <w:rFonts w:asciiTheme="majorHAnsi" w:hAnsiTheme="majorHAnsi" w:cstheme="majorHAnsi"/>
                <w:sz w:val="22"/>
                <w:szCs w:val="22"/>
              </w:rPr>
            </w:pPr>
          </w:p>
        </w:tc>
        <w:tc>
          <w:tcPr>
            <w:tcW w:w="2787" w:type="pct"/>
            <w:shd w:val="clear" w:color="auto" w:fill="D9D9D9"/>
          </w:tcPr>
          <w:p w14:paraId="79439D23" w14:textId="77777777" w:rsidR="002653CC" w:rsidRPr="000020F0" w:rsidRDefault="002653CC" w:rsidP="00BD1D20">
            <w:pPr>
              <w:spacing w:before="120"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Ali če je vključeno v nacionalni program</w:t>
            </w:r>
          </w:p>
        </w:tc>
      </w:tr>
    </w:tbl>
    <w:p w14:paraId="69F574D6" w14:textId="77777777" w:rsidR="000B4C12" w:rsidRPr="000020F0" w:rsidRDefault="000B4C12" w:rsidP="00BD1D20">
      <w:pPr>
        <w:spacing w:line="276" w:lineRule="auto"/>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Vir: Uredba o enotni metodologiji za pripravo in obravnavo investicijske dokumentacije na področju javnih financ (Uradni list RS, št. 60/06, 54/10 in 27/16).</w:t>
      </w:r>
    </w:p>
    <w:p w14:paraId="089031AD" w14:textId="77777777" w:rsidR="000B4C12" w:rsidRPr="000020F0" w:rsidRDefault="000B4C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02" w:name="_Toc3698208"/>
      <w:bookmarkStart w:id="103" w:name="_Toc230882178"/>
      <w:r w:rsidRPr="000020F0">
        <w:rPr>
          <w:rFonts w:asciiTheme="majorHAnsi" w:eastAsiaTheme="majorEastAsia" w:hAnsiTheme="majorHAnsi" w:cstheme="majorHAnsi"/>
          <w:color w:val="244061" w:themeColor="accent1" w:themeShade="80"/>
        </w:rPr>
        <w:t>Navedba odgovornih oseb</w:t>
      </w:r>
      <w:bookmarkEnd w:id="102"/>
      <w:bookmarkEnd w:id="103"/>
    </w:p>
    <w:p w14:paraId="0A28895F" w14:textId="77777777" w:rsidR="00926405" w:rsidRPr="000020F0" w:rsidRDefault="00926405" w:rsidP="00BD1D20">
      <w:pPr>
        <w:spacing w:line="276" w:lineRule="auto"/>
        <w:jc w:val="both"/>
        <w:rPr>
          <w:rFonts w:asciiTheme="majorHAnsi" w:hAnsiTheme="majorHAnsi" w:cstheme="majorHAnsi"/>
          <w:b/>
          <w:sz w:val="22"/>
          <w:szCs w:val="22"/>
          <w:lang w:eastAsia="zh-TW"/>
        </w:rPr>
      </w:pPr>
    </w:p>
    <w:p w14:paraId="502AC2A0" w14:textId="189BCA72"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 xml:space="preserve">Odgovorna oseba za izdelavo </w:t>
      </w:r>
      <w:proofErr w:type="spellStart"/>
      <w:r w:rsidR="00C0128B" w:rsidRPr="000020F0">
        <w:rPr>
          <w:rFonts w:ascii="Arial" w:hAnsi="Arial" w:cs="Arial"/>
          <w:b/>
          <w:sz w:val="22"/>
          <w:szCs w:val="22"/>
          <w:lang w:eastAsia="zh-TW"/>
        </w:rPr>
        <w:t>novelacije</w:t>
      </w:r>
      <w:proofErr w:type="spellEnd"/>
      <w:r w:rsidR="00C0128B" w:rsidRPr="000020F0">
        <w:rPr>
          <w:rFonts w:ascii="Arial" w:hAnsi="Arial" w:cs="Arial"/>
          <w:b/>
          <w:sz w:val="22"/>
          <w:szCs w:val="22"/>
          <w:lang w:eastAsia="zh-TW"/>
        </w:rPr>
        <w:t xml:space="preserve"> i</w:t>
      </w:r>
      <w:r w:rsidRPr="000020F0">
        <w:rPr>
          <w:rFonts w:ascii="Arial" w:hAnsi="Arial" w:cs="Arial"/>
          <w:b/>
          <w:sz w:val="22"/>
          <w:szCs w:val="22"/>
          <w:lang w:eastAsia="zh-TW"/>
        </w:rPr>
        <w:t>nvesticijskega programa</w:t>
      </w:r>
      <w:r w:rsidR="00C0128B" w:rsidRPr="000020F0">
        <w:rPr>
          <w:rFonts w:ascii="Arial" w:hAnsi="Arial" w:cs="Arial"/>
          <w:b/>
          <w:sz w:val="22"/>
          <w:szCs w:val="22"/>
          <w:lang w:eastAsia="zh-TW"/>
        </w:rPr>
        <w:t xml:space="preserve"> št. 1</w:t>
      </w:r>
      <w:r w:rsidRPr="000020F0">
        <w:rPr>
          <w:rFonts w:ascii="Arial" w:hAnsi="Arial" w:cs="Arial"/>
          <w:b/>
          <w:sz w:val="22"/>
          <w:szCs w:val="22"/>
          <w:lang w:eastAsia="zh-TW"/>
        </w:rPr>
        <w:t>:</w:t>
      </w:r>
    </w:p>
    <w:p w14:paraId="1379480C"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 xml:space="preserve">Martina Magajna </w:t>
      </w:r>
    </w:p>
    <w:p w14:paraId="2ECDB89F" w14:textId="77777777" w:rsidR="00926405" w:rsidRPr="000020F0" w:rsidRDefault="00926405" w:rsidP="00926405">
      <w:pPr>
        <w:spacing w:line="276" w:lineRule="auto"/>
        <w:jc w:val="both"/>
        <w:rPr>
          <w:rFonts w:ascii="Arial" w:hAnsi="Arial" w:cs="Arial"/>
          <w:b/>
          <w:sz w:val="22"/>
          <w:szCs w:val="22"/>
          <w:lang w:eastAsia="zh-TW"/>
        </w:rPr>
      </w:pPr>
      <w:proofErr w:type="spellStart"/>
      <w:r w:rsidRPr="000020F0">
        <w:rPr>
          <w:rFonts w:ascii="Arial" w:hAnsi="Arial" w:cs="Arial"/>
          <w:b/>
          <w:sz w:val="22"/>
          <w:szCs w:val="22"/>
          <w:lang w:eastAsia="zh-TW"/>
        </w:rPr>
        <w:t>ProSVET</w:t>
      </w:r>
      <w:proofErr w:type="spellEnd"/>
      <w:r w:rsidRPr="000020F0">
        <w:rPr>
          <w:rFonts w:ascii="Arial" w:hAnsi="Arial" w:cs="Arial"/>
          <w:b/>
          <w:sz w:val="22"/>
          <w:szCs w:val="22"/>
          <w:lang w:eastAsia="zh-TW"/>
        </w:rPr>
        <w:t xml:space="preserve">, Martina Magajna </w:t>
      </w:r>
      <w:proofErr w:type="spellStart"/>
      <w:r w:rsidRPr="000020F0">
        <w:rPr>
          <w:rFonts w:ascii="Arial" w:hAnsi="Arial" w:cs="Arial"/>
          <w:b/>
          <w:sz w:val="22"/>
          <w:szCs w:val="22"/>
          <w:lang w:eastAsia="zh-TW"/>
        </w:rPr>
        <w:t>s.p</w:t>
      </w:r>
      <w:proofErr w:type="spellEnd"/>
      <w:r w:rsidRPr="000020F0">
        <w:rPr>
          <w:rFonts w:ascii="Arial" w:hAnsi="Arial" w:cs="Arial"/>
          <w:b/>
          <w:sz w:val="22"/>
          <w:szCs w:val="22"/>
          <w:lang w:eastAsia="zh-TW"/>
        </w:rPr>
        <w:t>.</w:t>
      </w:r>
    </w:p>
    <w:p w14:paraId="25307172"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Dilce 40, 6230 Postojna</w:t>
      </w:r>
    </w:p>
    <w:p w14:paraId="4E7CF968" w14:textId="77777777" w:rsidR="00926405" w:rsidRPr="000020F0" w:rsidRDefault="00926405" w:rsidP="00926405">
      <w:pPr>
        <w:spacing w:line="276" w:lineRule="auto"/>
        <w:jc w:val="both"/>
        <w:rPr>
          <w:rFonts w:ascii="Arial" w:hAnsi="Arial" w:cs="Arial"/>
          <w:sz w:val="22"/>
          <w:szCs w:val="22"/>
          <w:lang w:eastAsia="zh-TW"/>
        </w:rPr>
      </w:pPr>
    </w:p>
    <w:p w14:paraId="2CF74831" w14:textId="4D2A535D"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Odgovorna oseba za izdelavo projektne dokumentacije:</w:t>
      </w:r>
    </w:p>
    <w:p w14:paraId="7E52D3EA" w14:textId="77777777" w:rsidR="005A12B5" w:rsidRPr="000020F0" w:rsidRDefault="005A12B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Rok Perme</w:t>
      </w:r>
    </w:p>
    <w:p w14:paraId="01632394" w14:textId="77777777" w:rsidR="005A12B5" w:rsidRPr="000020F0" w:rsidRDefault="005A12B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ATEKT d.o.o.</w:t>
      </w:r>
    </w:p>
    <w:p w14:paraId="213F753B" w14:textId="23D01931" w:rsidR="005A12B5" w:rsidRPr="000020F0" w:rsidRDefault="005A12B5" w:rsidP="00926405">
      <w:pPr>
        <w:spacing w:line="276" w:lineRule="auto"/>
        <w:jc w:val="both"/>
        <w:rPr>
          <w:rFonts w:ascii="Arial" w:hAnsi="Arial" w:cs="Arial"/>
          <w:bCs/>
          <w:sz w:val="22"/>
          <w:szCs w:val="22"/>
          <w:lang w:eastAsia="zh-TW"/>
        </w:rPr>
      </w:pPr>
      <w:r w:rsidRPr="000020F0">
        <w:rPr>
          <w:rFonts w:ascii="Arial" w:hAnsi="Arial" w:cs="Arial"/>
          <w:bCs/>
          <w:sz w:val="22"/>
          <w:szCs w:val="22"/>
          <w:lang w:eastAsia="zh-TW"/>
        </w:rPr>
        <w:t>Brdnikova ulica 64, 1000 Ljubljana</w:t>
      </w:r>
    </w:p>
    <w:p w14:paraId="2E7F3225" w14:textId="77777777" w:rsidR="00926405" w:rsidRPr="000020F0" w:rsidRDefault="00926405" w:rsidP="00926405">
      <w:pPr>
        <w:spacing w:line="276" w:lineRule="auto"/>
        <w:jc w:val="both"/>
        <w:rPr>
          <w:rFonts w:ascii="Arial" w:hAnsi="Arial" w:cs="Arial"/>
          <w:sz w:val="22"/>
          <w:szCs w:val="22"/>
          <w:lang w:eastAsia="zh-TW"/>
        </w:rPr>
      </w:pPr>
    </w:p>
    <w:p w14:paraId="2B78E033" w14:textId="77777777"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Odgovorna oseba za izvedbo investicijskega projekta:</w:t>
      </w:r>
    </w:p>
    <w:p w14:paraId="573DE110"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g. Zlatko Usenik</w:t>
      </w:r>
    </w:p>
    <w:p w14:paraId="7BF00929" w14:textId="77777777"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Občina Ig</w:t>
      </w:r>
    </w:p>
    <w:p w14:paraId="429C6EBE"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Govekarjeva cesta 6, 1292 Ig</w:t>
      </w:r>
    </w:p>
    <w:p w14:paraId="06514AD0" w14:textId="77777777" w:rsidR="00926405" w:rsidRPr="000020F0" w:rsidRDefault="00926405" w:rsidP="00926405">
      <w:pPr>
        <w:spacing w:line="276" w:lineRule="auto"/>
        <w:jc w:val="both"/>
        <w:rPr>
          <w:rFonts w:ascii="Arial" w:hAnsi="Arial" w:cs="Arial"/>
          <w:sz w:val="22"/>
          <w:szCs w:val="22"/>
          <w:lang w:eastAsia="zh-TW"/>
        </w:rPr>
      </w:pPr>
    </w:p>
    <w:p w14:paraId="77AFD497" w14:textId="77777777"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Odgovorna oseba za izvedbo investicijskega projekta:</w:t>
      </w:r>
    </w:p>
    <w:p w14:paraId="2F7BAC8D"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Ga. Marjetka Pintarič Župec, višja svetovalka</w:t>
      </w:r>
    </w:p>
    <w:p w14:paraId="36977544" w14:textId="77777777" w:rsidR="00926405" w:rsidRPr="000020F0" w:rsidRDefault="00926405" w:rsidP="00926405">
      <w:pPr>
        <w:spacing w:line="276" w:lineRule="auto"/>
        <w:jc w:val="both"/>
        <w:rPr>
          <w:rFonts w:ascii="Arial" w:hAnsi="Arial" w:cs="Arial"/>
          <w:b/>
          <w:sz w:val="22"/>
          <w:szCs w:val="22"/>
          <w:lang w:eastAsia="zh-TW"/>
        </w:rPr>
      </w:pPr>
      <w:r w:rsidRPr="000020F0">
        <w:rPr>
          <w:rFonts w:ascii="Arial" w:hAnsi="Arial" w:cs="Arial"/>
          <w:b/>
          <w:sz w:val="22"/>
          <w:szCs w:val="22"/>
          <w:lang w:eastAsia="zh-TW"/>
        </w:rPr>
        <w:t>Občina Ig</w:t>
      </w:r>
    </w:p>
    <w:p w14:paraId="6B7A7596" w14:textId="77777777" w:rsidR="00926405" w:rsidRPr="000020F0" w:rsidRDefault="00926405" w:rsidP="00926405">
      <w:pPr>
        <w:spacing w:line="276" w:lineRule="auto"/>
        <w:jc w:val="both"/>
        <w:rPr>
          <w:rFonts w:ascii="Arial" w:hAnsi="Arial" w:cs="Arial"/>
          <w:sz w:val="22"/>
          <w:szCs w:val="22"/>
          <w:lang w:eastAsia="zh-TW"/>
        </w:rPr>
      </w:pPr>
      <w:r w:rsidRPr="000020F0">
        <w:rPr>
          <w:rFonts w:ascii="Arial" w:hAnsi="Arial" w:cs="Arial"/>
          <w:sz w:val="22"/>
          <w:szCs w:val="22"/>
          <w:lang w:eastAsia="zh-TW"/>
        </w:rPr>
        <w:t>Govekarjeva cesta 6, 1292 Ig</w:t>
      </w:r>
    </w:p>
    <w:p w14:paraId="3E8B402D" w14:textId="77777777" w:rsidR="000B4C12" w:rsidRPr="000020F0" w:rsidRDefault="000B4C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04" w:name="_Toc3698209"/>
      <w:bookmarkStart w:id="105" w:name="_Toc230882179"/>
      <w:r w:rsidRPr="000020F0">
        <w:rPr>
          <w:rFonts w:asciiTheme="majorHAnsi" w:eastAsiaTheme="majorEastAsia" w:hAnsiTheme="majorHAnsi" w:cstheme="majorHAnsi"/>
          <w:color w:val="244061" w:themeColor="accent1" w:themeShade="80"/>
        </w:rPr>
        <w:t>Predvidena organizacija in izvedba projekta</w:t>
      </w:r>
      <w:bookmarkEnd w:id="104"/>
      <w:bookmarkEnd w:id="105"/>
    </w:p>
    <w:p w14:paraId="5BFF9188" w14:textId="77777777" w:rsidR="00746D3D" w:rsidRPr="000020F0" w:rsidRDefault="00746D3D" w:rsidP="00746D3D">
      <w:pPr>
        <w:spacing w:after="120" w:line="276" w:lineRule="auto"/>
        <w:jc w:val="both"/>
        <w:rPr>
          <w:rFonts w:ascii="Arial" w:hAnsi="Arial" w:cs="Arial"/>
          <w:sz w:val="22"/>
          <w:szCs w:val="22"/>
          <w:lang w:eastAsia="zh-TW"/>
        </w:rPr>
      </w:pPr>
      <w:r w:rsidRPr="000020F0">
        <w:rPr>
          <w:rFonts w:ascii="Arial" w:hAnsi="Arial" w:cs="Arial"/>
          <w:sz w:val="22"/>
          <w:szCs w:val="22"/>
          <w:lang w:eastAsia="zh-TW"/>
        </w:rPr>
        <w:t>Zaradi zahtevnosti in kompleksnosti projekta bo organizacija za izvedbo projekta sestavljena z več članov, ki bodo vsebinsko pokrivali vse potrebne strukture znanja.</w:t>
      </w:r>
    </w:p>
    <w:p w14:paraId="767EE9AA" w14:textId="77777777" w:rsidR="00746D3D" w:rsidRPr="000020F0" w:rsidRDefault="00746D3D" w:rsidP="00746D3D">
      <w:pPr>
        <w:spacing w:line="276" w:lineRule="auto"/>
        <w:jc w:val="both"/>
        <w:rPr>
          <w:rFonts w:ascii="Arial" w:hAnsi="Arial" w:cs="Arial"/>
          <w:sz w:val="22"/>
          <w:szCs w:val="22"/>
        </w:rPr>
      </w:pPr>
      <w:r w:rsidRPr="000020F0">
        <w:rPr>
          <w:rFonts w:ascii="Arial" w:hAnsi="Arial" w:cs="Arial"/>
          <w:sz w:val="22"/>
          <w:szCs w:val="22"/>
        </w:rPr>
        <w:t xml:space="preserve">Vodja pri pripravi investicijskega projekta, ki je predmet tega dokumenta, je </w:t>
      </w:r>
      <w:r w:rsidRPr="000020F0">
        <w:rPr>
          <w:rFonts w:asciiTheme="majorHAnsi" w:eastAsia="Arial Unicode MS" w:hAnsiTheme="majorHAnsi" w:cstheme="majorHAnsi"/>
          <w:sz w:val="22"/>
          <w:szCs w:val="22"/>
          <w:lang w:eastAsia="zh-TW"/>
        </w:rPr>
        <w:t>Marjetka Pintarič Župec, višja svetovalka</w:t>
      </w:r>
      <w:r w:rsidRPr="000020F0">
        <w:rPr>
          <w:rFonts w:ascii="Arial" w:hAnsi="Arial" w:cs="Arial"/>
          <w:sz w:val="22"/>
          <w:szCs w:val="22"/>
        </w:rPr>
        <w:t xml:space="preserve">. Kot vodja bo skrbela za sodelovanje pri javnih naročilih, pomoči pri pripravi investicije in sodelovanje pri izvajanju investicije ter </w:t>
      </w:r>
    </w:p>
    <w:p w14:paraId="7DD72819"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zagon projekta, formiranje skupine, ki bo zadolžena za izvajanje aktivnosti v povezavi z investicijo,</w:t>
      </w:r>
    </w:p>
    <w:p w14:paraId="422A4556"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priprava časovnega načrta izvajanja investicije,</w:t>
      </w:r>
    </w:p>
    <w:p w14:paraId="6AB2D0A0"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 xml:space="preserve">zbiranje ponudb izvajalcev na podlagi popisov del za investicijo, </w:t>
      </w:r>
    </w:p>
    <w:p w14:paraId="68FA88E7"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vodenje postopka za izbiro izvajalca,</w:t>
      </w:r>
    </w:p>
    <w:p w14:paraId="6E62ECA4"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 xml:space="preserve">koordinacija izvajanja projekta in ustrezno ukrepanje v primeru odstopanj, </w:t>
      </w:r>
    </w:p>
    <w:p w14:paraId="641D50E7"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 xml:space="preserve">ocenjevanje doseženih rezultatov projekta glede na zastavljene cilje, </w:t>
      </w:r>
    </w:p>
    <w:p w14:paraId="53B59B8A" w14:textId="77777777" w:rsidR="00746D3D" w:rsidRPr="000020F0" w:rsidRDefault="00746D3D" w:rsidP="00746D3D">
      <w:pPr>
        <w:numPr>
          <w:ilvl w:val="0"/>
          <w:numId w:val="29"/>
        </w:numPr>
        <w:spacing w:line="276" w:lineRule="auto"/>
        <w:jc w:val="both"/>
        <w:rPr>
          <w:rFonts w:ascii="Arial" w:hAnsi="Arial" w:cs="Arial"/>
          <w:sz w:val="22"/>
          <w:szCs w:val="22"/>
        </w:rPr>
      </w:pPr>
      <w:r w:rsidRPr="000020F0">
        <w:rPr>
          <w:rFonts w:ascii="Arial" w:hAnsi="Arial" w:cs="Arial"/>
          <w:sz w:val="22"/>
          <w:szCs w:val="22"/>
        </w:rPr>
        <w:t>razreševanje problemov,</w:t>
      </w:r>
    </w:p>
    <w:p w14:paraId="791CCD01" w14:textId="77777777" w:rsidR="00746D3D" w:rsidRPr="000020F0" w:rsidRDefault="00746D3D" w:rsidP="00746D3D">
      <w:pPr>
        <w:numPr>
          <w:ilvl w:val="0"/>
          <w:numId w:val="29"/>
        </w:numPr>
        <w:spacing w:after="120" w:line="276" w:lineRule="auto"/>
        <w:jc w:val="both"/>
        <w:rPr>
          <w:rFonts w:ascii="Arial" w:hAnsi="Arial" w:cs="Arial"/>
          <w:sz w:val="22"/>
          <w:szCs w:val="22"/>
        </w:rPr>
      </w:pPr>
      <w:r w:rsidRPr="000020F0">
        <w:rPr>
          <w:rFonts w:ascii="Arial" w:hAnsi="Arial" w:cs="Arial"/>
          <w:sz w:val="22"/>
          <w:szCs w:val="22"/>
        </w:rPr>
        <w:t>spremljanje finančnega načrta.</w:t>
      </w:r>
    </w:p>
    <w:p w14:paraId="60F19154" w14:textId="77777777" w:rsidR="00746D3D" w:rsidRPr="000020F0" w:rsidRDefault="00746D3D" w:rsidP="00746D3D">
      <w:pPr>
        <w:spacing w:after="120" w:line="276" w:lineRule="auto"/>
        <w:jc w:val="both"/>
        <w:rPr>
          <w:rFonts w:ascii="Arial" w:hAnsi="Arial" w:cs="Arial"/>
          <w:sz w:val="22"/>
          <w:szCs w:val="22"/>
        </w:rPr>
      </w:pPr>
      <w:r w:rsidRPr="000020F0">
        <w:rPr>
          <w:rFonts w:ascii="Arial" w:hAnsi="Arial" w:cs="Arial"/>
          <w:sz w:val="22"/>
          <w:szCs w:val="22"/>
        </w:rPr>
        <w:t>V projekt bodo vključeni tudi drugi posamezniki iz občinskih strokovnih služb glede na potrebe oz. pri tistih specifičnih nalogah v projektu, ki jih pokrivajo v okviru svojih rednih delovnih nalog. V projektno skupino bodo po potrebi vključeni tudi drugi zunanji strokovni sodelavci, ki bodo sodelovali pri izvedbi projekta.</w:t>
      </w:r>
    </w:p>
    <w:p w14:paraId="2E6127FF" w14:textId="76A66110" w:rsidR="00746D3D" w:rsidRPr="000020F0" w:rsidRDefault="00746D3D" w:rsidP="00746D3D">
      <w:pPr>
        <w:spacing w:after="120" w:line="276" w:lineRule="auto"/>
        <w:jc w:val="both"/>
        <w:rPr>
          <w:rFonts w:ascii="Arial" w:hAnsi="Arial" w:cs="Arial"/>
          <w:sz w:val="22"/>
          <w:szCs w:val="22"/>
        </w:rPr>
      </w:pPr>
      <w:r w:rsidRPr="000020F0">
        <w:rPr>
          <w:rFonts w:ascii="Arial" w:hAnsi="Arial" w:cs="Arial"/>
          <w:sz w:val="22"/>
          <w:szCs w:val="22"/>
        </w:rPr>
        <w:t xml:space="preserve">V izdelavo projektne dokumentacije </w:t>
      </w:r>
      <w:r w:rsidR="006F6ED5" w:rsidRPr="000020F0">
        <w:rPr>
          <w:rFonts w:ascii="Arial" w:hAnsi="Arial" w:cs="Arial"/>
          <w:sz w:val="22"/>
          <w:szCs w:val="22"/>
        </w:rPr>
        <w:t>je</w:t>
      </w:r>
      <w:r w:rsidRPr="000020F0">
        <w:rPr>
          <w:rFonts w:ascii="Arial" w:hAnsi="Arial" w:cs="Arial"/>
          <w:sz w:val="22"/>
          <w:szCs w:val="22"/>
        </w:rPr>
        <w:t xml:space="preserve"> vključen pooblaščeni krajinski arhitekt.</w:t>
      </w:r>
    </w:p>
    <w:p w14:paraId="62C36D00" w14:textId="0DD087C2" w:rsidR="00720EB6" w:rsidRPr="000020F0" w:rsidRDefault="00746D3D" w:rsidP="00746D3D">
      <w:pPr>
        <w:spacing w:after="120" w:line="276" w:lineRule="auto"/>
        <w:jc w:val="both"/>
        <w:rPr>
          <w:rFonts w:asciiTheme="majorHAnsi" w:eastAsia="Arial" w:hAnsiTheme="majorHAnsi" w:cstheme="majorHAnsi"/>
          <w:sz w:val="22"/>
          <w:szCs w:val="22"/>
        </w:rPr>
      </w:pPr>
      <w:r w:rsidRPr="000020F0">
        <w:rPr>
          <w:rFonts w:ascii="Arial" w:hAnsi="Arial" w:cs="Arial"/>
          <w:sz w:val="22"/>
          <w:szCs w:val="22"/>
        </w:rPr>
        <w:t xml:space="preserve">V izdelavo projektne dokumentacije za ozelenjevanje stavb in odprte grajene površine </w:t>
      </w:r>
      <w:r w:rsidR="006F6ED5" w:rsidRPr="000020F0">
        <w:rPr>
          <w:rFonts w:ascii="Arial" w:hAnsi="Arial" w:cs="Arial"/>
          <w:sz w:val="22"/>
          <w:szCs w:val="22"/>
        </w:rPr>
        <w:t>je</w:t>
      </w:r>
      <w:r w:rsidRPr="000020F0">
        <w:rPr>
          <w:rFonts w:ascii="Arial" w:hAnsi="Arial" w:cs="Arial"/>
          <w:sz w:val="22"/>
          <w:szCs w:val="22"/>
        </w:rPr>
        <w:t xml:space="preserve"> vključen pooblaščeni arhitekt.</w:t>
      </w:r>
    </w:p>
    <w:p w14:paraId="7E3971B6" w14:textId="77777777" w:rsidR="000B4C12" w:rsidRPr="000020F0" w:rsidRDefault="000B4C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06" w:name="_Toc3698210"/>
      <w:bookmarkStart w:id="107" w:name="_Toc230882180"/>
      <w:r w:rsidRPr="000020F0">
        <w:rPr>
          <w:rFonts w:asciiTheme="majorHAnsi" w:eastAsiaTheme="majorEastAsia" w:hAnsiTheme="majorHAnsi" w:cstheme="majorHAnsi"/>
          <w:color w:val="244061" w:themeColor="accent1" w:themeShade="80"/>
        </w:rPr>
        <w:t>Prikaz ocenjene vrednosti investicije ter predvidena finančna konstrukcija</w:t>
      </w:r>
      <w:bookmarkEnd w:id="106"/>
      <w:bookmarkEnd w:id="107"/>
      <w:r w:rsidRPr="000020F0">
        <w:rPr>
          <w:rFonts w:asciiTheme="majorHAnsi" w:eastAsiaTheme="majorEastAsia" w:hAnsiTheme="majorHAnsi" w:cstheme="majorHAnsi"/>
          <w:color w:val="244061" w:themeColor="accent1" w:themeShade="80"/>
        </w:rPr>
        <w:t xml:space="preserve"> </w:t>
      </w:r>
    </w:p>
    <w:p w14:paraId="154B630C" w14:textId="357DB42D" w:rsidR="008252A9" w:rsidRPr="000020F0" w:rsidRDefault="000B4C12" w:rsidP="0001486F">
      <w:pPr>
        <w:jc w:val="both"/>
        <w:rPr>
          <w:rFonts w:ascii="Arial" w:hAnsi="Arial" w:cs="Arial"/>
          <w:b/>
          <w:bCs/>
          <w:color w:val="000000"/>
          <w:sz w:val="22"/>
          <w:szCs w:val="22"/>
        </w:rPr>
      </w:pPr>
      <w:r w:rsidRPr="000020F0">
        <w:rPr>
          <w:rFonts w:ascii="Arial" w:hAnsi="Arial" w:cs="Arial"/>
          <w:sz w:val="22"/>
          <w:szCs w:val="22"/>
        </w:rPr>
        <w:t xml:space="preserve">Celotna vrednost projekta je ocenjena na </w:t>
      </w:r>
      <w:r w:rsidR="00286B31" w:rsidRPr="000020F0">
        <w:rPr>
          <w:rFonts w:ascii="Arial" w:hAnsi="Arial" w:cs="Arial"/>
          <w:sz w:val="22"/>
          <w:szCs w:val="22"/>
        </w:rPr>
        <w:t xml:space="preserve">2.736.881,76 </w:t>
      </w:r>
      <w:r w:rsidR="0001486F" w:rsidRPr="000020F0">
        <w:rPr>
          <w:rFonts w:ascii="Arial" w:hAnsi="Arial" w:cs="Arial"/>
          <w:sz w:val="22"/>
          <w:szCs w:val="22"/>
        </w:rPr>
        <w:t xml:space="preserve">EUR brez DDV oziroma </w:t>
      </w:r>
      <w:r w:rsidR="00286B31" w:rsidRPr="000020F0">
        <w:rPr>
          <w:rFonts w:ascii="Arial" w:hAnsi="Arial" w:cs="Arial"/>
          <w:sz w:val="22"/>
          <w:szCs w:val="22"/>
        </w:rPr>
        <w:t xml:space="preserve">3.277.156,77 </w:t>
      </w:r>
      <w:r w:rsidR="0001486F" w:rsidRPr="000020F0">
        <w:rPr>
          <w:rFonts w:ascii="Arial" w:hAnsi="Arial" w:cs="Arial"/>
          <w:sz w:val="22"/>
          <w:szCs w:val="22"/>
        </w:rPr>
        <w:t xml:space="preserve">EUR po stalnih cenah </w:t>
      </w:r>
      <w:r w:rsidR="00E90DDB" w:rsidRPr="000020F0">
        <w:rPr>
          <w:rFonts w:ascii="Arial" w:hAnsi="Arial" w:cs="Arial"/>
          <w:sz w:val="22"/>
          <w:szCs w:val="22"/>
        </w:rPr>
        <w:t xml:space="preserve">ter </w:t>
      </w:r>
      <w:r w:rsidR="001F0E1D" w:rsidRPr="000020F0">
        <w:rPr>
          <w:rFonts w:ascii="Arial" w:hAnsi="Arial" w:cs="Arial"/>
          <w:sz w:val="22"/>
          <w:szCs w:val="22"/>
        </w:rPr>
        <w:t xml:space="preserve">2.826.142,46 </w:t>
      </w:r>
      <w:r w:rsidR="0001486F" w:rsidRPr="000020F0">
        <w:rPr>
          <w:rFonts w:ascii="Arial" w:hAnsi="Arial" w:cs="Arial"/>
          <w:sz w:val="22"/>
          <w:szCs w:val="22"/>
        </w:rPr>
        <w:t xml:space="preserve">EUR brez DDV oziroma </w:t>
      </w:r>
      <w:r w:rsidR="001F0E1D" w:rsidRPr="000020F0">
        <w:rPr>
          <w:rFonts w:ascii="Arial" w:hAnsi="Arial" w:cs="Arial"/>
          <w:sz w:val="22"/>
          <w:szCs w:val="22"/>
        </w:rPr>
        <w:t xml:space="preserve">3.386.054,83 </w:t>
      </w:r>
      <w:r w:rsidR="0001486F" w:rsidRPr="000020F0">
        <w:rPr>
          <w:rFonts w:ascii="Arial" w:hAnsi="Arial" w:cs="Arial"/>
          <w:sz w:val="22"/>
          <w:szCs w:val="22"/>
        </w:rPr>
        <w:t>EUR z DDV v tekočih cenah</w:t>
      </w:r>
      <w:r w:rsidR="008252A9" w:rsidRPr="000020F0">
        <w:rPr>
          <w:rFonts w:ascii="Arial" w:hAnsi="Arial" w:cs="Arial"/>
          <w:sz w:val="22"/>
          <w:szCs w:val="22"/>
        </w:rPr>
        <w:t>.</w:t>
      </w:r>
    </w:p>
    <w:p w14:paraId="540A5BA6" w14:textId="77777777" w:rsidR="008252A9" w:rsidRPr="000020F0" w:rsidRDefault="008252A9" w:rsidP="008252A9">
      <w:pPr>
        <w:rPr>
          <w:lang w:eastAsia="zh-TW"/>
        </w:rPr>
      </w:pPr>
    </w:p>
    <w:p w14:paraId="4E0DBF9D" w14:textId="670B8D96" w:rsidR="009F201C" w:rsidRPr="000020F0" w:rsidRDefault="000B4C12" w:rsidP="009F201C">
      <w:pPr>
        <w:spacing w:after="200" w:line="276" w:lineRule="auto"/>
        <w:rPr>
          <w:rFonts w:asciiTheme="majorHAnsi" w:hAnsiTheme="majorHAnsi" w:cstheme="majorHAnsi"/>
          <w:sz w:val="22"/>
          <w:szCs w:val="22"/>
        </w:rPr>
      </w:pPr>
      <w:bookmarkStart w:id="108" w:name="_Toc3698127"/>
      <w:bookmarkStart w:id="109" w:name="_Toc230882284"/>
      <w:r w:rsidRPr="000020F0">
        <w:rPr>
          <w:rFonts w:asciiTheme="majorHAnsi" w:hAnsiTheme="majorHAnsi" w:cstheme="majorHAnsi"/>
          <w:b/>
          <w:bCs/>
          <w:sz w:val="22"/>
          <w:szCs w:val="22"/>
        </w:rPr>
        <w:t xml:space="preserve">Tabela </w:t>
      </w:r>
      <w:r w:rsidRPr="000020F0">
        <w:rPr>
          <w:rFonts w:asciiTheme="majorHAnsi" w:hAnsiTheme="majorHAnsi" w:cstheme="majorHAnsi"/>
          <w:b/>
          <w:bCs/>
          <w:sz w:val="22"/>
          <w:szCs w:val="22"/>
        </w:rPr>
        <w:fldChar w:fldCharType="begin"/>
      </w:r>
      <w:r w:rsidRPr="000020F0">
        <w:rPr>
          <w:rFonts w:asciiTheme="majorHAnsi" w:hAnsiTheme="majorHAnsi" w:cstheme="majorHAnsi"/>
          <w:b/>
          <w:bCs/>
          <w:sz w:val="22"/>
          <w:szCs w:val="22"/>
        </w:rPr>
        <w:instrText xml:space="preserve"> SEQ Tabela \* ARABIC </w:instrText>
      </w:r>
      <w:r w:rsidRPr="000020F0">
        <w:rPr>
          <w:rFonts w:asciiTheme="majorHAnsi" w:hAnsiTheme="majorHAnsi" w:cstheme="majorHAnsi"/>
          <w:b/>
          <w:bCs/>
          <w:sz w:val="22"/>
          <w:szCs w:val="22"/>
        </w:rPr>
        <w:fldChar w:fldCharType="separate"/>
      </w:r>
      <w:r w:rsidR="00BB0C0C">
        <w:rPr>
          <w:rFonts w:asciiTheme="majorHAnsi" w:hAnsiTheme="majorHAnsi" w:cstheme="majorHAnsi"/>
          <w:b/>
          <w:bCs/>
          <w:noProof/>
          <w:sz w:val="22"/>
          <w:szCs w:val="22"/>
        </w:rPr>
        <w:t>4</w:t>
      </w:r>
      <w:r w:rsidRPr="000020F0">
        <w:rPr>
          <w:rFonts w:asciiTheme="majorHAnsi" w:hAnsiTheme="majorHAnsi" w:cstheme="majorHAnsi"/>
          <w:b/>
          <w:bCs/>
          <w:sz w:val="22"/>
          <w:szCs w:val="22"/>
        </w:rPr>
        <w:fldChar w:fldCharType="end"/>
      </w:r>
      <w:r w:rsidRPr="000020F0">
        <w:rPr>
          <w:rFonts w:asciiTheme="majorHAnsi" w:hAnsiTheme="majorHAnsi" w:cstheme="majorHAnsi"/>
          <w:b/>
          <w:bCs/>
          <w:sz w:val="22"/>
          <w:szCs w:val="22"/>
        </w:rPr>
        <w:t>:</w:t>
      </w:r>
      <w:r w:rsidR="00155421" w:rsidRPr="000020F0">
        <w:rPr>
          <w:rFonts w:asciiTheme="majorHAnsi" w:hAnsiTheme="majorHAnsi" w:cstheme="majorHAnsi"/>
          <w:sz w:val="22"/>
          <w:szCs w:val="22"/>
        </w:rPr>
        <w:t xml:space="preserve"> </w:t>
      </w:r>
      <w:r w:rsidRPr="000020F0">
        <w:rPr>
          <w:rFonts w:asciiTheme="majorHAnsi" w:hAnsiTheme="majorHAnsi" w:cstheme="majorHAnsi"/>
          <w:sz w:val="22"/>
          <w:szCs w:val="22"/>
        </w:rPr>
        <w:t>Prikaz stroškov projekta v stalnih</w:t>
      </w:r>
      <w:r w:rsidR="00137824" w:rsidRPr="000020F0">
        <w:rPr>
          <w:rFonts w:asciiTheme="majorHAnsi" w:hAnsiTheme="majorHAnsi" w:cstheme="majorHAnsi"/>
          <w:sz w:val="22"/>
          <w:szCs w:val="22"/>
        </w:rPr>
        <w:t xml:space="preserve"> </w:t>
      </w:r>
      <w:r w:rsidRPr="000020F0">
        <w:rPr>
          <w:rFonts w:asciiTheme="majorHAnsi" w:hAnsiTheme="majorHAnsi" w:cstheme="majorHAnsi"/>
          <w:sz w:val="22"/>
          <w:szCs w:val="22"/>
        </w:rPr>
        <w:t>cenah brez in z DDV (v EUR)</w:t>
      </w:r>
      <w:bookmarkEnd w:id="108"/>
      <w:bookmarkEnd w:id="109"/>
    </w:p>
    <w:tbl>
      <w:tblPr>
        <w:tblW w:w="9492" w:type="dxa"/>
        <w:tblLook w:val="04A0" w:firstRow="1" w:lastRow="0" w:firstColumn="1" w:lastColumn="0" w:noHBand="0" w:noVBand="1"/>
      </w:tblPr>
      <w:tblGrid>
        <w:gridCol w:w="3397"/>
        <w:gridCol w:w="1701"/>
        <w:gridCol w:w="1275"/>
        <w:gridCol w:w="1418"/>
        <w:gridCol w:w="1701"/>
      </w:tblGrid>
      <w:tr w:rsidR="0062433C" w:rsidRPr="000020F0" w14:paraId="2947EE24" w14:textId="77777777" w:rsidTr="0042650F">
        <w:trPr>
          <w:trHeight w:val="280"/>
          <w:tblHeader/>
        </w:trPr>
        <w:tc>
          <w:tcPr>
            <w:tcW w:w="3397"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55E82971" w14:textId="77777777" w:rsidR="0062433C" w:rsidRPr="000020F0" w:rsidRDefault="0062433C">
            <w:pPr>
              <w:rPr>
                <w:rFonts w:ascii="Arial" w:hAnsi="Arial" w:cs="Arial"/>
                <w:b/>
                <w:bCs/>
                <w:color w:val="FFFFFF"/>
                <w:sz w:val="20"/>
                <w:szCs w:val="20"/>
              </w:rPr>
            </w:pPr>
            <w:r w:rsidRPr="000020F0">
              <w:rPr>
                <w:rFonts w:ascii="Arial" w:hAnsi="Arial" w:cs="Arial"/>
                <w:b/>
                <w:bCs/>
                <w:color w:val="FFFFFF"/>
                <w:sz w:val="20"/>
                <w:szCs w:val="20"/>
              </w:rPr>
              <w:t>Postavka</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468AB9BA" w14:textId="77777777" w:rsidR="0062433C" w:rsidRPr="000020F0" w:rsidRDefault="0062433C">
            <w:pPr>
              <w:rPr>
                <w:rFonts w:ascii="Arial" w:hAnsi="Arial" w:cs="Arial"/>
                <w:b/>
                <w:bCs/>
                <w:color w:val="FFFFFF"/>
                <w:sz w:val="20"/>
                <w:szCs w:val="20"/>
              </w:rPr>
            </w:pPr>
            <w:r w:rsidRPr="000020F0">
              <w:rPr>
                <w:rFonts w:ascii="Arial" w:hAnsi="Arial" w:cs="Arial"/>
                <w:b/>
                <w:bCs/>
                <w:color w:val="FFFFFF"/>
                <w:sz w:val="20"/>
                <w:szCs w:val="20"/>
              </w:rPr>
              <w:t>Vrednost</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53040111" w14:textId="77777777" w:rsidR="0062433C" w:rsidRPr="000020F0" w:rsidRDefault="0062433C">
            <w:pPr>
              <w:rPr>
                <w:rFonts w:ascii="Arial" w:hAnsi="Arial" w:cs="Arial"/>
                <w:b/>
                <w:bCs/>
                <w:color w:val="FFFFFF"/>
                <w:sz w:val="20"/>
                <w:szCs w:val="20"/>
              </w:rPr>
            </w:pPr>
            <w:r w:rsidRPr="000020F0">
              <w:rPr>
                <w:rFonts w:ascii="Arial" w:hAnsi="Arial" w:cs="Arial"/>
                <w:b/>
                <w:bCs/>
                <w:color w:val="FFFFFF"/>
                <w:sz w:val="20"/>
                <w:szCs w:val="20"/>
              </w:rPr>
              <w:t>Delež</w:t>
            </w:r>
          </w:p>
        </w:tc>
        <w:tc>
          <w:tcPr>
            <w:tcW w:w="1418" w:type="dxa"/>
            <w:tcBorders>
              <w:top w:val="single" w:sz="4" w:space="0" w:color="auto"/>
              <w:left w:val="nil"/>
              <w:bottom w:val="single" w:sz="4" w:space="0" w:color="auto"/>
              <w:right w:val="single" w:sz="4" w:space="0" w:color="auto"/>
            </w:tcBorders>
            <w:shd w:val="clear" w:color="000000" w:fill="153D64"/>
            <w:noWrap/>
            <w:vAlign w:val="bottom"/>
            <w:hideMark/>
          </w:tcPr>
          <w:p w14:paraId="5BA9C39D" w14:textId="77777777" w:rsidR="0062433C" w:rsidRPr="000020F0" w:rsidRDefault="0062433C">
            <w:pPr>
              <w:rPr>
                <w:rFonts w:ascii="Arial" w:hAnsi="Arial" w:cs="Arial"/>
                <w:b/>
                <w:bCs/>
                <w:color w:val="FFFFFF"/>
                <w:sz w:val="20"/>
                <w:szCs w:val="20"/>
              </w:rPr>
            </w:pPr>
            <w:r w:rsidRPr="000020F0">
              <w:rPr>
                <w:rFonts w:ascii="Arial" w:hAnsi="Arial" w:cs="Arial"/>
                <w:b/>
                <w:bCs/>
                <w:color w:val="FFFFFF"/>
                <w:sz w:val="20"/>
                <w:szCs w:val="20"/>
              </w:rPr>
              <w:t>DDV</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1AC24118" w14:textId="77777777" w:rsidR="0062433C" w:rsidRPr="000020F0" w:rsidRDefault="0062433C">
            <w:pPr>
              <w:rPr>
                <w:rFonts w:ascii="Arial" w:hAnsi="Arial" w:cs="Arial"/>
                <w:b/>
                <w:bCs/>
                <w:color w:val="FFFFFF"/>
                <w:sz w:val="20"/>
                <w:szCs w:val="20"/>
              </w:rPr>
            </w:pPr>
            <w:r w:rsidRPr="000020F0">
              <w:rPr>
                <w:rFonts w:ascii="Arial" w:hAnsi="Arial" w:cs="Arial"/>
                <w:b/>
                <w:bCs/>
                <w:color w:val="FFFFFF"/>
                <w:sz w:val="20"/>
                <w:szCs w:val="20"/>
              </w:rPr>
              <w:t>Vrednost z DDV</w:t>
            </w:r>
          </w:p>
        </w:tc>
      </w:tr>
      <w:tr w:rsidR="00EE72C7" w:rsidRPr="000020F0" w14:paraId="5BA4F852"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4787AC4D" w14:textId="0CA64A57"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Govekarjeva cesta</w:t>
            </w:r>
          </w:p>
        </w:tc>
        <w:tc>
          <w:tcPr>
            <w:tcW w:w="1701" w:type="dxa"/>
            <w:tcBorders>
              <w:top w:val="nil"/>
              <w:left w:val="nil"/>
              <w:bottom w:val="single" w:sz="4" w:space="0" w:color="auto"/>
              <w:right w:val="single" w:sz="4" w:space="0" w:color="auto"/>
            </w:tcBorders>
            <w:noWrap/>
            <w:vAlign w:val="bottom"/>
            <w:hideMark/>
          </w:tcPr>
          <w:p w14:paraId="3AE9DBEB" w14:textId="406F0EF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856.955,69</w:t>
            </w:r>
          </w:p>
        </w:tc>
        <w:tc>
          <w:tcPr>
            <w:tcW w:w="1275" w:type="dxa"/>
            <w:tcBorders>
              <w:top w:val="nil"/>
              <w:left w:val="nil"/>
              <w:bottom w:val="single" w:sz="4" w:space="0" w:color="auto"/>
              <w:right w:val="single" w:sz="4" w:space="0" w:color="auto"/>
            </w:tcBorders>
            <w:noWrap/>
            <w:vAlign w:val="bottom"/>
            <w:hideMark/>
          </w:tcPr>
          <w:p w14:paraId="38A686F6" w14:textId="13BFB418"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26,15%</w:t>
            </w:r>
          </w:p>
        </w:tc>
        <w:tc>
          <w:tcPr>
            <w:tcW w:w="1418" w:type="dxa"/>
            <w:tcBorders>
              <w:top w:val="nil"/>
              <w:left w:val="nil"/>
              <w:bottom w:val="single" w:sz="4" w:space="0" w:color="auto"/>
              <w:right w:val="single" w:sz="4" w:space="0" w:color="auto"/>
            </w:tcBorders>
            <w:noWrap/>
            <w:vAlign w:val="bottom"/>
            <w:hideMark/>
          </w:tcPr>
          <w:p w14:paraId="679454DF" w14:textId="344256B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188.530,25</w:t>
            </w:r>
          </w:p>
        </w:tc>
        <w:tc>
          <w:tcPr>
            <w:tcW w:w="1701" w:type="dxa"/>
            <w:tcBorders>
              <w:top w:val="nil"/>
              <w:left w:val="nil"/>
              <w:bottom w:val="single" w:sz="4" w:space="0" w:color="auto"/>
              <w:right w:val="single" w:sz="4" w:space="0" w:color="auto"/>
            </w:tcBorders>
            <w:noWrap/>
            <w:vAlign w:val="bottom"/>
            <w:hideMark/>
          </w:tcPr>
          <w:p w14:paraId="4088D01E" w14:textId="17F55D0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1.045.485,94</w:t>
            </w:r>
          </w:p>
        </w:tc>
      </w:tr>
      <w:tr w:rsidR="00EE72C7" w:rsidRPr="000020F0" w14:paraId="231472D5"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62D7516E" w14:textId="116B35B3"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Troštova ulica</w:t>
            </w:r>
          </w:p>
        </w:tc>
        <w:tc>
          <w:tcPr>
            <w:tcW w:w="1701" w:type="dxa"/>
            <w:tcBorders>
              <w:top w:val="nil"/>
              <w:left w:val="nil"/>
              <w:bottom w:val="single" w:sz="4" w:space="0" w:color="auto"/>
              <w:right w:val="single" w:sz="4" w:space="0" w:color="auto"/>
            </w:tcBorders>
            <w:noWrap/>
            <w:vAlign w:val="bottom"/>
            <w:hideMark/>
          </w:tcPr>
          <w:p w14:paraId="795BDB86" w14:textId="0268A74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48.950,81</w:t>
            </w:r>
          </w:p>
        </w:tc>
        <w:tc>
          <w:tcPr>
            <w:tcW w:w="1275" w:type="dxa"/>
            <w:tcBorders>
              <w:top w:val="nil"/>
              <w:left w:val="nil"/>
              <w:bottom w:val="single" w:sz="4" w:space="0" w:color="auto"/>
              <w:right w:val="single" w:sz="4" w:space="0" w:color="auto"/>
            </w:tcBorders>
            <w:noWrap/>
            <w:vAlign w:val="bottom"/>
            <w:hideMark/>
          </w:tcPr>
          <w:p w14:paraId="54019977" w14:textId="384B7D7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1,49%</w:t>
            </w:r>
          </w:p>
        </w:tc>
        <w:tc>
          <w:tcPr>
            <w:tcW w:w="1418" w:type="dxa"/>
            <w:tcBorders>
              <w:top w:val="nil"/>
              <w:left w:val="nil"/>
              <w:bottom w:val="single" w:sz="4" w:space="0" w:color="auto"/>
              <w:right w:val="single" w:sz="4" w:space="0" w:color="auto"/>
            </w:tcBorders>
            <w:noWrap/>
            <w:vAlign w:val="bottom"/>
            <w:hideMark/>
          </w:tcPr>
          <w:p w14:paraId="5C6958C0" w14:textId="30BAAE5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10.769,18</w:t>
            </w:r>
          </w:p>
        </w:tc>
        <w:tc>
          <w:tcPr>
            <w:tcW w:w="1701" w:type="dxa"/>
            <w:tcBorders>
              <w:top w:val="nil"/>
              <w:left w:val="nil"/>
              <w:bottom w:val="single" w:sz="4" w:space="0" w:color="auto"/>
              <w:right w:val="single" w:sz="4" w:space="0" w:color="auto"/>
            </w:tcBorders>
            <w:noWrap/>
            <w:vAlign w:val="bottom"/>
            <w:hideMark/>
          </w:tcPr>
          <w:p w14:paraId="507E9484" w14:textId="5C1EF9D4"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59.719,99</w:t>
            </w:r>
          </w:p>
        </w:tc>
      </w:tr>
      <w:tr w:rsidR="00EE72C7" w:rsidRPr="000020F0" w14:paraId="7A1783F1"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628617EA" w14:textId="60DD141F"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701" w:type="dxa"/>
            <w:tcBorders>
              <w:top w:val="nil"/>
              <w:left w:val="nil"/>
              <w:bottom w:val="single" w:sz="4" w:space="0" w:color="auto"/>
              <w:right w:val="single" w:sz="4" w:space="0" w:color="auto"/>
            </w:tcBorders>
            <w:noWrap/>
            <w:vAlign w:val="bottom"/>
            <w:hideMark/>
          </w:tcPr>
          <w:p w14:paraId="4D50513C" w14:textId="155C0EF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60.000,00</w:t>
            </w:r>
          </w:p>
        </w:tc>
        <w:tc>
          <w:tcPr>
            <w:tcW w:w="1275" w:type="dxa"/>
            <w:tcBorders>
              <w:top w:val="nil"/>
              <w:left w:val="nil"/>
              <w:bottom w:val="single" w:sz="4" w:space="0" w:color="auto"/>
              <w:right w:val="single" w:sz="4" w:space="0" w:color="auto"/>
            </w:tcBorders>
            <w:noWrap/>
            <w:vAlign w:val="bottom"/>
            <w:hideMark/>
          </w:tcPr>
          <w:p w14:paraId="1D4953D9" w14:textId="7006D1A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1,83%</w:t>
            </w:r>
          </w:p>
        </w:tc>
        <w:tc>
          <w:tcPr>
            <w:tcW w:w="1418" w:type="dxa"/>
            <w:tcBorders>
              <w:top w:val="nil"/>
              <w:left w:val="nil"/>
              <w:bottom w:val="single" w:sz="4" w:space="0" w:color="auto"/>
              <w:right w:val="single" w:sz="4" w:space="0" w:color="auto"/>
            </w:tcBorders>
            <w:noWrap/>
            <w:vAlign w:val="bottom"/>
            <w:hideMark/>
          </w:tcPr>
          <w:p w14:paraId="212278A3" w14:textId="10CD502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13.200,00</w:t>
            </w:r>
          </w:p>
        </w:tc>
        <w:tc>
          <w:tcPr>
            <w:tcW w:w="1701" w:type="dxa"/>
            <w:tcBorders>
              <w:top w:val="nil"/>
              <w:left w:val="nil"/>
              <w:bottom w:val="single" w:sz="4" w:space="0" w:color="auto"/>
              <w:right w:val="single" w:sz="4" w:space="0" w:color="auto"/>
            </w:tcBorders>
            <w:noWrap/>
            <w:vAlign w:val="bottom"/>
            <w:hideMark/>
          </w:tcPr>
          <w:p w14:paraId="427ABFA9" w14:textId="3729BDE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73.200,00</w:t>
            </w:r>
          </w:p>
        </w:tc>
      </w:tr>
      <w:tr w:rsidR="00EE72C7" w:rsidRPr="000020F0" w14:paraId="33BFC3B7"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732DB4AD" w14:textId="4840A9EB"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701" w:type="dxa"/>
            <w:tcBorders>
              <w:top w:val="nil"/>
              <w:left w:val="nil"/>
              <w:bottom w:val="single" w:sz="4" w:space="0" w:color="auto"/>
              <w:right w:val="single" w:sz="4" w:space="0" w:color="auto"/>
            </w:tcBorders>
            <w:noWrap/>
            <w:vAlign w:val="bottom"/>
            <w:hideMark/>
          </w:tcPr>
          <w:p w14:paraId="3B794211" w14:textId="4E5D45A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41.574,32</w:t>
            </w:r>
          </w:p>
        </w:tc>
        <w:tc>
          <w:tcPr>
            <w:tcW w:w="1275" w:type="dxa"/>
            <w:tcBorders>
              <w:top w:val="nil"/>
              <w:left w:val="nil"/>
              <w:bottom w:val="single" w:sz="4" w:space="0" w:color="auto"/>
              <w:right w:val="single" w:sz="4" w:space="0" w:color="auto"/>
            </w:tcBorders>
            <w:noWrap/>
            <w:vAlign w:val="bottom"/>
            <w:hideMark/>
          </w:tcPr>
          <w:p w14:paraId="35E84B56" w14:textId="7F16894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1,27%</w:t>
            </w:r>
          </w:p>
        </w:tc>
        <w:tc>
          <w:tcPr>
            <w:tcW w:w="1418" w:type="dxa"/>
            <w:tcBorders>
              <w:top w:val="nil"/>
              <w:left w:val="nil"/>
              <w:bottom w:val="single" w:sz="4" w:space="0" w:color="auto"/>
              <w:right w:val="single" w:sz="4" w:space="0" w:color="auto"/>
            </w:tcBorders>
            <w:noWrap/>
            <w:vAlign w:val="bottom"/>
            <w:hideMark/>
          </w:tcPr>
          <w:p w14:paraId="2B9EEED2" w14:textId="720643B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9.146,35</w:t>
            </w:r>
          </w:p>
        </w:tc>
        <w:tc>
          <w:tcPr>
            <w:tcW w:w="1701" w:type="dxa"/>
            <w:tcBorders>
              <w:top w:val="nil"/>
              <w:left w:val="nil"/>
              <w:bottom w:val="single" w:sz="4" w:space="0" w:color="auto"/>
              <w:right w:val="single" w:sz="4" w:space="0" w:color="auto"/>
            </w:tcBorders>
            <w:noWrap/>
            <w:vAlign w:val="bottom"/>
            <w:hideMark/>
          </w:tcPr>
          <w:p w14:paraId="0B3CBA32" w14:textId="78545FF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50.720,67</w:t>
            </w:r>
          </w:p>
        </w:tc>
      </w:tr>
      <w:tr w:rsidR="00EE72C7" w:rsidRPr="000020F0" w14:paraId="57CB236A"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5EC41C1E" w14:textId="35F11D22"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701" w:type="dxa"/>
            <w:tcBorders>
              <w:top w:val="nil"/>
              <w:left w:val="nil"/>
              <w:bottom w:val="single" w:sz="4" w:space="0" w:color="auto"/>
              <w:right w:val="single" w:sz="4" w:space="0" w:color="auto"/>
            </w:tcBorders>
            <w:noWrap/>
            <w:vAlign w:val="bottom"/>
            <w:hideMark/>
          </w:tcPr>
          <w:p w14:paraId="2477A688" w14:textId="00936D5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13.464,91</w:t>
            </w:r>
          </w:p>
        </w:tc>
        <w:tc>
          <w:tcPr>
            <w:tcW w:w="1275" w:type="dxa"/>
            <w:tcBorders>
              <w:top w:val="nil"/>
              <w:left w:val="nil"/>
              <w:bottom w:val="single" w:sz="4" w:space="0" w:color="auto"/>
              <w:right w:val="single" w:sz="4" w:space="0" w:color="auto"/>
            </w:tcBorders>
            <w:noWrap/>
            <w:vAlign w:val="bottom"/>
            <w:hideMark/>
          </w:tcPr>
          <w:p w14:paraId="1D3C7E02" w14:textId="434C4A68"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0,41%</w:t>
            </w:r>
          </w:p>
        </w:tc>
        <w:tc>
          <w:tcPr>
            <w:tcW w:w="1418" w:type="dxa"/>
            <w:tcBorders>
              <w:top w:val="nil"/>
              <w:left w:val="nil"/>
              <w:bottom w:val="single" w:sz="4" w:space="0" w:color="auto"/>
              <w:right w:val="single" w:sz="4" w:space="0" w:color="auto"/>
            </w:tcBorders>
            <w:noWrap/>
            <w:vAlign w:val="bottom"/>
            <w:hideMark/>
          </w:tcPr>
          <w:p w14:paraId="34BADAF5" w14:textId="0DA1B52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2.962,28</w:t>
            </w:r>
          </w:p>
        </w:tc>
        <w:tc>
          <w:tcPr>
            <w:tcW w:w="1701" w:type="dxa"/>
            <w:tcBorders>
              <w:top w:val="nil"/>
              <w:left w:val="nil"/>
              <w:bottom w:val="single" w:sz="4" w:space="0" w:color="auto"/>
              <w:right w:val="single" w:sz="4" w:space="0" w:color="auto"/>
            </w:tcBorders>
            <w:noWrap/>
            <w:vAlign w:val="bottom"/>
            <w:hideMark/>
          </w:tcPr>
          <w:p w14:paraId="7F6EC6BC" w14:textId="46F5F38B"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16.427,19</w:t>
            </w:r>
          </w:p>
        </w:tc>
      </w:tr>
      <w:tr w:rsidR="00EE72C7" w:rsidRPr="000020F0" w14:paraId="502276F0"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271A82EF" w14:textId="1EAA9807"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701" w:type="dxa"/>
            <w:tcBorders>
              <w:top w:val="nil"/>
              <w:left w:val="nil"/>
              <w:bottom w:val="single" w:sz="4" w:space="0" w:color="auto"/>
              <w:right w:val="single" w:sz="4" w:space="0" w:color="auto"/>
            </w:tcBorders>
            <w:noWrap/>
            <w:vAlign w:val="bottom"/>
            <w:hideMark/>
          </w:tcPr>
          <w:p w14:paraId="3F1DD41B" w14:textId="0FEEA76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9.540,90</w:t>
            </w:r>
          </w:p>
        </w:tc>
        <w:tc>
          <w:tcPr>
            <w:tcW w:w="1275" w:type="dxa"/>
            <w:tcBorders>
              <w:top w:val="nil"/>
              <w:left w:val="nil"/>
              <w:bottom w:val="single" w:sz="4" w:space="0" w:color="auto"/>
              <w:right w:val="single" w:sz="4" w:space="0" w:color="auto"/>
            </w:tcBorders>
            <w:noWrap/>
            <w:vAlign w:val="bottom"/>
            <w:hideMark/>
          </w:tcPr>
          <w:p w14:paraId="765EDC02" w14:textId="1BDE4CF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0,29%</w:t>
            </w:r>
          </w:p>
        </w:tc>
        <w:tc>
          <w:tcPr>
            <w:tcW w:w="1418" w:type="dxa"/>
            <w:tcBorders>
              <w:top w:val="nil"/>
              <w:left w:val="nil"/>
              <w:bottom w:val="single" w:sz="4" w:space="0" w:color="auto"/>
              <w:right w:val="single" w:sz="4" w:space="0" w:color="auto"/>
            </w:tcBorders>
            <w:noWrap/>
            <w:vAlign w:val="bottom"/>
            <w:hideMark/>
          </w:tcPr>
          <w:p w14:paraId="302B2E84" w14:textId="3B37832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2.099,00</w:t>
            </w:r>
          </w:p>
        </w:tc>
        <w:tc>
          <w:tcPr>
            <w:tcW w:w="1701" w:type="dxa"/>
            <w:tcBorders>
              <w:top w:val="nil"/>
              <w:left w:val="nil"/>
              <w:bottom w:val="single" w:sz="4" w:space="0" w:color="auto"/>
              <w:right w:val="single" w:sz="4" w:space="0" w:color="auto"/>
            </w:tcBorders>
            <w:noWrap/>
            <w:vAlign w:val="bottom"/>
            <w:hideMark/>
          </w:tcPr>
          <w:p w14:paraId="03A4461D" w14:textId="61117ED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11.639,90</w:t>
            </w:r>
          </w:p>
        </w:tc>
      </w:tr>
      <w:tr w:rsidR="00EE72C7" w:rsidRPr="000020F0" w14:paraId="138F9C35"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5539BC10" w14:textId="46DAE4B2"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kaplanija</w:t>
            </w:r>
          </w:p>
        </w:tc>
        <w:tc>
          <w:tcPr>
            <w:tcW w:w="1701" w:type="dxa"/>
            <w:tcBorders>
              <w:top w:val="nil"/>
              <w:left w:val="nil"/>
              <w:bottom w:val="single" w:sz="4" w:space="0" w:color="auto"/>
              <w:right w:val="single" w:sz="4" w:space="0" w:color="auto"/>
            </w:tcBorders>
            <w:noWrap/>
            <w:vAlign w:val="bottom"/>
            <w:hideMark/>
          </w:tcPr>
          <w:p w14:paraId="22F09AB7" w14:textId="59F8A4E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9.540,90</w:t>
            </w:r>
          </w:p>
        </w:tc>
        <w:tc>
          <w:tcPr>
            <w:tcW w:w="1275" w:type="dxa"/>
            <w:tcBorders>
              <w:top w:val="nil"/>
              <w:left w:val="nil"/>
              <w:bottom w:val="single" w:sz="4" w:space="0" w:color="auto"/>
              <w:right w:val="single" w:sz="4" w:space="0" w:color="auto"/>
            </w:tcBorders>
            <w:noWrap/>
            <w:vAlign w:val="bottom"/>
            <w:hideMark/>
          </w:tcPr>
          <w:p w14:paraId="036C1D59" w14:textId="297B9E0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0,29%</w:t>
            </w:r>
          </w:p>
        </w:tc>
        <w:tc>
          <w:tcPr>
            <w:tcW w:w="1418" w:type="dxa"/>
            <w:tcBorders>
              <w:top w:val="nil"/>
              <w:left w:val="nil"/>
              <w:bottom w:val="single" w:sz="4" w:space="0" w:color="auto"/>
              <w:right w:val="single" w:sz="4" w:space="0" w:color="auto"/>
            </w:tcBorders>
            <w:noWrap/>
            <w:vAlign w:val="bottom"/>
            <w:hideMark/>
          </w:tcPr>
          <w:p w14:paraId="65AEA204" w14:textId="60D77B6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2.099,00</w:t>
            </w:r>
          </w:p>
        </w:tc>
        <w:tc>
          <w:tcPr>
            <w:tcW w:w="1701" w:type="dxa"/>
            <w:tcBorders>
              <w:top w:val="nil"/>
              <w:left w:val="nil"/>
              <w:bottom w:val="single" w:sz="4" w:space="0" w:color="auto"/>
              <w:right w:val="single" w:sz="4" w:space="0" w:color="auto"/>
            </w:tcBorders>
            <w:noWrap/>
            <w:vAlign w:val="bottom"/>
            <w:hideMark/>
          </w:tcPr>
          <w:p w14:paraId="778A669D" w14:textId="0F6A9D0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11.639,90</w:t>
            </w:r>
          </w:p>
        </w:tc>
      </w:tr>
      <w:tr w:rsidR="00EE72C7" w:rsidRPr="000020F0" w14:paraId="1954F992"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07686ACF" w14:textId="0E20F3DA"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lastRenderedPageBreak/>
              <w:t>Parkirišča za kolesa - trg (kolesarnica)</w:t>
            </w:r>
          </w:p>
        </w:tc>
        <w:tc>
          <w:tcPr>
            <w:tcW w:w="1701" w:type="dxa"/>
            <w:tcBorders>
              <w:top w:val="nil"/>
              <w:left w:val="nil"/>
              <w:bottom w:val="single" w:sz="4" w:space="0" w:color="auto"/>
              <w:right w:val="single" w:sz="4" w:space="0" w:color="auto"/>
            </w:tcBorders>
            <w:noWrap/>
            <w:vAlign w:val="bottom"/>
            <w:hideMark/>
          </w:tcPr>
          <w:p w14:paraId="4BD63A9A" w14:textId="6ADA712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68.411,77</w:t>
            </w:r>
          </w:p>
        </w:tc>
        <w:tc>
          <w:tcPr>
            <w:tcW w:w="1275" w:type="dxa"/>
            <w:tcBorders>
              <w:top w:val="nil"/>
              <w:left w:val="nil"/>
              <w:bottom w:val="single" w:sz="4" w:space="0" w:color="auto"/>
              <w:right w:val="single" w:sz="4" w:space="0" w:color="auto"/>
            </w:tcBorders>
            <w:noWrap/>
            <w:vAlign w:val="bottom"/>
            <w:hideMark/>
          </w:tcPr>
          <w:p w14:paraId="7492F0A5" w14:textId="0F61870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2,09%</w:t>
            </w:r>
          </w:p>
        </w:tc>
        <w:tc>
          <w:tcPr>
            <w:tcW w:w="1418" w:type="dxa"/>
            <w:tcBorders>
              <w:top w:val="nil"/>
              <w:left w:val="nil"/>
              <w:bottom w:val="single" w:sz="4" w:space="0" w:color="auto"/>
              <w:right w:val="single" w:sz="4" w:space="0" w:color="auto"/>
            </w:tcBorders>
            <w:noWrap/>
            <w:vAlign w:val="bottom"/>
            <w:hideMark/>
          </w:tcPr>
          <w:p w14:paraId="4426EDD1" w14:textId="28764DC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15.050,59</w:t>
            </w:r>
          </w:p>
        </w:tc>
        <w:tc>
          <w:tcPr>
            <w:tcW w:w="1701" w:type="dxa"/>
            <w:tcBorders>
              <w:top w:val="nil"/>
              <w:left w:val="nil"/>
              <w:bottom w:val="single" w:sz="4" w:space="0" w:color="auto"/>
              <w:right w:val="single" w:sz="4" w:space="0" w:color="auto"/>
            </w:tcBorders>
            <w:noWrap/>
            <w:vAlign w:val="bottom"/>
            <w:hideMark/>
          </w:tcPr>
          <w:p w14:paraId="247E38C7" w14:textId="7B5AE70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83.462,36</w:t>
            </w:r>
          </w:p>
        </w:tc>
      </w:tr>
      <w:tr w:rsidR="00EE72C7" w:rsidRPr="000020F0" w14:paraId="2DE020F5"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6BF71042" w14:textId="287A0862"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športna dvorana</w:t>
            </w:r>
          </w:p>
        </w:tc>
        <w:tc>
          <w:tcPr>
            <w:tcW w:w="1701" w:type="dxa"/>
            <w:tcBorders>
              <w:top w:val="nil"/>
              <w:left w:val="nil"/>
              <w:bottom w:val="single" w:sz="4" w:space="0" w:color="auto"/>
              <w:right w:val="single" w:sz="4" w:space="0" w:color="auto"/>
            </w:tcBorders>
            <w:noWrap/>
            <w:vAlign w:val="bottom"/>
            <w:hideMark/>
          </w:tcPr>
          <w:p w14:paraId="003792FD" w14:textId="4CC6AA7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9.540,91</w:t>
            </w:r>
          </w:p>
        </w:tc>
        <w:tc>
          <w:tcPr>
            <w:tcW w:w="1275" w:type="dxa"/>
            <w:tcBorders>
              <w:top w:val="nil"/>
              <w:left w:val="nil"/>
              <w:bottom w:val="single" w:sz="4" w:space="0" w:color="auto"/>
              <w:right w:val="single" w:sz="4" w:space="0" w:color="auto"/>
            </w:tcBorders>
            <w:noWrap/>
            <w:vAlign w:val="bottom"/>
            <w:hideMark/>
          </w:tcPr>
          <w:p w14:paraId="6F0EB3AC" w14:textId="6D39BA4B"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0,29%</w:t>
            </w:r>
          </w:p>
        </w:tc>
        <w:tc>
          <w:tcPr>
            <w:tcW w:w="1418" w:type="dxa"/>
            <w:tcBorders>
              <w:top w:val="nil"/>
              <w:left w:val="nil"/>
              <w:bottom w:val="single" w:sz="4" w:space="0" w:color="auto"/>
              <w:right w:val="single" w:sz="4" w:space="0" w:color="auto"/>
            </w:tcBorders>
            <w:noWrap/>
            <w:vAlign w:val="bottom"/>
            <w:hideMark/>
          </w:tcPr>
          <w:p w14:paraId="220FBD6E" w14:textId="302C9CB8"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2.099,00</w:t>
            </w:r>
          </w:p>
        </w:tc>
        <w:tc>
          <w:tcPr>
            <w:tcW w:w="1701" w:type="dxa"/>
            <w:tcBorders>
              <w:top w:val="nil"/>
              <w:left w:val="nil"/>
              <w:bottom w:val="single" w:sz="4" w:space="0" w:color="auto"/>
              <w:right w:val="single" w:sz="4" w:space="0" w:color="auto"/>
            </w:tcBorders>
            <w:noWrap/>
            <w:vAlign w:val="bottom"/>
            <w:hideMark/>
          </w:tcPr>
          <w:p w14:paraId="50E2F50F" w14:textId="1CB23E8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11.639,91</w:t>
            </w:r>
          </w:p>
        </w:tc>
      </w:tr>
      <w:tr w:rsidR="00EE72C7" w:rsidRPr="000020F0" w14:paraId="26BA874C"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0A5D2F0C" w14:textId="067B8243"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Parkirišča za kolesa - park</w:t>
            </w:r>
          </w:p>
        </w:tc>
        <w:tc>
          <w:tcPr>
            <w:tcW w:w="1701" w:type="dxa"/>
            <w:tcBorders>
              <w:top w:val="nil"/>
              <w:left w:val="nil"/>
              <w:bottom w:val="single" w:sz="4" w:space="0" w:color="auto"/>
              <w:right w:val="single" w:sz="4" w:space="0" w:color="auto"/>
            </w:tcBorders>
            <w:noWrap/>
            <w:vAlign w:val="bottom"/>
            <w:hideMark/>
          </w:tcPr>
          <w:p w14:paraId="33E2A33F" w14:textId="4A66543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12.180,49</w:t>
            </w:r>
          </w:p>
        </w:tc>
        <w:tc>
          <w:tcPr>
            <w:tcW w:w="1275" w:type="dxa"/>
            <w:tcBorders>
              <w:top w:val="nil"/>
              <w:left w:val="nil"/>
              <w:bottom w:val="single" w:sz="4" w:space="0" w:color="auto"/>
              <w:right w:val="single" w:sz="4" w:space="0" w:color="auto"/>
            </w:tcBorders>
            <w:noWrap/>
            <w:vAlign w:val="bottom"/>
            <w:hideMark/>
          </w:tcPr>
          <w:p w14:paraId="189D7118" w14:textId="52600DA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0,37%</w:t>
            </w:r>
          </w:p>
        </w:tc>
        <w:tc>
          <w:tcPr>
            <w:tcW w:w="1418" w:type="dxa"/>
            <w:tcBorders>
              <w:top w:val="nil"/>
              <w:left w:val="nil"/>
              <w:bottom w:val="single" w:sz="4" w:space="0" w:color="auto"/>
              <w:right w:val="single" w:sz="4" w:space="0" w:color="auto"/>
            </w:tcBorders>
            <w:noWrap/>
            <w:vAlign w:val="bottom"/>
            <w:hideMark/>
          </w:tcPr>
          <w:p w14:paraId="6B086AF3" w14:textId="3D59FE3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2.679,71</w:t>
            </w:r>
          </w:p>
        </w:tc>
        <w:tc>
          <w:tcPr>
            <w:tcW w:w="1701" w:type="dxa"/>
            <w:tcBorders>
              <w:top w:val="nil"/>
              <w:left w:val="nil"/>
              <w:bottom w:val="single" w:sz="4" w:space="0" w:color="auto"/>
              <w:right w:val="single" w:sz="4" w:space="0" w:color="auto"/>
            </w:tcBorders>
            <w:noWrap/>
            <w:vAlign w:val="bottom"/>
            <w:hideMark/>
          </w:tcPr>
          <w:p w14:paraId="3CFBE630" w14:textId="0BC504B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14.860,20</w:t>
            </w:r>
          </w:p>
        </w:tc>
      </w:tr>
      <w:tr w:rsidR="00EE72C7" w:rsidRPr="000020F0" w14:paraId="63076AFA"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5CE52980" w14:textId="0075F2CC"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Avtobusno postajališče - nivo ceste</w:t>
            </w:r>
          </w:p>
        </w:tc>
        <w:tc>
          <w:tcPr>
            <w:tcW w:w="1701" w:type="dxa"/>
            <w:tcBorders>
              <w:top w:val="nil"/>
              <w:left w:val="nil"/>
              <w:bottom w:val="single" w:sz="4" w:space="0" w:color="auto"/>
              <w:right w:val="single" w:sz="4" w:space="0" w:color="auto"/>
            </w:tcBorders>
            <w:noWrap/>
            <w:vAlign w:val="bottom"/>
            <w:hideMark/>
          </w:tcPr>
          <w:p w14:paraId="5E760ADC" w14:textId="282058A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310.725,31</w:t>
            </w:r>
          </w:p>
        </w:tc>
        <w:tc>
          <w:tcPr>
            <w:tcW w:w="1275" w:type="dxa"/>
            <w:tcBorders>
              <w:top w:val="nil"/>
              <w:left w:val="nil"/>
              <w:bottom w:val="single" w:sz="4" w:space="0" w:color="auto"/>
              <w:right w:val="single" w:sz="4" w:space="0" w:color="auto"/>
            </w:tcBorders>
            <w:noWrap/>
            <w:vAlign w:val="bottom"/>
            <w:hideMark/>
          </w:tcPr>
          <w:p w14:paraId="718B8152" w14:textId="767E743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9,48%</w:t>
            </w:r>
          </w:p>
        </w:tc>
        <w:tc>
          <w:tcPr>
            <w:tcW w:w="1418" w:type="dxa"/>
            <w:tcBorders>
              <w:top w:val="nil"/>
              <w:left w:val="nil"/>
              <w:bottom w:val="single" w:sz="4" w:space="0" w:color="auto"/>
              <w:right w:val="single" w:sz="4" w:space="0" w:color="auto"/>
            </w:tcBorders>
            <w:noWrap/>
            <w:vAlign w:val="bottom"/>
            <w:hideMark/>
          </w:tcPr>
          <w:p w14:paraId="0FED1A1B" w14:textId="068E1D9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68.359,57</w:t>
            </w:r>
          </w:p>
        </w:tc>
        <w:tc>
          <w:tcPr>
            <w:tcW w:w="1701" w:type="dxa"/>
            <w:tcBorders>
              <w:top w:val="nil"/>
              <w:left w:val="nil"/>
              <w:bottom w:val="single" w:sz="4" w:space="0" w:color="auto"/>
              <w:right w:val="single" w:sz="4" w:space="0" w:color="auto"/>
            </w:tcBorders>
            <w:noWrap/>
            <w:vAlign w:val="bottom"/>
            <w:hideMark/>
          </w:tcPr>
          <w:p w14:paraId="160F4644" w14:textId="19AD2B74"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379.084,88</w:t>
            </w:r>
          </w:p>
        </w:tc>
      </w:tr>
      <w:tr w:rsidR="00EE72C7" w:rsidRPr="000020F0" w14:paraId="4809E1DD"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2E9FF594" w14:textId="782DBB35"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Sanitarije</w:t>
            </w:r>
          </w:p>
        </w:tc>
        <w:tc>
          <w:tcPr>
            <w:tcW w:w="1701" w:type="dxa"/>
            <w:tcBorders>
              <w:top w:val="nil"/>
              <w:left w:val="nil"/>
              <w:bottom w:val="single" w:sz="4" w:space="0" w:color="auto"/>
              <w:right w:val="single" w:sz="4" w:space="0" w:color="auto"/>
            </w:tcBorders>
            <w:noWrap/>
            <w:vAlign w:val="bottom"/>
            <w:hideMark/>
          </w:tcPr>
          <w:p w14:paraId="499CF2CD" w14:textId="03531E29" w:rsidR="00EE72C7" w:rsidRPr="00EE72C7" w:rsidRDefault="00EE72C7" w:rsidP="00EE72C7">
            <w:pPr>
              <w:jc w:val="right"/>
              <w:rPr>
                <w:rFonts w:asciiTheme="majorHAnsi" w:hAnsiTheme="majorHAnsi" w:cstheme="majorHAnsi"/>
                <w:i/>
                <w:iCs/>
                <w:color w:val="000000"/>
                <w:sz w:val="20"/>
                <w:szCs w:val="20"/>
              </w:rPr>
            </w:pPr>
            <w:r w:rsidRPr="00EE72C7">
              <w:rPr>
                <w:rFonts w:asciiTheme="majorHAnsi" w:hAnsiTheme="majorHAnsi" w:cstheme="majorHAnsi"/>
                <w:i/>
                <w:iCs/>
                <w:color w:val="000000"/>
                <w:sz w:val="20"/>
                <w:szCs w:val="20"/>
              </w:rPr>
              <w:t>92.284,99</w:t>
            </w:r>
          </w:p>
        </w:tc>
        <w:tc>
          <w:tcPr>
            <w:tcW w:w="1275" w:type="dxa"/>
            <w:tcBorders>
              <w:top w:val="nil"/>
              <w:left w:val="nil"/>
              <w:bottom w:val="single" w:sz="4" w:space="0" w:color="auto"/>
              <w:right w:val="single" w:sz="4" w:space="0" w:color="auto"/>
            </w:tcBorders>
            <w:noWrap/>
            <w:vAlign w:val="bottom"/>
            <w:hideMark/>
          </w:tcPr>
          <w:p w14:paraId="251B799E" w14:textId="17E21A65" w:rsidR="00EE72C7" w:rsidRPr="00EE72C7" w:rsidRDefault="00EE72C7" w:rsidP="00EE72C7">
            <w:pPr>
              <w:jc w:val="right"/>
              <w:rPr>
                <w:rFonts w:asciiTheme="majorHAnsi" w:hAnsiTheme="majorHAnsi" w:cstheme="majorHAnsi"/>
                <w:i/>
                <w:iCs/>
                <w:color w:val="000000"/>
                <w:sz w:val="20"/>
                <w:szCs w:val="20"/>
              </w:rPr>
            </w:pPr>
            <w:r w:rsidRPr="00EE72C7">
              <w:rPr>
                <w:rFonts w:asciiTheme="majorHAnsi" w:hAnsiTheme="majorHAnsi" w:cstheme="majorHAnsi"/>
                <w:i/>
                <w:iCs/>
                <w:color w:val="000000"/>
                <w:sz w:val="20"/>
                <w:szCs w:val="20"/>
              </w:rPr>
              <w:t>2,82%</w:t>
            </w:r>
          </w:p>
        </w:tc>
        <w:tc>
          <w:tcPr>
            <w:tcW w:w="1418" w:type="dxa"/>
            <w:tcBorders>
              <w:top w:val="nil"/>
              <w:left w:val="nil"/>
              <w:bottom w:val="single" w:sz="4" w:space="0" w:color="auto"/>
              <w:right w:val="single" w:sz="4" w:space="0" w:color="auto"/>
            </w:tcBorders>
            <w:noWrap/>
            <w:vAlign w:val="bottom"/>
            <w:hideMark/>
          </w:tcPr>
          <w:p w14:paraId="2A155F64" w14:textId="2DF39A0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20.302,70</w:t>
            </w:r>
          </w:p>
        </w:tc>
        <w:tc>
          <w:tcPr>
            <w:tcW w:w="1701" w:type="dxa"/>
            <w:tcBorders>
              <w:top w:val="nil"/>
              <w:left w:val="nil"/>
              <w:bottom w:val="single" w:sz="4" w:space="0" w:color="auto"/>
              <w:right w:val="single" w:sz="4" w:space="0" w:color="auto"/>
            </w:tcBorders>
            <w:noWrap/>
            <w:vAlign w:val="bottom"/>
            <w:hideMark/>
          </w:tcPr>
          <w:p w14:paraId="10F953A0" w14:textId="471B99B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112.587,69</w:t>
            </w:r>
          </w:p>
        </w:tc>
      </w:tr>
      <w:tr w:rsidR="00EE72C7" w:rsidRPr="000020F0" w14:paraId="76E0C69F"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3E2AB2BA" w14:textId="500F1B17"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Avtobusno postajališče - nadstrešnica</w:t>
            </w:r>
          </w:p>
        </w:tc>
        <w:tc>
          <w:tcPr>
            <w:tcW w:w="1701" w:type="dxa"/>
            <w:tcBorders>
              <w:top w:val="nil"/>
              <w:left w:val="nil"/>
              <w:bottom w:val="single" w:sz="4" w:space="0" w:color="auto"/>
              <w:right w:val="single" w:sz="4" w:space="0" w:color="auto"/>
            </w:tcBorders>
            <w:noWrap/>
            <w:vAlign w:val="bottom"/>
            <w:hideMark/>
          </w:tcPr>
          <w:p w14:paraId="07176270" w14:textId="300BCC0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271.249,66</w:t>
            </w:r>
          </w:p>
        </w:tc>
        <w:tc>
          <w:tcPr>
            <w:tcW w:w="1275" w:type="dxa"/>
            <w:tcBorders>
              <w:top w:val="nil"/>
              <w:left w:val="nil"/>
              <w:bottom w:val="single" w:sz="4" w:space="0" w:color="auto"/>
              <w:right w:val="single" w:sz="4" w:space="0" w:color="auto"/>
            </w:tcBorders>
            <w:noWrap/>
            <w:vAlign w:val="bottom"/>
            <w:hideMark/>
          </w:tcPr>
          <w:p w14:paraId="27282680" w14:textId="319309D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8,28%</w:t>
            </w:r>
          </w:p>
        </w:tc>
        <w:tc>
          <w:tcPr>
            <w:tcW w:w="1418" w:type="dxa"/>
            <w:tcBorders>
              <w:top w:val="nil"/>
              <w:left w:val="nil"/>
              <w:bottom w:val="single" w:sz="4" w:space="0" w:color="auto"/>
              <w:right w:val="single" w:sz="4" w:space="0" w:color="auto"/>
            </w:tcBorders>
            <w:noWrap/>
            <w:vAlign w:val="bottom"/>
            <w:hideMark/>
          </w:tcPr>
          <w:p w14:paraId="4A59BEBC" w14:textId="59E8ADB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59.674,93</w:t>
            </w:r>
          </w:p>
        </w:tc>
        <w:tc>
          <w:tcPr>
            <w:tcW w:w="1701" w:type="dxa"/>
            <w:tcBorders>
              <w:top w:val="nil"/>
              <w:left w:val="nil"/>
              <w:bottom w:val="single" w:sz="4" w:space="0" w:color="auto"/>
              <w:right w:val="single" w:sz="4" w:space="0" w:color="auto"/>
            </w:tcBorders>
            <w:noWrap/>
            <w:vAlign w:val="bottom"/>
            <w:hideMark/>
          </w:tcPr>
          <w:p w14:paraId="6FF72203" w14:textId="5DFBB55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330.924,59</w:t>
            </w:r>
          </w:p>
        </w:tc>
      </w:tr>
      <w:tr w:rsidR="00EE72C7" w:rsidRPr="000020F0" w14:paraId="044E67CA" w14:textId="77777777" w:rsidTr="0042650F">
        <w:trPr>
          <w:trHeight w:val="29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830B394" w14:textId="5A3B80D2"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Parkirišče z vhodom v šolo</w:t>
            </w:r>
          </w:p>
        </w:tc>
        <w:tc>
          <w:tcPr>
            <w:tcW w:w="1701" w:type="dxa"/>
            <w:tcBorders>
              <w:top w:val="nil"/>
              <w:left w:val="nil"/>
              <w:bottom w:val="single" w:sz="4" w:space="0" w:color="auto"/>
              <w:right w:val="single" w:sz="4" w:space="0" w:color="auto"/>
            </w:tcBorders>
            <w:shd w:val="clear" w:color="000000" w:fill="FFFFFF"/>
            <w:noWrap/>
            <w:vAlign w:val="bottom"/>
            <w:hideMark/>
          </w:tcPr>
          <w:p w14:paraId="6F660B4E" w14:textId="1EBA5FF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397.454,42</w:t>
            </w:r>
          </w:p>
        </w:tc>
        <w:tc>
          <w:tcPr>
            <w:tcW w:w="1275" w:type="dxa"/>
            <w:tcBorders>
              <w:top w:val="nil"/>
              <w:left w:val="nil"/>
              <w:bottom w:val="single" w:sz="4" w:space="0" w:color="auto"/>
              <w:right w:val="single" w:sz="4" w:space="0" w:color="auto"/>
            </w:tcBorders>
            <w:noWrap/>
            <w:vAlign w:val="bottom"/>
            <w:hideMark/>
          </w:tcPr>
          <w:p w14:paraId="38CCA7AC" w14:textId="5BDE8AC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12,13%</w:t>
            </w:r>
          </w:p>
        </w:tc>
        <w:tc>
          <w:tcPr>
            <w:tcW w:w="1418" w:type="dxa"/>
            <w:tcBorders>
              <w:top w:val="nil"/>
              <w:left w:val="nil"/>
              <w:bottom w:val="single" w:sz="4" w:space="0" w:color="auto"/>
              <w:right w:val="single" w:sz="4" w:space="0" w:color="auto"/>
            </w:tcBorders>
            <w:shd w:val="clear" w:color="000000" w:fill="FFFFFF"/>
            <w:noWrap/>
            <w:vAlign w:val="bottom"/>
            <w:hideMark/>
          </w:tcPr>
          <w:p w14:paraId="1E494089" w14:textId="461DE08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87.439,97</w:t>
            </w:r>
          </w:p>
        </w:tc>
        <w:tc>
          <w:tcPr>
            <w:tcW w:w="1701" w:type="dxa"/>
            <w:tcBorders>
              <w:top w:val="nil"/>
              <w:left w:val="nil"/>
              <w:bottom w:val="single" w:sz="4" w:space="0" w:color="auto"/>
              <w:right w:val="single" w:sz="4" w:space="0" w:color="auto"/>
            </w:tcBorders>
            <w:shd w:val="clear" w:color="000000" w:fill="FFFFFF"/>
            <w:noWrap/>
            <w:vAlign w:val="bottom"/>
            <w:hideMark/>
          </w:tcPr>
          <w:p w14:paraId="7B3D9372" w14:textId="39D530A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484.894,39</w:t>
            </w:r>
          </w:p>
        </w:tc>
      </w:tr>
      <w:tr w:rsidR="00EE72C7" w:rsidRPr="000020F0" w14:paraId="10F79589" w14:textId="77777777" w:rsidTr="0042650F">
        <w:trPr>
          <w:trHeight w:val="280"/>
        </w:trPr>
        <w:tc>
          <w:tcPr>
            <w:tcW w:w="3397" w:type="dxa"/>
            <w:tcBorders>
              <w:top w:val="nil"/>
              <w:left w:val="single" w:sz="4" w:space="0" w:color="auto"/>
              <w:bottom w:val="single" w:sz="4" w:space="0" w:color="auto"/>
              <w:right w:val="single" w:sz="4" w:space="0" w:color="auto"/>
            </w:tcBorders>
            <w:shd w:val="clear" w:color="000000" w:fill="DAE9F8"/>
            <w:noWrap/>
            <w:vAlign w:val="bottom"/>
            <w:hideMark/>
          </w:tcPr>
          <w:p w14:paraId="4EF06F19" w14:textId="49C1B5CF" w:rsidR="00EE72C7" w:rsidRPr="000020F0" w:rsidRDefault="00EE72C7" w:rsidP="00EE72C7">
            <w:pPr>
              <w:rPr>
                <w:rFonts w:ascii="Arial" w:hAnsi="Arial" w:cs="Arial"/>
                <w:b/>
                <w:bCs/>
                <w:i/>
                <w:iCs/>
                <w:color w:val="000000"/>
                <w:sz w:val="20"/>
                <w:szCs w:val="20"/>
              </w:rPr>
            </w:pPr>
            <w:r w:rsidRPr="000020F0">
              <w:rPr>
                <w:rFonts w:ascii="Arial" w:hAnsi="Arial" w:cs="Arial"/>
                <w:i/>
                <w:iCs/>
                <w:color w:val="000000"/>
                <w:sz w:val="20"/>
                <w:szCs w:val="20"/>
              </w:rPr>
              <w:t>Skupaj GOI dela</w:t>
            </w:r>
          </w:p>
        </w:tc>
        <w:tc>
          <w:tcPr>
            <w:tcW w:w="1701" w:type="dxa"/>
            <w:tcBorders>
              <w:top w:val="nil"/>
              <w:left w:val="nil"/>
              <w:bottom w:val="single" w:sz="4" w:space="0" w:color="auto"/>
              <w:right w:val="single" w:sz="4" w:space="0" w:color="auto"/>
            </w:tcBorders>
            <w:shd w:val="clear" w:color="000000" w:fill="DAE9F8"/>
            <w:noWrap/>
            <w:vAlign w:val="bottom"/>
            <w:hideMark/>
          </w:tcPr>
          <w:p w14:paraId="78E2ED31" w14:textId="288177D1" w:rsidR="00EE72C7" w:rsidRPr="00EE72C7" w:rsidRDefault="00EE72C7" w:rsidP="00EE72C7">
            <w:pPr>
              <w:jc w:val="right"/>
              <w:rPr>
                <w:rFonts w:asciiTheme="majorHAnsi" w:hAnsiTheme="majorHAnsi" w:cstheme="majorHAnsi"/>
                <w:b/>
                <w:bCs/>
                <w:i/>
                <w:iCs/>
                <w:color w:val="000000"/>
                <w:sz w:val="20"/>
                <w:szCs w:val="20"/>
              </w:rPr>
            </w:pPr>
            <w:r w:rsidRPr="00EE72C7">
              <w:rPr>
                <w:rFonts w:asciiTheme="majorHAnsi" w:hAnsiTheme="majorHAnsi" w:cstheme="majorHAnsi"/>
                <w:b/>
                <w:bCs/>
                <w:i/>
                <w:iCs/>
                <w:color w:val="000000"/>
                <w:sz w:val="20"/>
                <w:szCs w:val="20"/>
              </w:rPr>
              <w:t>2.201.875,08</w:t>
            </w:r>
          </w:p>
        </w:tc>
        <w:tc>
          <w:tcPr>
            <w:tcW w:w="1275" w:type="dxa"/>
            <w:tcBorders>
              <w:top w:val="nil"/>
              <w:left w:val="nil"/>
              <w:bottom w:val="single" w:sz="4" w:space="0" w:color="auto"/>
              <w:right w:val="single" w:sz="4" w:space="0" w:color="auto"/>
            </w:tcBorders>
            <w:shd w:val="clear" w:color="000000" w:fill="DAE9F8"/>
            <w:noWrap/>
            <w:vAlign w:val="bottom"/>
            <w:hideMark/>
          </w:tcPr>
          <w:p w14:paraId="34B26C35" w14:textId="3033CBC1" w:rsidR="00EE72C7" w:rsidRPr="00EE72C7" w:rsidRDefault="00EE72C7" w:rsidP="00EE72C7">
            <w:pPr>
              <w:jc w:val="right"/>
              <w:rPr>
                <w:rFonts w:asciiTheme="majorHAnsi" w:hAnsiTheme="majorHAnsi" w:cstheme="majorHAnsi"/>
                <w:b/>
                <w:bCs/>
                <w:i/>
                <w:iCs/>
                <w:color w:val="000000"/>
                <w:sz w:val="20"/>
                <w:szCs w:val="20"/>
              </w:rPr>
            </w:pPr>
            <w:r w:rsidRPr="00EE72C7">
              <w:rPr>
                <w:rFonts w:asciiTheme="majorHAnsi" w:hAnsiTheme="majorHAnsi" w:cstheme="majorHAnsi"/>
                <w:b/>
                <w:bCs/>
                <w:i/>
                <w:iCs/>
                <w:color w:val="000000"/>
                <w:sz w:val="20"/>
                <w:szCs w:val="20"/>
              </w:rPr>
              <w:t>67,19%</w:t>
            </w:r>
          </w:p>
        </w:tc>
        <w:tc>
          <w:tcPr>
            <w:tcW w:w="1418" w:type="dxa"/>
            <w:tcBorders>
              <w:top w:val="nil"/>
              <w:left w:val="nil"/>
              <w:bottom w:val="single" w:sz="4" w:space="0" w:color="auto"/>
              <w:right w:val="single" w:sz="4" w:space="0" w:color="auto"/>
            </w:tcBorders>
            <w:shd w:val="clear" w:color="000000" w:fill="DAE9F8"/>
            <w:noWrap/>
            <w:vAlign w:val="bottom"/>
            <w:hideMark/>
          </w:tcPr>
          <w:p w14:paraId="3BEE0D63" w14:textId="32E9A712" w:rsidR="00EE72C7" w:rsidRPr="00EE72C7" w:rsidRDefault="00EE72C7" w:rsidP="00EE72C7">
            <w:pPr>
              <w:jc w:val="right"/>
              <w:rPr>
                <w:rFonts w:asciiTheme="majorHAnsi" w:hAnsiTheme="majorHAnsi" w:cstheme="majorHAnsi"/>
                <w:b/>
                <w:bCs/>
                <w:i/>
                <w:iCs/>
                <w:color w:val="000000"/>
                <w:sz w:val="20"/>
                <w:szCs w:val="20"/>
              </w:rPr>
            </w:pPr>
            <w:r w:rsidRPr="00EE72C7">
              <w:rPr>
                <w:rFonts w:asciiTheme="majorHAnsi" w:hAnsiTheme="majorHAnsi" w:cstheme="majorHAnsi"/>
                <w:b/>
                <w:bCs/>
                <w:i/>
                <w:iCs/>
                <w:color w:val="000000"/>
                <w:sz w:val="20"/>
                <w:szCs w:val="20"/>
              </w:rPr>
              <w:t>484.412,53</w:t>
            </w:r>
          </w:p>
        </w:tc>
        <w:tc>
          <w:tcPr>
            <w:tcW w:w="1701" w:type="dxa"/>
            <w:tcBorders>
              <w:top w:val="nil"/>
              <w:left w:val="nil"/>
              <w:bottom w:val="single" w:sz="4" w:space="0" w:color="auto"/>
              <w:right w:val="single" w:sz="4" w:space="0" w:color="auto"/>
            </w:tcBorders>
            <w:shd w:val="clear" w:color="000000" w:fill="DAE9F8"/>
            <w:noWrap/>
            <w:vAlign w:val="bottom"/>
            <w:hideMark/>
          </w:tcPr>
          <w:p w14:paraId="36846A87" w14:textId="4E5457EC" w:rsidR="00EE72C7" w:rsidRPr="00EE72C7" w:rsidRDefault="00EE72C7" w:rsidP="00EE72C7">
            <w:pPr>
              <w:jc w:val="right"/>
              <w:rPr>
                <w:rFonts w:asciiTheme="majorHAnsi" w:hAnsiTheme="majorHAnsi" w:cstheme="majorHAnsi"/>
                <w:b/>
                <w:bCs/>
                <w:i/>
                <w:iCs/>
                <w:color w:val="000000"/>
                <w:sz w:val="20"/>
                <w:szCs w:val="20"/>
              </w:rPr>
            </w:pPr>
            <w:r w:rsidRPr="00EE72C7">
              <w:rPr>
                <w:rFonts w:asciiTheme="majorHAnsi" w:hAnsiTheme="majorHAnsi" w:cstheme="majorHAnsi"/>
                <w:b/>
                <w:bCs/>
                <w:i/>
                <w:iCs/>
                <w:color w:val="000000"/>
                <w:sz w:val="20"/>
                <w:szCs w:val="20"/>
              </w:rPr>
              <w:t>2.686.287,61</w:t>
            </w:r>
          </w:p>
        </w:tc>
      </w:tr>
      <w:tr w:rsidR="00EE72C7" w:rsidRPr="000020F0" w14:paraId="528CE189"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0530701B" w14:textId="53A14B4B"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Strokovni nadzor</w:t>
            </w:r>
          </w:p>
        </w:tc>
        <w:tc>
          <w:tcPr>
            <w:tcW w:w="1701" w:type="dxa"/>
            <w:tcBorders>
              <w:top w:val="nil"/>
              <w:left w:val="nil"/>
              <w:bottom w:val="single" w:sz="4" w:space="0" w:color="auto"/>
              <w:right w:val="single" w:sz="4" w:space="0" w:color="auto"/>
            </w:tcBorders>
            <w:noWrap/>
            <w:vAlign w:val="bottom"/>
            <w:hideMark/>
          </w:tcPr>
          <w:p w14:paraId="2E496C4A" w14:textId="52A5B32B"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66.056,25</w:t>
            </w:r>
          </w:p>
        </w:tc>
        <w:tc>
          <w:tcPr>
            <w:tcW w:w="1275" w:type="dxa"/>
            <w:tcBorders>
              <w:top w:val="nil"/>
              <w:left w:val="nil"/>
              <w:bottom w:val="single" w:sz="4" w:space="0" w:color="auto"/>
              <w:right w:val="single" w:sz="4" w:space="0" w:color="auto"/>
            </w:tcBorders>
            <w:noWrap/>
            <w:vAlign w:val="bottom"/>
            <w:hideMark/>
          </w:tcPr>
          <w:p w14:paraId="51CC1A5D" w14:textId="1338B96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2,02%</w:t>
            </w:r>
          </w:p>
        </w:tc>
        <w:tc>
          <w:tcPr>
            <w:tcW w:w="1418" w:type="dxa"/>
            <w:tcBorders>
              <w:top w:val="nil"/>
              <w:left w:val="nil"/>
              <w:bottom w:val="single" w:sz="4" w:space="0" w:color="auto"/>
              <w:right w:val="single" w:sz="4" w:space="0" w:color="auto"/>
            </w:tcBorders>
            <w:noWrap/>
            <w:vAlign w:val="bottom"/>
            <w:hideMark/>
          </w:tcPr>
          <w:p w14:paraId="1E1C4691" w14:textId="33C8009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14.532,38</w:t>
            </w:r>
          </w:p>
        </w:tc>
        <w:tc>
          <w:tcPr>
            <w:tcW w:w="1701" w:type="dxa"/>
            <w:tcBorders>
              <w:top w:val="nil"/>
              <w:left w:val="nil"/>
              <w:bottom w:val="single" w:sz="4" w:space="0" w:color="auto"/>
              <w:right w:val="single" w:sz="4" w:space="0" w:color="auto"/>
            </w:tcBorders>
            <w:noWrap/>
            <w:vAlign w:val="bottom"/>
            <w:hideMark/>
          </w:tcPr>
          <w:p w14:paraId="3DCBE7EA" w14:textId="0685FD03"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80.588,63</w:t>
            </w:r>
          </w:p>
        </w:tc>
      </w:tr>
      <w:tr w:rsidR="00EE72C7" w:rsidRPr="000020F0" w14:paraId="6E274EF7"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01B52355" w14:textId="01CBD8B6"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Projektna dokumentacija</w:t>
            </w:r>
          </w:p>
        </w:tc>
        <w:tc>
          <w:tcPr>
            <w:tcW w:w="1701" w:type="dxa"/>
            <w:tcBorders>
              <w:top w:val="nil"/>
              <w:left w:val="nil"/>
              <w:bottom w:val="single" w:sz="4" w:space="0" w:color="auto"/>
              <w:right w:val="single" w:sz="4" w:space="0" w:color="auto"/>
            </w:tcBorders>
            <w:noWrap/>
            <w:vAlign w:val="bottom"/>
            <w:hideMark/>
          </w:tcPr>
          <w:p w14:paraId="1D193033" w14:textId="3272A95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105.095,33</w:t>
            </w:r>
          </w:p>
        </w:tc>
        <w:tc>
          <w:tcPr>
            <w:tcW w:w="1275" w:type="dxa"/>
            <w:tcBorders>
              <w:top w:val="nil"/>
              <w:left w:val="nil"/>
              <w:bottom w:val="single" w:sz="4" w:space="0" w:color="auto"/>
              <w:right w:val="single" w:sz="4" w:space="0" w:color="auto"/>
            </w:tcBorders>
            <w:noWrap/>
            <w:vAlign w:val="bottom"/>
            <w:hideMark/>
          </w:tcPr>
          <w:p w14:paraId="6A5AD078" w14:textId="45EF13E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3,21%</w:t>
            </w:r>
          </w:p>
        </w:tc>
        <w:tc>
          <w:tcPr>
            <w:tcW w:w="1418" w:type="dxa"/>
            <w:tcBorders>
              <w:top w:val="nil"/>
              <w:left w:val="nil"/>
              <w:bottom w:val="single" w:sz="4" w:space="0" w:color="auto"/>
              <w:right w:val="single" w:sz="4" w:space="0" w:color="auto"/>
            </w:tcBorders>
            <w:noWrap/>
            <w:vAlign w:val="bottom"/>
            <w:hideMark/>
          </w:tcPr>
          <w:p w14:paraId="38FC886D" w14:textId="1DFD081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23.120,97</w:t>
            </w:r>
          </w:p>
        </w:tc>
        <w:tc>
          <w:tcPr>
            <w:tcW w:w="1701" w:type="dxa"/>
            <w:tcBorders>
              <w:top w:val="nil"/>
              <w:left w:val="nil"/>
              <w:bottom w:val="single" w:sz="4" w:space="0" w:color="auto"/>
              <w:right w:val="single" w:sz="4" w:space="0" w:color="auto"/>
            </w:tcBorders>
            <w:noWrap/>
            <w:vAlign w:val="bottom"/>
            <w:hideMark/>
          </w:tcPr>
          <w:p w14:paraId="4B0A889A" w14:textId="1E2E686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128.216,30</w:t>
            </w:r>
          </w:p>
        </w:tc>
      </w:tr>
      <w:tr w:rsidR="00EE72C7" w:rsidRPr="000020F0" w14:paraId="6A579263"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750D3D75" w14:textId="338D84B2"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Svetovalni inženiring</w:t>
            </w:r>
          </w:p>
        </w:tc>
        <w:tc>
          <w:tcPr>
            <w:tcW w:w="1701" w:type="dxa"/>
            <w:tcBorders>
              <w:top w:val="nil"/>
              <w:left w:val="nil"/>
              <w:bottom w:val="single" w:sz="4" w:space="0" w:color="auto"/>
              <w:right w:val="single" w:sz="4" w:space="0" w:color="auto"/>
            </w:tcBorders>
            <w:noWrap/>
            <w:vAlign w:val="bottom"/>
            <w:hideMark/>
          </w:tcPr>
          <w:p w14:paraId="17FBA8B8" w14:textId="0BE1F58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22.018,75</w:t>
            </w:r>
          </w:p>
        </w:tc>
        <w:tc>
          <w:tcPr>
            <w:tcW w:w="1275" w:type="dxa"/>
            <w:tcBorders>
              <w:top w:val="nil"/>
              <w:left w:val="nil"/>
              <w:bottom w:val="single" w:sz="4" w:space="0" w:color="auto"/>
              <w:right w:val="single" w:sz="4" w:space="0" w:color="auto"/>
            </w:tcBorders>
            <w:noWrap/>
            <w:vAlign w:val="bottom"/>
            <w:hideMark/>
          </w:tcPr>
          <w:p w14:paraId="2C844E05" w14:textId="3DF425E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0,67%</w:t>
            </w:r>
          </w:p>
        </w:tc>
        <w:tc>
          <w:tcPr>
            <w:tcW w:w="1418" w:type="dxa"/>
            <w:tcBorders>
              <w:top w:val="nil"/>
              <w:left w:val="nil"/>
              <w:bottom w:val="single" w:sz="4" w:space="0" w:color="auto"/>
              <w:right w:val="single" w:sz="4" w:space="0" w:color="auto"/>
            </w:tcBorders>
            <w:noWrap/>
            <w:vAlign w:val="bottom"/>
            <w:hideMark/>
          </w:tcPr>
          <w:p w14:paraId="6AB1F1FA" w14:textId="0636AA9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4.844,13</w:t>
            </w:r>
          </w:p>
        </w:tc>
        <w:tc>
          <w:tcPr>
            <w:tcW w:w="1701" w:type="dxa"/>
            <w:tcBorders>
              <w:top w:val="nil"/>
              <w:left w:val="nil"/>
              <w:bottom w:val="single" w:sz="4" w:space="0" w:color="auto"/>
              <w:right w:val="single" w:sz="4" w:space="0" w:color="auto"/>
            </w:tcBorders>
            <w:noWrap/>
            <w:vAlign w:val="bottom"/>
            <w:hideMark/>
          </w:tcPr>
          <w:p w14:paraId="479CEDB2" w14:textId="575919D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26.862,88</w:t>
            </w:r>
          </w:p>
        </w:tc>
      </w:tr>
      <w:tr w:rsidR="00EE72C7" w:rsidRPr="000020F0" w14:paraId="46D010E3"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3C97E02B" w14:textId="2BAC0CFC"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Obveščanje javnosti</w:t>
            </w:r>
          </w:p>
        </w:tc>
        <w:tc>
          <w:tcPr>
            <w:tcW w:w="1701" w:type="dxa"/>
            <w:tcBorders>
              <w:top w:val="nil"/>
              <w:left w:val="nil"/>
              <w:bottom w:val="single" w:sz="4" w:space="0" w:color="auto"/>
              <w:right w:val="single" w:sz="4" w:space="0" w:color="auto"/>
            </w:tcBorders>
            <w:noWrap/>
            <w:vAlign w:val="bottom"/>
            <w:hideMark/>
          </w:tcPr>
          <w:p w14:paraId="297FA34B" w14:textId="14CF0B7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4.098,36</w:t>
            </w:r>
          </w:p>
        </w:tc>
        <w:tc>
          <w:tcPr>
            <w:tcW w:w="1275" w:type="dxa"/>
            <w:tcBorders>
              <w:top w:val="nil"/>
              <w:left w:val="nil"/>
              <w:bottom w:val="single" w:sz="4" w:space="0" w:color="auto"/>
              <w:right w:val="single" w:sz="4" w:space="0" w:color="auto"/>
            </w:tcBorders>
            <w:noWrap/>
            <w:vAlign w:val="bottom"/>
            <w:hideMark/>
          </w:tcPr>
          <w:p w14:paraId="20A84DA3" w14:textId="05493E6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0,13%</w:t>
            </w:r>
          </w:p>
        </w:tc>
        <w:tc>
          <w:tcPr>
            <w:tcW w:w="1418" w:type="dxa"/>
            <w:tcBorders>
              <w:top w:val="nil"/>
              <w:left w:val="nil"/>
              <w:bottom w:val="single" w:sz="4" w:space="0" w:color="auto"/>
              <w:right w:val="single" w:sz="4" w:space="0" w:color="auto"/>
            </w:tcBorders>
            <w:noWrap/>
            <w:vAlign w:val="bottom"/>
            <w:hideMark/>
          </w:tcPr>
          <w:p w14:paraId="73B73470" w14:textId="1ACCC11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901,64</w:t>
            </w:r>
          </w:p>
        </w:tc>
        <w:tc>
          <w:tcPr>
            <w:tcW w:w="1701" w:type="dxa"/>
            <w:tcBorders>
              <w:top w:val="nil"/>
              <w:left w:val="nil"/>
              <w:bottom w:val="single" w:sz="4" w:space="0" w:color="auto"/>
              <w:right w:val="single" w:sz="4" w:space="0" w:color="auto"/>
            </w:tcBorders>
            <w:noWrap/>
            <w:vAlign w:val="bottom"/>
            <w:hideMark/>
          </w:tcPr>
          <w:p w14:paraId="56639ECD" w14:textId="29338D33"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5.000,00</w:t>
            </w:r>
          </w:p>
        </w:tc>
      </w:tr>
      <w:tr w:rsidR="00EE72C7" w:rsidRPr="000020F0" w14:paraId="04097AB9"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3724BC51" w14:textId="4BCEFCC4"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701" w:type="dxa"/>
            <w:tcBorders>
              <w:top w:val="nil"/>
              <w:left w:val="nil"/>
              <w:bottom w:val="single" w:sz="4" w:space="0" w:color="auto"/>
              <w:right w:val="single" w:sz="4" w:space="0" w:color="auto"/>
            </w:tcBorders>
            <w:noWrap/>
            <w:vAlign w:val="bottom"/>
            <w:hideMark/>
          </w:tcPr>
          <w:p w14:paraId="17593FD4" w14:textId="1480891B"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21.650,00</w:t>
            </w:r>
          </w:p>
        </w:tc>
        <w:tc>
          <w:tcPr>
            <w:tcW w:w="1275" w:type="dxa"/>
            <w:tcBorders>
              <w:top w:val="nil"/>
              <w:left w:val="nil"/>
              <w:bottom w:val="single" w:sz="4" w:space="0" w:color="auto"/>
              <w:right w:val="single" w:sz="4" w:space="0" w:color="auto"/>
            </w:tcBorders>
            <w:noWrap/>
            <w:vAlign w:val="bottom"/>
            <w:hideMark/>
          </w:tcPr>
          <w:p w14:paraId="55F257AB" w14:textId="205B846B"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0,66%</w:t>
            </w:r>
          </w:p>
        </w:tc>
        <w:tc>
          <w:tcPr>
            <w:tcW w:w="1418" w:type="dxa"/>
            <w:tcBorders>
              <w:top w:val="nil"/>
              <w:left w:val="nil"/>
              <w:bottom w:val="single" w:sz="4" w:space="0" w:color="auto"/>
              <w:right w:val="single" w:sz="4" w:space="0" w:color="auto"/>
            </w:tcBorders>
            <w:noWrap/>
            <w:vAlign w:val="bottom"/>
            <w:hideMark/>
          </w:tcPr>
          <w:p w14:paraId="4D1A290A" w14:textId="316162B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4.763,00</w:t>
            </w:r>
          </w:p>
        </w:tc>
        <w:tc>
          <w:tcPr>
            <w:tcW w:w="1701" w:type="dxa"/>
            <w:tcBorders>
              <w:top w:val="nil"/>
              <w:left w:val="nil"/>
              <w:bottom w:val="single" w:sz="4" w:space="0" w:color="auto"/>
              <w:right w:val="single" w:sz="4" w:space="0" w:color="auto"/>
            </w:tcBorders>
            <w:noWrap/>
            <w:vAlign w:val="bottom"/>
            <w:hideMark/>
          </w:tcPr>
          <w:p w14:paraId="7FA55060" w14:textId="45E7089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26.413,00</w:t>
            </w:r>
          </w:p>
        </w:tc>
      </w:tr>
      <w:tr w:rsidR="00EE72C7" w:rsidRPr="000020F0" w14:paraId="4A4E57DC"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7AB5CAD1" w14:textId="0BF7EBFB"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Stroški varnosti pri delu</w:t>
            </w:r>
          </w:p>
        </w:tc>
        <w:tc>
          <w:tcPr>
            <w:tcW w:w="1701" w:type="dxa"/>
            <w:tcBorders>
              <w:top w:val="nil"/>
              <w:left w:val="nil"/>
              <w:bottom w:val="single" w:sz="4" w:space="0" w:color="auto"/>
              <w:right w:val="single" w:sz="4" w:space="0" w:color="auto"/>
            </w:tcBorders>
            <w:noWrap/>
            <w:vAlign w:val="bottom"/>
            <w:hideMark/>
          </w:tcPr>
          <w:p w14:paraId="2B32BC4C" w14:textId="5221EEE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6.979,18</w:t>
            </w:r>
          </w:p>
        </w:tc>
        <w:tc>
          <w:tcPr>
            <w:tcW w:w="1275" w:type="dxa"/>
            <w:tcBorders>
              <w:top w:val="nil"/>
              <w:left w:val="nil"/>
              <w:bottom w:val="single" w:sz="4" w:space="0" w:color="auto"/>
              <w:right w:val="single" w:sz="4" w:space="0" w:color="auto"/>
            </w:tcBorders>
            <w:noWrap/>
            <w:vAlign w:val="bottom"/>
            <w:hideMark/>
          </w:tcPr>
          <w:p w14:paraId="546E7990" w14:textId="17EF35F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0,21%</w:t>
            </w:r>
          </w:p>
        </w:tc>
        <w:tc>
          <w:tcPr>
            <w:tcW w:w="1418" w:type="dxa"/>
            <w:tcBorders>
              <w:top w:val="nil"/>
              <w:left w:val="nil"/>
              <w:bottom w:val="single" w:sz="4" w:space="0" w:color="auto"/>
              <w:right w:val="single" w:sz="4" w:space="0" w:color="auto"/>
            </w:tcBorders>
            <w:noWrap/>
            <w:vAlign w:val="bottom"/>
            <w:hideMark/>
          </w:tcPr>
          <w:p w14:paraId="2D3A6DDE" w14:textId="2C98D30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1.535,42</w:t>
            </w:r>
          </w:p>
        </w:tc>
        <w:tc>
          <w:tcPr>
            <w:tcW w:w="1701" w:type="dxa"/>
            <w:tcBorders>
              <w:top w:val="nil"/>
              <w:left w:val="nil"/>
              <w:bottom w:val="single" w:sz="4" w:space="0" w:color="auto"/>
              <w:right w:val="single" w:sz="4" w:space="0" w:color="auto"/>
            </w:tcBorders>
            <w:noWrap/>
            <w:vAlign w:val="bottom"/>
            <w:hideMark/>
          </w:tcPr>
          <w:p w14:paraId="3595AE59" w14:textId="23B46EF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8.514,60</w:t>
            </w:r>
          </w:p>
        </w:tc>
      </w:tr>
      <w:tr w:rsidR="00EE72C7" w:rsidRPr="000020F0" w14:paraId="70DF650A"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3A8D705C" w14:textId="09E324B5"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Arheologija</w:t>
            </w:r>
          </w:p>
        </w:tc>
        <w:tc>
          <w:tcPr>
            <w:tcW w:w="1701" w:type="dxa"/>
            <w:tcBorders>
              <w:top w:val="nil"/>
              <w:left w:val="nil"/>
              <w:bottom w:val="single" w:sz="4" w:space="0" w:color="auto"/>
              <w:right w:val="single" w:sz="4" w:space="0" w:color="auto"/>
            </w:tcBorders>
            <w:noWrap/>
            <w:vAlign w:val="bottom"/>
            <w:hideMark/>
          </w:tcPr>
          <w:p w14:paraId="5F1C404D" w14:textId="58BFA624"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15.011,81</w:t>
            </w:r>
          </w:p>
        </w:tc>
        <w:tc>
          <w:tcPr>
            <w:tcW w:w="1275" w:type="dxa"/>
            <w:tcBorders>
              <w:top w:val="nil"/>
              <w:left w:val="nil"/>
              <w:bottom w:val="single" w:sz="4" w:space="0" w:color="auto"/>
              <w:right w:val="single" w:sz="4" w:space="0" w:color="auto"/>
            </w:tcBorders>
            <w:noWrap/>
            <w:vAlign w:val="bottom"/>
            <w:hideMark/>
          </w:tcPr>
          <w:p w14:paraId="59DBC3BB" w14:textId="2D25985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0,46%</w:t>
            </w:r>
          </w:p>
        </w:tc>
        <w:tc>
          <w:tcPr>
            <w:tcW w:w="1418" w:type="dxa"/>
            <w:tcBorders>
              <w:top w:val="nil"/>
              <w:left w:val="nil"/>
              <w:bottom w:val="single" w:sz="4" w:space="0" w:color="auto"/>
              <w:right w:val="single" w:sz="4" w:space="0" w:color="auto"/>
            </w:tcBorders>
            <w:noWrap/>
            <w:vAlign w:val="bottom"/>
            <w:hideMark/>
          </w:tcPr>
          <w:p w14:paraId="5EF0BD24" w14:textId="11D8481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3.302,60</w:t>
            </w:r>
          </w:p>
        </w:tc>
        <w:tc>
          <w:tcPr>
            <w:tcW w:w="1701" w:type="dxa"/>
            <w:tcBorders>
              <w:top w:val="nil"/>
              <w:left w:val="nil"/>
              <w:bottom w:val="single" w:sz="4" w:space="0" w:color="auto"/>
              <w:right w:val="single" w:sz="4" w:space="0" w:color="auto"/>
            </w:tcBorders>
            <w:noWrap/>
            <w:vAlign w:val="bottom"/>
            <w:hideMark/>
          </w:tcPr>
          <w:p w14:paraId="5494F09C" w14:textId="18EB9B6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18.314,41</w:t>
            </w:r>
          </w:p>
        </w:tc>
      </w:tr>
      <w:tr w:rsidR="00EE72C7" w:rsidRPr="000020F0" w14:paraId="5FF3EB21"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45341EB4" w14:textId="05C2648A"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701" w:type="dxa"/>
            <w:tcBorders>
              <w:top w:val="nil"/>
              <w:left w:val="nil"/>
              <w:bottom w:val="single" w:sz="4" w:space="0" w:color="auto"/>
              <w:right w:val="single" w:sz="4" w:space="0" w:color="auto"/>
            </w:tcBorders>
            <w:noWrap/>
            <w:vAlign w:val="bottom"/>
            <w:hideMark/>
          </w:tcPr>
          <w:p w14:paraId="7B8AB2C8" w14:textId="42F1742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3.280,00</w:t>
            </w:r>
          </w:p>
        </w:tc>
        <w:tc>
          <w:tcPr>
            <w:tcW w:w="1275" w:type="dxa"/>
            <w:tcBorders>
              <w:top w:val="nil"/>
              <w:left w:val="nil"/>
              <w:bottom w:val="single" w:sz="4" w:space="0" w:color="auto"/>
              <w:right w:val="single" w:sz="4" w:space="0" w:color="auto"/>
            </w:tcBorders>
            <w:noWrap/>
            <w:vAlign w:val="bottom"/>
            <w:hideMark/>
          </w:tcPr>
          <w:p w14:paraId="12F9A93B" w14:textId="0E0CF204"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0,10%</w:t>
            </w:r>
          </w:p>
        </w:tc>
        <w:tc>
          <w:tcPr>
            <w:tcW w:w="1418" w:type="dxa"/>
            <w:tcBorders>
              <w:top w:val="nil"/>
              <w:left w:val="nil"/>
              <w:bottom w:val="single" w:sz="4" w:space="0" w:color="auto"/>
              <w:right w:val="single" w:sz="4" w:space="0" w:color="auto"/>
            </w:tcBorders>
            <w:noWrap/>
            <w:vAlign w:val="bottom"/>
            <w:hideMark/>
          </w:tcPr>
          <w:p w14:paraId="0EDDF89B" w14:textId="0DB6936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721,60</w:t>
            </w:r>
          </w:p>
        </w:tc>
        <w:tc>
          <w:tcPr>
            <w:tcW w:w="1701" w:type="dxa"/>
            <w:tcBorders>
              <w:top w:val="nil"/>
              <w:left w:val="nil"/>
              <w:bottom w:val="single" w:sz="4" w:space="0" w:color="auto"/>
              <w:right w:val="single" w:sz="4" w:space="0" w:color="auto"/>
            </w:tcBorders>
            <w:noWrap/>
            <w:vAlign w:val="bottom"/>
            <w:hideMark/>
          </w:tcPr>
          <w:p w14:paraId="74970050" w14:textId="6B2388C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4.001,60</w:t>
            </w:r>
          </w:p>
        </w:tc>
      </w:tr>
      <w:tr w:rsidR="00EE72C7" w:rsidRPr="000020F0" w14:paraId="7B8AA169"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2B904AC0" w14:textId="173A157B"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Nakup nepremičnine</w:t>
            </w:r>
          </w:p>
        </w:tc>
        <w:tc>
          <w:tcPr>
            <w:tcW w:w="1701" w:type="dxa"/>
            <w:tcBorders>
              <w:top w:val="nil"/>
              <w:left w:val="nil"/>
              <w:bottom w:val="single" w:sz="4" w:space="0" w:color="auto"/>
              <w:right w:val="single" w:sz="4" w:space="0" w:color="auto"/>
            </w:tcBorders>
            <w:noWrap/>
            <w:vAlign w:val="bottom"/>
            <w:hideMark/>
          </w:tcPr>
          <w:p w14:paraId="59906198" w14:textId="37982E8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280.000,00</w:t>
            </w:r>
          </w:p>
        </w:tc>
        <w:tc>
          <w:tcPr>
            <w:tcW w:w="1275" w:type="dxa"/>
            <w:tcBorders>
              <w:top w:val="nil"/>
              <w:left w:val="nil"/>
              <w:bottom w:val="single" w:sz="4" w:space="0" w:color="auto"/>
              <w:right w:val="single" w:sz="4" w:space="0" w:color="auto"/>
            </w:tcBorders>
            <w:noWrap/>
            <w:vAlign w:val="bottom"/>
            <w:hideMark/>
          </w:tcPr>
          <w:p w14:paraId="12FCE6C1" w14:textId="538EAAD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8,54%</w:t>
            </w:r>
          </w:p>
        </w:tc>
        <w:tc>
          <w:tcPr>
            <w:tcW w:w="1418" w:type="dxa"/>
            <w:tcBorders>
              <w:top w:val="nil"/>
              <w:left w:val="nil"/>
              <w:bottom w:val="single" w:sz="4" w:space="0" w:color="auto"/>
              <w:right w:val="single" w:sz="4" w:space="0" w:color="auto"/>
            </w:tcBorders>
            <w:noWrap/>
            <w:vAlign w:val="bottom"/>
            <w:hideMark/>
          </w:tcPr>
          <w:p w14:paraId="0B2D281F" w14:textId="544FD6F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0,00</w:t>
            </w:r>
          </w:p>
        </w:tc>
        <w:tc>
          <w:tcPr>
            <w:tcW w:w="1701" w:type="dxa"/>
            <w:tcBorders>
              <w:top w:val="nil"/>
              <w:left w:val="nil"/>
              <w:bottom w:val="single" w:sz="4" w:space="0" w:color="auto"/>
              <w:right w:val="single" w:sz="4" w:space="0" w:color="auto"/>
            </w:tcBorders>
            <w:noWrap/>
            <w:vAlign w:val="bottom"/>
            <w:hideMark/>
          </w:tcPr>
          <w:p w14:paraId="5E68F4F7" w14:textId="42BAD26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280.000,00</w:t>
            </w:r>
          </w:p>
        </w:tc>
      </w:tr>
      <w:tr w:rsidR="00EE72C7" w:rsidRPr="000020F0" w14:paraId="4A8E2884"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105F38C0" w14:textId="2DF682D8"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Druga dela ob rušenju objekta (neobdavčeno)</w:t>
            </w:r>
          </w:p>
        </w:tc>
        <w:tc>
          <w:tcPr>
            <w:tcW w:w="1701" w:type="dxa"/>
            <w:tcBorders>
              <w:top w:val="nil"/>
              <w:left w:val="nil"/>
              <w:bottom w:val="single" w:sz="4" w:space="0" w:color="auto"/>
              <w:right w:val="single" w:sz="4" w:space="0" w:color="auto"/>
            </w:tcBorders>
            <w:noWrap/>
            <w:vAlign w:val="bottom"/>
            <w:hideMark/>
          </w:tcPr>
          <w:p w14:paraId="3010DE1D" w14:textId="25B88A7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776,00</w:t>
            </w:r>
          </w:p>
        </w:tc>
        <w:tc>
          <w:tcPr>
            <w:tcW w:w="1275" w:type="dxa"/>
            <w:tcBorders>
              <w:top w:val="nil"/>
              <w:left w:val="nil"/>
              <w:bottom w:val="single" w:sz="4" w:space="0" w:color="auto"/>
              <w:right w:val="single" w:sz="4" w:space="0" w:color="auto"/>
            </w:tcBorders>
            <w:noWrap/>
            <w:vAlign w:val="bottom"/>
            <w:hideMark/>
          </w:tcPr>
          <w:p w14:paraId="1225D980" w14:textId="747A263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0,02%</w:t>
            </w:r>
          </w:p>
        </w:tc>
        <w:tc>
          <w:tcPr>
            <w:tcW w:w="1418" w:type="dxa"/>
            <w:tcBorders>
              <w:top w:val="nil"/>
              <w:left w:val="nil"/>
              <w:bottom w:val="single" w:sz="4" w:space="0" w:color="auto"/>
              <w:right w:val="single" w:sz="4" w:space="0" w:color="auto"/>
            </w:tcBorders>
            <w:noWrap/>
            <w:vAlign w:val="bottom"/>
            <w:hideMark/>
          </w:tcPr>
          <w:p w14:paraId="5115CA9B" w14:textId="6F54CA1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0,00</w:t>
            </w:r>
          </w:p>
        </w:tc>
        <w:tc>
          <w:tcPr>
            <w:tcW w:w="1701" w:type="dxa"/>
            <w:tcBorders>
              <w:top w:val="nil"/>
              <w:left w:val="nil"/>
              <w:bottom w:val="single" w:sz="4" w:space="0" w:color="auto"/>
              <w:right w:val="single" w:sz="4" w:space="0" w:color="auto"/>
            </w:tcBorders>
            <w:noWrap/>
            <w:vAlign w:val="bottom"/>
            <w:hideMark/>
          </w:tcPr>
          <w:p w14:paraId="4C0A849C" w14:textId="3BFE5933"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776,00</w:t>
            </w:r>
          </w:p>
        </w:tc>
      </w:tr>
      <w:tr w:rsidR="00EE72C7" w:rsidRPr="000020F0" w14:paraId="1112F6D6"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4AB5339C" w14:textId="05F15C5E"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Druga dela ob rušenju objekta (9,5% DDV)</w:t>
            </w:r>
          </w:p>
        </w:tc>
        <w:tc>
          <w:tcPr>
            <w:tcW w:w="1701" w:type="dxa"/>
            <w:tcBorders>
              <w:top w:val="nil"/>
              <w:left w:val="nil"/>
              <w:bottom w:val="single" w:sz="4" w:space="0" w:color="auto"/>
              <w:right w:val="single" w:sz="4" w:space="0" w:color="auto"/>
            </w:tcBorders>
            <w:noWrap/>
            <w:vAlign w:val="bottom"/>
            <w:hideMark/>
          </w:tcPr>
          <w:p w14:paraId="2489B17A" w14:textId="4367C8D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545,96</w:t>
            </w:r>
          </w:p>
        </w:tc>
        <w:tc>
          <w:tcPr>
            <w:tcW w:w="1275" w:type="dxa"/>
            <w:tcBorders>
              <w:top w:val="nil"/>
              <w:left w:val="nil"/>
              <w:bottom w:val="single" w:sz="4" w:space="0" w:color="auto"/>
              <w:right w:val="single" w:sz="4" w:space="0" w:color="auto"/>
            </w:tcBorders>
            <w:noWrap/>
            <w:vAlign w:val="bottom"/>
            <w:hideMark/>
          </w:tcPr>
          <w:p w14:paraId="516A6BF0" w14:textId="4951D3A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0,02%</w:t>
            </w:r>
          </w:p>
        </w:tc>
        <w:tc>
          <w:tcPr>
            <w:tcW w:w="1418" w:type="dxa"/>
            <w:tcBorders>
              <w:top w:val="nil"/>
              <w:left w:val="nil"/>
              <w:bottom w:val="single" w:sz="4" w:space="0" w:color="auto"/>
              <w:right w:val="single" w:sz="4" w:space="0" w:color="auto"/>
            </w:tcBorders>
            <w:noWrap/>
            <w:vAlign w:val="bottom"/>
            <w:hideMark/>
          </w:tcPr>
          <w:p w14:paraId="7ABBAF20" w14:textId="26E502B5"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51,87</w:t>
            </w:r>
          </w:p>
        </w:tc>
        <w:tc>
          <w:tcPr>
            <w:tcW w:w="1701" w:type="dxa"/>
            <w:tcBorders>
              <w:top w:val="nil"/>
              <w:left w:val="nil"/>
              <w:bottom w:val="single" w:sz="4" w:space="0" w:color="auto"/>
              <w:right w:val="single" w:sz="4" w:space="0" w:color="auto"/>
            </w:tcBorders>
            <w:noWrap/>
            <w:vAlign w:val="bottom"/>
            <w:hideMark/>
          </w:tcPr>
          <w:p w14:paraId="0D3A4FC5" w14:textId="7DA910C6"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597,83</w:t>
            </w:r>
          </w:p>
        </w:tc>
      </w:tr>
      <w:tr w:rsidR="00EE72C7" w:rsidRPr="000020F0" w14:paraId="57D81BB6" w14:textId="77777777" w:rsidTr="0042650F">
        <w:trPr>
          <w:trHeight w:val="290"/>
        </w:trPr>
        <w:tc>
          <w:tcPr>
            <w:tcW w:w="3397" w:type="dxa"/>
            <w:tcBorders>
              <w:top w:val="nil"/>
              <w:left w:val="single" w:sz="4" w:space="0" w:color="auto"/>
              <w:bottom w:val="single" w:sz="4" w:space="0" w:color="auto"/>
              <w:right w:val="single" w:sz="4" w:space="0" w:color="auto"/>
            </w:tcBorders>
            <w:noWrap/>
            <w:vAlign w:val="bottom"/>
            <w:hideMark/>
          </w:tcPr>
          <w:p w14:paraId="1F94210C" w14:textId="1701B03E"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Druga dela ob rušenju objekta</w:t>
            </w:r>
          </w:p>
        </w:tc>
        <w:tc>
          <w:tcPr>
            <w:tcW w:w="1701" w:type="dxa"/>
            <w:tcBorders>
              <w:top w:val="nil"/>
              <w:left w:val="nil"/>
              <w:bottom w:val="single" w:sz="4" w:space="0" w:color="auto"/>
              <w:right w:val="single" w:sz="4" w:space="0" w:color="auto"/>
            </w:tcBorders>
            <w:noWrap/>
            <w:vAlign w:val="bottom"/>
            <w:hideMark/>
          </w:tcPr>
          <w:p w14:paraId="10C490C5" w14:textId="3752110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5.483,07</w:t>
            </w:r>
          </w:p>
        </w:tc>
        <w:tc>
          <w:tcPr>
            <w:tcW w:w="1275" w:type="dxa"/>
            <w:tcBorders>
              <w:top w:val="nil"/>
              <w:left w:val="nil"/>
              <w:bottom w:val="single" w:sz="4" w:space="0" w:color="auto"/>
              <w:right w:val="single" w:sz="4" w:space="0" w:color="auto"/>
            </w:tcBorders>
            <w:noWrap/>
            <w:vAlign w:val="bottom"/>
            <w:hideMark/>
          </w:tcPr>
          <w:p w14:paraId="5FF28D03" w14:textId="093E77F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0,17%</w:t>
            </w:r>
          </w:p>
        </w:tc>
        <w:tc>
          <w:tcPr>
            <w:tcW w:w="1418" w:type="dxa"/>
            <w:tcBorders>
              <w:top w:val="nil"/>
              <w:left w:val="nil"/>
              <w:bottom w:val="single" w:sz="4" w:space="0" w:color="auto"/>
              <w:right w:val="single" w:sz="4" w:space="0" w:color="auto"/>
            </w:tcBorders>
            <w:noWrap/>
            <w:vAlign w:val="bottom"/>
            <w:hideMark/>
          </w:tcPr>
          <w:p w14:paraId="771895D0" w14:textId="216F535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1.206,28</w:t>
            </w:r>
          </w:p>
        </w:tc>
        <w:tc>
          <w:tcPr>
            <w:tcW w:w="1701" w:type="dxa"/>
            <w:tcBorders>
              <w:top w:val="nil"/>
              <w:left w:val="nil"/>
              <w:bottom w:val="single" w:sz="4" w:space="0" w:color="auto"/>
              <w:right w:val="single" w:sz="4" w:space="0" w:color="auto"/>
            </w:tcBorders>
            <w:noWrap/>
            <w:vAlign w:val="bottom"/>
            <w:hideMark/>
          </w:tcPr>
          <w:p w14:paraId="053831B8" w14:textId="7DBA1A5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6.689,35</w:t>
            </w:r>
          </w:p>
        </w:tc>
      </w:tr>
      <w:tr w:rsidR="00EE72C7" w:rsidRPr="000020F0" w14:paraId="0A4D9CB5"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18ABF3FB" w14:textId="1645DF37"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Vpis v kataster</w:t>
            </w:r>
          </w:p>
        </w:tc>
        <w:tc>
          <w:tcPr>
            <w:tcW w:w="1701" w:type="dxa"/>
            <w:tcBorders>
              <w:top w:val="nil"/>
              <w:left w:val="nil"/>
              <w:bottom w:val="single" w:sz="4" w:space="0" w:color="auto"/>
              <w:right w:val="single" w:sz="4" w:space="0" w:color="auto"/>
            </w:tcBorders>
            <w:noWrap/>
            <w:vAlign w:val="bottom"/>
            <w:hideMark/>
          </w:tcPr>
          <w:p w14:paraId="17BB9604" w14:textId="536CE43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930,55</w:t>
            </w:r>
          </w:p>
        </w:tc>
        <w:tc>
          <w:tcPr>
            <w:tcW w:w="1275" w:type="dxa"/>
            <w:tcBorders>
              <w:top w:val="nil"/>
              <w:left w:val="nil"/>
              <w:bottom w:val="single" w:sz="4" w:space="0" w:color="auto"/>
              <w:right w:val="single" w:sz="4" w:space="0" w:color="auto"/>
            </w:tcBorders>
            <w:noWrap/>
            <w:vAlign w:val="bottom"/>
            <w:hideMark/>
          </w:tcPr>
          <w:p w14:paraId="1276C2EA" w14:textId="6F3B714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0,03%</w:t>
            </w:r>
          </w:p>
        </w:tc>
        <w:tc>
          <w:tcPr>
            <w:tcW w:w="1418" w:type="dxa"/>
            <w:tcBorders>
              <w:top w:val="nil"/>
              <w:left w:val="nil"/>
              <w:bottom w:val="single" w:sz="4" w:space="0" w:color="auto"/>
              <w:right w:val="single" w:sz="4" w:space="0" w:color="auto"/>
            </w:tcBorders>
            <w:noWrap/>
            <w:vAlign w:val="bottom"/>
            <w:hideMark/>
          </w:tcPr>
          <w:p w14:paraId="71204BF8" w14:textId="78DAFD6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204,72</w:t>
            </w:r>
          </w:p>
        </w:tc>
        <w:tc>
          <w:tcPr>
            <w:tcW w:w="1701" w:type="dxa"/>
            <w:tcBorders>
              <w:top w:val="nil"/>
              <w:left w:val="nil"/>
              <w:bottom w:val="single" w:sz="4" w:space="0" w:color="auto"/>
              <w:right w:val="single" w:sz="4" w:space="0" w:color="auto"/>
            </w:tcBorders>
            <w:noWrap/>
            <w:vAlign w:val="bottom"/>
            <w:hideMark/>
          </w:tcPr>
          <w:p w14:paraId="7F0F5570" w14:textId="1C5FFE8A"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1.135,27</w:t>
            </w:r>
          </w:p>
        </w:tc>
      </w:tr>
      <w:tr w:rsidR="00EE72C7" w:rsidRPr="000020F0" w14:paraId="6508073B"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5E817856" w14:textId="3156D93F"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Geodetski načrt</w:t>
            </w:r>
          </w:p>
        </w:tc>
        <w:tc>
          <w:tcPr>
            <w:tcW w:w="1701" w:type="dxa"/>
            <w:tcBorders>
              <w:top w:val="nil"/>
              <w:left w:val="nil"/>
              <w:bottom w:val="single" w:sz="4" w:space="0" w:color="auto"/>
              <w:right w:val="single" w:sz="4" w:space="0" w:color="auto"/>
            </w:tcBorders>
            <w:noWrap/>
            <w:vAlign w:val="bottom"/>
            <w:hideMark/>
          </w:tcPr>
          <w:p w14:paraId="27F25801" w14:textId="1485E6B7"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2.261,75</w:t>
            </w:r>
          </w:p>
        </w:tc>
        <w:tc>
          <w:tcPr>
            <w:tcW w:w="1275" w:type="dxa"/>
            <w:tcBorders>
              <w:top w:val="nil"/>
              <w:left w:val="nil"/>
              <w:bottom w:val="single" w:sz="4" w:space="0" w:color="auto"/>
              <w:right w:val="single" w:sz="4" w:space="0" w:color="auto"/>
            </w:tcBorders>
            <w:noWrap/>
            <w:vAlign w:val="bottom"/>
            <w:hideMark/>
          </w:tcPr>
          <w:p w14:paraId="1726F343" w14:textId="00653523"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0,07%</w:t>
            </w:r>
          </w:p>
        </w:tc>
        <w:tc>
          <w:tcPr>
            <w:tcW w:w="1418" w:type="dxa"/>
            <w:tcBorders>
              <w:top w:val="nil"/>
              <w:left w:val="nil"/>
              <w:bottom w:val="single" w:sz="4" w:space="0" w:color="auto"/>
              <w:right w:val="single" w:sz="4" w:space="0" w:color="auto"/>
            </w:tcBorders>
            <w:noWrap/>
            <w:vAlign w:val="bottom"/>
            <w:hideMark/>
          </w:tcPr>
          <w:p w14:paraId="4C4EFD19" w14:textId="2AA44CED"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497,59</w:t>
            </w:r>
          </w:p>
        </w:tc>
        <w:tc>
          <w:tcPr>
            <w:tcW w:w="1701" w:type="dxa"/>
            <w:tcBorders>
              <w:top w:val="nil"/>
              <w:left w:val="nil"/>
              <w:bottom w:val="single" w:sz="4" w:space="0" w:color="auto"/>
              <w:right w:val="single" w:sz="4" w:space="0" w:color="auto"/>
            </w:tcBorders>
            <w:noWrap/>
            <w:vAlign w:val="bottom"/>
            <w:hideMark/>
          </w:tcPr>
          <w:p w14:paraId="0D5084EC" w14:textId="24A67E1F"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2.759,34</w:t>
            </w:r>
          </w:p>
        </w:tc>
      </w:tr>
      <w:tr w:rsidR="00EE72C7" w:rsidRPr="000020F0" w14:paraId="2C24F6CB"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000A56CD" w14:textId="50F7F077"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Baza cestnih podatkov</w:t>
            </w:r>
          </w:p>
        </w:tc>
        <w:tc>
          <w:tcPr>
            <w:tcW w:w="1701" w:type="dxa"/>
            <w:tcBorders>
              <w:top w:val="nil"/>
              <w:left w:val="nil"/>
              <w:bottom w:val="single" w:sz="4" w:space="0" w:color="auto"/>
              <w:right w:val="single" w:sz="4" w:space="0" w:color="auto"/>
            </w:tcBorders>
            <w:noWrap/>
            <w:vAlign w:val="bottom"/>
            <w:hideMark/>
          </w:tcPr>
          <w:p w14:paraId="27B0AD52" w14:textId="386FFCE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819,67</w:t>
            </w:r>
          </w:p>
        </w:tc>
        <w:tc>
          <w:tcPr>
            <w:tcW w:w="1275" w:type="dxa"/>
            <w:tcBorders>
              <w:top w:val="nil"/>
              <w:left w:val="nil"/>
              <w:bottom w:val="single" w:sz="4" w:space="0" w:color="auto"/>
              <w:right w:val="single" w:sz="4" w:space="0" w:color="auto"/>
            </w:tcBorders>
            <w:noWrap/>
            <w:vAlign w:val="bottom"/>
            <w:hideMark/>
          </w:tcPr>
          <w:p w14:paraId="3FF5FB22" w14:textId="6A3E126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0,03%</w:t>
            </w:r>
          </w:p>
        </w:tc>
        <w:tc>
          <w:tcPr>
            <w:tcW w:w="1418" w:type="dxa"/>
            <w:tcBorders>
              <w:top w:val="nil"/>
              <w:left w:val="nil"/>
              <w:bottom w:val="single" w:sz="4" w:space="0" w:color="auto"/>
              <w:right w:val="single" w:sz="4" w:space="0" w:color="auto"/>
            </w:tcBorders>
            <w:noWrap/>
            <w:vAlign w:val="bottom"/>
            <w:hideMark/>
          </w:tcPr>
          <w:p w14:paraId="5AB00E62" w14:textId="3139644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180,33</w:t>
            </w:r>
          </w:p>
        </w:tc>
        <w:tc>
          <w:tcPr>
            <w:tcW w:w="1701" w:type="dxa"/>
            <w:tcBorders>
              <w:top w:val="nil"/>
              <w:left w:val="nil"/>
              <w:bottom w:val="single" w:sz="4" w:space="0" w:color="auto"/>
              <w:right w:val="single" w:sz="4" w:space="0" w:color="auto"/>
            </w:tcBorders>
            <w:noWrap/>
            <w:vAlign w:val="bottom"/>
            <w:hideMark/>
          </w:tcPr>
          <w:p w14:paraId="2F24A6EF" w14:textId="63A245E9"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1.000,00</w:t>
            </w:r>
          </w:p>
        </w:tc>
      </w:tr>
      <w:tr w:rsidR="00EE72C7" w:rsidRPr="000020F0" w14:paraId="28C4ACFD" w14:textId="77777777" w:rsidTr="0042650F">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211C86AA" w14:textId="0D9F4129" w:rsidR="00EE72C7" w:rsidRPr="000020F0" w:rsidRDefault="00EE72C7" w:rsidP="00EE72C7">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701" w:type="dxa"/>
            <w:tcBorders>
              <w:top w:val="nil"/>
              <w:left w:val="nil"/>
              <w:bottom w:val="single" w:sz="4" w:space="0" w:color="auto"/>
              <w:right w:val="single" w:sz="4" w:space="0" w:color="auto"/>
            </w:tcBorders>
            <w:shd w:val="clear" w:color="000000" w:fill="D9D9D9"/>
            <w:noWrap/>
            <w:vAlign w:val="bottom"/>
            <w:hideMark/>
          </w:tcPr>
          <w:p w14:paraId="5E66F515" w14:textId="1854B769"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2.736.881,76</w:t>
            </w:r>
          </w:p>
        </w:tc>
        <w:tc>
          <w:tcPr>
            <w:tcW w:w="1275" w:type="dxa"/>
            <w:tcBorders>
              <w:top w:val="nil"/>
              <w:left w:val="nil"/>
              <w:bottom w:val="single" w:sz="4" w:space="0" w:color="auto"/>
              <w:right w:val="single" w:sz="4" w:space="0" w:color="auto"/>
            </w:tcBorders>
            <w:shd w:val="clear" w:color="000000" w:fill="D9D9D9"/>
            <w:noWrap/>
            <w:vAlign w:val="bottom"/>
            <w:hideMark/>
          </w:tcPr>
          <w:p w14:paraId="2ED511DA" w14:textId="5C1E8118"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83,51%</w:t>
            </w:r>
          </w:p>
        </w:tc>
        <w:tc>
          <w:tcPr>
            <w:tcW w:w="1418" w:type="dxa"/>
            <w:tcBorders>
              <w:top w:val="nil"/>
              <w:left w:val="nil"/>
              <w:bottom w:val="single" w:sz="4" w:space="0" w:color="auto"/>
              <w:right w:val="single" w:sz="4" w:space="0" w:color="auto"/>
            </w:tcBorders>
            <w:shd w:val="clear" w:color="000000" w:fill="D9D9D9"/>
            <w:noWrap/>
            <w:vAlign w:val="bottom"/>
            <w:hideMark/>
          </w:tcPr>
          <w:p w14:paraId="3F1AAF43" w14:textId="7D6262A3"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540.275,06</w:t>
            </w:r>
          </w:p>
        </w:tc>
        <w:tc>
          <w:tcPr>
            <w:tcW w:w="1701" w:type="dxa"/>
            <w:tcBorders>
              <w:top w:val="nil"/>
              <w:left w:val="nil"/>
              <w:bottom w:val="single" w:sz="4" w:space="0" w:color="auto"/>
              <w:right w:val="single" w:sz="4" w:space="0" w:color="auto"/>
            </w:tcBorders>
            <w:shd w:val="clear" w:color="000000" w:fill="D9D9D9"/>
            <w:noWrap/>
            <w:vAlign w:val="bottom"/>
            <w:hideMark/>
          </w:tcPr>
          <w:p w14:paraId="7DC279B9" w14:textId="3942BC9F"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3.277.156,82</w:t>
            </w:r>
          </w:p>
        </w:tc>
      </w:tr>
      <w:tr w:rsidR="00EE72C7" w:rsidRPr="000020F0" w14:paraId="1AC01D91"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1C2D2647" w14:textId="54D5BB76"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Davek na dodano vrednost</w:t>
            </w:r>
          </w:p>
        </w:tc>
        <w:tc>
          <w:tcPr>
            <w:tcW w:w="1701" w:type="dxa"/>
            <w:tcBorders>
              <w:top w:val="nil"/>
              <w:left w:val="nil"/>
              <w:bottom w:val="single" w:sz="4" w:space="0" w:color="auto"/>
              <w:right w:val="single" w:sz="4" w:space="0" w:color="auto"/>
            </w:tcBorders>
            <w:noWrap/>
            <w:vAlign w:val="bottom"/>
            <w:hideMark/>
          </w:tcPr>
          <w:p w14:paraId="0B222665" w14:textId="64E696AE"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540.275,01</w:t>
            </w:r>
          </w:p>
        </w:tc>
        <w:tc>
          <w:tcPr>
            <w:tcW w:w="1275" w:type="dxa"/>
            <w:tcBorders>
              <w:top w:val="nil"/>
              <w:left w:val="nil"/>
              <w:bottom w:val="single" w:sz="4" w:space="0" w:color="auto"/>
              <w:right w:val="single" w:sz="4" w:space="0" w:color="auto"/>
            </w:tcBorders>
            <w:noWrap/>
            <w:vAlign w:val="bottom"/>
            <w:hideMark/>
          </w:tcPr>
          <w:p w14:paraId="3827B7CD" w14:textId="20E26F9C"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16,49%</w:t>
            </w:r>
          </w:p>
        </w:tc>
        <w:tc>
          <w:tcPr>
            <w:tcW w:w="1418" w:type="dxa"/>
            <w:tcBorders>
              <w:top w:val="nil"/>
              <w:left w:val="nil"/>
              <w:bottom w:val="single" w:sz="4" w:space="0" w:color="auto"/>
              <w:right w:val="single" w:sz="4" w:space="0" w:color="auto"/>
            </w:tcBorders>
            <w:noWrap/>
            <w:vAlign w:val="bottom"/>
            <w:hideMark/>
          </w:tcPr>
          <w:p w14:paraId="66C2F568" w14:textId="241249C0"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540.275,06</w:t>
            </w:r>
          </w:p>
        </w:tc>
        <w:tc>
          <w:tcPr>
            <w:tcW w:w="1701" w:type="dxa"/>
            <w:tcBorders>
              <w:top w:val="nil"/>
              <w:left w:val="nil"/>
              <w:bottom w:val="single" w:sz="4" w:space="0" w:color="auto"/>
              <w:right w:val="single" w:sz="4" w:space="0" w:color="auto"/>
            </w:tcBorders>
            <w:noWrap/>
            <w:vAlign w:val="bottom"/>
            <w:hideMark/>
          </w:tcPr>
          <w:p w14:paraId="604D90FD" w14:textId="6D1FE8ED" w:rsidR="00EE72C7" w:rsidRPr="00EE72C7" w:rsidRDefault="00EE72C7" w:rsidP="00EE72C7">
            <w:pPr>
              <w:rPr>
                <w:rFonts w:asciiTheme="majorHAnsi" w:hAnsiTheme="majorHAnsi" w:cstheme="majorHAnsi"/>
                <w:color w:val="000000"/>
                <w:sz w:val="20"/>
                <w:szCs w:val="20"/>
              </w:rPr>
            </w:pPr>
            <w:r w:rsidRPr="00EE72C7">
              <w:rPr>
                <w:rFonts w:asciiTheme="majorHAnsi" w:hAnsiTheme="majorHAnsi" w:cstheme="majorHAnsi"/>
                <w:color w:val="000000"/>
                <w:sz w:val="20"/>
                <w:szCs w:val="20"/>
              </w:rPr>
              <w:t> </w:t>
            </w:r>
          </w:p>
        </w:tc>
      </w:tr>
      <w:tr w:rsidR="00EE72C7" w:rsidRPr="000020F0" w14:paraId="16FF4A4F" w14:textId="77777777" w:rsidTr="0042650F">
        <w:trPr>
          <w:trHeight w:val="280"/>
        </w:trPr>
        <w:tc>
          <w:tcPr>
            <w:tcW w:w="3397" w:type="dxa"/>
            <w:tcBorders>
              <w:top w:val="nil"/>
              <w:left w:val="single" w:sz="4" w:space="0" w:color="auto"/>
              <w:bottom w:val="single" w:sz="4" w:space="0" w:color="auto"/>
              <w:right w:val="single" w:sz="4" w:space="0" w:color="auto"/>
            </w:tcBorders>
            <w:noWrap/>
            <w:vAlign w:val="bottom"/>
            <w:hideMark/>
          </w:tcPr>
          <w:p w14:paraId="573B0D7B" w14:textId="4EE6EA73" w:rsidR="00EE72C7" w:rsidRPr="000020F0" w:rsidRDefault="00EE72C7" w:rsidP="00EE72C7">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701" w:type="dxa"/>
            <w:tcBorders>
              <w:top w:val="nil"/>
              <w:left w:val="nil"/>
              <w:bottom w:val="single" w:sz="4" w:space="0" w:color="auto"/>
              <w:right w:val="single" w:sz="4" w:space="0" w:color="auto"/>
            </w:tcBorders>
            <w:noWrap/>
            <w:vAlign w:val="bottom"/>
            <w:hideMark/>
          </w:tcPr>
          <w:p w14:paraId="0F80FE4E" w14:textId="012194B1"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21.362,57</w:t>
            </w:r>
          </w:p>
        </w:tc>
        <w:tc>
          <w:tcPr>
            <w:tcW w:w="1275" w:type="dxa"/>
            <w:tcBorders>
              <w:top w:val="nil"/>
              <w:left w:val="nil"/>
              <w:bottom w:val="single" w:sz="4" w:space="0" w:color="auto"/>
              <w:right w:val="single" w:sz="4" w:space="0" w:color="auto"/>
            </w:tcBorders>
            <w:noWrap/>
            <w:vAlign w:val="bottom"/>
            <w:hideMark/>
          </w:tcPr>
          <w:p w14:paraId="62A8A8E9" w14:textId="65DA7D72" w:rsidR="00EE72C7" w:rsidRPr="00EE72C7" w:rsidRDefault="00EE72C7" w:rsidP="00EE72C7">
            <w:pPr>
              <w:jc w:val="right"/>
              <w:rPr>
                <w:rFonts w:asciiTheme="majorHAnsi" w:hAnsiTheme="majorHAnsi" w:cstheme="majorHAnsi"/>
                <w:color w:val="000000"/>
                <w:sz w:val="20"/>
                <w:szCs w:val="20"/>
              </w:rPr>
            </w:pPr>
            <w:r w:rsidRPr="00EE72C7">
              <w:rPr>
                <w:rFonts w:asciiTheme="majorHAnsi" w:hAnsiTheme="majorHAnsi" w:cstheme="majorHAnsi"/>
                <w:color w:val="000000"/>
                <w:sz w:val="20"/>
                <w:szCs w:val="20"/>
              </w:rPr>
              <w:t>0,65%</w:t>
            </w:r>
          </w:p>
        </w:tc>
        <w:tc>
          <w:tcPr>
            <w:tcW w:w="1418" w:type="dxa"/>
            <w:tcBorders>
              <w:top w:val="nil"/>
              <w:left w:val="nil"/>
              <w:bottom w:val="single" w:sz="4" w:space="0" w:color="auto"/>
              <w:right w:val="single" w:sz="4" w:space="0" w:color="auto"/>
            </w:tcBorders>
            <w:noWrap/>
            <w:vAlign w:val="bottom"/>
            <w:hideMark/>
          </w:tcPr>
          <w:p w14:paraId="7B64E3C8" w14:textId="728E68D9" w:rsidR="00EE72C7" w:rsidRPr="00EE72C7" w:rsidRDefault="00EE72C7" w:rsidP="00EE72C7">
            <w:pPr>
              <w:rPr>
                <w:rFonts w:asciiTheme="majorHAnsi" w:hAnsiTheme="majorHAnsi" w:cstheme="majorHAnsi"/>
                <w:color w:val="000000"/>
                <w:sz w:val="20"/>
                <w:szCs w:val="20"/>
              </w:rPr>
            </w:pPr>
            <w:r w:rsidRPr="00EE72C7">
              <w:rPr>
                <w:rFonts w:asciiTheme="majorHAnsi" w:hAnsiTheme="majorHAnsi" w:cstheme="majorHAnsi"/>
                <w:color w:val="000000"/>
                <w:sz w:val="20"/>
                <w:szCs w:val="20"/>
              </w:rPr>
              <w:t> </w:t>
            </w:r>
          </w:p>
        </w:tc>
        <w:tc>
          <w:tcPr>
            <w:tcW w:w="1701" w:type="dxa"/>
            <w:tcBorders>
              <w:top w:val="nil"/>
              <w:left w:val="nil"/>
              <w:bottom w:val="single" w:sz="4" w:space="0" w:color="auto"/>
              <w:right w:val="single" w:sz="4" w:space="0" w:color="auto"/>
            </w:tcBorders>
            <w:noWrap/>
            <w:vAlign w:val="bottom"/>
            <w:hideMark/>
          </w:tcPr>
          <w:p w14:paraId="68837A7F" w14:textId="653B6EA3" w:rsidR="00EE72C7" w:rsidRPr="00EE72C7" w:rsidRDefault="00EE72C7" w:rsidP="00EE72C7">
            <w:pPr>
              <w:rPr>
                <w:rFonts w:asciiTheme="majorHAnsi" w:hAnsiTheme="majorHAnsi" w:cstheme="majorHAnsi"/>
                <w:color w:val="000000"/>
                <w:sz w:val="20"/>
                <w:szCs w:val="20"/>
              </w:rPr>
            </w:pPr>
            <w:r w:rsidRPr="00EE72C7">
              <w:rPr>
                <w:rFonts w:asciiTheme="majorHAnsi" w:hAnsiTheme="majorHAnsi" w:cstheme="majorHAnsi"/>
                <w:color w:val="000000"/>
                <w:sz w:val="20"/>
                <w:szCs w:val="20"/>
              </w:rPr>
              <w:t> </w:t>
            </w:r>
          </w:p>
        </w:tc>
      </w:tr>
      <w:tr w:rsidR="00EE72C7" w:rsidRPr="000020F0" w14:paraId="4403E9B0" w14:textId="77777777" w:rsidTr="0042650F">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5AD268F4" w14:textId="116FD547" w:rsidR="00EE72C7" w:rsidRPr="000020F0" w:rsidRDefault="00EE72C7" w:rsidP="00EE72C7">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701" w:type="dxa"/>
            <w:tcBorders>
              <w:top w:val="nil"/>
              <w:left w:val="nil"/>
              <w:bottom w:val="single" w:sz="4" w:space="0" w:color="auto"/>
              <w:right w:val="single" w:sz="4" w:space="0" w:color="auto"/>
            </w:tcBorders>
            <w:shd w:val="clear" w:color="000000" w:fill="D9D9D9"/>
            <w:noWrap/>
            <w:vAlign w:val="bottom"/>
            <w:hideMark/>
          </w:tcPr>
          <w:p w14:paraId="55113194" w14:textId="71FF85D8"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3.277.156,77</w:t>
            </w:r>
          </w:p>
        </w:tc>
        <w:tc>
          <w:tcPr>
            <w:tcW w:w="1275" w:type="dxa"/>
            <w:tcBorders>
              <w:top w:val="nil"/>
              <w:left w:val="nil"/>
              <w:bottom w:val="single" w:sz="4" w:space="0" w:color="auto"/>
              <w:right w:val="single" w:sz="4" w:space="0" w:color="auto"/>
            </w:tcBorders>
            <w:shd w:val="clear" w:color="000000" w:fill="D9D9D9"/>
            <w:noWrap/>
            <w:vAlign w:val="bottom"/>
            <w:hideMark/>
          </w:tcPr>
          <w:p w14:paraId="0FA7EBE9" w14:textId="178E94DC"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100,00%</w:t>
            </w:r>
          </w:p>
        </w:tc>
        <w:tc>
          <w:tcPr>
            <w:tcW w:w="1418" w:type="dxa"/>
            <w:tcBorders>
              <w:top w:val="nil"/>
              <w:left w:val="nil"/>
              <w:bottom w:val="single" w:sz="4" w:space="0" w:color="auto"/>
              <w:right w:val="single" w:sz="4" w:space="0" w:color="auto"/>
            </w:tcBorders>
            <w:shd w:val="clear" w:color="000000" w:fill="D9D9D9"/>
            <w:noWrap/>
            <w:vAlign w:val="bottom"/>
            <w:hideMark/>
          </w:tcPr>
          <w:p w14:paraId="381207C3" w14:textId="70906A9F"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540.275,06</w:t>
            </w:r>
          </w:p>
        </w:tc>
        <w:tc>
          <w:tcPr>
            <w:tcW w:w="1701" w:type="dxa"/>
            <w:tcBorders>
              <w:top w:val="nil"/>
              <w:left w:val="nil"/>
              <w:bottom w:val="single" w:sz="4" w:space="0" w:color="auto"/>
              <w:right w:val="single" w:sz="4" w:space="0" w:color="auto"/>
            </w:tcBorders>
            <w:shd w:val="clear" w:color="000000" w:fill="D9D9D9"/>
            <w:noWrap/>
            <w:vAlign w:val="bottom"/>
            <w:hideMark/>
          </w:tcPr>
          <w:p w14:paraId="26C08D92" w14:textId="01259D8A"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3.277.156,82</w:t>
            </w:r>
          </w:p>
        </w:tc>
      </w:tr>
      <w:tr w:rsidR="00EE72C7" w:rsidRPr="000020F0" w14:paraId="233B9437" w14:textId="77777777" w:rsidTr="0042650F">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6528E1FF" w14:textId="06B53602" w:rsidR="00EE72C7" w:rsidRPr="000020F0" w:rsidRDefault="00EE72C7" w:rsidP="00EE72C7">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1701" w:type="dxa"/>
            <w:tcBorders>
              <w:top w:val="nil"/>
              <w:left w:val="nil"/>
              <w:bottom w:val="single" w:sz="4" w:space="0" w:color="auto"/>
              <w:right w:val="single" w:sz="4" w:space="0" w:color="auto"/>
            </w:tcBorders>
            <w:shd w:val="clear" w:color="000000" w:fill="D9D9D9"/>
            <w:noWrap/>
            <w:vAlign w:val="bottom"/>
            <w:hideMark/>
          </w:tcPr>
          <w:p w14:paraId="6C72E467" w14:textId="36E28DF4"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3.255.794,20</w:t>
            </w:r>
          </w:p>
        </w:tc>
        <w:tc>
          <w:tcPr>
            <w:tcW w:w="1275" w:type="dxa"/>
            <w:tcBorders>
              <w:top w:val="nil"/>
              <w:left w:val="nil"/>
              <w:bottom w:val="single" w:sz="4" w:space="0" w:color="auto"/>
              <w:right w:val="single" w:sz="4" w:space="0" w:color="auto"/>
            </w:tcBorders>
            <w:shd w:val="clear" w:color="000000" w:fill="D9D9D9"/>
            <w:noWrap/>
            <w:vAlign w:val="bottom"/>
            <w:hideMark/>
          </w:tcPr>
          <w:p w14:paraId="0EB12B6C" w14:textId="5C3D64AF"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99,35%</w:t>
            </w:r>
          </w:p>
        </w:tc>
        <w:tc>
          <w:tcPr>
            <w:tcW w:w="1418" w:type="dxa"/>
            <w:tcBorders>
              <w:top w:val="nil"/>
              <w:left w:val="nil"/>
              <w:bottom w:val="single" w:sz="4" w:space="0" w:color="auto"/>
              <w:right w:val="single" w:sz="4" w:space="0" w:color="auto"/>
            </w:tcBorders>
            <w:shd w:val="clear" w:color="000000" w:fill="D9D9D9"/>
            <w:noWrap/>
            <w:vAlign w:val="bottom"/>
            <w:hideMark/>
          </w:tcPr>
          <w:p w14:paraId="3DDB8635" w14:textId="2283C406"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0,00</w:t>
            </w:r>
          </w:p>
        </w:tc>
        <w:tc>
          <w:tcPr>
            <w:tcW w:w="1701" w:type="dxa"/>
            <w:tcBorders>
              <w:top w:val="nil"/>
              <w:left w:val="nil"/>
              <w:bottom w:val="single" w:sz="4" w:space="0" w:color="auto"/>
              <w:right w:val="single" w:sz="4" w:space="0" w:color="auto"/>
            </w:tcBorders>
            <w:shd w:val="clear" w:color="000000" w:fill="D9D9D9"/>
            <w:noWrap/>
            <w:vAlign w:val="bottom"/>
            <w:hideMark/>
          </w:tcPr>
          <w:p w14:paraId="29B86D08" w14:textId="136DDB41" w:rsidR="00EE72C7" w:rsidRPr="00EE72C7" w:rsidRDefault="00EE72C7" w:rsidP="00EE72C7">
            <w:pPr>
              <w:jc w:val="right"/>
              <w:rPr>
                <w:rFonts w:asciiTheme="majorHAnsi" w:hAnsiTheme="majorHAnsi" w:cstheme="majorHAnsi"/>
                <w:b/>
                <w:bCs/>
                <w:color w:val="000000"/>
                <w:sz w:val="20"/>
                <w:szCs w:val="20"/>
              </w:rPr>
            </w:pPr>
            <w:r w:rsidRPr="00EE72C7">
              <w:rPr>
                <w:rFonts w:asciiTheme="majorHAnsi" w:hAnsiTheme="majorHAnsi" w:cstheme="majorHAnsi"/>
                <w:b/>
                <w:bCs/>
                <w:color w:val="000000"/>
                <w:sz w:val="20"/>
                <w:szCs w:val="20"/>
              </w:rPr>
              <w:t>3.255.794,20</w:t>
            </w:r>
          </w:p>
        </w:tc>
      </w:tr>
    </w:tbl>
    <w:p w14:paraId="70C77CAE" w14:textId="77777777" w:rsidR="008252A9" w:rsidRPr="000020F0" w:rsidRDefault="009F201C" w:rsidP="009F201C">
      <w:pPr>
        <w:spacing w:after="200" w:line="276" w:lineRule="auto"/>
        <w:rPr>
          <w:rFonts w:asciiTheme="majorHAnsi" w:hAnsiTheme="majorHAnsi" w:cstheme="majorHAnsi"/>
          <w:sz w:val="22"/>
          <w:szCs w:val="22"/>
        </w:rPr>
      </w:pPr>
      <w:r w:rsidRPr="000020F0">
        <w:rPr>
          <w:rFonts w:asciiTheme="majorHAnsi" w:hAnsiTheme="majorHAnsi" w:cstheme="majorHAnsi"/>
          <w:sz w:val="22"/>
          <w:szCs w:val="22"/>
        </w:rPr>
        <w:t xml:space="preserve"> </w:t>
      </w:r>
    </w:p>
    <w:p w14:paraId="7CEEB83C" w14:textId="09AC3A92" w:rsidR="00306670" w:rsidRPr="000020F0" w:rsidRDefault="00137824" w:rsidP="00306670">
      <w:pPr>
        <w:pStyle w:val="Napis"/>
        <w:spacing w:line="276" w:lineRule="auto"/>
        <w:jc w:val="both"/>
        <w:rPr>
          <w:rFonts w:asciiTheme="majorHAnsi" w:hAnsiTheme="majorHAnsi" w:cstheme="majorHAnsi"/>
          <w:b w:val="0"/>
          <w:color w:val="auto"/>
          <w:sz w:val="22"/>
          <w:szCs w:val="22"/>
        </w:rPr>
      </w:pPr>
      <w:bookmarkStart w:id="110" w:name="_Toc230882285"/>
      <w:r w:rsidRPr="000020F0">
        <w:rPr>
          <w:rFonts w:asciiTheme="majorHAnsi" w:hAnsiTheme="majorHAnsi" w:cstheme="majorHAnsi"/>
          <w:color w:val="auto"/>
          <w:sz w:val="22"/>
          <w:szCs w:val="22"/>
        </w:rPr>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5</w:t>
      </w:r>
      <w:r w:rsidRPr="000020F0">
        <w:rPr>
          <w:rFonts w:asciiTheme="majorHAnsi" w:hAnsiTheme="majorHAnsi" w:cstheme="majorHAnsi"/>
          <w:color w:val="auto"/>
          <w:sz w:val="22"/>
          <w:szCs w:val="22"/>
        </w:rPr>
        <w:fldChar w:fldCharType="end"/>
      </w:r>
      <w:r w:rsidRPr="000020F0">
        <w:rPr>
          <w:rFonts w:asciiTheme="majorHAnsi" w:hAnsiTheme="majorHAnsi" w:cstheme="majorHAnsi"/>
          <w:b w:val="0"/>
          <w:color w:val="auto"/>
          <w:sz w:val="22"/>
          <w:szCs w:val="22"/>
        </w:rPr>
        <w:t>:</w:t>
      </w:r>
      <w:r w:rsidR="0097393F" w:rsidRPr="000020F0">
        <w:rPr>
          <w:rFonts w:asciiTheme="majorHAnsi" w:hAnsiTheme="majorHAnsi" w:cstheme="majorHAnsi"/>
          <w:b w:val="0"/>
          <w:color w:val="auto"/>
          <w:sz w:val="22"/>
          <w:szCs w:val="22"/>
        </w:rPr>
        <w:t xml:space="preserve"> </w:t>
      </w:r>
      <w:r w:rsidRPr="000020F0">
        <w:rPr>
          <w:rFonts w:asciiTheme="majorHAnsi" w:hAnsiTheme="majorHAnsi" w:cstheme="majorHAnsi"/>
          <w:b w:val="0"/>
          <w:color w:val="auto"/>
          <w:sz w:val="22"/>
          <w:szCs w:val="22"/>
        </w:rPr>
        <w:t>Prikaz stroškov projekta v tekočih cenah brez in z DDV (v EUR)</w:t>
      </w:r>
      <w:bookmarkEnd w:id="110"/>
    </w:p>
    <w:tbl>
      <w:tblPr>
        <w:tblW w:w="9493" w:type="dxa"/>
        <w:tblLook w:val="04A0" w:firstRow="1" w:lastRow="0" w:firstColumn="1" w:lastColumn="0" w:noHBand="0" w:noVBand="1"/>
      </w:tblPr>
      <w:tblGrid>
        <w:gridCol w:w="3397"/>
        <w:gridCol w:w="1560"/>
        <w:gridCol w:w="1275"/>
        <w:gridCol w:w="1560"/>
        <w:gridCol w:w="1701"/>
      </w:tblGrid>
      <w:tr w:rsidR="00A85338" w:rsidRPr="000020F0" w14:paraId="70897D9F" w14:textId="77777777" w:rsidTr="00A85338">
        <w:trPr>
          <w:trHeight w:val="280"/>
          <w:tblHeader/>
        </w:trPr>
        <w:tc>
          <w:tcPr>
            <w:tcW w:w="3397"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40A5A3F9" w14:textId="77777777" w:rsidR="00A85338" w:rsidRPr="000020F0" w:rsidRDefault="00A85338">
            <w:pPr>
              <w:rPr>
                <w:rFonts w:ascii="Arial" w:hAnsi="Arial" w:cs="Arial"/>
                <w:b/>
                <w:bCs/>
                <w:color w:val="FFFFFF"/>
                <w:sz w:val="20"/>
                <w:szCs w:val="20"/>
              </w:rPr>
            </w:pPr>
            <w:r w:rsidRPr="000020F0">
              <w:rPr>
                <w:rFonts w:ascii="Arial" w:hAnsi="Arial" w:cs="Arial"/>
                <w:b/>
                <w:bCs/>
                <w:color w:val="FFFFFF"/>
                <w:sz w:val="20"/>
                <w:szCs w:val="20"/>
              </w:rPr>
              <w:t>Postavka</w:t>
            </w:r>
          </w:p>
        </w:tc>
        <w:tc>
          <w:tcPr>
            <w:tcW w:w="1560" w:type="dxa"/>
            <w:tcBorders>
              <w:top w:val="single" w:sz="4" w:space="0" w:color="auto"/>
              <w:left w:val="nil"/>
              <w:bottom w:val="single" w:sz="4" w:space="0" w:color="auto"/>
              <w:right w:val="single" w:sz="4" w:space="0" w:color="auto"/>
            </w:tcBorders>
            <w:shd w:val="clear" w:color="000000" w:fill="153D64"/>
            <w:noWrap/>
            <w:vAlign w:val="bottom"/>
            <w:hideMark/>
          </w:tcPr>
          <w:p w14:paraId="2D9051A3" w14:textId="77777777" w:rsidR="00A85338" w:rsidRPr="000020F0" w:rsidRDefault="00A85338">
            <w:pPr>
              <w:rPr>
                <w:rFonts w:ascii="Arial" w:hAnsi="Arial" w:cs="Arial"/>
                <w:b/>
                <w:bCs/>
                <w:color w:val="FFFFFF"/>
                <w:sz w:val="20"/>
                <w:szCs w:val="20"/>
              </w:rPr>
            </w:pPr>
            <w:r w:rsidRPr="000020F0">
              <w:rPr>
                <w:rFonts w:ascii="Arial" w:hAnsi="Arial" w:cs="Arial"/>
                <w:b/>
                <w:bCs/>
                <w:color w:val="FFFFFF"/>
                <w:sz w:val="20"/>
                <w:szCs w:val="20"/>
              </w:rPr>
              <w:t>Vrednost</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1498AD50" w14:textId="77777777" w:rsidR="00A85338" w:rsidRPr="000020F0" w:rsidRDefault="00A85338">
            <w:pPr>
              <w:rPr>
                <w:rFonts w:ascii="Arial" w:hAnsi="Arial" w:cs="Arial"/>
                <w:b/>
                <w:bCs/>
                <w:color w:val="FFFFFF"/>
                <w:sz w:val="20"/>
                <w:szCs w:val="20"/>
              </w:rPr>
            </w:pPr>
            <w:r w:rsidRPr="000020F0">
              <w:rPr>
                <w:rFonts w:ascii="Arial" w:hAnsi="Arial" w:cs="Arial"/>
                <w:b/>
                <w:bCs/>
                <w:color w:val="FFFFFF"/>
                <w:sz w:val="20"/>
                <w:szCs w:val="20"/>
              </w:rPr>
              <w:t>Delež</w:t>
            </w:r>
          </w:p>
        </w:tc>
        <w:tc>
          <w:tcPr>
            <w:tcW w:w="1560" w:type="dxa"/>
            <w:tcBorders>
              <w:top w:val="single" w:sz="4" w:space="0" w:color="auto"/>
              <w:left w:val="nil"/>
              <w:bottom w:val="single" w:sz="4" w:space="0" w:color="auto"/>
              <w:right w:val="single" w:sz="4" w:space="0" w:color="auto"/>
            </w:tcBorders>
            <w:shd w:val="clear" w:color="000000" w:fill="153D64"/>
            <w:noWrap/>
            <w:vAlign w:val="bottom"/>
            <w:hideMark/>
          </w:tcPr>
          <w:p w14:paraId="403D9A66" w14:textId="77777777" w:rsidR="00A85338" w:rsidRPr="000020F0" w:rsidRDefault="00A85338">
            <w:pPr>
              <w:rPr>
                <w:rFonts w:ascii="Arial" w:hAnsi="Arial" w:cs="Arial"/>
                <w:b/>
                <w:bCs/>
                <w:color w:val="FFFFFF"/>
                <w:sz w:val="20"/>
                <w:szCs w:val="20"/>
              </w:rPr>
            </w:pPr>
            <w:r w:rsidRPr="000020F0">
              <w:rPr>
                <w:rFonts w:ascii="Arial" w:hAnsi="Arial" w:cs="Arial"/>
                <w:b/>
                <w:bCs/>
                <w:color w:val="FFFFFF"/>
                <w:sz w:val="20"/>
                <w:szCs w:val="20"/>
              </w:rPr>
              <w:t>DDV</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165907B6" w14:textId="77777777" w:rsidR="00A85338" w:rsidRPr="000020F0" w:rsidRDefault="00A85338">
            <w:pPr>
              <w:rPr>
                <w:rFonts w:ascii="Arial" w:hAnsi="Arial" w:cs="Arial"/>
                <w:b/>
                <w:bCs/>
                <w:color w:val="FFFFFF"/>
                <w:sz w:val="20"/>
                <w:szCs w:val="20"/>
              </w:rPr>
            </w:pPr>
            <w:r w:rsidRPr="000020F0">
              <w:rPr>
                <w:rFonts w:ascii="Arial" w:hAnsi="Arial" w:cs="Arial"/>
                <w:b/>
                <w:bCs/>
                <w:color w:val="FFFFFF"/>
                <w:sz w:val="20"/>
                <w:szCs w:val="20"/>
              </w:rPr>
              <w:t>Vrednost z DDV</w:t>
            </w:r>
          </w:p>
        </w:tc>
      </w:tr>
      <w:tr w:rsidR="007F7223" w:rsidRPr="000020F0" w14:paraId="380B843F"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65A538EA" w14:textId="55DDEB78"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Govekarjeva cesta</w:t>
            </w:r>
          </w:p>
        </w:tc>
        <w:tc>
          <w:tcPr>
            <w:tcW w:w="1560" w:type="dxa"/>
            <w:tcBorders>
              <w:top w:val="nil"/>
              <w:left w:val="nil"/>
              <w:bottom w:val="single" w:sz="4" w:space="0" w:color="auto"/>
              <w:right w:val="single" w:sz="4" w:space="0" w:color="auto"/>
            </w:tcBorders>
            <w:noWrap/>
            <w:vAlign w:val="bottom"/>
            <w:hideMark/>
          </w:tcPr>
          <w:p w14:paraId="0E856877" w14:textId="23EFA6D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895.239,34</w:t>
            </w:r>
          </w:p>
        </w:tc>
        <w:tc>
          <w:tcPr>
            <w:tcW w:w="1275" w:type="dxa"/>
            <w:tcBorders>
              <w:top w:val="nil"/>
              <w:left w:val="nil"/>
              <w:bottom w:val="single" w:sz="4" w:space="0" w:color="auto"/>
              <w:right w:val="single" w:sz="4" w:space="0" w:color="auto"/>
            </w:tcBorders>
            <w:noWrap/>
            <w:vAlign w:val="bottom"/>
            <w:hideMark/>
          </w:tcPr>
          <w:p w14:paraId="2F054F95" w14:textId="3C0406D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26,44%</w:t>
            </w:r>
          </w:p>
        </w:tc>
        <w:tc>
          <w:tcPr>
            <w:tcW w:w="1560" w:type="dxa"/>
            <w:tcBorders>
              <w:top w:val="nil"/>
              <w:left w:val="nil"/>
              <w:bottom w:val="single" w:sz="4" w:space="0" w:color="auto"/>
              <w:right w:val="single" w:sz="4" w:space="0" w:color="auto"/>
            </w:tcBorders>
            <w:noWrap/>
            <w:vAlign w:val="bottom"/>
            <w:hideMark/>
          </w:tcPr>
          <w:p w14:paraId="79CAE35D" w14:textId="1E7E543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196.952,65</w:t>
            </w:r>
          </w:p>
        </w:tc>
        <w:tc>
          <w:tcPr>
            <w:tcW w:w="1701" w:type="dxa"/>
            <w:tcBorders>
              <w:top w:val="nil"/>
              <w:left w:val="nil"/>
              <w:bottom w:val="single" w:sz="4" w:space="0" w:color="auto"/>
              <w:right w:val="single" w:sz="4" w:space="0" w:color="auto"/>
            </w:tcBorders>
            <w:noWrap/>
            <w:vAlign w:val="bottom"/>
            <w:hideMark/>
          </w:tcPr>
          <w:p w14:paraId="778157A0" w14:textId="72F275C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1.092.191,99</w:t>
            </w:r>
          </w:p>
        </w:tc>
      </w:tr>
      <w:tr w:rsidR="007F7223" w:rsidRPr="000020F0" w14:paraId="3CD7FD24"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2CDD26C0" w14:textId="707F49C1"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Troštova ulica</w:t>
            </w:r>
          </w:p>
        </w:tc>
        <w:tc>
          <w:tcPr>
            <w:tcW w:w="1560" w:type="dxa"/>
            <w:tcBorders>
              <w:top w:val="nil"/>
              <w:left w:val="nil"/>
              <w:bottom w:val="single" w:sz="4" w:space="0" w:color="auto"/>
              <w:right w:val="single" w:sz="4" w:space="0" w:color="auto"/>
            </w:tcBorders>
            <w:noWrap/>
            <w:vAlign w:val="bottom"/>
            <w:hideMark/>
          </w:tcPr>
          <w:p w14:paraId="3B2460A1" w14:textId="768A1E3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51.078,31</w:t>
            </w:r>
          </w:p>
        </w:tc>
        <w:tc>
          <w:tcPr>
            <w:tcW w:w="1275" w:type="dxa"/>
            <w:tcBorders>
              <w:top w:val="nil"/>
              <w:left w:val="nil"/>
              <w:bottom w:val="single" w:sz="4" w:space="0" w:color="auto"/>
              <w:right w:val="single" w:sz="4" w:space="0" w:color="auto"/>
            </w:tcBorders>
            <w:noWrap/>
            <w:vAlign w:val="bottom"/>
            <w:hideMark/>
          </w:tcPr>
          <w:p w14:paraId="7D9BC1E6" w14:textId="2275446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1,51%</w:t>
            </w:r>
          </w:p>
        </w:tc>
        <w:tc>
          <w:tcPr>
            <w:tcW w:w="1560" w:type="dxa"/>
            <w:tcBorders>
              <w:top w:val="nil"/>
              <w:left w:val="nil"/>
              <w:bottom w:val="single" w:sz="4" w:space="0" w:color="auto"/>
              <w:right w:val="single" w:sz="4" w:space="0" w:color="auto"/>
            </w:tcBorders>
            <w:noWrap/>
            <w:vAlign w:val="bottom"/>
            <w:hideMark/>
          </w:tcPr>
          <w:p w14:paraId="5B6A8459" w14:textId="7FB3F59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11.237,23</w:t>
            </w:r>
          </w:p>
        </w:tc>
        <w:tc>
          <w:tcPr>
            <w:tcW w:w="1701" w:type="dxa"/>
            <w:tcBorders>
              <w:top w:val="nil"/>
              <w:left w:val="nil"/>
              <w:bottom w:val="single" w:sz="4" w:space="0" w:color="auto"/>
              <w:right w:val="single" w:sz="4" w:space="0" w:color="auto"/>
            </w:tcBorders>
            <w:noWrap/>
            <w:vAlign w:val="bottom"/>
            <w:hideMark/>
          </w:tcPr>
          <w:p w14:paraId="20642479" w14:textId="46C397B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62.315,54</w:t>
            </w:r>
          </w:p>
        </w:tc>
      </w:tr>
      <w:tr w:rsidR="007F7223" w:rsidRPr="000020F0" w14:paraId="378F6CB5"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451716FC" w14:textId="1022CFDF"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560" w:type="dxa"/>
            <w:tcBorders>
              <w:top w:val="nil"/>
              <w:left w:val="nil"/>
              <w:bottom w:val="single" w:sz="4" w:space="0" w:color="auto"/>
              <w:right w:val="single" w:sz="4" w:space="0" w:color="auto"/>
            </w:tcBorders>
            <w:noWrap/>
            <w:vAlign w:val="bottom"/>
            <w:hideMark/>
          </w:tcPr>
          <w:p w14:paraId="21D99146" w14:textId="24F73D81"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62.607,72</w:t>
            </w:r>
          </w:p>
        </w:tc>
        <w:tc>
          <w:tcPr>
            <w:tcW w:w="1275" w:type="dxa"/>
            <w:tcBorders>
              <w:top w:val="nil"/>
              <w:left w:val="nil"/>
              <w:bottom w:val="single" w:sz="4" w:space="0" w:color="auto"/>
              <w:right w:val="single" w:sz="4" w:space="0" w:color="auto"/>
            </w:tcBorders>
            <w:noWrap/>
            <w:vAlign w:val="bottom"/>
            <w:hideMark/>
          </w:tcPr>
          <w:p w14:paraId="32A6E819" w14:textId="4981B7D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1,85%</w:t>
            </w:r>
          </w:p>
        </w:tc>
        <w:tc>
          <w:tcPr>
            <w:tcW w:w="1560" w:type="dxa"/>
            <w:tcBorders>
              <w:top w:val="nil"/>
              <w:left w:val="nil"/>
              <w:bottom w:val="single" w:sz="4" w:space="0" w:color="auto"/>
              <w:right w:val="single" w:sz="4" w:space="0" w:color="auto"/>
            </w:tcBorders>
            <w:noWrap/>
            <w:vAlign w:val="bottom"/>
            <w:hideMark/>
          </w:tcPr>
          <w:p w14:paraId="4822CD5D" w14:textId="4245F40D"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13.773,70</w:t>
            </w:r>
          </w:p>
        </w:tc>
        <w:tc>
          <w:tcPr>
            <w:tcW w:w="1701" w:type="dxa"/>
            <w:tcBorders>
              <w:top w:val="nil"/>
              <w:left w:val="nil"/>
              <w:bottom w:val="single" w:sz="4" w:space="0" w:color="auto"/>
              <w:right w:val="single" w:sz="4" w:space="0" w:color="auto"/>
            </w:tcBorders>
            <w:noWrap/>
            <w:vAlign w:val="bottom"/>
            <w:hideMark/>
          </w:tcPr>
          <w:p w14:paraId="7A2D5128" w14:textId="5BB5B7A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76.381,42</w:t>
            </w:r>
          </w:p>
        </w:tc>
      </w:tr>
      <w:tr w:rsidR="007F7223" w:rsidRPr="000020F0" w14:paraId="175D7982"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144A3B4A" w14:textId="5D5FDBC6"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560" w:type="dxa"/>
            <w:tcBorders>
              <w:top w:val="nil"/>
              <w:left w:val="nil"/>
              <w:bottom w:val="single" w:sz="4" w:space="0" w:color="auto"/>
              <w:right w:val="single" w:sz="4" w:space="0" w:color="auto"/>
            </w:tcBorders>
            <w:noWrap/>
            <w:vAlign w:val="bottom"/>
            <w:hideMark/>
          </w:tcPr>
          <w:p w14:paraId="7ED1500F" w14:textId="480C848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43.381,22</w:t>
            </w:r>
          </w:p>
        </w:tc>
        <w:tc>
          <w:tcPr>
            <w:tcW w:w="1275" w:type="dxa"/>
            <w:tcBorders>
              <w:top w:val="nil"/>
              <w:left w:val="nil"/>
              <w:bottom w:val="single" w:sz="4" w:space="0" w:color="auto"/>
              <w:right w:val="single" w:sz="4" w:space="0" w:color="auto"/>
            </w:tcBorders>
            <w:noWrap/>
            <w:vAlign w:val="bottom"/>
            <w:hideMark/>
          </w:tcPr>
          <w:p w14:paraId="3EF948E9" w14:textId="335A113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1,28%</w:t>
            </w:r>
          </w:p>
        </w:tc>
        <w:tc>
          <w:tcPr>
            <w:tcW w:w="1560" w:type="dxa"/>
            <w:tcBorders>
              <w:top w:val="nil"/>
              <w:left w:val="nil"/>
              <w:bottom w:val="single" w:sz="4" w:space="0" w:color="auto"/>
              <w:right w:val="single" w:sz="4" w:space="0" w:color="auto"/>
            </w:tcBorders>
            <w:noWrap/>
            <w:vAlign w:val="bottom"/>
            <w:hideMark/>
          </w:tcPr>
          <w:p w14:paraId="7C6ED70D" w14:textId="172168D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9.543,87</w:t>
            </w:r>
          </w:p>
        </w:tc>
        <w:tc>
          <w:tcPr>
            <w:tcW w:w="1701" w:type="dxa"/>
            <w:tcBorders>
              <w:top w:val="nil"/>
              <w:left w:val="nil"/>
              <w:bottom w:val="single" w:sz="4" w:space="0" w:color="auto"/>
              <w:right w:val="single" w:sz="4" w:space="0" w:color="auto"/>
            </w:tcBorders>
            <w:noWrap/>
            <w:vAlign w:val="bottom"/>
            <w:hideMark/>
          </w:tcPr>
          <w:p w14:paraId="433D07B5" w14:textId="672C670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52.925,09</w:t>
            </w:r>
          </w:p>
        </w:tc>
      </w:tr>
      <w:tr w:rsidR="007F7223" w:rsidRPr="000020F0" w14:paraId="4DF5B46F"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780B2007" w14:textId="32E92DD6"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560" w:type="dxa"/>
            <w:tcBorders>
              <w:top w:val="nil"/>
              <w:left w:val="nil"/>
              <w:bottom w:val="single" w:sz="4" w:space="0" w:color="auto"/>
              <w:right w:val="single" w:sz="4" w:space="0" w:color="auto"/>
            </w:tcBorders>
            <w:noWrap/>
            <w:vAlign w:val="bottom"/>
            <w:hideMark/>
          </w:tcPr>
          <w:p w14:paraId="5DD8A866" w14:textId="5878903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14.050,12</w:t>
            </w:r>
          </w:p>
        </w:tc>
        <w:tc>
          <w:tcPr>
            <w:tcW w:w="1275" w:type="dxa"/>
            <w:tcBorders>
              <w:top w:val="nil"/>
              <w:left w:val="nil"/>
              <w:bottom w:val="single" w:sz="4" w:space="0" w:color="auto"/>
              <w:right w:val="single" w:sz="4" w:space="0" w:color="auto"/>
            </w:tcBorders>
            <w:noWrap/>
            <w:vAlign w:val="bottom"/>
            <w:hideMark/>
          </w:tcPr>
          <w:p w14:paraId="5BC134A2" w14:textId="1371298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0,41%</w:t>
            </w:r>
          </w:p>
        </w:tc>
        <w:tc>
          <w:tcPr>
            <w:tcW w:w="1560" w:type="dxa"/>
            <w:tcBorders>
              <w:top w:val="nil"/>
              <w:left w:val="nil"/>
              <w:bottom w:val="single" w:sz="4" w:space="0" w:color="auto"/>
              <w:right w:val="single" w:sz="4" w:space="0" w:color="auto"/>
            </w:tcBorders>
            <w:noWrap/>
            <w:vAlign w:val="bottom"/>
            <w:hideMark/>
          </w:tcPr>
          <w:p w14:paraId="1E0D140E" w14:textId="331E360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3.091,03</w:t>
            </w:r>
          </w:p>
        </w:tc>
        <w:tc>
          <w:tcPr>
            <w:tcW w:w="1701" w:type="dxa"/>
            <w:tcBorders>
              <w:top w:val="nil"/>
              <w:left w:val="nil"/>
              <w:bottom w:val="single" w:sz="4" w:space="0" w:color="auto"/>
              <w:right w:val="single" w:sz="4" w:space="0" w:color="auto"/>
            </w:tcBorders>
            <w:noWrap/>
            <w:vAlign w:val="bottom"/>
            <w:hideMark/>
          </w:tcPr>
          <w:p w14:paraId="76C71175" w14:textId="32F7C4F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17.141,15</w:t>
            </w:r>
          </w:p>
        </w:tc>
      </w:tr>
      <w:tr w:rsidR="007F7223" w:rsidRPr="000020F0" w14:paraId="73E99A1B"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6617D4C6" w14:textId="67F8649C"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560" w:type="dxa"/>
            <w:tcBorders>
              <w:top w:val="nil"/>
              <w:left w:val="nil"/>
              <w:bottom w:val="single" w:sz="4" w:space="0" w:color="auto"/>
              <w:right w:val="single" w:sz="4" w:space="0" w:color="auto"/>
            </w:tcBorders>
            <w:noWrap/>
            <w:vAlign w:val="bottom"/>
            <w:hideMark/>
          </w:tcPr>
          <w:p w14:paraId="3B4A9096" w14:textId="78C87D5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9.955,57</w:t>
            </w:r>
          </w:p>
        </w:tc>
        <w:tc>
          <w:tcPr>
            <w:tcW w:w="1275" w:type="dxa"/>
            <w:tcBorders>
              <w:top w:val="nil"/>
              <w:left w:val="nil"/>
              <w:bottom w:val="single" w:sz="4" w:space="0" w:color="auto"/>
              <w:right w:val="single" w:sz="4" w:space="0" w:color="auto"/>
            </w:tcBorders>
            <w:noWrap/>
            <w:vAlign w:val="bottom"/>
            <w:hideMark/>
          </w:tcPr>
          <w:p w14:paraId="3699B078" w14:textId="0B042EE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0,29%</w:t>
            </w:r>
          </w:p>
        </w:tc>
        <w:tc>
          <w:tcPr>
            <w:tcW w:w="1560" w:type="dxa"/>
            <w:tcBorders>
              <w:top w:val="nil"/>
              <w:left w:val="nil"/>
              <w:bottom w:val="single" w:sz="4" w:space="0" w:color="auto"/>
              <w:right w:val="single" w:sz="4" w:space="0" w:color="auto"/>
            </w:tcBorders>
            <w:noWrap/>
            <w:vAlign w:val="bottom"/>
            <w:hideMark/>
          </w:tcPr>
          <w:p w14:paraId="4113CD9A" w14:textId="00708D9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2.190,22</w:t>
            </w:r>
          </w:p>
        </w:tc>
        <w:tc>
          <w:tcPr>
            <w:tcW w:w="1701" w:type="dxa"/>
            <w:tcBorders>
              <w:top w:val="nil"/>
              <w:left w:val="nil"/>
              <w:bottom w:val="single" w:sz="4" w:space="0" w:color="auto"/>
              <w:right w:val="single" w:sz="4" w:space="0" w:color="auto"/>
            </w:tcBorders>
            <w:noWrap/>
            <w:vAlign w:val="bottom"/>
            <w:hideMark/>
          </w:tcPr>
          <w:p w14:paraId="2FC356E7" w14:textId="3A514773"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12.145,79</w:t>
            </w:r>
          </w:p>
        </w:tc>
      </w:tr>
      <w:tr w:rsidR="007F7223" w:rsidRPr="000020F0" w14:paraId="04D546B8"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63C9F4DE" w14:textId="1C8CA8DB"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lastRenderedPageBreak/>
              <w:t xml:space="preserve">Parkirišča za kolesa - </w:t>
            </w:r>
            <w:r w:rsidR="00E0349A" w:rsidRPr="000020F0">
              <w:rPr>
                <w:rFonts w:ascii="Arial" w:hAnsi="Arial" w:cs="Arial"/>
                <w:color w:val="000000"/>
                <w:sz w:val="20"/>
                <w:szCs w:val="20"/>
              </w:rPr>
              <w:t>kaplanija</w:t>
            </w:r>
          </w:p>
        </w:tc>
        <w:tc>
          <w:tcPr>
            <w:tcW w:w="1560" w:type="dxa"/>
            <w:tcBorders>
              <w:top w:val="nil"/>
              <w:left w:val="nil"/>
              <w:bottom w:val="single" w:sz="4" w:space="0" w:color="auto"/>
              <w:right w:val="single" w:sz="4" w:space="0" w:color="auto"/>
            </w:tcBorders>
            <w:noWrap/>
            <w:vAlign w:val="bottom"/>
            <w:hideMark/>
          </w:tcPr>
          <w:p w14:paraId="55C3DA9D" w14:textId="0C9AA3B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9.955,57</w:t>
            </w:r>
          </w:p>
        </w:tc>
        <w:tc>
          <w:tcPr>
            <w:tcW w:w="1275" w:type="dxa"/>
            <w:tcBorders>
              <w:top w:val="nil"/>
              <w:left w:val="nil"/>
              <w:bottom w:val="single" w:sz="4" w:space="0" w:color="auto"/>
              <w:right w:val="single" w:sz="4" w:space="0" w:color="auto"/>
            </w:tcBorders>
            <w:noWrap/>
            <w:vAlign w:val="bottom"/>
            <w:hideMark/>
          </w:tcPr>
          <w:p w14:paraId="55A69D70" w14:textId="096A871E"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0,29%</w:t>
            </w:r>
          </w:p>
        </w:tc>
        <w:tc>
          <w:tcPr>
            <w:tcW w:w="1560" w:type="dxa"/>
            <w:tcBorders>
              <w:top w:val="nil"/>
              <w:left w:val="nil"/>
              <w:bottom w:val="single" w:sz="4" w:space="0" w:color="auto"/>
              <w:right w:val="single" w:sz="4" w:space="0" w:color="auto"/>
            </w:tcBorders>
            <w:noWrap/>
            <w:vAlign w:val="bottom"/>
            <w:hideMark/>
          </w:tcPr>
          <w:p w14:paraId="73F2BACF" w14:textId="401E28A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2.190,22</w:t>
            </w:r>
          </w:p>
        </w:tc>
        <w:tc>
          <w:tcPr>
            <w:tcW w:w="1701" w:type="dxa"/>
            <w:tcBorders>
              <w:top w:val="nil"/>
              <w:left w:val="nil"/>
              <w:bottom w:val="single" w:sz="4" w:space="0" w:color="auto"/>
              <w:right w:val="single" w:sz="4" w:space="0" w:color="auto"/>
            </w:tcBorders>
            <w:noWrap/>
            <w:vAlign w:val="bottom"/>
            <w:hideMark/>
          </w:tcPr>
          <w:p w14:paraId="41F59155" w14:textId="22A47D0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12.145,79</w:t>
            </w:r>
          </w:p>
        </w:tc>
      </w:tr>
      <w:tr w:rsidR="007F7223" w:rsidRPr="000020F0" w14:paraId="75850B56"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0506B659" w14:textId="7442CCEC"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560" w:type="dxa"/>
            <w:tcBorders>
              <w:top w:val="nil"/>
              <w:left w:val="nil"/>
              <w:bottom w:val="single" w:sz="4" w:space="0" w:color="auto"/>
              <w:right w:val="single" w:sz="4" w:space="0" w:color="auto"/>
            </w:tcBorders>
            <w:noWrap/>
            <w:vAlign w:val="bottom"/>
            <w:hideMark/>
          </w:tcPr>
          <w:p w14:paraId="6D8E1BF7" w14:textId="7687BEF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71.385,08</w:t>
            </w:r>
          </w:p>
        </w:tc>
        <w:tc>
          <w:tcPr>
            <w:tcW w:w="1275" w:type="dxa"/>
            <w:tcBorders>
              <w:top w:val="nil"/>
              <w:left w:val="nil"/>
              <w:bottom w:val="single" w:sz="4" w:space="0" w:color="auto"/>
              <w:right w:val="single" w:sz="4" w:space="0" w:color="auto"/>
            </w:tcBorders>
            <w:noWrap/>
            <w:vAlign w:val="bottom"/>
            <w:hideMark/>
          </w:tcPr>
          <w:p w14:paraId="7FD3D64D" w14:textId="72D305B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2,11%</w:t>
            </w:r>
          </w:p>
        </w:tc>
        <w:tc>
          <w:tcPr>
            <w:tcW w:w="1560" w:type="dxa"/>
            <w:tcBorders>
              <w:top w:val="nil"/>
              <w:left w:val="nil"/>
              <w:bottom w:val="single" w:sz="4" w:space="0" w:color="auto"/>
              <w:right w:val="single" w:sz="4" w:space="0" w:color="auto"/>
            </w:tcBorders>
            <w:noWrap/>
            <w:vAlign w:val="bottom"/>
            <w:hideMark/>
          </w:tcPr>
          <w:p w14:paraId="7CD146AC" w14:textId="1380AC3E"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15.704,72</w:t>
            </w:r>
          </w:p>
        </w:tc>
        <w:tc>
          <w:tcPr>
            <w:tcW w:w="1701" w:type="dxa"/>
            <w:tcBorders>
              <w:top w:val="nil"/>
              <w:left w:val="nil"/>
              <w:bottom w:val="single" w:sz="4" w:space="0" w:color="auto"/>
              <w:right w:val="single" w:sz="4" w:space="0" w:color="auto"/>
            </w:tcBorders>
            <w:noWrap/>
            <w:vAlign w:val="bottom"/>
            <w:hideMark/>
          </w:tcPr>
          <w:p w14:paraId="03913AAF" w14:textId="5C6D196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87.089,80</w:t>
            </w:r>
          </w:p>
        </w:tc>
      </w:tr>
      <w:tr w:rsidR="007F7223" w:rsidRPr="000020F0" w14:paraId="55E7FC3C"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0C10D230" w14:textId="78416534"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 xml:space="preserve">Parkirišča za kolesa </w:t>
            </w:r>
            <w:r w:rsidR="00FE1022" w:rsidRPr="000020F0">
              <w:rPr>
                <w:rFonts w:ascii="Arial" w:hAnsi="Arial" w:cs="Arial"/>
                <w:color w:val="000000"/>
                <w:sz w:val="20"/>
                <w:szCs w:val="20"/>
              </w:rPr>
              <w:t>–</w:t>
            </w:r>
            <w:r w:rsidRPr="000020F0">
              <w:rPr>
                <w:rFonts w:ascii="Arial" w:hAnsi="Arial" w:cs="Arial"/>
                <w:color w:val="000000"/>
                <w:sz w:val="20"/>
                <w:szCs w:val="20"/>
              </w:rPr>
              <w:t xml:space="preserve"> </w:t>
            </w:r>
            <w:r w:rsidR="00FE1022" w:rsidRPr="000020F0">
              <w:rPr>
                <w:rFonts w:ascii="Arial" w:hAnsi="Arial" w:cs="Arial"/>
                <w:color w:val="000000"/>
                <w:sz w:val="20"/>
                <w:szCs w:val="20"/>
              </w:rPr>
              <w:t>športna dvorana</w:t>
            </w:r>
          </w:p>
        </w:tc>
        <w:tc>
          <w:tcPr>
            <w:tcW w:w="1560" w:type="dxa"/>
            <w:tcBorders>
              <w:top w:val="nil"/>
              <w:left w:val="nil"/>
              <w:bottom w:val="single" w:sz="4" w:space="0" w:color="auto"/>
              <w:right w:val="single" w:sz="4" w:space="0" w:color="auto"/>
            </w:tcBorders>
            <w:noWrap/>
            <w:vAlign w:val="bottom"/>
            <w:hideMark/>
          </w:tcPr>
          <w:p w14:paraId="7C5C3D4C" w14:textId="05305D6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9.955,58</w:t>
            </w:r>
          </w:p>
        </w:tc>
        <w:tc>
          <w:tcPr>
            <w:tcW w:w="1275" w:type="dxa"/>
            <w:tcBorders>
              <w:top w:val="nil"/>
              <w:left w:val="nil"/>
              <w:bottom w:val="single" w:sz="4" w:space="0" w:color="auto"/>
              <w:right w:val="single" w:sz="4" w:space="0" w:color="auto"/>
            </w:tcBorders>
            <w:noWrap/>
            <w:vAlign w:val="bottom"/>
            <w:hideMark/>
          </w:tcPr>
          <w:p w14:paraId="79A87FD9" w14:textId="5E32114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0,29%</w:t>
            </w:r>
          </w:p>
        </w:tc>
        <w:tc>
          <w:tcPr>
            <w:tcW w:w="1560" w:type="dxa"/>
            <w:tcBorders>
              <w:top w:val="nil"/>
              <w:left w:val="nil"/>
              <w:bottom w:val="single" w:sz="4" w:space="0" w:color="auto"/>
              <w:right w:val="single" w:sz="4" w:space="0" w:color="auto"/>
            </w:tcBorders>
            <w:noWrap/>
            <w:vAlign w:val="bottom"/>
            <w:hideMark/>
          </w:tcPr>
          <w:p w14:paraId="503D8FC2" w14:textId="7178162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2.190,23</w:t>
            </w:r>
          </w:p>
        </w:tc>
        <w:tc>
          <w:tcPr>
            <w:tcW w:w="1701" w:type="dxa"/>
            <w:tcBorders>
              <w:top w:val="nil"/>
              <w:left w:val="nil"/>
              <w:bottom w:val="single" w:sz="4" w:space="0" w:color="auto"/>
              <w:right w:val="single" w:sz="4" w:space="0" w:color="auto"/>
            </w:tcBorders>
            <w:noWrap/>
            <w:vAlign w:val="bottom"/>
            <w:hideMark/>
          </w:tcPr>
          <w:p w14:paraId="64C0DCEA" w14:textId="474B141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12.145,81</w:t>
            </w:r>
          </w:p>
        </w:tc>
      </w:tr>
      <w:tr w:rsidR="007F7223" w:rsidRPr="000020F0" w14:paraId="507D4A67"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3FC473F8" w14:textId="3A2ABF28"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Parkirišča za kolesa - park</w:t>
            </w:r>
          </w:p>
        </w:tc>
        <w:tc>
          <w:tcPr>
            <w:tcW w:w="1560" w:type="dxa"/>
            <w:tcBorders>
              <w:top w:val="nil"/>
              <w:left w:val="nil"/>
              <w:bottom w:val="single" w:sz="4" w:space="0" w:color="auto"/>
              <w:right w:val="single" w:sz="4" w:space="0" w:color="auto"/>
            </w:tcBorders>
            <w:noWrap/>
            <w:vAlign w:val="bottom"/>
            <w:hideMark/>
          </w:tcPr>
          <w:p w14:paraId="6EA1D9B1" w14:textId="792ED653"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12.709,88</w:t>
            </w:r>
          </w:p>
        </w:tc>
        <w:tc>
          <w:tcPr>
            <w:tcW w:w="1275" w:type="dxa"/>
            <w:tcBorders>
              <w:top w:val="nil"/>
              <w:left w:val="nil"/>
              <w:bottom w:val="single" w:sz="4" w:space="0" w:color="auto"/>
              <w:right w:val="single" w:sz="4" w:space="0" w:color="auto"/>
            </w:tcBorders>
            <w:noWrap/>
            <w:vAlign w:val="bottom"/>
            <w:hideMark/>
          </w:tcPr>
          <w:p w14:paraId="52294B05" w14:textId="1F6E375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0,38%</w:t>
            </w:r>
          </w:p>
        </w:tc>
        <w:tc>
          <w:tcPr>
            <w:tcW w:w="1560" w:type="dxa"/>
            <w:tcBorders>
              <w:top w:val="nil"/>
              <w:left w:val="nil"/>
              <w:bottom w:val="single" w:sz="4" w:space="0" w:color="auto"/>
              <w:right w:val="single" w:sz="4" w:space="0" w:color="auto"/>
            </w:tcBorders>
            <w:noWrap/>
            <w:vAlign w:val="bottom"/>
            <w:hideMark/>
          </w:tcPr>
          <w:p w14:paraId="152FD211" w14:textId="725B5DC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2.796,17</w:t>
            </w:r>
          </w:p>
        </w:tc>
        <w:tc>
          <w:tcPr>
            <w:tcW w:w="1701" w:type="dxa"/>
            <w:tcBorders>
              <w:top w:val="nil"/>
              <w:left w:val="nil"/>
              <w:bottom w:val="single" w:sz="4" w:space="0" w:color="auto"/>
              <w:right w:val="single" w:sz="4" w:space="0" w:color="auto"/>
            </w:tcBorders>
            <w:noWrap/>
            <w:vAlign w:val="bottom"/>
            <w:hideMark/>
          </w:tcPr>
          <w:p w14:paraId="669A8215" w14:textId="6E4BD8D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15.506,05</w:t>
            </w:r>
          </w:p>
        </w:tc>
      </w:tr>
      <w:tr w:rsidR="007F7223" w:rsidRPr="000020F0" w14:paraId="6DB51812"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719C2509" w14:textId="0A9F8FB9"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Avtobusno postajališče - nivo ceste</w:t>
            </w:r>
          </w:p>
        </w:tc>
        <w:tc>
          <w:tcPr>
            <w:tcW w:w="1560" w:type="dxa"/>
            <w:tcBorders>
              <w:top w:val="nil"/>
              <w:left w:val="nil"/>
              <w:bottom w:val="single" w:sz="4" w:space="0" w:color="auto"/>
              <w:right w:val="single" w:sz="4" w:space="0" w:color="auto"/>
            </w:tcBorders>
            <w:noWrap/>
            <w:vAlign w:val="bottom"/>
            <w:hideMark/>
          </w:tcPr>
          <w:p w14:paraId="0E45BF63" w14:textId="4CB01A2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317.561,27</w:t>
            </w:r>
          </w:p>
        </w:tc>
        <w:tc>
          <w:tcPr>
            <w:tcW w:w="1275" w:type="dxa"/>
            <w:tcBorders>
              <w:top w:val="nil"/>
              <w:left w:val="nil"/>
              <w:bottom w:val="single" w:sz="4" w:space="0" w:color="auto"/>
              <w:right w:val="single" w:sz="4" w:space="0" w:color="auto"/>
            </w:tcBorders>
            <w:noWrap/>
            <w:vAlign w:val="bottom"/>
            <w:hideMark/>
          </w:tcPr>
          <w:p w14:paraId="24CBE8D9" w14:textId="4A7CFF5D"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9,38%</w:t>
            </w:r>
          </w:p>
        </w:tc>
        <w:tc>
          <w:tcPr>
            <w:tcW w:w="1560" w:type="dxa"/>
            <w:tcBorders>
              <w:top w:val="nil"/>
              <w:left w:val="nil"/>
              <w:bottom w:val="single" w:sz="4" w:space="0" w:color="auto"/>
              <w:right w:val="single" w:sz="4" w:space="0" w:color="auto"/>
            </w:tcBorders>
            <w:noWrap/>
            <w:vAlign w:val="bottom"/>
            <w:hideMark/>
          </w:tcPr>
          <w:p w14:paraId="3DB082EE" w14:textId="7390029F"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69.863,48</w:t>
            </w:r>
          </w:p>
        </w:tc>
        <w:tc>
          <w:tcPr>
            <w:tcW w:w="1701" w:type="dxa"/>
            <w:tcBorders>
              <w:top w:val="nil"/>
              <w:left w:val="nil"/>
              <w:bottom w:val="single" w:sz="4" w:space="0" w:color="auto"/>
              <w:right w:val="single" w:sz="4" w:space="0" w:color="auto"/>
            </w:tcBorders>
            <w:noWrap/>
            <w:vAlign w:val="bottom"/>
            <w:hideMark/>
          </w:tcPr>
          <w:p w14:paraId="379BC3D8" w14:textId="78A9E2E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387.424,75</w:t>
            </w:r>
          </w:p>
        </w:tc>
      </w:tr>
      <w:tr w:rsidR="007F7223" w:rsidRPr="000020F0" w14:paraId="318BD8C6"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57696C3D" w14:textId="5AA2C339"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Sanitarije</w:t>
            </w:r>
          </w:p>
        </w:tc>
        <w:tc>
          <w:tcPr>
            <w:tcW w:w="1560" w:type="dxa"/>
            <w:tcBorders>
              <w:top w:val="nil"/>
              <w:left w:val="nil"/>
              <w:bottom w:val="single" w:sz="4" w:space="0" w:color="auto"/>
              <w:right w:val="single" w:sz="4" w:space="0" w:color="auto"/>
            </w:tcBorders>
            <w:noWrap/>
            <w:vAlign w:val="bottom"/>
            <w:hideMark/>
          </w:tcPr>
          <w:p w14:paraId="026A4A30" w14:textId="70C60CE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96.295,88</w:t>
            </w:r>
          </w:p>
        </w:tc>
        <w:tc>
          <w:tcPr>
            <w:tcW w:w="1275" w:type="dxa"/>
            <w:tcBorders>
              <w:top w:val="nil"/>
              <w:left w:val="nil"/>
              <w:bottom w:val="single" w:sz="4" w:space="0" w:color="auto"/>
              <w:right w:val="single" w:sz="4" w:space="0" w:color="auto"/>
            </w:tcBorders>
            <w:noWrap/>
            <w:vAlign w:val="bottom"/>
            <w:hideMark/>
          </w:tcPr>
          <w:p w14:paraId="42ACC7BD" w14:textId="538F2C6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2,84%</w:t>
            </w:r>
          </w:p>
        </w:tc>
        <w:tc>
          <w:tcPr>
            <w:tcW w:w="1560" w:type="dxa"/>
            <w:tcBorders>
              <w:top w:val="nil"/>
              <w:left w:val="nil"/>
              <w:bottom w:val="single" w:sz="4" w:space="0" w:color="auto"/>
              <w:right w:val="single" w:sz="4" w:space="0" w:color="auto"/>
            </w:tcBorders>
            <w:noWrap/>
            <w:vAlign w:val="bottom"/>
            <w:hideMark/>
          </w:tcPr>
          <w:p w14:paraId="79776F42" w14:textId="423121B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21.185,09</w:t>
            </w:r>
          </w:p>
        </w:tc>
        <w:tc>
          <w:tcPr>
            <w:tcW w:w="1701" w:type="dxa"/>
            <w:tcBorders>
              <w:top w:val="nil"/>
              <w:left w:val="nil"/>
              <w:bottom w:val="single" w:sz="4" w:space="0" w:color="auto"/>
              <w:right w:val="single" w:sz="4" w:space="0" w:color="auto"/>
            </w:tcBorders>
            <w:noWrap/>
            <w:vAlign w:val="bottom"/>
            <w:hideMark/>
          </w:tcPr>
          <w:p w14:paraId="75F42066" w14:textId="3116972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117.480,97</w:t>
            </w:r>
          </w:p>
        </w:tc>
      </w:tr>
      <w:tr w:rsidR="007F7223" w:rsidRPr="000020F0" w14:paraId="79DD909D" w14:textId="77777777" w:rsidTr="00A85338">
        <w:trPr>
          <w:trHeight w:val="29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D07F72C" w14:textId="08B78CFA"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Avtobusno postajališče - nadstrešnica</w:t>
            </w:r>
          </w:p>
        </w:tc>
        <w:tc>
          <w:tcPr>
            <w:tcW w:w="1560" w:type="dxa"/>
            <w:tcBorders>
              <w:top w:val="nil"/>
              <w:left w:val="nil"/>
              <w:bottom w:val="single" w:sz="4" w:space="0" w:color="auto"/>
              <w:right w:val="single" w:sz="4" w:space="0" w:color="auto"/>
            </w:tcBorders>
            <w:noWrap/>
            <w:vAlign w:val="bottom"/>
            <w:hideMark/>
          </w:tcPr>
          <w:p w14:paraId="15A24B9F" w14:textId="3BECAFF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277.217,15</w:t>
            </w:r>
          </w:p>
        </w:tc>
        <w:tc>
          <w:tcPr>
            <w:tcW w:w="1275" w:type="dxa"/>
            <w:tcBorders>
              <w:top w:val="nil"/>
              <w:left w:val="nil"/>
              <w:bottom w:val="single" w:sz="4" w:space="0" w:color="auto"/>
              <w:right w:val="single" w:sz="4" w:space="0" w:color="auto"/>
            </w:tcBorders>
            <w:noWrap/>
            <w:vAlign w:val="bottom"/>
            <w:hideMark/>
          </w:tcPr>
          <w:p w14:paraId="0E3BD72D" w14:textId="2FCE073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8,19%</w:t>
            </w:r>
          </w:p>
        </w:tc>
        <w:tc>
          <w:tcPr>
            <w:tcW w:w="1560" w:type="dxa"/>
            <w:tcBorders>
              <w:top w:val="nil"/>
              <w:left w:val="nil"/>
              <w:bottom w:val="single" w:sz="4" w:space="0" w:color="auto"/>
              <w:right w:val="single" w:sz="4" w:space="0" w:color="auto"/>
            </w:tcBorders>
            <w:noWrap/>
            <w:vAlign w:val="bottom"/>
            <w:hideMark/>
          </w:tcPr>
          <w:p w14:paraId="28BA869B" w14:textId="6E0C138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60.987,77</w:t>
            </w:r>
          </w:p>
        </w:tc>
        <w:tc>
          <w:tcPr>
            <w:tcW w:w="1701" w:type="dxa"/>
            <w:tcBorders>
              <w:top w:val="nil"/>
              <w:left w:val="nil"/>
              <w:bottom w:val="single" w:sz="4" w:space="0" w:color="auto"/>
              <w:right w:val="single" w:sz="4" w:space="0" w:color="auto"/>
            </w:tcBorders>
            <w:noWrap/>
            <w:vAlign w:val="bottom"/>
            <w:hideMark/>
          </w:tcPr>
          <w:p w14:paraId="16CAB710" w14:textId="6A1AEFC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338.204,92</w:t>
            </w:r>
          </w:p>
        </w:tc>
      </w:tr>
      <w:tr w:rsidR="007F7223" w:rsidRPr="000020F0" w14:paraId="150CB347" w14:textId="77777777" w:rsidTr="00A85338">
        <w:trPr>
          <w:trHeight w:val="29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4401D2E4" w14:textId="37755B42" w:rsidR="007F7223" w:rsidRPr="000020F0" w:rsidRDefault="007F7223" w:rsidP="007F7223">
            <w:pPr>
              <w:rPr>
                <w:rFonts w:ascii="Arial" w:hAnsi="Arial" w:cs="Arial"/>
                <w:i/>
                <w:iCs/>
                <w:color w:val="000000"/>
                <w:sz w:val="20"/>
                <w:szCs w:val="20"/>
              </w:rPr>
            </w:pPr>
            <w:r w:rsidRPr="000020F0">
              <w:rPr>
                <w:rFonts w:ascii="Arial" w:hAnsi="Arial" w:cs="Arial"/>
                <w:color w:val="000000"/>
                <w:sz w:val="20"/>
                <w:szCs w:val="20"/>
              </w:rPr>
              <w:t>Parkirišče z vhodom v šolo</w:t>
            </w:r>
          </w:p>
        </w:tc>
        <w:tc>
          <w:tcPr>
            <w:tcW w:w="1560" w:type="dxa"/>
            <w:tcBorders>
              <w:top w:val="nil"/>
              <w:left w:val="nil"/>
              <w:bottom w:val="single" w:sz="4" w:space="0" w:color="auto"/>
              <w:right w:val="single" w:sz="4" w:space="0" w:color="auto"/>
            </w:tcBorders>
            <w:shd w:val="clear" w:color="000000" w:fill="D9D9D9"/>
            <w:noWrap/>
            <w:vAlign w:val="bottom"/>
            <w:hideMark/>
          </w:tcPr>
          <w:p w14:paraId="15045869" w14:textId="67011D66" w:rsidR="007F7223" w:rsidRPr="000020F0" w:rsidRDefault="007F7223" w:rsidP="007F7223">
            <w:pPr>
              <w:jc w:val="right"/>
              <w:rPr>
                <w:rFonts w:ascii="Arial" w:hAnsi="Arial" w:cs="Arial"/>
                <w:i/>
                <w:iCs/>
                <w:color w:val="000000"/>
                <w:sz w:val="20"/>
                <w:szCs w:val="20"/>
              </w:rPr>
            </w:pPr>
            <w:r w:rsidRPr="000020F0">
              <w:rPr>
                <w:rFonts w:ascii="Arial" w:hAnsi="Arial" w:cs="Arial"/>
                <w:color w:val="000000"/>
                <w:sz w:val="20"/>
                <w:szCs w:val="20"/>
              </w:rPr>
              <w:t>414.728,58</w:t>
            </w:r>
          </w:p>
        </w:tc>
        <w:tc>
          <w:tcPr>
            <w:tcW w:w="1275" w:type="dxa"/>
            <w:tcBorders>
              <w:top w:val="nil"/>
              <w:left w:val="nil"/>
              <w:bottom w:val="single" w:sz="4" w:space="0" w:color="auto"/>
              <w:right w:val="single" w:sz="4" w:space="0" w:color="auto"/>
            </w:tcBorders>
            <w:shd w:val="clear" w:color="000000" w:fill="D9D9D9"/>
            <w:noWrap/>
            <w:vAlign w:val="bottom"/>
            <w:hideMark/>
          </w:tcPr>
          <w:p w14:paraId="62C076FB" w14:textId="77AAD720" w:rsidR="007F7223" w:rsidRPr="000020F0" w:rsidRDefault="007F7223" w:rsidP="007F7223">
            <w:pPr>
              <w:jc w:val="right"/>
              <w:rPr>
                <w:rFonts w:ascii="Arial" w:hAnsi="Arial" w:cs="Arial"/>
                <w:i/>
                <w:iCs/>
                <w:color w:val="000000"/>
                <w:sz w:val="20"/>
                <w:szCs w:val="20"/>
              </w:rPr>
            </w:pPr>
            <w:r w:rsidRPr="000020F0">
              <w:rPr>
                <w:rFonts w:ascii="Arial" w:hAnsi="Arial" w:cs="Arial"/>
                <w:color w:val="000000"/>
                <w:sz w:val="20"/>
                <w:szCs w:val="20"/>
              </w:rPr>
              <w:t>12,25%</w:t>
            </w:r>
          </w:p>
        </w:tc>
        <w:tc>
          <w:tcPr>
            <w:tcW w:w="1560" w:type="dxa"/>
            <w:tcBorders>
              <w:top w:val="nil"/>
              <w:left w:val="nil"/>
              <w:bottom w:val="single" w:sz="4" w:space="0" w:color="auto"/>
              <w:right w:val="single" w:sz="4" w:space="0" w:color="auto"/>
            </w:tcBorders>
            <w:shd w:val="clear" w:color="000000" w:fill="D9D9D9"/>
            <w:noWrap/>
            <w:vAlign w:val="bottom"/>
            <w:hideMark/>
          </w:tcPr>
          <w:p w14:paraId="0CA155ED" w14:textId="140D7FE8" w:rsidR="007F7223" w:rsidRPr="000020F0" w:rsidRDefault="007F7223" w:rsidP="007F7223">
            <w:pPr>
              <w:jc w:val="right"/>
              <w:rPr>
                <w:rFonts w:ascii="Arial" w:hAnsi="Arial" w:cs="Arial"/>
                <w:i/>
                <w:iCs/>
                <w:color w:val="000000"/>
                <w:sz w:val="20"/>
                <w:szCs w:val="20"/>
              </w:rPr>
            </w:pPr>
            <w:r w:rsidRPr="000020F0">
              <w:rPr>
                <w:rFonts w:ascii="Arial" w:hAnsi="Arial" w:cs="Arial"/>
                <w:color w:val="000000"/>
                <w:sz w:val="20"/>
                <w:szCs w:val="20"/>
              </w:rPr>
              <w:t>91.240,29</w:t>
            </w:r>
          </w:p>
        </w:tc>
        <w:tc>
          <w:tcPr>
            <w:tcW w:w="1701" w:type="dxa"/>
            <w:tcBorders>
              <w:top w:val="nil"/>
              <w:left w:val="nil"/>
              <w:bottom w:val="single" w:sz="4" w:space="0" w:color="auto"/>
              <w:right w:val="single" w:sz="4" w:space="0" w:color="auto"/>
            </w:tcBorders>
            <w:shd w:val="clear" w:color="000000" w:fill="D9D9D9"/>
            <w:noWrap/>
            <w:vAlign w:val="bottom"/>
            <w:hideMark/>
          </w:tcPr>
          <w:p w14:paraId="246A174D" w14:textId="7D84D51C" w:rsidR="007F7223" w:rsidRPr="000020F0" w:rsidRDefault="007F7223" w:rsidP="007F7223">
            <w:pPr>
              <w:jc w:val="right"/>
              <w:rPr>
                <w:rFonts w:ascii="Arial" w:hAnsi="Arial" w:cs="Arial"/>
                <w:i/>
                <w:iCs/>
                <w:color w:val="000000"/>
                <w:sz w:val="20"/>
                <w:szCs w:val="20"/>
              </w:rPr>
            </w:pPr>
            <w:r w:rsidRPr="000020F0">
              <w:rPr>
                <w:rFonts w:ascii="Arial" w:hAnsi="Arial" w:cs="Arial"/>
                <w:color w:val="000000"/>
                <w:sz w:val="20"/>
                <w:szCs w:val="20"/>
              </w:rPr>
              <w:t>505.968,87</w:t>
            </w:r>
          </w:p>
        </w:tc>
      </w:tr>
      <w:tr w:rsidR="007F7223" w:rsidRPr="000020F0" w14:paraId="6CAF12C5"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23465727" w14:textId="08105317" w:rsidR="007F7223" w:rsidRPr="000020F0" w:rsidRDefault="007F7223" w:rsidP="007F7223">
            <w:pPr>
              <w:rPr>
                <w:rFonts w:ascii="Arial" w:hAnsi="Arial" w:cs="Arial"/>
                <w:color w:val="000000"/>
                <w:sz w:val="20"/>
                <w:szCs w:val="20"/>
              </w:rPr>
            </w:pPr>
            <w:r w:rsidRPr="000020F0">
              <w:rPr>
                <w:rFonts w:ascii="Arial" w:hAnsi="Arial" w:cs="Arial"/>
                <w:i/>
                <w:iCs/>
                <w:color w:val="000000"/>
                <w:sz w:val="20"/>
                <w:szCs w:val="20"/>
              </w:rPr>
              <w:t>Skupaj GOI dela</w:t>
            </w:r>
          </w:p>
        </w:tc>
        <w:tc>
          <w:tcPr>
            <w:tcW w:w="1560" w:type="dxa"/>
            <w:tcBorders>
              <w:top w:val="nil"/>
              <w:left w:val="nil"/>
              <w:bottom w:val="single" w:sz="4" w:space="0" w:color="auto"/>
              <w:right w:val="single" w:sz="4" w:space="0" w:color="auto"/>
            </w:tcBorders>
            <w:noWrap/>
            <w:vAlign w:val="bottom"/>
            <w:hideMark/>
          </w:tcPr>
          <w:p w14:paraId="5C8A3B06" w14:textId="2519139F" w:rsidR="007F7223" w:rsidRPr="000020F0" w:rsidRDefault="007F7223" w:rsidP="007F7223">
            <w:pPr>
              <w:jc w:val="right"/>
              <w:rPr>
                <w:rFonts w:ascii="Arial" w:hAnsi="Arial" w:cs="Arial"/>
                <w:color w:val="000000"/>
                <w:sz w:val="20"/>
                <w:szCs w:val="20"/>
              </w:rPr>
            </w:pPr>
            <w:r w:rsidRPr="000020F0">
              <w:rPr>
                <w:rFonts w:ascii="Arial" w:hAnsi="Arial" w:cs="Arial"/>
                <w:i/>
                <w:iCs/>
                <w:color w:val="000000"/>
                <w:sz w:val="20"/>
                <w:szCs w:val="20"/>
              </w:rPr>
              <w:t>2.286.121,27</w:t>
            </w:r>
          </w:p>
        </w:tc>
        <w:tc>
          <w:tcPr>
            <w:tcW w:w="1275" w:type="dxa"/>
            <w:tcBorders>
              <w:top w:val="nil"/>
              <w:left w:val="nil"/>
              <w:bottom w:val="single" w:sz="4" w:space="0" w:color="auto"/>
              <w:right w:val="single" w:sz="4" w:space="0" w:color="auto"/>
            </w:tcBorders>
            <w:noWrap/>
            <w:vAlign w:val="bottom"/>
            <w:hideMark/>
          </w:tcPr>
          <w:p w14:paraId="3E073670" w14:textId="36D94C47" w:rsidR="007F7223" w:rsidRPr="000020F0" w:rsidRDefault="007F7223" w:rsidP="007F7223">
            <w:pPr>
              <w:jc w:val="right"/>
              <w:rPr>
                <w:rFonts w:ascii="Arial" w:hAnsi="Arial" w:cs="Arial"/>
                <w:color w:val="000000"/>
                <w:sz w:val="20"/>
                <w:szCs w:val="20"/>
              </w:rPr>
            </w:pPr>
            <w:r w:rsidRPr="000020F0">
              <w:rPr>
                <w:rFonts w:ascii="Arial" w:hAnsi="Arial" w:cs="Arial"/>
                <w:i/>
                <w:iCs/>
                <w:color w:val="000000"/>
                <w:sz w:val="20"/>
                <w:szCs w:val="20"/>
              </w:rPr>
              <w:t>67,52%</w:t>
            </w:r>
          </w:p>
        </w:tc>
        <w:tc>
          <w:tcPr>
            <w:tcW w:w="1560" w:type="dxa"/>
            <w:tcBorders>
              <w:top w:val="nil"/>
              <w:left w:val="nil"/>
              <w:bottom w:val="single" w:sz="4" w:space="0" w:color="auto"/>
              <w:right w:val="single" w:sz="4" w:space="0" w:color="auto"/>
            </w:tcBorders>
            <w:noWrap/>
            <w:vAlign w:val="bottom"/>
            <w:hideMark/>
          </w:tcPr>
          <w:p w14:paraId="35C037B0" w14:textId="1FAC7C45" w:rsidR="007F7223" w:rsidRPr="000020F0" w:rsidRDefault="007F7223" w:rsidP="007F7223">
            <w:pPr>
              <w:jc w:val="right"/>
              <w:rPr>
                <w:rFonts w:ascii="Arial" w:hAnsi="Arial" w:cs="Arial"/>
                <w:color w:val="000000"/>
                <w:sz w:val="20"/>
                <w:szCs w:val="20"/>
              </w:rPr>
            </w:pPr>
            <w:r w:rsidRPr="000020F0">
              <w:rPr>
                <w:rFonts w:ascii="Arial" w:hAnsi="Arial" w:cs="Arial"/>
                <w:i/>
                <w:iCs/>
                <w:color w:val="000000"/>
                <w:sz w:val="20"/>
                <w:szCs w:val="20"/>
              </w:rPr>
              <w:t>502.946,67</w:t>
            </w:r>
          </w:p>
        </w:tc>
        <w:tc>
          <w:tcPr>
            <w:tcW w:w="1701" w:type="dxa"/>
            <w:tcBorders>
              <w:top w:val="nil"/>
              <w:left w:val="nil"/>
              <w:bottom w:val="single" w:sz="4" w:space="0" w:color="auto"/>
              <w:right w:val="single" w:sz="4" w:space="0" w:color="auto"/>
            </w:tcBorders>
            <w:noWrap/>
            <w:vAlign w:val="bottom"/>
            <w:hideMark/>
          </w:tcPr>
          <w:p w14:paraId="2A251BFA" w14:textId="194E94A7" w:rsidR="007F7223" w:rsidRPr="000020F0" w:rsidRDefault="007F7223" w:rsidP="007F7223">
            <w:pPr>
              <w:jc w:val="right"/>
              <w:rPr>
                <w:rFonts w:ascii="Arial" w:hAnsi="Arial" w:cs="Arial"/>
                <w:color w:val="000000"/>
                <w:sz w:val="20"/>
                <w:szCs w:val="20"/>
              </w:rPr>
            </w:pPr>
            <w:r w:rsidRPr="000020F0">
              <w:rPr>
                <w:rFonts w:ascii="Arial" w:hAnsi="Arial" w:cs="Arial"/>
                <w:i/>
                <w:iCs/>
                <w:color w:val="000000"/>
                <w:sz w:val="20"/>
                <w:szCs w:val="20"/>
              </w:rPr>
              <w:t>2.283.099,06</w:t>
            </w:r>
          </w:p>
        </w:tc>
      </w:tr>
      <w:tr w:rsidR="007F7223" w:rsidRPr="000020F0" w14:paraId="0CC403ED"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136FFE50" w14:textId="5FE8DCA5"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Strokovni nadzor</w:t>
            </w:r>
          </w:p>
        </w:tc>
        <w:tc>
          <w:tcPr>
            <w:tcW w:w="1560" w:type="dxa"/>
            <w:tcBorders>
              <w:top w:val="nil"/>
              <w:left w:val="nil"/>
              <w:bottom w:val="single" w:sz="4" w:space="0" w:color="auto"/>
              <w:right w:val="single" w:sz="4" w:space="0" w:color="auto"/>
            </w:tcBorders>
            <w:noWrap/>
            <w:vAlign w:val="bottom"/>
            <w:hideMark/>
          </w:tcPr>
          <w:p w14:paraId="4A7C0885" w14:textId="6B70447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68.583,64</w:t>
            </w:r>
          </w:p>
        </w:tc>
        <w:tc>
          <w:tcPr>
            <w:tcW w:w="1275" w:type="dxa"/>
            <w:tcBorders>
              <w:top w:val="nil"/>
              <w:left w:val="nil"/>
              <w:bottom w:val="single" w:sz="4" w:space="0" w:color="auto"/>
              <w:right w:val="single" w:sz="4" w:space="0" w:color="auto"/>
            </w:tcBorders>
            <w:noWrap/>
            <w:vAlign w:val="bottom"/>
            <w:hideMark/>
          </w:tcPr>
          <w:p w14:paraId="135FBEC5" w14:textId="7707FAA7"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2,03%</w:t>
            </w:r>
          </w:p>
        </w:tc>
        <w:tc>
          <w:tcPr>
            <w:tcW w:w="1560" w:type="dxa"/>
            <w:tcBorders>
              <w:top w:val="nil"/>
              <w:left w:val="nil"/>
              <w:bottom w:val="single" w:sz="4" w:space="0" w:color="auto"/>
              <w:right w:val="single" w:sz="4" w:space="0" w:color="auto"/>
            </w:tcBorders>
            <w:noWrap/>
            <w:vAlign w:val="bottom"/>
            <w:hideMark/>
          </w:tcPr>
          <w:p w14:paraId="5B2646FC" w14:textId="7A9B217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15.088,40</w:t>
            </w:r>
          </w:p>
        </w:tc>
        <w:tc>
          <w:tcPr>
            <w:tcW w:w="1701" w:type="dxa"/>
            <w:tcBorders>
              <w:top w:val="nil"/>
              <w:left w:val="nil"/>
              <w:bottom w:val="single" w:sz="4" w:space="0" w:color="auto"/>
              <w:right w:val="single" w:sz="4" w:space="0" w:color="auto"/>
            </w:tcBorders>
            <w:noWrap/>
            <w:vAlign w:val="bottom"/>
            <w:hideMark/>
          </w:tcPr>
          <w:p w14:paraId="667E0CF5" w14:textId="0DACAC0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83.672,04</w:t>
            </w:r>
          </w:p>
        </w:tc>
      </w:tr>
      <w:tr w:rsidR="007F7223" w:rsidRPr="000020F0" w14:paraId="5C96B8C8"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56D7444F" w14:textId="11167380"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Projektna dokumentacija</w:t>
            </w:r>
          </w:p>
        </w:tc>
        <w:tc>
          <w:tcPr>
            <w:tcW w:w="1560" w:type="dxa"/>
            <w:tcBorders>
              <w:top w:val="nil"/>
              <w:left w:val="nil"/>
              <w:bottom w:val="single" w:sz="4" w:space="0" w:color="auto"/>
              <w:right w:val="single" w:sz="4" w:space="0" w:color="auto"/>
            </w:tcBorders>
            <w:noWrap/>
            <w:vAlign w:val="bottom"/>
            <w:hideMark/>
          </w:tcPr>
          <w:p w14:paraId="1B6460CB" w14:textId="7DD3980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105.425,37</w:t>
            </w:r>
          </w:p>
        </w:tc>
        <w:tc>
          <w:tcPr>
            <w:tcW w:w="1275" w:type="dxa"/>
            <w:tcBorders>
              <w:top w:val="nil"/>
              <w:left w:val="nil"/>
              <w:bottom w:val="single" w:sz="4" w:space="0" w:color="auto"/>
              <w:right w:val="single" w:sz="4" w:space="0" w:color="auto"/>
            </w:tcBorders>
            <w:noWrap/>
            <w:vAlign w:val="bottom"/>
            <w:hideMark/>
          </w:tcPr>
          <w:p w14:paraId="74E21A45" w14:textId="0A560EF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3,11%</w:t>
            </w:r>
          </w:p>
        </w:tc>
        <w:tc>
          <w:tcPr>
            <w:tcW w:w="1560" w:type="dxa"/>
            <w:tcBorders>
              <w:top w:val="nil"/>
              <w:left w:val="nil"/>
              <w:bottom w:val="single" w:sz="4" w:space="0" w:color="auto"/>
              <w:right w:val="single" w:sz="4" w:space="0" w:color="auto"/>
            </w:tcBorders>
            <w:noWrap/>
            <w:vAlign w:val="bottom"/>
            <w:hideMark/>
          </w:tcPr>
          <w:p w14:paraId="2116B0B2" w14:textId="6D6D358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23.193,58</w:t>
            </w:r>
          </w:p>
        </w:tc>
        <w:tc>
          <w:tcPr>
            <w:tcW w:w="1701" w:type="dxa"/>
            <w:tcBorders>
              <w:top w:val="nil"/>
              <w:left w:val="nil"/>
              <w:bottom w:val="single" w:sz="4" w:space="0" w:color="auto"/>
              <w:right w:val="single" w:sz="4" w:space="0" w:color="auto"/>
            </w:tcBorders>
            <w:noWrap/>
            <w:vAlign w:val="bottom"/>
            <w:hideMark/>
          </w:tcPr>
          <w:p w14:paraId="7E85583B" w14:textId="1444891F"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128.618,95</w:t>
            </w:r>
          </w:p>
        </w:tc>
      </w:tr>
      <w:tr w:rsidR="007F7223" w:rsidRPr="000020F0" w14:paraId="700455DD"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1D3BB97C" w14:textId="3EE7BCE8"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Svetovalni inženiring</w:t>
            </w:r>
          </w:p>
        </w:tc>
        <w:tc>
          <w:tcPr>
            <w:tcW w:w="1560" w:type="dxa"/>
            <w:tcBorders>
              <w:top w:val="nil"/>
              <w:left w:val="nil"/>
              <w:bottom w:val="single" w:sz="4" w:space="0" w:color="auto"/>
              <w:right w:val="single" w:sz="4" w:space="0" w:color="auto"/>
            </w:tcBorders>
            <w:noWrap/>
            <w:vAlign w:val="bottom"/>
            <w:hideMark/>
          </w:tcPr>
          <w:p w14:paraId="174781F2" w14:textId="4C8D420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22.861,21</w:t>
            </w:r>
          </w:p>
        </w:tc>
        <w:tc>
          <w:tcPr>
            <w:tcW w:w="1275" w:type="dxa"/>
            <w:tcBorders>
              <w:top w:val="nil"/>
              <w:left w:val="nil"/>
              <w:bottom w:val="single" w:sz="4" w:space="0" w:color="auto"/>
              <w:right w:val="single" w:sz="4" w:space="0" w:color="auto"/>
            </w:tcBorders>
            <w:noWrap/>
            <w:vAlign w:val="bottom"/>
            <w:hideMark/>
          </w:tcPr>
          <w:p w14:paraId="2D50E7B9" w14:textId="38C87A1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0,68%</w:t>
            </w:r>
          </w:p>
        </w:tc>
        <w:tc>
          <w:tcPr>
            <w:tcW w:w="1560" w:type="dxa"/>
            <w:tcBorders>
              <w:top w:val="nil"/>
              <w:left w:val="nil"/>
              <w:bottom w:val="single" w:sz="4" w:space="0" w:color="auto"/>
              <w:right w:val="single" w:sz="4" w:space="0" w:color="auto"/>
            </w:tcBorders>
            <w:noWrap/>
            <w:vAlign w:val="bottom"/>
            <w:hideMark/>
          </w:tcPr>
          <w:p w14:paraId="13D670A3" w14:textId="00B7BA2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5.029,46</w:t>
            </w:r>
          </w:p>
        </w:tc>
        <w:tc>
          <w:tcPr>
            <w:tcW w:w="1701" w:type="dxa"/>
            <w:tcBorders>
              <w:top w:val="nil"/>
              <w:left w:val="nil"/>
              <w:bottom w:val="single" w:sz="4" w:space="0" w:color="auto"/>
              <w:right w:val="single" w:sz="4" w:space="0" w:color="auto"/>
            </w:tcBorders>
            <w:noWrap/>
            <w:vAlign w:val="bottom"/>
            <w:hideMark/>
          </w:tcPr>
          <w:p w14:paraId="24ABDB2F" w14:textId="255A623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27.890,67</w:t>
            </w:r>
          </w:p>
        </w:tc>
      </w:tr>
      <w:tr w:rsidR="007F7223" w:rsidRPr="000020F0" w14:paraId="296EA3BC"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715EFD89" w14:textId="3853FA50"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Obveščanje javnosti</w:t>
            </w:r>
          </w:p>
        </w:tc>
        <w:tc>
          <w:tcPr>
            <w:tcW w:w="1560" w:type="dxa"/>
            <w:tcBorders>
              <w:top w:val="nil"/>
              <w:left w:val="nil"/>
              <w:bottom w:val="single" w:sz="4" w:space="0" w:color="auto"/>
              <w:right w:val="single" w:sz="4" w:space="0" w:color="auto"/>
            </w:tcBorders>
            <w:noWrap/>
            <w:vAlign w:val="bottom"/>
            <w:hideMark/>
          </w:tcPr>
          <w:p w14:paraId="64317384" w14:textId="60E0DA0E"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4.268,43</w:t>
            </w:r>
          </w:p>
        </w:tc>
        <w:tc>
          <w:tcPr>
            <w:tcW w:w="1275" w:type="dxa"/>
            <w:tcBorders>
              <w:top w:val="nil"/>
              <w:left w:val="nil"/>
              <w:bottom w:val="single" w:sz="4" w:space="0" w:color="auto"/>
              <w:right w:val="single" w:sz="4" w:space="0" w:color="auto"/>
            </w:tcBorders>
            <w:noWrap/>
            <w:vAlign w:val="bottom"/>
            <w:hideMark/>
          </w:tcPr>
          <w:p w14:paraId="58298DCE" w14:textId="6140902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0,13%</w:t>
            </w:r>
          </w:p>
        </w:tc>
        <w:tc>
          <w:tcPr>
            <w:tcW w:w="1560" w:type="dxa"/>
            <w:tcBorders>
              <w:top w:val="nil"/>
              <w:left w:val="nil"/>
              <w:bottom w:val="single" w:sz="4" w:space="0" w:color="auto"/>
              <w:right w:val="single" w:sz="4" w:space="0" w:color="auto"/>
            </w:tcBorders>
            <w:noWrap/>
            <w:vAlign w:val="bottom"/>
            <w:hideMark/>
          </w:tcPr>
          <w:p w14:paraId="4D320588" w14:textId="3CE62461"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939,05</w:t>
            </w:r>
          </w:p>
        </w:tc>
        <w:tc>
          <w:tcPr>
            <w:tcW w:w="1701" w:type="dxa"/>
            <w:tcBorders>
              <w:top w:val="nil"/>
              <w:left w:val="nil"/>
              <w:bottom w:val="single" w:sz="4" w:space="0" w:color="auto"/>
              <w:right w:val="single" w:sz="4" w:space="0" w:color="auto"/>
            </w:tcBorders>
            <w:noWrap/>
            <w:vAlign w:val="bottom"/>
            <w:hideMark/>
          </w:tcPr>
          <w:p w14:paraId="130B0940" w14:textId="16DBEFE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5.207,48</w:t>
            </w:r>
          </w:p>
        </w:tc>
      </w:tr>
      <w:tr w:rsidR="007F7223" w:rsidRPr="000020F0" w14:paraId="4EAC9AA6"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148C21B7" w14:textId="181A16A0"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560" w:type="dxa"/>
            <w:tcBorders>
              <w:top w:val="nil"/>
              <w:left w:val="nil"/>
              <w:bottom w:val="single" w:sz="4" w:space="0" w:color="auto"/>
              <w:right w:val="single" w:sz="4" w:space="0" w:color="auto"/>
            </w:tcBorders>
            <w:noWrap/>
            <w:vAlign w:val="bottom"/>
            <w:hideMark/>
          </w:tcPr>
          <w:p w14:paraId="5EF628B8" w14:textId="02BE3A8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21.650,00</w:t>
            </w:r>
          </w:p>
        </w:tc>
        <w:tc>
          <w:tcPr>
            <w:tcW w:w="1275" w:type="dxa"/>
            <w:tcBorders>
              <w:top w:val="nil"/>
              <w:left w:val="nil"/>
              <w:bottom w:val="single" w:sz="4" w:space="0" w:color="auto"/>
              <w:right w:val="single" w:sz="4" w:space="0" w:color="auto"/>
            </w:tcBorders>
            <w:noWrap/>
            <w:vAlign w:val="bottom"/>
            <w:hideMark/>
          </w:tcPr>
          <w:p w14:paraId="24850060" w14:textId="40D9556D"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0,64%</w:t>
            </w:r>
          </w:p>
        </w:tc>
        <w:tc>
          <w:tcPr>
            <w:tcW w:w="1560" w:type="dxa"/>
            <w:tcBorders>
              <w:top w:val="nil"/>
              <w:left w:val="nil"/>
              <w:bottom w:val="single" w:sz="4" w:space="0" w:color="auto"/>
              <w:right w:val="single" w:sz="4" w:space="0" w:color="auto"/>
            </w:tcBorders>
            <w:noWrap/>
            <w:vAlign w:val="bottom"/>
            <w:hideMark/>
          </w:tcPr>
          <w:p w14:paraId="1D6C1B13" w14:textId="1380C59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4.763,00</w:t>
            </w:r>
          </w:p>
        </w:tc>
        <w:tc>
          <w:tcPr>
            <w:tcW w:w="1701" w:type="dxa"/>
            <w:tcBorders>
              <w:top w:val="nil"/>
              <w:left w:val="nil"/>
              <w:bottom w:val="single" w:sz="4" w:space="0" w:color="auto"/>
              <w:right w:val="single" w:sz="4" w:space="0" w:color="auto"/>
            </w:tcBorders>
            <w:noWrap/>
            <w:vAlign w:val="bottom"/>
            <w:hideMark/>
          </w:tcPr>
          <w:p w14:paraId="57576438" w14:textId="00CA852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26.413,00</w:t>
            </w:r>
          </w:p>
        </w:tc>
      </w:tr>
      <w:tr w:rsidR="007F7223" w:rsidRPr="000020F0" w14:paraId="4C07505D"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4EB5B822" w14:textId="21B46870"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Stroški varnosti pri delu</w:t>
            </w:r>
          </w:p>
        </w:tc>
        <w:tc>
          <w:tcPr>
            <w:tcW w:w="1560" w:type="dxa"/>
            <w:tcBorders>
              <w:top w:val="nil"/>
              <w:left w:val="nil"/>
              <w:bottom w:val="single" w:sz="4" w:space="0" w:color="auto"/>
              <w:right w:val="single" w:sz="4" w:space="0" w:color="auto"/>
            </w:tcBorders>
            <w:noWrap/>
            <w:vAlign w:val="bottom"/>
            <w:hideMark/>
          </w:tcPr>
          <w:p w14:paraId="2C65C46C" w14:textId="15C403BE"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7.280,76</w:t>
            </w:r>
          </w:p>
        </w:tc>
        <w:tc>
          <w:tcPr>
            <w:tcW w:w="1275" w:type="dxa"/>
            <w:tcBorders>
              <w:top w:val="nil"/>
              <w:left w:val="nil"/>
              <w:bottom w:val="single" w:sz="4" w:space="0" w:color="auto"/>
              <w:right w:val="single" w:sz="4" w:space="0" w:color="auto"/>
            </w:tcBorders>
            <w:noWrap/>
            <w:vAlign w:val="bottom"/>
            <w:hideMark/>
          </w:tcPr>
          <w:p w14:paraId="572D356E" w14:textId="1FE8551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0,22%</w:t>
            </w:r>
          </w:p>
        </w:tc>
        <w:tc>
          <w:tcPr>
            <w:tcW w:w="1560" w:type="dxa"/>
            <w:tcBorders>
              <w:top w:val="nil"/>
              <w:left w:val="nil"/>
              <w:bottom w:val="single" w:sz="4" w:space="0" w:color="auto"/>
              <w:right w:val="single" w:sz="4" w:space="0" w:color="auto"/>
            </w:tcBorders>
            <w:noWrap/>
            <w:vAlign w:val="bottom"/>
            <w:hideMark/>
          </w:tcPr>
          <w:p w14:paraId="7C67A0C3" w14:textId="6D3F905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1.601,76</w:t>
            </w:r>
          </w:p>
        </w:tc>
        <w:tc>
          <w:tcPr>
            <w:tcW w:w="1701" w:type="dxa"/>
            <w:tcBorders>
              <w:top w:val="nil"/>
              <w:left w:val="nil"/>
              <w:bottom w:val="single" w:sz="4" w:space="0" w:color="auto"/>
              <w:right w:val="single" w:sz="4" w:space="0" w:color="auto"/>
            </w:tcBorders>
            <w:noWrap/>
            <w:vAlign w:val="bottom"/>
            <w:hideMark/>
          </w:tcPr>
          <w:p w14:paraId="2E8F56F2" w14:textId="7620A11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8.882,52</w:t>
            </w:r>
          </w:p>
        </w:tc>
      </w:tr>
      <w:tr w:rsidR="007F7223" w:rsidRPr="000020F0" w14:paraId="760AB69D"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4FA2E071" w14:textId="461B6FB7"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Arheologija</w:t>
            </w:r>
          </w:p>
        </w:tc>
        <w:tc>
          <w:tcPr>
            <w:tcW w:w="1560" w:type="dxa"/>
            <w:tcBorders>
              <w:top w:val="nil"/>
              <w:left w:val="nil"/>
              <w:bottom w:val="single" w:sz="4" w:space="0" w:color="auto"/>
              <w:right w:val="single" w:sz="4" w:space="0" w:color="auto"/>
            </w:tcBorders>
            <w:noWrap/>
            <w:vAlign w:val="bottom"/>
            <w:hideMark/>
          </w:tcPr>
          <w:p w14:paraId="36893507" w14:textId="124DBCF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15.686,16</w:t>
            </w:r>
          </w:p>
        </w:tc>
        <w:tc>
          <w:tcPr>
            <w:tcW w:w="1275" w:type="dxa"/>
            <w:tcBorders>
              <w:top w:val="nil"/>
              <w:left w:val="nil"/>
              <w:bottom w:val="single" w:sz="4" w:space="0" w:color="auto"/>
              <w:right w:val="single" w:sz="4" w:space="0" w:color="auto"/>
            </w:tcBorders>
            <w:noWrap/>
            <w:vAlign w:val="bottom"/>
            <w:hideMark/>
          </w:tcPr>
          <w:p w14:paraId="48C42F8D" w14:textId="3A8E98D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0,46%</w:t>
            </w:r>
          </w:p>
        </w:tc>
        <w:tc>
          <w:tcPr>
            <w:tcW w:w="1560" w:type="dxa"/>
            <w:tcBorders>
              <w:top w:val="nil"/>
              <w:left w:val="nil"/>
              <w:bottom w:val="single" w:sz="4" w:space="0" w:color="auto"/>
              <w:right w:val="single" w:sz="4" w:space="0" w:color="auto"/>
            </w:tcBorders>
            <w:noWrap/>
            <w:vAlign w:val="bottom"/>
            <w:hideMark/>
          </w:tcPr>
          <w:p w14:paraId="2960FE2E" w14:textId="353494C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3.450,95</w:t>
            </w:r>
          </w:p>
        </w:tc>
        <w:tc>
          <w:tcPr>
            <w:tcW w:w="1701" w:type="dxa"/>
            <w:tcBorders>
              <w:top w:val="nil"/>
              <w:left w:val="nil"/>
              <w:bottom w:val="single" w:sz="4" w:space="0" w:color="auto"/>
              <w:right w:val="single" w:sz="4" w:space="0" w:color="auto"/>
            </w:tcBorders>
            <w:noWrap/>
            <w:vAlign w:val="bottom"/>
            <w:hideMark/>
          </w:tcPr>
          <w:p w14:paraId="0903E8E8" w14:textId="67190E8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19.137,11</w:t>
            </w:r>
          </w:p>
        </w:tc>
      </w:tr>
      <w:tr w:rsidR="007F7223" w:rsidRPr="000020F0" w14:paraId="7E93CF58"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140C96EE" w14:textId="39D27D81"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560" w:type="dxa"/>
            <w:tcBorders>
              <w:top w:val="nil"/>
              <w:left w:val="nil"/>
              <w:bottom w:val="single" w:sz="4" w:space="0" w:color="auto"/>
              <w:right w:val="single" w:sz="4" w:space="0" w:color="auto"/>
            </w:tcBorders>
            <w:noWrap/>
            <w:vAlign w:val="bottom"/>
            <w:hideMark/>
          </w:tcPr>
          <w:p w14:paraId="4206DF89" w14:textId="492EA91C"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3.352,16</w:t>
            </w:r>
          </w:p>
        </w:tc>
        <w:tc>
          <w:tcPr>
            <w:tcW w:w="1275" w:type="dxa"/>
            <w:tcBorders>
              <w:top w:val="nil"/>
              <w:left w:val="nil"/>
              <w:bottom w:val="single" w:sz="4" w:space="0" w:color="auto"/>
              <w:right w:val="single" w:sz="4" w:space="0" w:color="auto"/>
            </w:tcBorders>
            <w:noWrap/>
            <w:vAlign w:val="bottom"/>
            <w:hideMark/>
          </w:tcPr>
          <w:p w14:paraId="1CBA51A7" w14:textId="7800EB2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0,10%</w:t>
            </w:r>
          </w:p>
        </w:tc>
        <w:tc>
          <w:tcPr>
            <w:tcW w:w="1560" w:type="dxa"/>
            <w:tcBorders>
              <w:top w:val="nil"/>
              <w:left w:val="nil"/>
              <w:bottom w:val="single" w:sz="4" w:space="0" w:color="auto"/>
              <w:right w:val="single" w:sz="4" w:space="0" w:color="auto"/>
            </w:tcBorders>
            <w:noWrap/>
            <w:vAlign w:val="bottom"/>
            <w:hideMark/>
          </w:tcPr>
          <w:p w14:paraId="32DB4710" w14:textId="06A8C301" w:rsidR="007F7223" w:rsidRPr="000020F0" w:rsidRDefault="007F7223" w:rsidP="007F7223">
            <w:pPr>
              <w:jc w:val="right"/>
              <w:rPr>
                <w:rFonts w:ascii="Arial" w:hAnsi="Arial" w:cs="Arial"/>
                <w:sz w:val="20"/>
                <w:szCs w:val="20"/>
              </w:rPr>
            </w:pPr>
            <w:r w:rsidRPr="000020F0">
              <w:rPr>
                <w:rFonts w:ascii="Arial" w:hAnsi="Arial" w:cs="Arial"/>
                <w:color w:val="000000"/>
                <w:sz w:val="20"/>
                <w:szCs w:val="20"/>
              </w:rPr>
              <w:t>737,48</w:t>
            </w:r>
          </w:p>
        </w:tc>
        <w:tc>
          <w:tcPr>
            <w:tcW w:w="1701" w:type="dxa"/>
            <w:tcBorders>
              <w:top w:val="nil"/>
              <w:left w:val="nil"/>
              <w:bottom w:val="single" w:sz="4" w:space="0" w:color="auto"/>
              <w:right w:val="single" w:sz="4" w:space="0" w:color="auto"/>
            </w:tcBorders>
            <w:noWrap/>
            <w:vAlign w:val="bottom"/>
            <w:hideMark/>
          </w:tcPr>
          <w:p w14:paraId="21421106" w14:textId="263E1D03"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4.089,64</w:t>
            </w:r>
          </w:p>
        </w:tc>
      </w:tr>
      <w:tr w:rsidR="007F7223" w:rsidRPr="000020F0" w14:paraId="019AAF50"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07865DB4" w14:textId="6B9AD2BA"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Nakup nepremičnine</w:t>
            </w:r>
          </w:p>
        </w:tc>
        <w:tc>
          <w:tcPr>
            <w:tcW w:w="1560" w:type="dxa"/>
            <w:tcBorders>
              <w:top w:val="nil"/>
              <w:left w:val="nil"/>
              <w:bottom w:val="single" w:sz="4" w:space="0" w:color="auto"/>
              <w:right w:val="single" w:sz="4" w:space="0" w:color="auto"/>
            </w:tcBorders>
            <w:noWrap/>
            <w:vAlign w:val="bottom"/>
            <w:hideMark/>
          </w:tcPr>
          <w:p w14:paraId="48C58A3F" w14:textId="014C078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280.000,00</w:t>
            </w:r>
          </w:p>
        </w:tc>
        <w:tc>
          <w:tcPr>
            <w:tcW w:w="1275" w:type="dxa"/>
            <w:tcBorders>
              <w:top w:val="nil"/>
              <w:left w:val="nil"/>
              <w:bottom w:val="single" w:sz="4" w:space="0" w:color="auto"/>
              <w:right w:val="single" w:sz="4" w:space="0" w:color="auto"/>
            </w:tcBorders>
            <w:noWrap/>
            <w:vAlign w:val="bottom"/>
            <w:hideMark/>
          </w:tcPr>
          <w:p w14:paraId="5D557424" w14:textId="4B66F8BF"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8,27%</w:t>
            </w:r>
          </w:p>
        </w:tc>
        <w:tc>
          <w:tcPr>
            <w:tcW w:w="1560" w:type="dxa"/>
            <w:tcBorders>
              <w:top w:val="nil"/>
              <w:left w:val="nil"/>
              <w:bottom w:val="single" w:sz="4" w:space="0" w:color="auto"/>
              <w:right w:val="single" w:sz="4" w:space="0" w:color="auto"/>
            </w:tcBorders>
            <w:noWrap/>
            <w:vAlign w:val="bottom"/>
            <w:hideMark/>
          </w:tcPr>
          <w:p w14:paraId="32558071" w14:textId="640CD8B8" w:rsidR="007F7223" w:rsidRPr="000020F0" w:rsidRDefault="007F7223" w:rsidP="007F7223">
            <w:pPr>
              <w:jc w:val="right"/>
              <w:rPr>
                <w:rFonts w:ascii="Arial" w:hAnsi="Arial" w:cs="Arial"/>
                <w:sz w:val="20"/>
                <w:szCs w:val="20"/>
              </w:rPr>
            </w:pPr>
            <w:r w:rsidRPr="000020F0">
              <w:rPr>
                <w:rFonts w:ascii="Arial" w:hAnsi="Arial" w:cs="Arial"/>
                <w:sz w:val="20"/>
                <w:szCs w:val="20"/>
              </w:rPr>
              <w:t>0,00</w:t>
            </w:r>
          </w:p>
        </w:tc>
        <w:tc>
          <w:tcPr>
            <w:tcW w:w="1701" w:type="dxa"/>
            <w:tcBorders>
              <w:top w:val="nil"/>
              <w:left w:val="nil"/>
              <w:bottom w:val="single" w:sz="4" w:space="0" w:color="auto"/>
              <w:right w:val="single" w:sz="4" w:space="0" w:color="auto"/>
            </w:tcBorders>
            <w:noWrap/>
            <w:vAlign w:val="bottom"/>
            <w:hideMark/>
          </w:tcPr>
          <w:p w14:paraId="152D3017" w14:textId="2F6825D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280.000,00</w:t>
            </w:r>
          </w:p>
        </w:tc>
      </w:tr>
      <w:tr w:rsidR="007F7223" w:rsidRPr="000020F0" w14:paraId="3327557E"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26443215" w14:textId="4CDC850C"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Druga dela ob rušenju objekta (neobdavčeno)</w:t>
            </w:r>
          </w:p>
        </w:tc>
        <w:tc>
          <w:tcPr>
            <w:tcW w:w="1560" w:type="dxa"/>
            <w:tcBorders>
              <w:top w:val="nil"/>
              <w:left w:val="nil"/>
              <w:bottom w:val="single" w:sz="4" w:space="0" w:color="auto"/>
              <w:right w:val="single" w:sz="4" w:space="0" w:color="auto"/>
            </w:tcBorders>
            <w:noWrap/>
            <w:vAlign w:val="bottom"/>
            <w:hideMark/>
          </w:tcPr>
          <w:p w14:paraId="214214F1" w14:textId="7DA83979"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776,00</w:t>
            </w:r>
          </w:p>
        </w:tc>
        <w:tc>
          <w:tcPr>
            <w:tcW w:w="1275" w:type="dxa"/>
            <w:tcBorders>
              <w:top w:val="nil"/>
              <w:left w:val="nil"/>
              <w:bottom w:val="single" w:sz="4" w:space="0" w:color="auto"/>
              <w:right w:val="single" w:sz="4" w:space="0" w:color="auto"/>
            </w:tcBorders>
            <w:noWrap/>
            <w:vAlign w:val="bottom"/>
            <w:hideMark/>
          </w:tcPr>
          <w:p w14:paraId="7F2A2133" w14:textId="75CEDAB1"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0,02%</w:t>
            </w:r>
          </w:p>
        </w:tc>
        <w:tc>
          <w:tcPr>
            <w:tcW w:w="1560" w:type="dxa"/>
            <w:tcBorders>
              <w:top w:val="nil"/>
              <w:left w:val="nil"/>
              <w:bottom w:val="single" w:sz="4" w:space="0" w:color="auto"/>
              <w:right w:val="single" w:sz="4" w:space="0" w:color="auto"/>
            </w:tcBorders>
            <w:noWrap/>
            <w:vAlign w:val="bottom"/>
            <w:hideMark/>
          </w:tcPr>
          <w:p w14:paraId="0E489A34" w14:textId="30F1F319" w:rsidR="007F7223" w:rsidRPr="000020F0" w:rsidRDefault="007F7223" w:rsidP="007F7223">
            <w:pPr>
              <w:jc w:val="right"/>
              <w:rPr>
                <w:rFonts w:ascii="Arial" w:hAnsi="Arial" w:cs="Arial"/>
                <w:sz w:val="20"/>
                <w:szCs w:val="20"/>
              </w:rPr>
            </w:pPr>
            <w:r w:rsidRPr="000020F0">
              <w:rPr>
                <w:rFonts w:ascii="Arial" w:hAnsi="Arial" w:cs="Arial"/>
                <w:sz w:val="20"/>
                <w:szCs w:val="20"/>
              </w:rPr>
              <w:t>0,00</w:t>
            </w:r>
          </w:p>
        </w:tc>
        <w:tc>
          <w:tcPr>
            <w:tcW w:w="1701" w:type="dxa"/>
            <w:tcBorders>
              <w:top w:val="nil"/>
              <w:left w:val="nil"/>
              <w:bottom w:val="single" w:sz="4" w:space="0" w:color="auto"/>
              <w:right w:val="single" w:sz="4" w:space="0" w:color="auto"/>
            </w:tcBorders>
            <w:noWrap/>
            <w:vAlign w:val="bottom"/>
            <w:hideMark/>
          </w:tcPr>
          <w:p w14:paraId="125071B8" w14:textId="428ACDE1"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776,00</w:t>
            </w:r>
          </w:p>
        </w:tc>
      </w:tr>
      <w:tr w:rsidR="007F7223" w:rsidRPr="000020F0" w14:paraId="31508FBC" w14:textId="77777777" w:rsidTr="00A85338">
        <w:trPr>
          <w:trHeight w:val="290"/>
        </w:trPr>
        <w:tc>
          <w:tcPr>
            <w:tcW w:w="3397" w:type="dxa"/>
            <w:tcBorders>
              <w:top w:val="nil"/>
              <w:left w:val="single" w:sz="4" w:space="0" w:color="auto"/>
              <w:bottom w:val="single" w:sz="4" w:space="0" w:color="auto"/>
              <w:right w:val="single" w:sz="4" w:space="0" w:color="auto"/>
            </w:tcBorders>
            <w:noWrap/>
            <w:vAlign w:val="bottom"/>
            <w:hideMark/>
          </w:tcPr>
          <w:p w14:paraId="07079EB7" w14:textId="1137F24F"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Druga dela ob rušenju objekta (9,5% DDV)</w:t>
            </w:r>
          </w:p>
        </w:tc>
        <w:tc>
          <w:tcPr>
            <w:tcW w:w="1560" w:type="dxa"/>
            <w:tcBorders>
              <w:top w:val="nil"/>
              <w:left w:val="nil"/>
              <w:bottom w:val="single" w:sz="4" w:space="0" w:color="auto"/>
              <w:right w:val="single" w:sz="4" w:space="0" w:color="auto"/>
            </w:tcBorders>
            <w:noWrap/>
            <w:vAlign w:val="bottom"/>
            <w:hideMark/>
          </w:tcPr>
          <w:p w14:paraId="4A608116" w14:textId="7A7AB836"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545,96</w:t>
            </w:r>
          </w:p>
        </w:tc>
        <w:tc>
          <w:tcPr>
            <w:tcW w:w="1275" w:type="dxa"/>
            <w:tcBorders>
              <w:top w:val="nil"/>
              <w:left w:val="nil"/>
              <w:bottom w:val="single" w:sz="4" w:space="0" w:color="auto"/>
              <w:right w:val="single" w:sz="4" w:space="0" w:color="auto"/>
            </w:tcBorders>
            <w:noWrap/>
            <w:vAlign w:val="bottom"/>
            <w:hideMark/>
          </w:tcPr>
          <w:p w14:paraId="73450214" w14:textId="1ED4041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0,02%</w:t>
            </w:r>
          </w:p>
        </w:tc>
        <w:tc>
          <w:tcPr>
            <w:tcW w:w="1560" w:type="dxa"/>
            <w:tcBorders>
              <w:top w:val="nil"/>
              <w:left w:val="nil"/>
              <w:bottom w:val="single" w:sz="4" w:space="0" w:color="auto"/>
              <w:right w:val="single" w:sz="4" w:space="0" w:color="auto"/>
            </w:tcBorders>
            <w:noWrap/>
            <w:vAlign w:val="bottom"/>
            <w:hideMark/>
          </w:tcPr>
          <w:p w14:paraId="396DB858" w14:textId="7B1BBF8C" w:rsidR="007F7223" w:rsidRPr="000020F0" w:rsidRDefault="007F7223" w:rsidP="007F7223">
            <w:pPr>
              <w:jc w:val="right"/>
              <w:rPr>
                <w:rFonts w:ascii="Arial" w:hAnsi="Arial" w:cs="Arial"/>
                <w:color w:val="000000"/>
                <w:sz w:val="20"/>
                <w:szCs w:val="20"/>
              </w:rPr>
            </w:pPr>
            <w:r w:rsidRPr="000020F0">
              <w:rPr>
                <w:rFonts w:ascii="Arial" w:hAnsi="Arial" w:cs="Arial"/>
                <w:sz w:val="20"/>
                <w:szCs w:val="20"/>
              </w:rPr>
              <w:t>51,87</w:t>
            </w:r>
          </w:p>
        </w:tc>
        <w:tc>
          <w:tcPr>
            <w:tcW w:w="1701" w:type="dxa"/>
            <w:tcBorders>
              <w:top w:val="nil"/>
              <w:left w:val="nil"/>
              <w:bottom w:val="single" w:sz="4" w:space="0" w:color="auto"/>
              <w:right w:val="single" w:sz="4" w:space="0" w:color="auto"/>
            </w:tcBorders>
            <w:noWrap/>
            <w:vAlign w:val="bottom"/>
            <w:hideMark/>
          </w:tcPr>
          <w:p w14:paraId="4145E435" w14:textId="25A0D291"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597,83</w:t>
            </w:r>
          </w:p>
        </w:tc>
      </w:tr>
      <w:tr w:rsidR="007F7223" w:rsidRPr="000020F0" w14:paraId="24169BD1"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7AA6E7E6" w14:textId="0A1760BC" w:rsidR="007F7223" w:rsidRPr="000020F0" w:rsidRDefault="007F7223" w:rsidP="007F7223">
            <w:pPr>
              <w:rPr>
                <w:rFonts w:ascii="Arial" w:hAnsi="Arial" w:cs="Arial"/>
                <w:color w:val="000000"/>
                <w:sz w:val="20"/>
                <w:szCs w:val="20"/>
              </w:rPr>
            </w:pPr>
            <w:r w:rsidRPr="000020F0">
              <w:rPr>
                <w:rFonts w:ascii="Roboto" w:hAnsi="Roboto"/>
                <w:color w:val="000000"/>
                <w:sz w:val="20"/>
                <w:szCs w:val="20"/>
              </w:rPr>
              <w:t>Druga dela ob rušenju objekta</w:t>
            </w:r>
          </w:p>
        </w:tc>
        <w:tc>
          <w:tcPr>
            <w:tcW w:w="1560" w:type="dxa"/>
            <w:tcBorders>
              <w:top w:val="nil"/>
              <w:left w:val="nil"/>
              <w:bottom w:val="single" w:sz="4" w:space="0" w:color="auto"/>
              <w:right w:val="single" w:sz="4" w:space="0" w:color="auto"/>
            </w:tcBorders>
            <w:noWrap/>
            <w:vAlign w:val="bottom"/>
            <w:hideMark/>
          </w:tcPr>
          <w:p w14:paraId="701B6321" w14:textId="5B268045"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5.483,07</w:t>
            </w:r>
          </w:p>
        </w:tc>
        <w:tc>
          <w:tcPr>
            <w:tcW w:w="1275" w:type="dxa"/>
            <w:tcBorders>
              <w:top w:val="nil"/>
              <w:left w:val="nil"/>
              <w:bottom w:val="single" w:sz="4" w:space="0" w:color="auto"/>
              <w:right w:val="single" w:sz="4" w:space="0" w:color="auto"/>
            </w:tcBorders>
            <w:noWrap/>
            <w:vAlign w:val="bottom"/>
            <w:hideMark/>
          </w:tcPr>
          <w:p w14:paraId="65B6DD80" w14:textId="6239FD2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0,16%</w:t>
            </w:r>
          </w:p>
        </w:tc>
        <w:tc>
          <w:tcPr>
            <w:tcW w:w="1560" w:type="dxa"/>
            <w:tcBorders>
              <w:top w:val="nil"/>
              <w:left w:val="nil"/>
              <w:bottom w:val="single" w:sz="4" w:space="0" w:color="auto"/>
              <w:right w:val="single" w:sz="4" w:space="0" w:color="auto"/>
            </w:tcBorders>
            <w:noWrap/>
            <w:vAlign w:val="bottom"/>
            <w:hideMark/>
          </w:tcPr>
          <w:p w14:paraId="335C62B9" w14:textId="7347FDA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1.206,28</w:t>
            </w:r>
          </w:p>
        </w:tc>
        <w:tc>
          <w:tcPr>
            <w:tcW w:w="1701" w:type="dxa"/>
            <w:tcBorders>
              <w:top w:val="nil"/>
              <w:left w:val="nil"/>
              <w:bottom w:val="single" w:sz="4" w:space="0" w:color="auto"/>
              <w:right w:val="single" w:sz="4" w:space="0" w:color="auto"/>
            </w:tcBorders>
            <w:noWrap/>
            <w:vAlign w:val="bottom"/>
            <w:hideMark/>
          </w:tcPr>
          <w:p w14:paraId="7A442A45" w14:textId="0FF381E8"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6.689,35</w:t>
            </w:r>
          </w:p>
        </w:tc>
      </w:tr>
      <w:tr w:rsidR="007F7223" w:rsidRPr="000020F0" w14:paraId="4C90D824"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1264796B" w14:textId="156226EA"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Vpis v kataster</w:t>
            </w:r>
          </w:p>
        </w:tc>
        <w:tc>
          <w:tcPr>
            <w:tcW w:w="1560" w:type="dxa"/>
            <w:tcBorders>
              <w:top w:val="nil"/>
              <w:left w:val="nil"/>
              <w:bottom w:val="single" w:sz="4" w:space="0" w:color="auto"/>
              <w:right w:val="single" w:sz="4" w:space="0" w:color="auto"/>
            </w:tcBorders>
            <w:noWrap/>
            <w:vAlign w:val="bottom"/>
            <w:hideMark/>
          </w:tcPr>
          <w:p w14:paraId="3392C534" w14:textId="2EDFF78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991,38</w:t>
            </w:r>
          </w:p>
        </w:tc>
        <w:tc>
          <w:tcPr>
            <w:tcW w:w="1275" w:type="dxa"/>
            <w:tcBorders>
              <w:top w:val="nil"/>
              <w:left w:val="nil"/>
              <w:bottom w:val="single" w:sz="4" w:space="0" w:color="auto"/>
              <w:right w:val="single" w:sz="4" w:space="0" w:color="auto"/>
            </w:tcBorders>
            <w:noWrap/>
            <w:vAlign w:val="bottom"/>
            <w:hideMark/>
          </w:tcPr>
          <w:p w14:paraId="20A432BC" w14:textId="275FEF6F"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0,03%</w:t>
            </w:r>
          </w:p>
        </w:tc>
        <w:tc>
          <w:tcPr>
            <w:tcW w:w="1560" w:type="dxa"/>
            <w:tcBorders>
              <w:top w:val="nil"/>
              <w:left w:val="nil"/>
              <w:bottom w:val="single" w:sz="4" w:space="0" w:color="auto"/>
              <w:right w:val="single" w:sz="4" w:space="0" w:color="auto"/>
            </w:tcBorders>
            <w:noWrap/>
            <w:vAlign w:val="bottom"/>
            <w:hideMark/>
          </w:tcPr>
          <w:p w14:paraId="563B1DC7" w14:textId="61CEE8C2"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218,11</w:t>
            </w:r>
          </w:p>
        </w:tc>
        <w:tc>
          <w:tcPr>
            <w:tcW w:w="1701" w:type="dxa"/>
            <w:tcBorders>
              <w:top w:val="nil"/>
              <w:left w:val="nil"/>
              <w:bottom w:val="single" w:sz="4" w:space="0" w:color="auto"/>
              <w:right w:val="single" w:sz="4" w:space="0" w:color="auto"/>
            </w:tcBorders>
            <w:noWrap/>
            <w:vAlign w:val="bottom"/>
            <w:hideMark/>
          </w:tcPr>
          <w:p w14:paraId="34F24013" w14:textId="5A9E707D"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1.209,49</w:t>
            </w:r>
          </w:p>
        </w:tc>
      </w:tr>
      <w:tr w:rsidR="007F7223" w:rsidRPr="000020F0" w14:paraId="48C3061D"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6BC0C29B" w14:textId="563EE8DA"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Geodetski načrt</w:t>
            </w:r>
          </w:p>
        </w:tc>
        <w:tc>
          <w:tcPr>
            <w:tcW w:w="1560" w:type="dxa"/>
            <w:tcBorders>
              <w:top w:val="nil"/>
              <w:left w:val="nil"/>
              <w:bottom w:val="single" w:sz="4" w:space="0" w:color="auto"/>
              <w:right w:val="single" w:sz="4" w:space="0" w:color="auto"/>
            </w:tcBorders>
            <w:noWrap/>
            <w:vAlign w:val="bottom"/>
            <w:hideMark/>
          </w:tcPr>
          <w:p w14:paraId="5CF692DE" w14:textId="7BE7F09D"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2.261,75</w:t>
            </w:r>
          </w:p>
        </w:tc>
        <w:tc>
          <w:tcPr>
            <w:tcW w:w="1275" w:type="dxa"/>
            <w:tcBorders>
              <w:top w:val="nil"/>
              <w:left w:val="nil"/>
              <w:bottom w:val="single" w:sz="4" w:space="0" w:color="auto"/>
              <w:right w:val="single" w:sz="4" w:space="0" w:color="auto"/>
            </w:tcBorders>
            <w:noWrap/>
            <w:vAlign w:val="bottom"/>
            <w:hideMark/>
          </w:tcPr>
          <w:p w14:paraId="7A6D317A" w14:textId="75E790FA"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0,07%</w:t>
            </w:r>
          </w:p>
        </w:tc>
        <w:tc>
          <w:tcPr>
            <w:tcW w:w="1560" w:type="dxa"/>
            <w:tcBorders>
              <w:top w:val="nil"/>
              <w:left w:val="nil"/>
              <w:bottom w:val="single" w:sz="4" w:space="0" w:color="auto"/>
              <w:right w:val="single" w:sz="4" w:space="0" w:color="auto"/>
            </w:tcBorders>
            <w:noWrap/>
            <w:vAlign w:val="bottom"/>
            <w:hideMark/>
          </w:tcPr>
          <w:p w14:paraId="4A100590" w14:textId="71162F8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497,59</w:t>
            </w:r>
          </w:p>
        </w:tc>
        <w:tc>
          <w:tcPr>
            <w:tcW w:w="1701" w:type="dxa"/>
            <w:tcBorders>
              <w:top w:val="nil"/>
              <w:left w:val="nil"/>
              <w:bottom w:val="single" w:sz="4" w:space="0" w:color="auto"/>
              <w:right w:val="single" w:sz="4" w:space="0" w:color="auto"/>
            </w:tcBorders>
            <w:noWrap/>
            <w:vAlign w:val="bottom"/>
            <w:hideMark/>
          </w:tcPr>
          <w:p w14:paraId="63B2430C" w14:textId="36B73EFB"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2.759,34</w:t>
            </w:r>
          </w:p>
        </w:tc>
      </w:tr>
      <w:tr w:rsidR="007F7223" w:rsidRPr="000020F0" w14:paraId="1ABB849C" w14:textId="77777777" w:rsidTr="00A85338">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7CCE6FCE" w14:textId="7A3FA605" w:rsidR="007F7223" w:rsidRPr="000020F0" w:rsidRDefault="007F7223" w:rsidP="007F7223">
            <w:pPr>
              <w:rPr>
                <w:rFonts w:ascii="Arial" w:hAnsi="Arial" w:cs="Arial"/>
                <w:b/>
                <w:bCs/>
                <w:color w:val="000000"/>
                <w:sz w:val="20"/>
                <w:szCs w:val="20"/>
              </w:rPr>
            </w:pPr>
            <w:r w:rsidRPr="000020F0">
              <w:rPr>
                <w:rFonts w:ascii="Arial" w:hAnsi="Arial" w:cs="Arial"/>
                <w:color w:val="000000"/>
                <w:sz w:val="20"/>
                <w:szCs w:val="20"/>
              </w:rPr>
              <w:t>Baza cestnih podatkov</w:t>
            </w:r>
          </w:p>
        </w:tc>
        <w:tc>
          <w:tcPr>
            <w:tcW w:w="1560" w:type="dxa"/>
            <w:tcBorders>
              <w:top w:val="nil"/>
              <w:left w:val="nil"/>
              <w:bottom w:val="single" w:sz="4" w:space="0" w:color="auto"/>
              <w:right w:val="single" w:sz="4" w:space="0" w:color="auto"/>
            </w:tcBorders>
            <w:shd w:val="clear" w:color="000000" w:fill="D9D9D9"/>
            <w:noWrap/>
            <w:vAlign w:val="bottom"/>
            <w:hideMark/>
          </w:tcPr>
          <w:p w14:paraId="16A439E9" w14:textId="4EB754AE"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855,29</w:t>
            </w:r>
          </w:p>
        </w:tc>
        <w:tc>
          <w:tcPr>
            <w:tcW w:w="1275" w:type="dxa"/>
            <w:tcBorders>
              <w:top w:val="nil"/>
              <w:left w:val="nil"/>
              <w:bottom w:val="single" w:sz="4" w:space="0" w:color="auto"/>
              <w:right w:val="single" w:sz="4" w:space="0" w:color="auto"/>
            </w:tcBorders>
            <w:shd w:val="clear" w:color="000000" w:fill="D9D9D9"/>
            <w:noWrap/>
            <w:vAlign w:val="bottom"/>
            <w:hideMark/>
          </w:tcPr>
          <w:p w14:paraId="354E4DBA" w14:textId="15247111"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0,03%</w:t>
            </w:r>
          </w:p>
        </w:tc>
        <w:tc>
          <w:tcPr>
            <w:tcW w:w="1560" w:type="dxa"/>
            <w:tcBorders>
              <w:top w:val="nil"/>
              <w:left w:val="nil"/>
              <w:bottom w:val="single" w:sz="4" w:space="0" w:color="auto"/>
              <w:right w:val="single" w:sz="4" w:space="0" w:color="auto"/>
            </w:tcBorders>
            <w:shd w:val="clear" w:color="000000" w:fill="D9D9D9"/>
            <w:noWrap/>
            <w:vAlign w:val="bottom"/>
            <w:hideMark/>
          </w:tcPr>
          <w:p w14:paraId="1808A73F" w14:textId="03D6EB8D"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188,17</w:t>
            </w:r>
          </w:p>
        </w:tc>
        <w:tc>
          <w:tcPr>
            <w:tcW w:w="1701" w:type="dxa"/>
            <w:tcBorders>
              <w:top w:val="nil"/>
              <w:left w:val="nil"/>
              <w:bottom w:val="single" w:sz="4" w:space="0" w:color="auto"/>
              <w:right w:val="single" w:sz="4" w:space="0" w:color="auto"/>
            </w:tcBorders>
            <w:shd w:val="clear" w:color="000000" w:fill="D9D9D9"/>
            <w:noWrap/>
            <w:vAlign w:val="bottom"/>
            <w:hideMark/>
          </w:tcPr>
          <w:p w14:paraId="1F04EB17" w14:textId="7E5580A6"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1.043,46</w:t>
            </w:r>
          </w:p>
        </w:tc>
      </w:tr>
      <w:tr w:rsidR="007F7223" w:rsidRPr="000020F0" w14:paraId="717AD095"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26DB1171" w14:textId="64435552" w:rsidR="007F7223" w:rsidRPr="000020F0" w:rsidRDefault="007F7223" w:rsidP="007F7223">
            <w:pPr>
              <w:rPr>
                <w:rFonts w:ascii="Arial" w:hAnsi="Arial" w:cs="Arial"/>
                <w:color w:val="000000"/>
                <w:sz w:val="20"/>
                <w:szCs w:val="20"/>
              </w:rPr>
            </w:pPr>
            <w:r w:rsidRPr="000020F0">
              <w:rPr>
                <w:rFonts w:ascii="Arial" w:hAnsi="Arial" w:cs="Arial"/>
                <w:b/>
                <w:bCs/>
                <w:color w:val="000000"/>
                <w:sz w:val="20"/>
                <w:szCs w:val="20"/>
              </w:rPr>
              <w:t>Skupaj brez DDV</w:t>
            </w:r>
          </w:p>
        </w:tc>
        <w:tc>
          <w:tcPr>
            <w:tcW w:w="1560" w:type="dxa"/>
            <w:tcBorders>
              <w:top w:val="nil"/>
              <w:left w:val="nil"/>
              <w:bottom w:val="single" w:sz="4" w:space="0" w:color="auto"/>
              <w:right w:val="single" w:sz="4" w:space="0" w:color="auto"/>
            </w:tcBorders>
            <w:noWrap/>
            <w:vAlign w:val="bottom"/>
            <w:hideMark/>
          </w:tcPr>
          <w:p w14:paraId="3D38DB71" w14:textId="0C0858C5" w:rsidR="007F7223" w:rsidRPr="000020F0" w:rsidRDefault="007F7223" w:rsidP="007F7223">
            <w:pPr>
              <w:jc w:val="right"/>
              <w:rPr>
                <w:rFonts w:ascii="Arial" w:hAnsi="Arial" w:cs="Arial"/>
                <w:color w:val="000000"/>
                <w:sz w:val="20"/>
                <w:szCs w:val="20"/>
              </w:rPr>
            </w:pPr>
            <w:r w:rsidRPr="000020F0">
              <w:rPr>
                <w:rFonts w:ascii="Arial" w:hAnsi="Arial" w:cs="Arial"/>
                <w:b/>
                <w:bCs/>
                <w:color w:val="000000"/>
                <w:sz w:val="20"/>
                <w:szCs w:val="20"/>
              </w:rPr>
              <w:t>2.826.142,46</w:t>
            </w:r>
          </w:p>
        </w:tc>
        <w:tc>
          <w:tcPr>
            <w:tcW w:w="1275" w:type="dxa"/>
            <w:tcBorders>
              <w:top w:val="nil"/>
              <w:left w:val="nil"/>
              <w:bottom w:val="single" w:sz="4" w:space="0" w:color="auto"/>
              <w:right w:val="single" w:sz="4" w:space="0" w:color="auto"/>
            </w:tcBorders>
            <w:noWrap/>
            <w:vAlign w:val="bottom"/>
            <w:hideMark/>
          </w:tcPr>
          <w:p w14:paraId="49474B27" w14:textId="030111EB" w:rsidR="007F7223" w:rsidRPr="000020F0" w:rsidRDefault="007F7223" w:rsidP="007F7223">
            <w:pPr>
              <w:jc w:val="right"/>
              <w:rPr>
                <w:rFonts w:ascii="Arial" w:hAnsi="Arial" w:cs="Arial"/>
                <w:color w:val="000000"/>
                <w:sz w:val="20"/>
                <w:szCs w:val="20"/>
              </w:rPr>
            </w:pPr>
            <w:r w:rsidRPr="000020F0">
              <w:rPr>
                <w:rFonts w:ascii="Arial" w:hAnsi="Arial" w:cs="Arial"/>
                <w:b/>
                <w:bCs/>
                <w:color w:val="000000"/>
                <w:sz w:val="20"/>
                <w:szCs w:val="20"/>
              </w:rPr>
              <w:t>83,46%</w:t>
            </w:r>
          </w:p>
        </w:tc>
        <w:tc>
          <w:tcPr>
            <w:tcW w:w="1560" w:type="dxa"/>
            <w:tcBorders>
              <w:top w:val="nil"/>
              <w:left w:val="nil"/>
              <w:bottom w:val="single" w:sz="4" w:space="0" w:color="auto"/>
              <w:right w:val="single" w:sz="4" w:space="0" w:color="auto"/>
            </w:tcBorders>
            <w:noWrap/>
            <w:vAlign w:val="bottom"/>
            <w:hideMark/>
          </w:tcPr>
          <w:p w14:paraId="4F1AED7C" w14:textId="6F133637" w:rsidR="007F7223" w:rsidRPr="000020F0" w:rsidRDefault="007F7223" w:rsidP="007F7223">
            <w:pPr>
              <w:jc w:val="right"/>
              <w:rPr>
                <w:rFonts w:ascii="Arial" w:hAnsi="Arial" w:cs="Arial"/>
                <w:color w:val="000000"/>
                <w:sz w:val="20"/>
                <w:szCs w:val="20"/>
              </w:rPr>
            </w:pPr>
            <w:r w:rsidRPr="000020F0">
              <w:rPr>
                <w:rFonts w:ascii="Arial" w:hAnsi="Arial" w:cs="Arial"/>
                <w:b/>
                <w:bCs/>
                <w:color w:val="000000"/>
                <w:sz w:val="20"/>
                <w:szCs w:val="20"/>
              </w:rPr>
              <w:t>559.912,37</w:t>
            </w:r>
          </w:p>
        </w:tc>
        <w:tc>
          <w:tcPr>
            <w:tcW w:w="1701" w:type="dxa"/>
            <w:tcBorders>
              <w:top w:val="nil"/>
              <w:left w:val="nil"/>
              <w:bottom w:val="single" w:sz="4" w:space="0" w:color="auto"/>
              <w:right w:val="single" w:sz="4" w:space="0" w:color="auto"/>
            </w:tcBorders>
            <w:noWrap/>
            <w:vAlign w:val="bottom"/>
            <w:hideMark/>
          </w:tcPr>
          <w:p w14:paraId="5715917A" w14:textId="477FCDFE" w:rsidR="007F7223" w:rsidRPr="000020F0" w:rsidRDefault="007F7223" w:rsidP="00AC1566">
            <w:pPr>
              <w:jc w:val="right"/>
              <w:rPr>
                <w:rFonts w:ascii="Arial" w:hAnsi="Arial" w:cs="Arial"/>
                <w:color w:val="000000"/>
                <w:sz w:val="20"/>
                <w:szCs w:val="20"/>
              </w:rPr>
            </w:pPr>
            <w:r w:rsidRPr="000020F0">
              <w:rPr>
                <w:rFonts w:ascii="Arial" w:hAnsi="Arial" w:cs="Arial"/>
                <w:b/>
                <w:bCs/>
                <w:color w:val="000000"/>
                <w:sz w:val="20"/>
                <w:szCs w:val="20"/>
              </w:rPr>
              <w:t>2.880.085,96</w:t>
            </w:r>
          </w:p>
        </w:tc>
      </w:tr>
      <w:tr w:rsidR="007F7223" w:rsidRPr="000020F0" w14:paraId="7E9AADB3" w14:textId="77777777" w:rsidTr="00A85338">
        <w:trPr>
          <w:trHeight w:val="280"/>
        </w:trPr>
        <w:tc>
          <w:tcPr>
            <w:tcW w:w="3397" w:type="dxa"/>
            <w:tcBorders>
              <w:top w:val="nil"/>
              <w:left w:val="single" w:sz="4" w:space="0" w:color="auto"/>
              <w:bottom w:val="single" w:sz="4" w:space="0" w:color="auto"/>
              <w:right w:val="single" w:sz="4" w:space="0" w:color="auto"/>
            </w:tcBorders>
            <w:noWrap/>
            <w:vAlign w:val="bottom"/>
            <w:hideMark/>
          </w:tcPr>
          <w:p w14:paraId="0FA0C71D" w14:textId="7EAC224B"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Davek na dodano vrednost</w:t>
            </w:r>
          </w:p>
        </w:tc>
        <w:tc>
          <w:tcPr>
            <w:tcW w:w="1560" w:type="dxa"/>
            <w:tcBorders>
              <w:top w:val="nil"/>
              <w:left w:val="nil"/>
              <w:bottom w:val="single" w:sz="4" w:space="0" w:color="auto"/>
              <w:right w:val="single" w:sz="4" w:space="0" w:color="auto"/>
            </w:tcBorders>
            <w:noWrap/>
            <w:vAlign w:val="bottom"/>
            <w:hideMark/>
          </w:tcPr>
          <w:p w14:paraId="26035511" w14:textId="7609B3A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559.912,37</w:t>
            </w:r>
          </w:p>
        </w:tc>
        <w:tc>
          <w:tcPr>
            <w:tcW w:w="1275" w:type="dxa"/>
            <w:tcBorders>
              <w:top w:val="nil"/>
              <w:left w:val="nil"/>
              <w:bottom w:val="single" w:sz="4" w:space="0" w:color="auto"/>
              <w:right w:val="single" w:sz="4" w:space="0" w:color="auto"/>
            </w:tcBorders>
            <w:noWrap/>
            <w:vAlign w:val="bottom"/>
            <w:hideMark/>
          </w:tcPr>
          <w:p w14:paraId="68E3231F" w14:textId="56A579A4"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16,54%</w:t>
            </w:r>
          </w:p>
        </w:tc>
        <w:tc>
          <w:tcPr>
            <w:tcW w:w="1560" w:type="dxa"/>
            <w:tcBorders>
              <w:top w:val="nil"/>
              <w:left w:val="nil"/>
              <w:bottom w:val="single" w:sz="4" w:space="0" w:color="auto"/>
              <w:right w:val="single" w:sz="4" w:space="0" w:color="auto"/>
            </w:tcBorders>
            <w:noWrap/>
            <w:vAlign w:val="bottom"/>
            <w:hideMark/>
          </w:tcPr>
          <w:p w14:paraId="6CC75412" w14:textId="00666610" w:rsidR="007F7223" w:rsidRPr="000020F0" w:rsidRDefault="007F7223" w:rsidP="007F7223">
            <w:pPr>
              <w:jc w:val="right"/>
              <w:rPr>
                <w:rFonts w:ascii="Arial" w:hAnsi="Arial" w:cs="Arial"/>
                <w:color w:val="000000"/>
                <w:sz w:val="20"/>
                <w:szCs w:val="20"/>
              </w:rPr>
            </w:pPr>
            <w:r w:rsidRPr="000020F0">
              <w:rPr>
                <w:rFonts w:ascii="Arial" w:hAnsi="Arial" w:cs="Arial"/>
                <w:color w:val="000000"/>
                <w:sz w:val="20"/>
                <w:szCs w:val="20"/>
              </w:rPr>
              <w:t>559.912,37</w:t>
            </w:r>
          </w:p>
        </w:tc>
        <w:tc>
          <w:tcPr>
            <w:tcW w:w="1701" w:type="dxa"/>
            <w:tcBorders>
              <w:top w:val="nil"/>
              <w:left w:val="nil"/>
              <w:bottom w:val="single" w:sz="4" w:space="0" w:color="auto"/>
              <w:right w:val="single" w:sz="4" w:space="0" w:color="auto"/>
            </w:tcBorders>
            <w:noWrap/>
            <w:vAlign w:val="bottom"/>
            <w:hideMark/>
          </w:tcPr>
          <w:p w14:paraId="35F12163" w14:textId="30BED667" w:rsidR="007F7223" w:rsidRPr="000020F0" w:rsidRDefault="007F7223" w:rsidP="007F7223">
            <w:pPr>
              <w:rPr>
                <w:rFonts w:ascii="Arial" w:hAnsi="Arial" w:cs="Arial"/>
                <w:color w:val="000000"/>
                <w:sz w:val="20"/>
                <w:szCs w:val="20"/>
              </w:rPr>
            </w:pPr>
            <w:r w:rsidRPr="000020F0">
              <w:rPr>
                <w:rFonts w:ascii="Arial" w:hAnsi="Arial" w:cs="Arial"/>
                <w:color w:val="000000"/>
                <w:sz w:val="20"/>
                <w:szCs w:val="20"/>
              </w:rPr>
              <w:t> </w:t>
            </w:r>
          </w:p>
        </w:tc>
      </w:tr>
      <w:tr w:rsidR="007F7223" w:rsidRPr="000020F0" w14:paraId="7695F8F4" w14:textId="77777777" w:rsidTr="00A85338">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0F06AAF6" w14:textId="7974D2C0" w:rsidR="007F7223" w:rsidRPr="000020F0" w:rsidRDefault="007F7223" w:rsidP="007F7223">
            <w:pPr>
              <w:rPr>
                <w:rFonts w:ascii="Arial" w:hAnsi="Arial" w:cs="Arial"/>
                <w:b/>
                <w:bCs/>
                <w:color w:val="000000"/>
                <w:sz w:val="20"/>
                <w:szCs w:val="20"/>
              </w:rPr>
            </w:pPr>
            <w:r w:rsidRPr="000020F0">
              <w:rPr>
                <w:rFonts w:ascii="Arial" w:hAnsi="Arial" w:cs="Arial"/>
                <w:color w:val="000000"/>
                <w:sz w:val="20"/>
                <w:szCs w:val="20"/>
              </w:rPr>
              <w:t>Povračljiv davek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0DD94775" w14:textId="76871393"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22.291,03</w:t>
            </w:r>
          </w:p>
        </w:tc>
        <w:tc>
          <w:tcPr>
            <w:tcW w:w="1275" w:type="dxa"/>
            <w:tcBorders>
              <w:top w:val="nil"/>
              <w:left w:val="nil"/>
              <w:bottom w:val="single" w:sz="4" w:space="0" w:color="auto"/>
              <w:right w:val="single" w:sz="4" w:space="0" w:color="auto"/>
            </w:tcBorders>
            <w:shd w:val="clear" w:color="000000" w:fill="D9D9D9"/>
            <w:noWrap/>
            <w:vAlign w:val="bottom"/>
            <w:hideMark/>
          </w:tcPr>
          <w:p w14:paraId="63970DCC" w14:textId="1E10F819"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0,66%</w:t>
            </w:r>
          </w:p>
        </w:tc>
        <w:tc>
          <w:tcPr>
            <w:tcW w:w="1560" w:type="dxa"/>
            <w:tcBorders>
              <w:top w:val="nil"/>
              <w:left w:val="nil"/>
              <w:bottom w:val="single" w:sz="4" w:space="0" w:color="auto"/>
              <w:right w:val="single" w:sz="4" w:space="0" w:color="auto"/>
            </w:tcBorders>
            <w:shd w:val="clear" w:color="000000" w:fill="D9D9D9"/>
            <w:noWrap/>
            <w:vAlign w:val="bottom"/>
            <w:hideMark/>
          </w:tcPr>
          <w:p w14:paraId="34F93116" w14:textId="0D8069F5"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22.291,03</w:t>
            </w:r>
          </w:p>
        </w:tc>
        <w:tc>
          <w:tcPr>
            <w:tcW w:w="1701" w:type="dxa"/>
            <w:tcBorders>
              <w:top w:val="nil"/>
              <w:left w:val="nil"/>
              <w:bottom w:val="single" w:sz="4" w:space="0" w:color="auto"/>
              <w:right w:val="single" w:sz="4" w:space="0" w:color="auto"/>
            </w:tcBorders>
            <w:shd w:val="clear" w:color="000000" w:fill="D9D9D9"/>
            <w:noWrap/>
            <w:vAlign w:val="bottom"/>
            <w:hideMark/>
          </w:tcPr>
          <w:p w14:paraId="56DCFAFF" w14:textId="120BFD81" w:rsidR="007F7223" w:rsidRPr="000020F0" w:rsidRDefault="007F7223" w:rsidP="007F7223">
            <w:pPr>
              <w:jc w:val="right"/>
              <w:rPr>
                <w:rFonts w:ascii="Arial" w:hAnsi="Arial" w:cs="Arial"/>
                <w:b/>
                <w:bCs/>
                <w:color w:val="000000"/>
                <w:sz w:val="20"/>
                <w:szCs w:val="20"/>
              </w:rPr>
            </w:pPr>
            <w:r w:rsidRPr="000020F0">
              <w:rPr>
                <w:rFonts w:ascii="Arial" w:hAnsi="Arial" w:cs="Arial"/>
                <w:color w:val="000000"/>
                <w:sz w:val="20"/>
                <w:szCs w:val="20"/>
              </w:rPr>
              <w:t> </w:t>
            </w:r>
          </w:p>
        </w:tc>
      </w:tr>
      <w:tr w:rsidR="007F7223" w:rsidRPr="000020F0" w14:paraId="36BA8113" w14:textId="77777777" w:rsidTr="00A85338">
        <w:trPr>
          <w:trHeight w:val="28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727C8D31" w14:textId="7E2B1344" w:rsidR="007F7223" w:rsidRPr="000020F0" w:rsidRDefault="007F7223" w:rsidP="007F7223">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2F418803" w14:textId="6E472902" w:rsidR="007F7223" w:rsidRPr="000020F0" w:rsidRDefault="007F7223" w:rsidP="007F7223">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1275" w:type="dxa"/>
            <w:tcBorders>
              <w:top w:val="nil"/>
              <w:left w:val="nil"/>
              <w:bottom w:val="single" w:sz="4" w:space="0" w:color="auto"/>
              <w:right w:val="single" w:sz="4" w:space="0" w:color="auto"/>
            </w:tcBorders>
            <w:shd w:val="clear" w:color="000000" w:fill="D9D9D9"/>
            <w:noWrap/>
            <w:vAlign w:val="bottom"/>
            <w:hideMark/>
          </w:tcPr>
          <w:p w14:paraId="000BB4A2" w14:textId="1B9FC999" w:rsidR="007F7223" w:rsidRPr="000020F0" w:rsidRDefault="007F7223" w:rsidP="007F7223">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1560" w:type="dxa"/>
            <w:tcBorders>
              <w:top w:val="nil"/>
              <w:left w:val="nil"/>
              <w:bottom w:val="single" w:sz="4" w:space="0" w:color="auto"/>
              <w:right w:val="single" w:sz="4" w:space="0" w:color="auto"/>
            </w:tcBorders>
            <w:shd w:val="clear" w:color="000000" w:fill="D9D9D9"/>
            <w:noWrap/>
            <w:vAlign w:val="bottom"/>
            <w:hideMark/>
          </w:tcPr>
          <w:p w14:paraId="5C1D60A6" w14:textId="5F78825A" w:rsidR="007F7223" w:rsidRPr="000020F0" w:rsidRDefault="007F7223" w:rsidP="007F7223">
            <w:pPr>
              <w:jc w:val="right"/>
              <w:rPr>
                <w:rFonts w:ascii="Arial" w:hAnsi="Arial" w:cs="Arial"/>
                <w:b/>
                <w:bCs/>
                <w:color w:val="000000"/>
                <w:sz w:val="20"/>
                <w:szCs w:val="20"/>
              </w:rPr>
            </w:pPr>
            <w:r w:rsidRPr="000020F0">
              <w:rPr>
                <w:rFonts w:ascii="Arial" w:hAnsi="Arial" w:cs="Arial"/>
                <w:b/>
                <w:bCs/>
                <w:color w:val="000000"/>
                <w:sz w:val="20"/>
                <w:szCs w:val="20"/>
              </w:rPr>
              <w:t>559.912,37</w:t>
            </w:r>
          </w:p>
        </w:tc>
        <w:tc>
          <w:tcPr>
            <w:tcW w:w="1701" w:type="dxa"/>
            <w:tcBorders>
              <w:top w:val="nil"/>
              <w:left w:val="nil"/>
              <w:bottom w:val="single" w:sz="4" w:space="0" w:color="auto"/>
              <w:right w:val="single" w:sz="4" w:space="0" w:color="auto"/>
            </w:tcBorders>
            <w:shd w:val="clear" w:color="000000" w:fill="D9D9D9"/>
            <w:noWrap/>
            <w:vAlign w:val="bottom"/>
            <w:hideMark/>
          </w:tcPr>
          <w:p w14:paraId="6E11AA2D" w14:textId="4BEE5CD3" w:rsidR="007F7223" w:rsidRPr="000020F0" w:rsidRDefault="007F7223" w:rsidP="007F7223">
            <w:pPr>
              <w:jc w:val="right"/>
              <w:rPr>
                <w:rFonts w:ascii="Arial" w:hAnsi="Arial" w:cs="Arial"/>
                <w:b/>
                <w:bCs/>
                <w:color w:val="000000"/>
                <w:sz w:val="20"/>
                <w:szCs w:val="20"/>
              </w:rPr>
            </w:pPr>
            <w:r w:rsidRPr="000020F0">
              <w:rPr>
                <w:rFonts w:ascii="Arial" w:hAnsi="Arial" w:cs="Arial"/>
                <w:b/>
                <w:bCs/>
                <w:color w:val="000000"/>
                <w:sz w:val="20"/>
                <w:szCs w:val="20"/>
              </w:rPr>
              <w:t>2.880.085,96</w:t>
            </w:r>
          </w:p>
        </w:tc>
      </w:tr>
    </w:tbl>
    <w:p w14:paraId="5DBF22E8" w14:textId="476B5D7F" w:rsidR="00805CFD" w:rsidRPr="000020F0" w:rsidRDefault="00306670" w:rsidP="00306670">
      <w:pPr>
        <w:pStyle w:val="Napis"/>
        <w:spacing w:line="276" w:lineRule="auto"/>
        <w:jc w:val="both"/>
      </w:pPr>
      <w:r w:rsidRPr="000020F0">
        <w:t xml:space="preserve"> </w:t>
      </w:r>
    </w:p>
    <w:p w14:paraId="09767A18" w14:textId="290CFFD6" w:rsidR="00604D55" w:rsidRPr="000020F0" w:rsidRDefault="00604D55" w:rsidP="00BD1D20">
      <w:pPr>
        <w:pStyle w:val="Napis"/>
        <w:spacing w:line="276" w:lineRule="auto"/>
        <w:jc w:val="both"/>
        <w:rPr>
          <w:rFonts w:asciiTheme="majorHAnsi" w:hAnsiTheme="majorHAnsi" w:cstheme="majorHAnsi"/>
          <w:b w:val="0"/>
          <w:color w:val="auto"/>
          <w:sz w:val="22"/>
          <w:szCs w:val="22"/>
        </w:rPr>
      </w:pPr>
      <w:bookmarkStart w:id="111" w:name="_Toc230882286"/>
      <w:r w:rsidRPr="000020F0">
        <w:rPr>
          <w:rFonts w:asciiTheme="majorHAnsi" w:hAnsiTheme="majorHAnsi" w:cstheme="majorHAnsi"/>
          <w:color w:val="auto"/>
          <w:sz w:val="22"/>
          <w:szCs w:val="22"/>
        </w:rPr>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6</w:t>
      </w:r>
      <w:r w:rsidRPr="000020F0">
        <w:rPr>
          <w:rFonts w:asciiTheme="majorHAnsi" w:hAnsiTheme="majorHAnsi" w:cstheme="majorHAnsi"/>
          <w:color w:val="auto"/>
          <w:sz w:val="22"/>
          <w:szCs w:val="22"/>
        </w:rPr>
        <w:fldChar w:fldCharType="end"/>
      </w:r>
      <w:r w:rsidRPr="000020F0">
        <w:rPr>
          <w:rFonts w:asciiTheme="majorHAnsi" w:hAnsiTheme="majorHAnsi" w:cstheme="majorHAnsi"/>
          <w:b w:val="0"/>
          <w:color w:val="auto"/>
          <w:sz w:val="22"/>
          <w:szCs w:val="22"/>
        </w:rPr>
        <w:t>:</w:t>
      </w:r>
      <w:r w:rsidR="0097393F" w:rsidRPr="000020F0">
        <w:rPr>
          <w:rFonts w:asciiTheme="majorHAnsi" w:hAnsiTheme="majorHAnsi" w:cstheme="majorHAnsi"/>
          <w:b w:val="0"/>
          <w:color w:val="auto"/>
          <w:sz w:val="22"/>
          <w:szCs w:val="22"/>
        </w:rPr>
        <w:t xml:space="preserve"> </w:t>
      </w:r>
      <w:r w:rsidRPr="000020F0">
        <w:rPr>
          <w:rFonts w:asciiTheme="majorHAnsi" w:hAnsiTheme="majorHAnsi" w:cstheme="majorHAnsi"/>
          <w:b w:val="0"/>
          <w:color w:val="auto"/>
          <w:sz w:val="22"/>
          <w:szCs w:val="22"/>
        </w:rPr>
        <w:t>Predvidena finančna konstrukcija v tekočih cenah (v EUR)</w:t>
      </w:r>
      <w:bookmarkEnd w:id="111"/>
    </w:p>
    <w:tbl>
      <w:tblPr>
        <w:tblW w:w="7482" w:type="dxa"/>
        <w:tblCellMar>
          <w:left w:w="70" w:type="dxa"/>
          <w:right w:w="70" w:type="dxa"/>
        </w:tblCellMar>
        <w:tblLook w:val="04A0" w:firstRow="1" w:lastRow="0" w:firstColumn="1" w:lastColumn="0" w:noHBand="0" w:noVBand="1"/>
      </w:tblPr>
      <w:tblGrid>
        <w:gridCol w:w="3902"/>
        <w:gridCol w:w="1882"/>
        <w:gridCol w:w="1698"/>
      </w:tblGrid>
      <w:tr w:rsidR="00805CFD" w:rsidRPr="000020F0" w14:paraId="1C58280C" w14:textId="77777777" w:rsidTr="00513777">
        <w:trPr>
          <w:trHeight w:val="301"/>
          <w:tblHeader/>
        </w:trPr>
        <w:tc>
          <w:tcPr>
            <w:tcW w:w="3902" w:type="dxa"/>
            <w:tcBorders>
              <w:top w:val="single" w:sz="4" w:space="0" w:color="auto"/>
              <w:left w:val="single" w:sz="4" w:space="0" w:color="auto"/>
              <w:bottom w:val="single" w:sz="4" w:space="0" w:color="auto"/>
              <w:right w:val="single" w:sz="4" w:space="0" w:color="auto"/>
            </w:tcBorders>
            <w:shd w:val="clear" w:color="000000" w:fill="0B3040"/>
            <w:vAlign w:val="bottom"/>
            <w:hideMark/>
          </w:tcPr>
          <w:p w14:paraId="1A20FE4D" w14:textId="77777777" w:rsidR="00805CFD" w:rsidRPr="000020F0" w:rsidRDefault="00805CFD">
            <w:pPr>
              <w:rPr>
                <w:rFonts w:ascii="Arial" w:hAnsi="Arial" w:cs="Arial"/>
                <w:b/>
                <w:bCs/>
                <w:color w:val="FFFFFF"/>
                <w:sz w:val="20"/>
                <w:szCs w:val="20"/>
              </w:rPr>
            </w:pPr>
            <w:r w:rsidRPr="000020F0">
              <w:rPr>
                <w:rFonts w:ascii="Arial" w:hAnsi="Arial" w:cs="Arial"/>
                <w:b/>
                <w:bCs/>
                <w:color w:val="FFFFFF"/>
                <w:sz w:val="20"/>
                <w:szCs w:val="20"/>
              </w:rPr>
              <w:t>VIRI FINANCIRANJA</w:t>
            </w:r>
          </w:p>
        </w:tc>
        <w:tc>
          <w:tcPr>
            <w:tcW w:w="1882" w:type="dxa"/>
            <w:tcBorders>
              <w:top w:val="single" w:sz="4" w:space="0" w:color="auto"/>
              <w:left w:val="nil"/>
              <w:bottom w:val="single" w:sz="4" w:space="0" w:color="auto"/>
              <w:right w:val="single" w:sz="4" w:space="0" w:color="auto"/>
            </w:tcBorders>
            <w:shd w:val="clear" w:color="000000" w:fill="0B3040"/>
            <w:noWrap/>
            <w:vAlign w:val="bottom"/>
            <w:hideMark/>
          </w:tcPr>
          <w:p w14:paraId="7EC88DDC" w14:textId="77777777" w:rsidR="00805CFD" w:rsidRPr="000020F0" w:rsidRDefault="00805CFD">
            <w:pPr>
              <w:rPr>
                <w:rFonts w:ascii="Arial" w:hAnsi="Arial" w:cs="Arial"/>
                <w:b/>
                <w:bCs/>
                <w:color w:val="FFFFFF"/>
                <w:sz w:val="20"/>
                <w:szCs w:val="20"/>
              </w:rPr>
            </w:pPr>
            <w:r w:rsidRPr="000020F0">
              <w:rPr>
                <w:rFonts w:ascii="Arial" w:hAnsi="Arial" w:cs="Arial"/>
                <w:b/>
                <w:bCs/>
                <w:color w:val="FFFFFF"/>
                <w:sz w:val="20"/>
                <w:szCs w:val="20"/>
              </w:rPr>
              <w:t>SKUPAJ</w:t>
            </w:r>
          </w:p>
        </w:tc>
        <w:tc>
          <w:tcPr>
            <w:tcW w:w="1698" w:type="dxa"/>
            <w:tcBorders>
              <w:top w:val="single" w:sz="4" w:space="0" w:color="auto"/>
              <w:left w:val="nil"/>
              <w:bottom w:val="single" w:sz="4" w:space="0" w:color="auto"/>
              <w:right w:val="single" w:sz="4" w:space="0" w:color="auto"/>
            </w:tcBorders>
            <w:shd w:val="clear" w:color="000000" w:fill="0B3040"/>
            <w:noWrap/>
            <w:vAlign w:val="bottom"/>
            <w:hideMark/>
          </w:tcPr>
          <w:p w14:paraId="6EF73278" w14:textId="77777777" w:rsidR="00805CFD" w:rsidRPr="000020F0" w:rsidRDefault="00805CFD">
            <w:pPr>
              <w:rPr>
                <w:rFonts w:ascii="Arial" w:hAnsi="Arial" w:cs="Arial"/>
                <w:b/>
                <w:bCs/>
                <w:color w:val="FFFFFF"/>
                <w:sz w:val="20"/>
                <w:szCs w:val="20"/>
              </w:rPr>
            </w:pPr>
            <w:r w:rsidRPr="000020F0">
              <w:rPr>
                <w:rFonts w:ascii="Arial" w:hAnsi="Arial" w:cs="Arial"/>
                <w:b/>
                <w:bCs/>
                <w:color w:val="FFFFFF"/>
                <w:sz w:val="20"/>
                <w:szCs w:val="20"/>
              </w:rPr>
              <w:t>DELEŽ</w:t>
            </w:r>
          </w:p>
        </w:tc>
      </w:tr>
      <w:tr w:rsidR="00856FC7" w:rsidRPr="000020F0" w14:paraId="4525CB84" w14:textId="77777777" w:rsidTr="00805CFD">
        <w:trPr>
          <w:trHeight w:val="301"/>
        </w:trPr>
        <w:tc>
          <w:tcPr>
            <w:tcW w:w="3902" w:type="dxa"/>
            <w:tcBorders>
              <w:top w:val="nil"/>
              <w:left w:val="single" w:sz="4" w:space="0" w:color="auto"/>
              <w:bottom w:val="single" w:sz="4" w:space="0" w:color="auto"/>
              <w:right w:val="single" w:sz="4" w:space="0" w:color="auto"/>
            </w:tcBorders>
            <w:shd w:val="clear" w:color="000000" w:fill="D9D9D9"/>
            <w:vAlign w:val="bottom"/>
            <w:hideMark/>
          </w:tcPr>
          <w:p w14:paraId="7D0510F9" w14:textId="77777777" w:rsidR="00856FC7" w:rsidRPr="000020F0" w:rsidRDefault="00856FC7" w:rsidP="00856FC7">
            <w:pPr>
              <w:rPr>
                <w:rFonts w:ascii="Arial" w:hAnsi="Arial" w:cs="Arial"/>
                <w:b/>
                <w:bCs/>
                <w:color w:val="000000"/>
                <w:sz w:val="20"/>
                <w:szCs w:val="20"/>
              </w:rPr>
            </w:pPr>
            <w:r w:rsidRPr="000020F0">
              <w:rPr>
                <w:rFonts w:ascii="Arial" w:hAnsi="Arial" w:cs="Arial"/>
                <w:b/>
                <w:bCs/>
                <w:color w:val="000000"/>
                <w:sz w:val="20"/>
                <w:szCs w:val="20"/>
              </w:rPr>
              <w:t>UPRAVIČENI STROŠKI</w:t>
            </w:r>
          </w:p>
        </w:tc>
        <w:tc>
          <w:tcPr>
            <w:tcW w:w="1882" w:type="dxa"/>
            <w:tcBorders>
              <w:top w:val="nil"/>
              <w:left w:val="nil"/>
              <w:bottom w:val="single" w:sz="4" w:space="0" w:color="auto"/>
              <w:right w:val="single" w:sz="4" w:space="0" w:color="auto"/>
            </w:tcBorders>
            <w:shd w:val="clear" w:color="000000" w:fill="D9D9D9"/>
            <w:noWrap/>
            <w:vAlign w:val="bottom"/>
            <w:hideMark/>
          </w:tcPr>
          <w:p w14:paraId="46691EA3" w14:textId="5FFF251F"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2.498.375,04</w:t>
            </w:r>
          </w:p>
        </w:tc>
        <w:tc>
          <w:tcPr>
            <w:tcW w:w="1698" w:type="dxa"/>
            <w:tcBorders>
              <w:top w:val="nil"/>
              <w:left w:val="nil"/>
              <w:bottom w:val="single" w:sz="4" w:space="0" w:color="auto"/>
              <w:right w:val="single" w:sz="4" w:space="0" w:color="auto"/>
            </w:tcBorders>
            <w:shd w:val="clear" w:color="000000" w:fill="D9D9D9"/>
            <w:noWrap/>
            <w:vAlign w:val="bottom"/>
            <w:hideMark/>
          </w:tcPr>
          <w:p w14:paraId="49C9288F" w14:textId="64D6457E"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73,78%</w:t>
            </w:r>
          </w:p>
        </w:tc>
      </w:tr>
      <w:tr w:rsidR="00856FC7" w:rsidRPr="000020F0" w14:paraId="1F3D44A8"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55FD716D"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EU sredstva</w:t>
            </w:r>
          </w:p>
        </w:tc>
        <w:tc>
          <w:tcPr>
            <w:tcW w:w="1882" w:type="dxa"/>
            <w:tcBorders>
              <w:top w:val="nil"/>
              <w:left w:val="nil"/>
              <w:bottom w:val="single" w:sz="4" w:space="0" w:color="auto"/>
              <w:right w:val="single" w:sz="4" w:space="0" w:color="auto"/>
            </w:tcBorders>
            <w:noWrap/>
            <w:vAlign w:val="bottom"/>
            <w:hideMark/>
          </w:tcPr>
          <w:p w14:paraId="76F540B4" w14:textId="03F0B0D5"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1.698.895,04</w:t>
            </w:r>
          </w:p>
        </w:tc>
        <w:tc>
          <w:tcPr>
            <w:tcW w:w="1698" w:type="dxa"/>
            <w:tcBorders>
              <w:top w:val="nil"/>
              <w:left w:val="nil"/>
              <w:bottom w:val="single" w:sz="4" w:space="0" w:color="auto"/>
              <w:right w:val="single" w:sz="4" w:space="0" w:color="auto"/>
            </w:tcBorders>
            <w:noWrap/>
            <w:vAlign w:val="bottom"/>
            <w:hideMark/>
          </w:tcPr>
          <w:p w14:paraId="39C03EFD" w14:textId="326848C0"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50,17%</w:t>
            </w:r>
          </w:p>
        </w:tc>
      </w:tr>
      <w:tr w:rsidR="00856FC7" w:rsidRPr="000020F0" w14:paraId="1F508F5C"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0C7FA538"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Slovenska udeležba</w:t>
            </w:r>
          </w:p>
        </w:tc>
        <w:tc>
          <w:tcPr>
            <w:tcW w:w="1882" w:type="dxa"/>
            <w:tcBorders>
              <w:top w:val="nil"/>
              <w:left w:val="nil"/>
              <w:bottom w:val="single" w:sz="4" w:space="0" w:color="auto"/>
              <w:right w:val="single" w:sz="4" w:space="0" w:color="auto"/>
            </w:tcBorders>
            <w:noWrap/>
            <w:vAlign w:val="bottom"/>
            <w:hideMark/>
          </w:tcPr>
          <w:p w14:paraId="17F21410" w14:textId="6F32858B"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299.804,99</w:t>
            </w:r>
          </w:p>
        </w:tc>
        <w:tc>
          <w:tcPr>
            <w:tcW w:w="1698" w:type="dxa"/>
            <w:tcBorders>
              <w:top w:val="nil"/>
              <w:left w:val="nil"/>
              <w:bottom w:val="single" w:sz="4" w:space="0" w:color="auto"/>
              <w:right w:val="single" w:sz="4" w:space="0" w:color="auto"/>
            </w:tcBorders>
            <w:noWrap/>
            <w:vAlign w:val="bottom"/>
            <w:hideMark/>
          </w:tcPr>
          <w:p w14:paraId="3CF85E90" w14:textId="4FBFAD0D"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8,85%</w:t>
            </w:r>
          </w:p>
        </w:tc>
      </w:tr>
      <w:tr w:rsidR="00856FC7" w:rsidRPr="000020F0" w14:paraId="34E5FBCB"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7098761D"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Lastna sredstva</w:t>
            </w:r>
          </w:p>
        </w:tc>
        <w:tc>
          <w:tcPr>
            <w:tcW w:w="1882" w:type="dxa"/>
            <w:tcBorders>
              <w:top w:val="nil"/>
              <w:left w:val="nil"/>
              <w:bottom w:val="single" w:sz="4" w:space="0" w:color="auto"/>
              <w:right w:val="single" w:sz="4" w:space="0" w:color="auto"/>
            </w:tcBorders>
            <w:noWrap/>
            <w:vAlign w:val="bottom"/>
            <w:hideMark/>
          </w:tcPr>
          <w:p w14:paraId="23F8317F" w14:textId="57EAE3E0"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499.675,01</w:t>
            </w:r>
          </w:p>
        </w:tc>
        <w:tc>
          <w:tcPr>
            <w:tcW w:w="1698" w:type="dxa"/>
            <w:tcBorders>
              <w:top w:val="nil"/>
              <w:left w:val="nil"/>
              <w:bottom w:val="single" w:sz="4" w:space="0" w:color="auto"/>
              <w:right w:val="single" w:sz="4" w:space="0" w:color="auto"/>
            </w:tcBorders>
            <w:noWrap/>
            <w:vAlign w:val="bottom"/>
            <w:hideMark/>
          </w:tcPr>
          <w:p w14:paraId="038F8B77" w14:textId="2D1386F0"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14,76%</w:t>
            </w:r>
          </w:p>
        </w:tc>
      </w:tr>
      <w:tr w:rsidR="00856FC7" w:rsidRPr="000020F0" w14:paraId="087A689E" w14:textId="77777777" w:rsidTr="00805CFD">
        <w:trPr>
          <w:trHeight w:val="301"/>
        </w:trPr>
        <w:tc>
          <w:tcPr>
            <w:tcW w:w="3902" w:type="dxa"/>
            <w:tcBorders>
              <w:top w:val="nil"/>
              <w:left w:val="single" w:sz="4" w:space="0" w:color="auto"/>
              <w:bottom w:val="single" w:sz="4" w:space="0" w:color="auto"/>
              <w:right w:val="single" w:sz="4" w:space="0" w:color="auto"/>
            </w:tcBorders>
            <w:shd w:val="clear" w:color="000000" w:fill="D9D9D9"/>
            <w:vAlign w:val="bottom"/>
            <w:hideMark/>
          </w:tcPr>
          <w:p w14:paraId="75F970FC" w14:textId="77777777" w:rsidR="00856FC7" w:rsidRPr="000020F0" w:rsidRDefault="00856FC7" w:rsidP="00856FC7">
            <w:pPr>
              <w:rPr>
                <w:rFonts w:ascii="Arial" w:hAnsi="Arial" w:cs="Arial"/>
                <w:b/>
                <w:bCs/>
                <w:color w:val="000000"/>
                <w:sz w:val="20"/>
                <w:szCs w:val="20"/>
              </w:rPr>
            </w:pPr>
            <w:r w:rsidRPr="000020F0">
              <w:rPr>
                <w:rFonts w:ascii="Arial" w:hAnsi="Arial" w:cs="Arial"/>
                <w:b/>
                <w:bCs/>
                <w:color w:val="000000"/>
                <w:sz w:val="20"/>
                <w:szCs w:val="20"/>
              </w:rPr>
              <w:t>NEUPRAVIČENI STROŠKI</w:t>
            </w:r>
          </w:p>
        </w:tc>
        <w:tc>
          <w:tcPr>
            <w:tcW w:w="1882" w:type="dxa"/>
            <w:tcBorders>
              <w:top w:val="nil"/>
              <w:left w:val="nil"/>
              <w:bottom w:val="single" w:sz="4" w:space="0" w:color="auto"/>
              <w:right w:val="single" w:sz="4" w:space="0" w:color="auto"/>
            </w:tcBorders>
            <w:shd w:val="clear" w:color="000000" w:fill="D9D9D9"/>
            <w:noWrap/>
            <w:vAlign w:val="bottom"/>
            <w:hideMark/>
          </w:tcPr>
          <w:p w14:paraId="7D70765E" w14:textId="018832F0"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865.388,76</w:t>
            </w:r>
          </w:p>
        </w:tc>
        <w:tc>
          <w:tcPr>
            <w:tcW w:w="1698" w:type="dxa"/>
            <w:tcBorders>
              <w:top w:val="nil"/>
              <w:left w:val="nil"/>
              <w:bottom w:val="single" w:sz="4" w:space="0" w:color="auto"/>
              <w:right w:val="single" w:sz="4" w:space="0" w:color="auto"/>
            </w:tcBorders>
            <w:shd w:val="clear" w:color="000000" w:fill="D9D9D9"/>
            <w:noWrap/>
            <w:vAlign w:val="bottom"/>
            <w:hideMark/>
          </w:tcPr>
          <w:p w14:paraId="5E79FA0B" w14:textId="423742F6"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25,56%</w:t>
            </w:r>
          </w:p>
        </w:tc>
      </w:tr>
      <w:tr w:rsidR="00856FC7" w:rsidRPr="000020F0" w14:paraId="57DDF895"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5B0C2919"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EU sredstva</w:t>
            </w:r>
          </w:p>
        </w:tc>
        <w:tc>
          <w:tcPr>
            <w:tcW w:w="1882" w:type="dxa"/>
            <w:tcBorders>
              <w:top w:val="nil"/>
              <w:left w:val="nil"/>
              <w:bottom w:val="single" w:sz="4" w:space="0" w:color="auto"/>
              <w:right w:val="single" w:sz="4" w:space="0" w:color="auto"/>
            </w:tcBorders>
            <w:noWrap/>
            <w:vAlign w:val="bottom"/>
            <w:hideMark/>
          </w:tcPr>
          <w:p w14:paraId="7C918AA8" w14:textId="6196B084"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c>
          <w:tcPr>
            <w:tcW w:w="1698" w:type="dxa"/>
            <w:tcBorders>
              <w:top w:val="nil"/>
              <w:left w:val="nil"/>
              <w:bottom w:val="single" w:sz="4" w:space="0" w:color="auto"/>
              <w:right w:val="single" w:sz="4" w:space="0" w:color="auto"/>
            </w:tcBorders>
            <w:noWrap/>
            <w:vAlign w:val="bottom"/>
            <w:hideMark/>
          </w:tcPr>
          <w:p w14:paraId="7681426B" w14:textId="7D822689"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r>
      <w:tr w:rsidR="00856FC7" w:rsidRPr="000020F0" w14:paraId="470DBE7F"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799653C0"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Slovenska udeležba</w:t>
            </w:r>
          </w:p>
        </w:tc>
        <w:tc>
          <w:tcPr>
            <w:tcW w:w="1882" w:type="dxa"/>
            <w:tcBorders>
              <w:top w:val="nil"/>
              <w:left w:val="nil"/>
              <w:bottom w:val="single" w:sz="4" w:space="0" w:color="auto"/>
              <w:right w:val="single" w:sz="4" w:space="0" w:color="auto"/>
            </w:tcBorders>
            <w:noWrap/>
            <w:vAlign w:val="bottom"/>
            <w:hideMark/>
          </w:tcPr>
          <w:p w14:paraId="1717F4F9" w14:textId="6A4F12B8"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c>
          <w:tcPr>
            <w:tcW w:w="1698" w:type="dxa"/>
            <w:tcBorders>
              <w:top w:val="nil"/>
              <w:left w:val="nil"/>
              <w:bottom w:val="single" w:sz="4" w:space="0" w:color="auto"/>
              <w:right w:val="single" w:sz="4" w:space="0" w:color="auto"/>
            </w:tcBorders>
            <w:noWrap/>
            <w:vAlign w:val="bottom"/>
            <w:hideMark/>
          </w:tcPr>
          <w:p w14:paraId="0D1DB0A1" w14:textId="45564306"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r>
      <w:tr w:rsidR="00856FC7" w:rsidRPr="000020F0" w14:paraId="6AEC4269"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7551D5D7"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Lastna sredstva</w:t>
            </w:r>
          </w:p>
        </w:tc>
        <w:tc>
          <w:tcPr>
            <w:tcW w:w="1882" w:type="dxa"/>
            <w:tcBorders>
              <w:top w:val="nil"/>
              <w:left w:val="nil"/>
              <w:bottom w:val="single" w:sz="4" w:space="0" w:color="auto"/>
              <w:right w:val="single" w:sz="4" w:space="0" w:color="auto"/>
            </w:tcBorders>
            <w:noWrap/>
            <w:vAlign w:val="bottom"/>
            <w:hideMark/>
          </w:tcPr>
          <w:p w14:paraId="5F8592CA" w14:textId="14C9C2FE"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865.388,76</w:t>
            </w:r>
          </w:p>
        </w:tc>
        <w:tc>
          <w:tcPr>
            <w:tcW w:w="1698" w:type="dxa"/>
            <w:tcBorders>
              <w:top w:val="nil"/>
              <w:left w:val="nil"/>
              <w:bottom w:val="single" w:sz="4" w:space="0" w:color="auto"/>
              <w:right w:val="single" w:sz="4" w:space="0" w:color="auto"/>
            </w:tcBorders>
            <w:noWrap/>
            <w:vAlign w:val="bottom"/>
            <w:hideMark/>
          </w:tcPr>
          <w:p w14:paraId="225D28A0" w14:textId="0E18136B"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25,56%</w:t>
            </w:r>
          </w:p>
        </w:tc>
      </w:tr>
      <w:tr w:rsidR="00856FC7" w:rsidRPr="000020F0" w14:paraId="40B34D6A" w14:textId="77777777" w:rsidTr="00805CFD">
        <w:trPr>
          <w:trHeight w:val="301"/>
        </w:trPr>
        <w:tc>
          <w:tcPr>
            <w:tcW w:w="3902" w:type="dxa"/>
            <w:tcBorders>
              <w:top w:val="nil"/>
              <w:left w:val="single" w:sz="4" w:space="0" w:color="auto"/>
              <w:bottom w:val="single" w:sz="4" w:space="0" w:color="auto"/>
              <w:right w:val="single" w:sz="4" w:space="0" w:color="auto"/>
            </w:tcBorders>
            <w:shd w:val="clear" w:color="000000" w:fill="D9D9D9"/>
            <w:vAlign w:val="bottom"/>
            <w:hideMark/>
          </w:tcPr>
          <w:p w14:paraId="04BCB082" w14:textId="77777777" w:rsidR="00856FC7" w:rsidRPr="000020F0" w:rsidRDefault="00856FC7" w:rsidP="00856FC7">
            <w:pPr>
              <w:rPr>
                <w:rFonts w:ascii="Arial" w:hAnsi="Arial" w:cs="Arial"/>
                <w:b/>
                <w:bCs/>
                <w:color w:val="000000"/>
                <w:sz w:val="20"/>
                <w:szCs w:val="20"/>
              </w:rPr>
            </w:pPr>
            <w:r w:rsidRPr="000020F0">
              <w:rPr>
                <w:rFonts w:ascii="Arial" w:hAnsi="Arial" w:cs="Arial"/>
                <w:b/>
                <w:bCs/>
                <w:color w:val="000000"/>
                <w:sz w:val="20"/>
                <w:szCs w:val="20"/>
              </w:rPr>
              <w:t>POVRATNI DDV</w:t>
            </w:r>
          </w:p>
        </w:tc>
        <w:tc>
          <w:tcPr>
            <w:tcW w:w="1882" w:type="dxa"/>
            <w:tcBorders>
              <w:top w:val="nil"/>
              <w:left w:val="nil"/>
              <w:bottom w:val="single" w:sz="4" w:space="0" w:color="auto"/>
              <w:right w:val="single" w:sz="4" w:space="0" w:color="auto"/>
            </w:tcBorders>
            <w:shd w:val="clear" w:color="000000" w:fill="D9D9D9"/>
            <w:noWrap/>
            <w:vAlign w:val="bottom"/>
            <w:hideMark/>
          </w:tcPr>
          <w:p w14:paraId="55CC102A" w14:textId="3FDB76EA"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22.291,03</w:t>
            </w:r>
          </w:p>
        </w:tc>
        <w:tc>
          <w:tcPr>
            <w:tcW w:w="1698" w:type="dxa"/>
            <w:tcBorders>
              <w:top w:val="nil"/>
              <w:left w:val="nil"/>
              <w:bottom w:val="single" w:sz="4" w:space="0" w:color="auto"/>
              <w:right w:val="single" w:sz="4" w:space="0" w:color="auto"/>
            </w:tcBorders>
            <w:shd w:val="clear" w:color="000000" w:fill="D9D9D9"/>
            <w:noWrap/>
            <w:vAlign w:val="bottom"/>
            <w:hideMark/>
          </w:tcPr>
          <w:p w14:paraId="10950A28" w14:textId="49F31332"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0,68%</w:t>
            </w:r>
          </w:p>
        </w:tc>
      </w:tr>
      <w:tr w:rsidR="00856FC7" w:rsidRPr="000020F0" w14:paraId="037EA9DD"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39ADADC8"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lastRenderedPageBreak/>
              <w:t>EU sredstva</w:t>
            </w:r>
          </w:p>
        </w:tc>
        <w:tc>
          <w:tcPr>
            <w:tcW w:w="1882" w:type="dxa"/>
            <w:tcBorders>
              <w:top w:val="nil"/>
              <w:left w:val="nil"/>
              <w:bottom w:val="single" w:sz="4" w:space="0" w:color="auto"/>
              <w:right w:val="single" w:sz="4" w:space="0" w:color="auto"/>
            </w:tcBorders>
            <w:noWrap/>
            <w:vAlign w:val="bottom"/>
            <w:hideMark/>
          </w:tcPr>
          <w:p w14:paraId="56F09611" w14:textId="29648F66"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c>
          <w:tcPr>
            <w:tcW w:w="1698" w:type="dxa"/>
            <w:tcBorders>
              <w:top w:val="nil"/>
              <w:left w:val="nil"/>
              <w:bottom w:val="single" w:sz="4" w:space="0" w:color="auto"/>
              <w:right w:val="single" w:sz="4" w:space="0" w:color="auto"/>
            </w:tcBorders>
            <w:noWrap/>
            <w:vAlign w:val="bottom"/>
            <w:hideMark/>
          </w:tcPr>
          <w:p w14:paraId="66B9DDCB" w14:textId="0C1270DF"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r>
      <w:tr w:rsidR="00856FC7" w:rsidRPr="000020F0" w14:paraId="00774B7A"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2D473317"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Slovenska udeležba</w:t>
            </w:r>
          </w:p>
        </w:tc>
        <w:tc>
          <w:tcPr>
            <w:tcW w:w="1882" w:type="dxa"/>
            <w:tcBorders>
              <w:top w:val="nil"/>
              <w:left w:val="nil"/>
              <w:bottom w:val="single" w:sz="4" w:space="0" w:color="auto"/>
              <w:right w:val="single" w:sz="4" w:space="0" w:color="auto"/>
            </w:tcBorders>
            <w:noWrap/>
            <w:vAlign w:val="bottom"/>
            <w:hideMark/>
          </w:tcPr>
          <w:p w14:paraId="1F7FCEDA" w14:textId="7CA08A82"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c>
          <w:tcPr>
            <w:tcW w:w="1698" w:type="dxa"/>
            <w:tcBorders>
              <w:top w:val="nil"/>
              <w:left w:val="nil"/>
              <w:bottom w:val="single" w:sz="4" w:space="0" w:color="auto"/>
              <w:right w:val="single" w:sz="4" w:space="0" w:color="auto"/>
            </w:tcBorders>
            <w:noWrap/>
            <w:vAlign w:val="bottom"/>
            <w:hideMark/>
          </w:tcPr>
          <w:p w14:paraId="052F3E57" w14:textId="1BAD72A5"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0,00%</w:t>
            </w:r>
          </w:p>
        </w:tc>
      </w:tr>
      <w:tr w:rsidR="00856FC7" w:rsidRPr="000020F0" w14:paraId="4AEB4B33"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7B973FD0"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Lastna sredstva</w:t>
            </w:r>
          </w:p>
        </w:tc>
        <w:tc>
          <w:tcPr>
            <w:tcW w:w="1882" w:type="dxa"/>
            <w:tcBorders>
              <w:top w:val="nil"/>
              <w:left w:val="nil"/>
              <w:bottom w:val="single" w:sz="4" w:space="0" w:color="auto"/>
              <w:right w:val="single" w:sz="4" w:space="0" w:color="auto"/>
            </w:tcBorders>
            <w:noWrap/>
            <w:vAlign w:val="bottom"/>
            <w:hideMark/>
          </w:tcPr>
          <w:p w14:paraId="74780D1D" w14:textId="5E60FCD7"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22.291,03</w:t>
            </w:r>
          </w:p>
        </w:tc>
        <w:tc>
          <w:tcPr>
            <w:tcW w:w="1698" w:type="dxa"/>
            <w:tcBorders>
              <w:top w:val="nil"/>
              <w:left w:val="nil"/>
              <w:bottom w:val="single" w:sz="4" w:space="0" w:color="auto"/>
              <w:right w:val="single" w:sz="4" w:space="0" w:color="auto"/>
            </w:tcBorders>
            <w:noWrap/>
            <w:vAlign w:val="bottom"/>
            <w:hideMark/>
          </w:tcPr>
          <w:p w14:paraId="3C9C1556" w14:textId="65FCDF6B"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0,68%</w:t>
            </w:r>
          </w:p>
        </w:tc>
      </w:tr>
      <w:tr w:rsidR="00856FC7" w:rsidRPr="000020F0" w14:paraId="3C228FDB" w14:textId="77777777" w:rsidTr="00805CFD">
        <w:trPr>
          <w:trHeight w:val="301"/>
        </w:trPr>
        <w:tc>
          <w:tcPr>
            <w:tcW w:w="3902" w:type="dxa"/>
            <w:tcBorders>
              <w:top w:val="nil"/>
              <w:left w:val="single" w:sz="4" w:space="0" w:color="auto"/>
              <w:bottom w:val="single" w:sz="4" w:space="0" w:color="auto"/>
              <w:right w:val="single" w:sz="4" w:space="0" w:color="auto"/>
            </w:tcBorders>
            <w:shd w:val="clear" w:color="000000" w:fill="D9D9D9"/>
            <w:vAlign w:val="bottom"/>
            <w:hideMark/>
          </w:tcPr>
          <w:p w14:paraId="3FB0BDE4" w14:textId="77777777" w:rsidR="00856FC7" w:rsidRPr="000020F0" w:rsidRDefault="00856FC7" w:rsidP="00856FC7">
            <w:pPr>
              <w:rPr>
                <w:rFonts w:ascii="Arial" w:hAnsi="Arial" w:cs="Arial"/>
                <w:b/>
                <w:bCs/>
                <w:color w:val="000000"/>
                <w:sz w:val="20"/>
                <w:szCs w:val="20"/>
              </w:rPr>
            </w:pPr>
            <w:r w:rsidRPr="000020F0">
              <w:rPr>
                <w:rFonts w:ascii="Arial" w:hAnsi="Arial" w:cs="Arial"/>
                <w:b/>
                <w:bCs/>
                <w:color w:val="000000"/>
                <w:sz w:val="20"/>
                <w:szCs w:val="20"/>
              </w:rPr>
              <w:t>SKUPAJ</w:t>
            </w:r>
          </w:p>
        </w:tc>
        <w:tc>
          <w:tcPr>
            <w:tcW w:w="1882" w:type="dxa"/>
            <w:tcBorders>
              <w:top w:val="nil"/>
              <w:left w:val="nil"/>
              <w:bottom w:val="single" w:sz="4" w:space="0" w:color="auto"/>
              <w:right w:val="single" w:sz="4" w:space="0" w:color="auto"/>
            </w:tcBorders>
            <w:shd w:val="clear" w:color="000000" w:fill="D9D9D9"/>
            <w:noWrap/>
            <w:vAlign w:val="bottom"/>
            <w:hideMark/>
          </w:tcPr>
          <w:p w14:paraId="7A71AFE9" w14:textId="63F2E231"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1698" w:type="dxa"/>
            <w:tcBorders>
              <w:top w:val="nil"/>
              <w:left w:val="nil"/>
              <w:bottom w:val="single" w:sz="4" w:space="0" w:color="auto"/>
              <w:right w:val="single" w:sz="4" w:space="0" w:color="auto"/>
            </w:tcBorders>
            <w:shd w:val="clear" w:color="000000" w:fill="D9D9D9"/>
            <w:noWrap/>
            <w:vAlign w:val="bottom"/>
            <w:hideMark/>
          </w:tcPr>
          <w:p w14:paraId="767686E9" w14:textId="5C3CE27F" w:rsidR="00856FC7" w:rsidRPr="000020F0" w:rsidRDefault="00856FC7" w:rsidP="00856FC7">
            <w:pPr>
              <w:jc w:val="right"/>
              <w:rPr>
                <w:rFonts w:ascii="Arial" w:hAnsi="Arial" w:cs="Arial"/>
                <w:b/>
                <w:bCs/>
                <w:color w:val="000000"/>
                <w:sz w:val="20"/>
                <w:szCs w:val="20"/>
              </w:rPr>
            </w:pPr>
            <w:r w:rsidRPr="000020F0">
              <w:rPr>
                <w:rFonts w:ascii="Arial" w:hAnsi="Arial" w:cs="Arial"/>
                <w:b/>
                <w:bCs/>
                <w:color w:val="000000"/>
                <w:sz w:val="20"/>
                <w:szCs w:val="20"/>
              </w:rPr>
              <w:t>100,00%</w:t>
            </w:r>
          </w:p>
        </w:tc>
      </w:tr>
      <w:tr w:rsidR="00856FC7" w:rsidRPr="000020F0" w14:paraId="6B99C2C7"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14F59E1A"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EU sredstva</w:t>
            </w:r>
          </w:p>
        </w:tc>
        <w:tc>
          <w:tcPr>
            <w:tcW w:w="1882" w:type="dxa"/>
            <w:tcBorders>
              <w:top w:val="nil"/>
              <w:left w:val="nil"/>
              <w:bottom w:val="single" w:sz="4" w:space="0" w:color="auto"/>
              <w:right w:val="single" w:sz="4" w:space="0" w:color="auto"/>
            </w:tcBorders>
            <w:noWrap/>
            <w:vAlign w:val="bottom"/>
            <w:hideMark/>
          </w:tcPr>
          <w:p w14:paraId="2DBF013F" w14:textId="2D8F7A99"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1.698.895,04</w:t>
            </w:r>
          </w:p>
        </w:tc>
        <w:tc>
          <w:tcPr>
            <w:tcW w:w="1698" w:type="dxa"/>
            <w:tcBorders>
              <w:top w:val="nil"/>
              <w:left w:val="nil"/>
              <w:bottom w:val="single" w:sz="4" w:space="0" w:color="auto"/>
              <w:right w:val="single" w:sz="4" w:space="0" w:color="auto"/>
            </w:tcBorders>
            <w:noWrap/>
            <w:vAlign w:val="bottom"/>
            <w:hideMark/>
          </w:tcPr>
          <w:p w14:paraId="139F9166" w14:textId="7CE0F29D"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50,17%</w:t>
            </w:r>
          </w:p>
        </w:tc>
      </w:tr>
      <w:tr w:rsidR="00856FC7" w:rsidRPr="000020F0" w14:paraId="28FF5BF9"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04D24C80"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Slovenska udeležba</w:t>
            </w:r>
          </w:p>
        </w:tc>
        <w:tc>
          <w:tcPr>
            <w:tcW w:w="1882" w:type="dxa"/>
            <w:tcBorders>
              <w:top w:val="nil"/>
              <w:left w:val="nil"/>
              <w:bottom w:val="single" w:sz="4" w:space="0" w:color="auto"/>
              <w:right w:val="single" w:sz="4" w:space="0" w:color="auto"/>
            </w:tcBorders>
            <w:noWrap/>
            <w:vAlign w:val="bottom"/>
            <w:hideMark/>
          </w:tcPr>
          <w:p w14:paraId="12CD75E3" w14:textId="0FBB8DC6"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299.804,99</w:t>
            </w:r>
          </w:p>
        </w:tc>
        <w:tc>
          <w:tcPr>
            <w:tcW w:w="1698" w:type="dxa"/>
            <w:tcBorders>
              <w:top w:val="nil"/>
              <w:left w:val="nil"/>
              <w:bottom w:val="single" w:sz="4" w:space="0" w:color="auto"/>
              <w:right w:val="single" w:sz="4" w:space="0" w:color="auto"/>
            </w:tcBorders>
            <w:noWrap/>
            <w:vAlign w:val="bottom"/>
            <w:hideMark/>
          </w:tcPr>
          <w:p w14:paraId="6F303F75" w14:textId="491232A6"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8,85%</w:t>
            </w:r>
          </w:p>
        </w:tc>
      </w:tr>
      <w:tr w:rsidR="00856FC7" w:rsidRPr="000020F0" w14:paraId="39ACB52F" w14:textId="77777777" w:rsidTr="00805CFD">
        <w:trPr>
          <w:trHeight w:val="286"/>
        </w:trPr>
        <w:tc>
          <w:tcPr>
            <w:tcW w:w="3902" w:type="dxa"/>
            <w:tcBorders>
              <w:top w:val="nil"/>
              <w:left w:val="single" w:sz="4" w:space="0" w:color="auto"/>
              <w:bottom w:val="single" w:sz="4" w:space="0" w:color="auto"/>
              <w:right w:val="single" w:sz="4" w:space="0" w:color="auto"/>
            </w:tcBorders>
            <w:vAlign w:val="bottom"/>
            <w:hideMark/>
          </w:tcPr>
          <w:p w14:paraId="67782BA8" w14:textId="77777777" w:rsidR="00856FC7" w:rsidRPr="000020F0" w:rsidRDefault="00856FC7" w:rsidP="00856FC7">
            <w:pPr>
              <w:rPr>
                <w:rFonts w:ascii="Arial" w:hAnsi="Arial" w:cs="Arial"/>
                <w:color w:val="000000"/>
                <w:sz w:val="20"/>
                <w:szCs w:val="20"/>
              </w:rPr>
            </w:pPr>
            <w:r w:rsidRPr="000020F0">
              <w:rPr>
                <w:rFonts w:ascii="Arial" w:hAnsi="Arial" w:cs="Arial"/>
                <w:color w:val="000000"/>
                <w:sz w:val="20"/>
                <w:szCs w:val="20"/>
              </w:rPr>
              <w:t>Lastna sredstva</w:t>
            </w:r>
          </w:p>
        </w:tc>
        <w:tc>
          <w:tcPr>
            <w:tcW w:w="1882" w:type="dxa"/>
            <w:tcBorders>
              <w:top w:val="nil"/>
              <w:left w:val="nil"/>
              <w:bottom w:val="single" w:sz="4" w:space="0" w:color="auto"/>
              <w:right w:val="single" w:sz="4" w:space="0" w:color="auto"/>
            </w:tcBorders>
            <w:noWrap/>
            <w:vAlign w:val="bottom"/>
            <w:hideMark/>
          </w:tcPr>
          <w:p w14:paraId="082FC1D2" w14:textId="2F9E79B5"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1.387.354,80</w:t>
            </w:r>
          </w:p>
        </w:tc>
        <w:tc>
          <w:tcPr>
            <w:tcW w:w="1698" w:type="dxa"/>
            <w:tcBorders>
              <w:top w:val="nil"/>
              <w:left w:val="nil"/>
              <w:bottom w:val="single" w:sz="4" w:space="0" w:color="auto"/>
              <w:right w:val="single" w:sz="4" w:space="0" w:color="auto"/>
            </w:tcBorders>
            <w:noWrap/>
            <w:vAlign w:val="bottom"/>
            <w:hideMark/>
          </w:tcPr>
          <w:p w14:paraId="2B2B5D72" w14:textId="0EC34D07" w:rsidR="00856FC7" w:rsidRPr="000020F0" w:rsidRDefault="00856FC7" w:rsidP="00856FC7">
            <w:pPr>
              <w:jc w:val="right"/>
              <w:rPr>
                <w:rFonts w:ascii="Arial" w:hAnsi="Arial" w:cs="Arial"/>
                <w:color w:val="000000"/>
                <w:sz w:val="20"/>
                <w:szCs w:val="20"/>
              </w:rPr>
            </w:pPr>
            <w:r w:rsidRPr="000020F0">
              <w:rPr>
                <w:rFonts w:ascii="Arial" w:hAnsi="Arial" w:cs="Arial"/>
                <w:color w:val="000000"/>
                <w:sz w:val="20"/>
                <w:szCs w:val="20"/>
              </w:rPr>
              <w:t>40,97%</w:t>
            </w:r>
          </w:p>
        </w:tc>
      </w:tr>
    </w:tbl>
    <w:p w14:paraId="3E877896" w14:textId="77777777" w:rsidR="00805CFD" w:rsidRPr="000020F0" w:rsidRDefault="00805CFD" w:rsidP="00805CFD"/>
    <w:p w14:paraId="33089374" w14:textId="77777777" w:rsidR="004D4EB8" w:rsidRPr="000020F0" w:rsidRDefault="004D4EB8"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12" w:name="_Toc3698211"/>
      <w:bookmarkStart w:id="113" w:name="_Toc230882181"/>
      <w:r w:rsidRPr="000020F0">
        <w:rPr>
          <w:rFonts w:asciiTheme="majorHAnsi" w:eastAsiaTheme="majorEastAsia" w:hAnsiTheme="majorHAnsi" w:cstheme="majorHAnsi"/>
          <w:color w:val="244061" w:themeColor="accent1" w:themeShade="80"/>
        </w:rPr>
        <w:t>Način in postopek izbire izvajalcev</w:t>
      </w:r>
      <w:bookmarkEnd w:id="112"/>
      <w:bookmarkEnd w:id="113"/>
    </w:p>
    <w:p w14:paraId="6B0DA5F9" w14:textId="77777777" w:rsidR="004D4EB8" w:rsidRPr="000020F0" w:rsidRDefault="004D4EB8" w:rsidP="00BD1D20">
      <w:pPr>
        <w:spacing w:line="276" w:lineRule="auto"/>
        <w:jc w:val="both"/>
        <w:rPr>
          <w:rFonts w:asciiTheme="majorHAnsi" w:eastAsiaTheme="majorEastAsia" w:hAnsiTheme="majorHAnsi" w:cstheme="majorHAnsi"/>
          <w:sz w:val="22"/>
          <w:szCs w:val="22"/>
        </w:rPr>
      </w:pPr>
      <w:r w:rsidRPr="000020F0">
        <w:rPr>
          <w:rFonts w:asciiTheme="majorHAnsi" w:eastAsiaTheme="majorEastAsia" w:hAnsiTheme="majorHAnsi" w:cstheme="majorHAnsi"/>
          <w:sz w:val="22"/>
          <w:szCs w:val="22"/>
        </w:rPr>
        <w:t xml:space="preserve">Investitor </w:t>
      </w:r>
      <w:r w:rsidR="002411B3" w:rsidRPr="000020F0">
        <w:rPr>
          <w:rFonts w:asciiTheme="majorHAnsi" w:eastAsiaTheme="majorEastAsia" w:hAnsiTheme="majorHAnsi" w:cstheme="majorHAnsi"/>
          <w:sz w:val="22"/>
          <w:szCs w:val="22"/>
        </w:rPr>
        <w:t>bo izvajalce izbiral</w:t>
      </w:r>
      <w:r w:rsidR="00B86260" w:rsidRPr="000020F0">
        <w:rPr>
          <w:rFonts w:asciiTheme="majorHAnsi" w:eastAsiaTheme="majorEastAsia" w:hAnsiTheme="majorHAnsi" w:cstheme="majorHAnsi"/>
          <w:sz w:val="22"/>
          <w:szCs w:val="22"/>
        </w:rPr>
        <w:t xml:space="preserve"> skladno</w:t>
      </w:r>
      <w:r w:rsidRPr="000020F0">
        <w:rPr>
          <w:rFonts w:asciiTheme="majorHAnsi" w:eastAsiaTheme="majorEastAsia" w:hAnsiTheme="majorHAnsi" w:cstheme="majorHAnsi"/>
          <w:sz w:val="22"/>
          <w:szCs w:val="22"/>
        </w:rPr>
        <w:t xml:space="preserve"> z veljavno javno naročniško zakonodajo.</w:t>
      </w:r>
    </w:p>
    <w:p w14:paraId="05A543B0" w14:textId="77777777" w:rsidR="004D4EB8" w:rsidRPr="000020F0" w:rsidRDefault="004D4EB8"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14" w:name="_Toc3698212"/>
      <w:bookmarkStart w:id="115" w:name="_Toc230882182"/>
      <w:r w:rsidRPr="000020F0">
        <w:rPr>
          <w:rFonts w:asciiTheme="majorHAnsi" w:eastAsiaTheme="majorEastAsia" w:hAnsiTheme="majorHAnsi" w:cstheme="majorHAnsi"/>
          <w:color w:val="244061" w:themeColor="accent1" w:themeShade="80"/>
        </w:rPr>
        <w:t>Časovni načrt vseh aktivnosti</w:t>
      </w:r>
      <w:bookmarkEnd w:id="114"/>
      <w:bookmarkEnd w:id="115"/>
    </w:p>
    <w:p w14:paraId="30225EBA" w14:textId="77777777" w:rsidR="004D4EB8" w:rsidRPr="000020F0" w:rsidRDefault="004D4EB8" w:rsidP="00BD1D20">
      <w:pPr>
        <w:spacing w:line="276" w:lineRule="auto"/>
        <w:rPr>
          <w:rFonts w:asciiTheme="majorHAnsi" w:eastAsiaTheme="majorEastAsia" w:hAnsiTheme="majorHAnsi" w:cstheme="majorHAnsi"/>
          <w:sz w:val="22"/>
          <w:szCs w:val="22"/>
        </w:rPr>
      </w:pPr>
      <w:r w:rsidRPr="000020F0">
        <w:rPr>
          <w:rFonts w:asciiTheme="majorHAnsi" w:eastAsiaTheme="majorEastAsia" w:hAnsiTheme="majorHAnsi" w:cstheme="majorHAnsi"/>
          <w:sz w:val="22"/>
          <w:szCs w:val="22"/>
        </w:rPr>
        <w:t>Časovni načrt izvedbe je v celoti predstavljen v naslednjih poglavjih, zato ga na tem mestu ne prikazujemo ponovno.</w:t>
      </w:r>
    </w:p>
    <w:p w14:paraId="3198CA5B" w14:textId="77777777" w:rsidR="004D4EB8" w:rsidRPr="000020F0" w:rsidRDefault="004D4EB8"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16" w:name="_Toc3698213"/>
      <w:bookmarkStart w:id="117" w:name="_Ref230594473"/>
      <w:bookmarkStart w:id="118" w:name="_Toc230882183"/>
      <w:r w:rsidRPr="000020F0">
        <w:rPr>
          <w:rFonts w:asciiTheme="majorHAnsi" w:eastAsiaTheme="majorEastAsia" w:hAnsiTheme="majorHAnsi" w:cstheme="majorHAnsi"/>
          <w:color w:val="244061" w:themeColor="accent1" w:themeShade="80"/>
        </w:rPr>
        <w:t>Seznam že pripravljene in potrebne dokumentacije</w:t>
      </w:r>
      <w:bookmarkEnd w:id="116"/>
      <w:bookmarkEnd w:id="117"/>
      <w:bookmarkEnd w:id="118"/>
    </w:p>
    <w:p w14:paraId="4038A045" w14:textId="4C07AB3C" w:rsidR="00BC59C8" w:rsidRPr="000020F0" w:rsidRDefault="00BC59C8" w:rsidP="004B5E58">
      <w:pPr>
        <w:spacing w:line="276" w:lineRule="auto"/>
        <w:jc w:val="both"/>
        <w:rPr>
          <w:rFonts w:asciiTheme="majorHAnsi" w:hAnsiTheme="majorHAnsi" w:cstheme="majorHAnsi"/>
          <w:sz w:val="22"/>
          <w:szCs w:val="22"/>
          <w:lang w:eastAsia="zh-TW"/>
        </w:rPr>
      </w:pPr>
      <w:bookmarkStart w:id="119" w:name="_Toc3698214"/>
      <w:r w:rsidRPr="000020F0">
        <w:rPr>
          <w:rFonts w:asciiTheme="majorHAnsi" w:hAnsiTheme="majorHAnsi" w:cstheme="majorHAnsi"/>
          <w:sz w:val="22"/>
          <w:szCs w:val="22"/>
          <w:lang w:eastAsia="zh-TW"/>
        </w:rPr>
        <w:t xml:space="preserve">Za izvedbo investicije je potrebno </w:t>
      </w:r>
      <w:r w:rsidR="004B5E58" w:rsidRPr="000020F0">
        <w:rPr>
          <w:rFonts w:asciiTheme="majorHAnsi" w:hAnsiTheme="majorHAnsi" w:cstheme="majorHAnsi"/>
          <w:sz w:val="22"/>
          <w:szCs w:val="22"/>
          <w:lang w:eastAsia="zh-TW"/>
        </w:rPr>
        <w:t>izvesti vse aktivnosti po izdelani projektni dokumentaciji in pridobljenem gradbenem dovoljenju.</w:t>
      </w:r>
    </w:p>
    <w:p w14:paraId="7E62E52C" w14:textId="77777777" w:rsidR="004D4EB8" w:rsidRPr="000020F0" w:rsidRDefault="004D4EB8"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20" w:name="_Toc230882184"/>
      <w:r w:rsidRPr="000020F0">
        <w:rPr>
          <w:rFonts w:asciiTheme="majorHAnsi" w:eastAsiaTheme="majorEastAsia" w:hAnsiTheme="majorHAnsi" w:cstheme="majorHAnsi"/>
          <w:color w:val="244061" w:themeColor="accent1" w:themeShade="80"/>
        </w:rPr>
        <w:t>Način končnega prevzema in vzpostavitve obratovanja in vzdrževanja</w:t>
      </w:r>
      <w:bookmarkEnd w:id="119"/>
      <w:bookmarkEnd w:id="120"/>
    </w:p>
    <w:p w14:paraId="32FED660" w14:textId="6085AFA4" w:rsidR="004D4EB8" w:rsidRPr="000020F0" w:rsidRDefault="004D4EB8" w:rsidP="00BD1D20">
      <w:pPr>
        <w:spacing w:line="276" w:lineRule="auto"/>
        <w:jc w:val="both"/>
        <w:rPr>
          <w:rFonts w:asciiTheme="majorHAnsi" w:eastAsiaTheme="majorEastAsia" w:hAnsiTheme="majorHAnsi" w:cstheme="majorHAnsi"/>
          <w:sz w:val="22"/>
          <w:szCs w:val="22"/>
        </w:rPr>
      </w:pPr>
      <w:r w:rsidRPr="000020F0">
        <w:rPr>
          <w:rFonts w:asciiTheme="majorHAnsi" w:eastAsiaTheme="majorEastAsia" w:hAnsiTheme="majorHAnsi" w:cstheme="majorHAnsi"/>
          <w:sz w:val="22"/>
          <w:szCs w:val="22"/>
        </w:rPr>
        <w:t xml:space="preserve">Po zaključku bo </w:t>
      </w:r>
      <w:r w:rsidR="002931B7" w:rsidRPr="000020F0">
        <w:rPr>
          <w:rFonts w:asciiTheme="majorHAnsi" w:eastAsiaTheme="majorEastAsia" w:hAnsiTheme="majorHAnsi" w:cstheme="majorHAnsi"/>
          <w:sz w:val="22"/>
          <w:szCs w:val="22"/>
        </w:rPr>
        <w:t xml:space="preserve">z objektom </w:t>
      </w:r>
      <w:r w:rsidR="00082011" w:rsidRPr="000020F0">
        <w:rPr>
          <w:rFonts w:asciiTheme="majorHAnsi" w:eastAsiaTheme="majorEastAsia" w:hAnsiTheme="majorHAnsi" w:cstheme="majorHAnsi"/>
          <w:sz w:val="22"/>
          <w:szCs w:val="22"/>
        </w:rPr>
        <w:t>upravljal</w:t>
      </w:r>
      <w:r w:rsidR="00F32BE0" w:rsidRPr="000020F0">
        <w:rPr>
          <w:rFonts w:asciiTheme="majorHAnsi" w:eastAsiaTheme="majorEastAsia" w:hAnsiTheme="majorHAnsi" w:cstheme="majorHAnsi"/>
          <w:sz w:val="22"/>
          <w:szCs w:val="22"/>
        </w:rPr>
        <w:t>a</w:t>
      </w:r>
      <w:r w:rsidR="00082011" w:rsidRPr="000020F0">
        <w:rPr>
          <w:rFonts w:asciiTheme="majorHAnsi" w:eastAsiaTheme="majorEastAsia" w:hAnsiTheme="majorHAnsi" w:cstheme="majorHAnsi"/>
          <w:sz w:val="22"/>
          <w:szCs w:val="22"/>
        </w:rPr>
        <w:t xml:space="preserve"> </w:t>
      </w:r>
      <w:r w:rsidR="004B5E58" w:rsidRPr="000020F0">
        <w:rPr>
          <w:rFonts w:asciiTheme="majorHAnsi" w:eastAsiaTheme="majorEastAsia" w:hAnsiTheme="majorHAnsi" w:cstheme="majorHAnsi"/>
          <w:sz w:val="22"/>
          <w:szCs w:val="22"/>
        </w:rPr>
        <w:t>Občina Ig.</w:t>
      </w:r>
    </w:p>
    <w:p w14:paraId="55A4A030" w14:textId="77777777" w:rsidR="004D4EB8" w:rsidRPr="000020F0" w:rsidRDefault="004D4EB8"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21" w:name="_Toc3698215"/>
      <w:bookmarkStart w:id="122" w:name="_Toc230882185"/>
      <w:r w:rsidRPr="000020F0">
        <w:rPr>
          <w:rFonts w:asciiTheme="majorHAnsi" w:eastAsiaTheme="majorEastAsia" w:hAnsiTheme="majorHAnsi" w:cstheme="majorHAnsi"/>
          <w:color w:val="244061" w:themeColor="accent1" w:themeShade="80"/>
        </w:rPr>
        <w:t>Zbirni prikaz rezultatov izračunov ter utemeljitev upravičenosti investicijskega projekta</w:t>
      </w:r>
      <w:bookmarkEnd w:id="121"/>
      <w:bookmarkEnd w:id="122"/>
    </w:p>
    <w:p w14:paraId="27A23744" w14:textId="18735D18" w:rsidR="004D4EB8" w:rsidRPr="000020F0" w:rsidRDefault="004D4EB8" w:rsidP="00BD1D20">
      <w:pPr>
        <w:pStyle w:val="Napis"/>
        <w:keepNext/>
        <w:spacing w:after="120" w:line="276" w:lineRule="auto"/>
        <w:rPr>
          <w:rFonts w:asciiTheme="majorHAnsi" w:hAnsiTheme="majorHAnsi" w:cstheme="majorHAnsi"/>
          <w:b w:val="0"/>
          <w:bCs w:val="0"/>
          <w:color w:val="auto"/>
          <w:sz w:val="22"/>
          <w:szCs w:val="22"/>
        </w:rPr>
      </w:pPr>
      <w:bookmarkStart w:id="123" w:name="_Toc3698129"/>
      <w:bookmarkStart w:id="124" w:name="_Toc230882287"/>
      <w:r w:rsidRPr="000020F0">
        <w:rPr>
          <w:rFonts w:asciiTheme="majorHAnsi" w:hAnsiTheme="majorHAnsi" w:cstheme="majorHAnsi"/>
          <w:b w:val="0"/>
          <w:bCs w:val="0"/>
          <w:color w:val="auto"/>
          <w:sz w:val="22"/>
          <w:szCs w:val="22"/>
        </w:rPr>
        <w:t xml:space="preserve">Tabela </w:t>
      </w:r>
      <w:r w:rsidRPr="000020F0">
        <w:rPr>
          <w:rFonts w:asciiTheme="majorHAnsi" w:hAnsiTheme="majorHAnsi" w:cstheme="majorHAnsi"/>
          <w:b w:val="0"/>
          <w:bCs w:val="0"/>
          <w:color w:val="auto"/>
          <w:sz w:val="22"/>
          <w:szCs w:val="22"/>
        </w:rPr>
        <w:fldChar w:fldCharType="begin"/>
      </w:r>
      <w:r w:rsidRPr="000020F0">
        <w:rPr>
          <w:rFonts w:asciiTheme="majorHAnsi" w:hAnsiTheme="majorHAnsi" w:cstheme="majorHAnsi"/>
          <w:b w:val="0"/>
          <w:bCs w:val="0"/>
          <w:color w:val="auto"/>
          <w:sz w:val="22"/>
          <w:szCs w:val="22"/>
        </w:rPr>
        <w:instrText xml:space="preserve"> SEQ Tabela \* ARABIC </w:instrText>
      </w:r>
      <w:r w:rsidRPr="000020F0">
        <w:rPr>
          <w:rFonts w:asciiTheme="majorHAnsi" w:hAnsiTheme="majorHAnsi" w:cstheme="majorHAnsi"/>
          <w:b w:val="0"/>
          <w:bCs w:val="0"/>
          <w:color w:val="auto"/>
          <w:sz w:val="22"/>
          <w:szCs w:val="22"/>
        </w:rPr>
        <w:fldChar w:fldCharType="separate"/>
      </w:r>
      <w:r w:rsidR="00BB0C0C">
        <w:rPr>
          <w:rFonts w:asciiTheme="majorHAnsi" w:hAnsiTheme="majorHAnsi" w:cstheme="majorHAnsi"/>
          <w:b w:val="0"/>
          <w:bCs w:val="0"/>
          <w:noProof/>
          <w:color w:val="auto"/>
          <w:sz w:val="22"/>
          <w:szCs w:val="22"/>
        </w:rPr>
        <w:t>7</w:t>
      </w:r>
      <w:r w:rsidRPr="000020F0">
        <w:rPr>
          <w:rFonts w:asciiTheme="majorHAnsi" w:hAnsiTheme="majorHAnsi" w:cstheme="majorHAnsi"/>
          <w:b w:val="0"/>
          <w:bCs w:val="0"/>
          <w:color w:val="auto"/>
          <w:sz w:val="22"/>
          <w:szCs w:val="22"/>
        </w:rPr>
        <w:fldChar w:fldCharType="end"/>
      </w:r>
      <w:r w:rsidRPr="000020F0">
        <w:rPr>
          <w:rFonts w:asciiTheme="majorHAnsi" w:hAnsiTheme="majorHAnsi" w:cstheme="majorHAnsi"/>
          <w:b w:val="0"/>
          <w:bCs w:val="0"/>
          <w:color w:val="auto"/>
          <w:sz w:val="22"/>
          <w:szCs w:val="22"/>
        </w:rPr>
        <w:t>:</w:t>
      </w:r>
      <w:r w:rsidR="0097393F" w:rsidRPr="000020F0">
        <w:rPr>
          <w:rFonts w:asciiTheme="majorHAnsi" w:hAnsiTheme="majorHAnsi" w:cstheme="majorHAnsi"/>
          <w:b w:val="0"/>
          <w:bCs w:val="0"/>
          <w:color w:val="auto"/>
          <w:sz w:val="22"/>
          <w:szCs w:val="22"/>
        </w:rPr>
        <w:t xml:space="preserve"> </w:t>
      </w:r>
      <w:r w:rsidRPr="000020F0">
        <w:rPr>
          <w:rFonts w:asciiTheme="majorHAnsi" w:hAnsiTheme="majorHAnsi" w:cstheme="majorHAnsi"/>
          <w:b w:val="0"/>
          <w:bCs w:val="0"/>
          <w:color w:val="auto"/>
          <w:sz w:val="22"/>
          <w:szCs w:val="22"/>
        </w:rPr>
        <w:t>Zbirni prikaz rezultatov izračunov celotnega projekta</w:t>
      </w:r>
      <w:bookmarkEnd w:id="123"/>
      <w:bookmarkEnd w:id="124"/>
    </w:p>
    <w:tbl>
      <w:tblPr>
        <w:tblStyle w:val="Svetlosenenjepoudarek12"/>
        <w:tblW w:w="5000" w:type="pct"/>
        <w:tblLook w:val="04A0" w:firstRow="1" w:lastRow="0" w:firstColumn="1" w:lastColumn="0" w:noHBand="0" w:noVBand="1"/>
      </w:tblPr>
      <w:tblGrid>
        <w:gridCol w:w="6876"/>
        <w:gridCol w:w="2479"/>
      </w:tblGrid>
      <w:tr w:rsidR="00E23F01" w:rsidRPr="000020F0" w14:paraId="5D5EAC6E" w14:textId="77777777" w:rsidTr="003F1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Pr>
          <w:p w14:paraId="152EFFC7" w14:textId="77777777" w:rsidR="004D4EB8" w:rsidRPr="000020F0" w:rsidRDefault="004D4EB8" w:rsidP="00BD1D20">
            <w:pPr>
              <w:spacing w:before="120" w:after="120" w:line="276" w:lineRule="auto"/>
              <w:rPr>
                <w:rFonts w:asciiTheme="majorHAnsi" w:eastAsia="Arial Unicode MS" w:hAnsiTheme="majorHAnsi" w:cstheme="majorHAnsi"/>
                <w:color w:val="auto"/>
                <w:sz w:val="22"/>
                <w:szCs w:val="22"/>
              </w:rPr>
            </w:pPr>
            <w:r w:rsidRPr="000020F0">
              <w:rPr>
                <w:rFonts w:asciiTheme="majorHAnsi" w:eastAsia="Arial Unicode MS" w:hAnsiTheme="majorHAnsi" w:cstheme="majorHAnsi"/>
                <w:color w:val="auto"/>
                <w:sz w:val="22"/>
                <w:szCs w:val="22"/>
              </w:rPr>
              <w:t>Kazalnik</w:t>
            </w:r>
          </w:p>
        </w:tc>
        <w:tc>
          <w:tcPr>
            <w:tcW w:w="1325" w:type="pct"/>
            <w:vAlign w:val="center"/>
          </w:tcPr>
          <w:p w14:paraId="47172120" w14:textId="77777777" w:rsidR="004D4EB8" w:rsidRPr="000020F0" w:rsidRDefault="004D4EB8" w:rsidP="00BD1D20">
            <w:pPr>
              <w:spacing w:before="120" w:after="120" w:line="276" w:lineRule="auto"/>
              <w:jc w:val="righ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22"/>
                <w:szCs w:val="22"/>
              </w:rPr>
            </w:pPr>
            <w:r w:rsidRPr="000020F0">
              <w:rPr>
                <w:rFonts w:asciiTheme="majorHAnsi" w:eastAsia="Arial Unicode MS" w:hAnsiTheme="majorHAnsi" w:cstheme="majorHAnsi"/>
                <w:color w:val="auto"/>
                <w:sz w:val="22"/>
                <w:szCs w:val="22"/>
              </w:rPr>
              <w:t>Vrednost</w:t>
            </w:r>
          </w:p>
        </w:tc>
      </w:tr>
      <w:tr w:rsidR="007174DA" w:rsidRPr="000020F0" w14:paraId="4AAE0AE4" w14:textId="77777777" w:rsidTr="00717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Pr>
          <w:p w14:paraId="1409CFB4" w14:textId="4458B288" w:rsidR="007174DA" w:rsidRPr="000020F0" w:rsidRDefault="007174DA" w:rsidP="007174D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Skupna vrednost projekta v stalnih cenah z DDV (EUR)</w:t>
            </w:r>
          </w:p>
        </w:tc>
        <w:tc>
          <w:tcPr>
            <w:tcW w:w="1325" w:type="pct"/>
            <w:vAlign w:val="center"/>
          </w:tcPr>
          <w:p w14:paraId="5771FAC4" w14:textId="6E327582" w:rsidR="007174DA" w:rsidRPr="000020F0" w:rsidRDefault="008769EB" w:rsidP="008769E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3.277.156,77</w:t>
            </w:r>
          </w:p>
        </w:tc>
      </w:tr>
      <w:tr w:rsidR="007174DA" w:rsidRPr="000020F0" w14:paraId="5BAC6A68" w14:textId="77777777" w:rsidTr="007174DA">
        <w:tc>
          <w:tcPr>
            <w:cnfStyle w:val="001000000000" w:firstRow="0" w:lastRow="0" w:firstColumn="1" w:lastColumn="0" w:oddVBand="0" w:evenVBand="0" w:oddHBand="0" w:evenHBand="0" w:firstRowFirstColumn="0" w:firstRowLastColumn="0" w:lastRowFirstColumn="0" w:lastRowLastColumn="0"/>
            <w:tcW w:w="3675" w:type="pct"/>
          </w:tcPr>
          <w:p w14:paraId="11E4B6EE" w14:textId="56C09584" w:rsidR="007174DA" w:rsidRPr="000020F0" w:rsidRDefault="007174DA" w:rsidP="007174DA">
            <w:pPr>
              <w:spacing w:before="120" w:after="120" w:line="276" w:lineRule="auto"/>
              <w:rPr>
                <w:rFonts w:asciiTheme="majorHAnsi" w:eastAsia="Arial Unicode MS" w:hAnsiTheme="majorHAnsi" w:cstheme="majorHAnsi"/>
                <w:sz w:val="22"/>
                <w:szCs w:val="22"/>
              </w:rPr>
            </w:pPr>
            <w:r w:rsidRPr="000020F0">
              <w:rPr>
                <w:rFonts w:asciiTheme="majorHAnsi" w:eastAsia="Arial Unicode MS" w:hAnsiTheme="majorHAnsi" w:cstheme="majorHAnsi"/>
                <w:b w:val="0"/>
                <w:color w:val="auto"/>
                <w:sz w:val="22"/>
                <w:szCs w:val="22"/>
              </w:rPr>
              <w:t>Skupna vrednost projekta v tekočih cenah z DDV (EUR)</w:t>
            </w:r>
          </w:p>
        </w:tc>
        <w:tc>
          <w:tcPr>
            <w:tcW w:w="1325" w:type="pct"/>
            <w:vAlign w:val="center"/>
          </w:tcPr>
          <w:p w14:paraId="0E4A83BC" w14:textId="34E8E57D" w:rsidR="007174DA" w:rsidRPr="000020F0" w:rsidRDefault="0095675B" w:rsidP="009567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3.386.054,8</w:t>
            </w:r>
            <w:r w:rsidR="00856FC7" w:rsidRPr="000020F0">
              <w:rPr>
                <w:rFonts w:ascii="Arial" w:hAnsi="Arial" w:cs="Arial"/>
                <w:color w:val="000000"/>
                <w:sz w:val="22"/>
                <w:szCs w:val="22"/>
              </w:rPr>
              <w:t>3</w:t>
            </w:r>
          </w:p>
        </w:tc>
      </w:tr>
      <w:tr w:rsidR="007174DA" w:rsidRPr="000020F0" w14:paraId="6A588C03" w14:textId="77777777" w:rsidTr="00717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Pr>
          <w:p w14:paraId="007B10F2" w14:textId="1BBCDE88" w:rsidR="007174DA" w:rsidRPr="000020F0" w:rsidRDefault="007174DA" w:rsidP="007174D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 xml:space="preserve">Prihodki projekta v letu </w:t>
            </w:r>
            <w:r w:rsidR="00056BE1" w:rsidRPr="000020F0">
              <w:rPr>
                <w:rFonts w:asciiTheme="majorHAnsi" w:eastAsia="Arial Unicode MS" w:hAnsiTheme="majorHAnsi" w:cstheme="majorHAnsi"/>
                <w:b w:val="0"/>
                <w:color w:val="auto"/>
                <w:sz w:val="22"/>
                <w:szCs w:val="22"/>
              </w:rPr>
              <w:t>20</w:t>
            </w:r>
            <w:r w:rsidR="00166BFB" w:rsidRPr="000020F0">
              <w:rPr>
                <w:rFonts w:asciiTheme="majorHAnsi" w:eastAsia="Arial Unicode MS" w:hAnsiTheme="majorHAnsi" w:cstheme="majorHAnsi"/>
                <w:b w:val="0"/>
                <w:color w:val="auto"/>
                <w:sz w:val="22"/>
                <w:szCs w:val="22"/>
              </w:rPr>
              <w:t>30</w:t>
            </w:r>
            <w:r w:rsidRPr="000020F0">
              <w:rPr>
                <w:rFonts w:asciiTheme="majorHAnsi" w:eastAsia="Arial Unicode MS" w:hAnsiTheme="majorHAnsi" w:cstheme="majorHAnsi"/>
                <w:b w:val="0"/>
                <w:color w:val="auto"/>
                <w:sz w:val="22"/>
                <w:szCs w:val="22"/>
              </w:rPr>
              <w:t xml:space="preserve"> (EUR)</w:t>
            </w:r>
          </w:p>
        </w:tc>
        <w:tc>
          <w:tcPr>
            <w:tcW w:w="1325" w:type="pct"/>
            <w:vAlign w:val="center"/>
          </w:tcPr>
          <w:p w14:paraId="0C45BC61" w14:textId="48D7A862" w:rsidR="007174DA" w:rsidRPr="000020F0" w:rsidRDefault="007174DA" w:rsidP="007174DA">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24.960</w:t>
            </w:r>
          </w:p>
        </w:tc>
      </w:tr>
      <w:tr w:rsidR="007174DA" w:rsidRPr="000020F0" w14:paraId="07E0B662" w14:textId="77777777" w:rsidTr="007174DA">
        <w:tc>
          <w:tcPr>
            <w:cnfStyle w:val="001000000000" w:firstRow="0" w:lastRow="0" w:firstColumn="1" w:lastColumn="0" w:oddVBand="0" w:evenVBand="0" w:oddHBand="0" w:evenHBand="0" w:firstRowFirstColumn="0" w:firstRowLastColumn="0" w:lastRowFirstColumn="0" w:lastRowLastColumn="0"/>
            <w:tcW w:w="3675" w:type="pct"/>
          </w:tcPr>
          <w:p w14:paraId="62002BF6" w14:textId="3AF74BFF" w:rsidR="007174DA" w:rsidRPr="000020F0" w:rsidRDefault="007174DA" w:rsidP="007174D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 xml:space="preserve">Operativni stroški projekta v letu </w:t>
            </w:r>
            <w:r w:rsidR="00056BE1" w:rsidRPr="000020F0">
              <w:rPr>
                <w:rFonts w:asciiTheme="majorHAnsi" w:eastAsia="Arial Unicode MS" w:hAnsiTheme="majorHAnsi" w:cstheme="majorHAnsi"/>
                <w:b w:val="0"/>
                <w:color w:val="auto"/>
                <w:sz w:val="22"/>
                <w:szCs w:val="22"/>
              </w:rPr>
              <w:t>20</w:t>
            </w:r>
            <w:r w:rsidR="00166BFB" w:rsidRPr="000020F0">
              <w:rPr>
                <w:rFonts w:asciiTheme="majorHAnsi" w:eastAsia="Arial Unicode MS" w:hAnsiTheme="majorHAnsi" w:cstheme="majorHAnsi"/>
                <w:b w:val="0"/>
                <w:color w:val="auto"/>
                <w:sz w:val="22"/>
                <w:szCs w:val="22"/>
              </w:rPr>
              <w:t>30</w:t>
            </w:r>
            <w:r w:rsidRPr="000020F0">
              <w:rPr>
                <w:rFonts w:asciiTheme="majorHAnsi" w:eastAsia="Arial Unicode MS" w:hAnsiTheme="majorHAnsi" w:cstheme="majorHAnsi"/>
                <w:b w:val="0"/>
                <w:color w:val="auto"/>
                <w:sz w:val="22"/>
                <w:szCs w:val="22"/>
              </w:rPr>
              <w:t xml:space="preserve"> – prvo leto </w:t>
            </w:r>
            <w:r w:rsidR="00166BFB" w:rsidRPr="000020F0">
              <w:rPr>
                <w:rFonts w:asciiTheme="majorHAnsi" w:eastAsia="Arial Unicode MS" w:hAnsiTheme="majorHAnsi" w:cstheme="majorHAnsi"/>
                <w:b w:val="0"/>
                <w:color w:val="auto"/>
                <w:sz w:val="22"/>
                <w:szCs w:val="22"/>
              </w:rPr>
              <w:t xml:space="preserve">polnega </w:t>
            </w:r>
            <w:r w:rsidRPr="000020F0">
              <w:rPr>
                <w:rFonts w:asciiTheme="majorHAnsi" w:eastAsia="Arial Unicode MS" w:hAnsiTheme="majorHAnsi" w:cstheme="majorHAnsi"/>
                <w:b w:val="0"/>
                <w:color w:val="auto"/>
                <w:sz w:val="22"/>
                <w:szCs w:val="22"/>
              </w:rPr>
              <w:t>obratovanja (EUR)</w:t>
            </w:r>
          </w:p>
        </w:tc>
        <w:tc>
          <w:tcPr>
            <w:tcW w:w="1325" w:type="pct"/>
            <w:vAlign w:val="center"/>
          </w:tcPr>
          <w:p w14:paraId="3BA36EDC" w14:textId="649EEB48" w:rsidR="007174DA" w:rsidRPr="000020F0" w:rsidRDefault="001844F5" w:rsidP="007174DA">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5</w:t>
            </w:r>
            <w:r w:rsidR="00166BFB" w:rsidRPr="000020F0">
              <w:rPr>
                <w:rFonts w:ascii="Arial" w:hAnsi="Arial" w:cs="Arial"/>
                <w:color w:val="000000"/>
                <w:sz w:val="22"/>
                <w:szCs w:val="22"/>
              </w:rPr>
              <w:t>8</w:t>
            </w:r>
            <w:r w:rsidR="007174DA" w:rsidRPr="000020F0">
              <w:rPr>
                <w:rFonts w:ascii="Arial" w:hAnsi="Arial" w:cs="Arial"/>
                <w:color w:val="000000"/>
                <w:sz w:val="22"/>
                <w:szCs w:val="22"/>
              </w:rPr>
              <w:t>.</w:t>
            </w:r>
            <w:r w:rsidR="00C13ED2" w:rsidRPr="000020F0">
              <w:rPr>
                <w:rFonts w:ascii="Arial" w:hAnsi="Arial" w:cs="Arial"/>
                <w:color w:val="000000"/>
                <w:sz w:val="22"/>
                <w:szCs w:val="22"/>
              </w:rPr>
              <w:t>400</w:t>
            </w:r>
          </w:p>
        </w:tc>
      </w:tr>
      <w:tr w:rsidR="007174DA" w:rsidRPr="000020F0" w14:paraId="6631CB5D" w14:textId="77777777" w:rsidTr="00717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Pr>
          <w:p w14:paraId="52C17384" w14:textId="77777777" w:rsidR="007174DA" w:rsidRPr="000020F0" w:rsidRDefault="007174DA" w:rsidP="007174D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Ostanek vrednosti projekta (EUR)</w:t>
            </w:r>
          </w:p>
        </w:tc>
        <w:tc>
          <w:tcPr>
            <w:tcW w:w="1325" w:type="pct"/>
            <w:vAlign w:val="center"/>
          </w:tcPr>
          <w:p w14:paraId="62796558" w14:textId="7B7A615B" w:rsidR="007174DA" w:rsidRPr="000020F0" w:rsidRDefault="009F6F00" w:rsidP="007174DA">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22"/>
                <w:szCs w:val="22"/>
              </w:rPr>
            </w:pPr>
            <w:r w:rsidRPr="000020F0">
              <w:rPr>
                <w:rFonts w:ascii="Arial" w:hAnsi="Arial" w:cs="Arial"/>
                <w:color w:val="000000"/>
                <w:sz w:val="22"/>
                <w:szCs w:val="22"/>
              </w:rPr>
              <w:t>459.244,67</w:t>
            </w:r>
          </w:p>
        </w:tc>
      </w:tr>
      <w:tr w:rsidR="00702CCA" w:rsidRPr="000020F0" w14:paraId="3495D675" w14:textId="77777777" w:rsidTr="00675CD7">
        <w:tc>
          <w:tcPr>
            <w:cnfStyle w:val="001000000000" w:firstRow="0" w:lastRow="0" w:firstColumn="1" w:lastColumn="0" w:oddVBand="0" w:evenVBand="0" w:oddHBand="0" w:evenHBand="0" w:firstRowFirstColumn="0" w:firstRowLastColumn="0" w:lastRowFirstColumn="0" w:lastRowLastColumn="0"/>
            <w:tcW w:w="3675" w:type="pct"/>
          </w:tcPr>
          <w:p w14:paraId="1F53AC4B" w14:textId="77777777" w:rsidR="00702CCA" w:rsidRPr="000020F0" w:rsidRDefault="00702CCA" w:rsidP="00702CC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Finančna neto sedanja vrednost projekta v EUR</w:t>
            </w:r>
          </w:p>
        </w:tc>
        <w:tc>
          <w:tcPr>
            <w:tcW w:w="1325" w:type="pct"/>
            <w:vAlign w:val="center"/>
          </w:tcPr>
          <w:p w14:paraId="6805763C" w14:textId="00E478C8" w:rsidR="00702CCA" w:rsidRPr="000020F0" w:rsidRDefault="00702CCA" w:rsidP="00675CD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-3.218.649</w:t>
            </w:r>
          </w:p>
        </w:tc>
      </w:tr>
      <w:tr w:rsidR="00702CCA" w:rsidRPr="000020F0" w14:paraId="50EB58AB" w14:textId="77777777" w:rsidTr="00675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Pr>
          <w:p w14:paraId="7351073D" w14:textId="77777777" w:rsidR="00702CCA" w:rsidRPr="000020F0" w:rsidRDefault="00702CCA" w:rsidP="00702CCA">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Finančna interna stopnja donosnosti (%)</w:t>
            </w:r>
          </w:p>
        </w:tc>
        <w:tc>
          <w:tcPr>
            <w:tcW w:w="1325" w:type="pct"/>
            <w:vAlign w:val="center"/>
          </w:tcPr>
          <w:p w14:paraId="068FACF8" w14:textId="366DE587" w:rsidR="00702CCA" w:rsidRPr="000020F0" w:rsidRDefault="00702CCA" w:rsidP="00675CD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-9,64%</w:t>
            </w:r>
          </w:p>
        </w:tc>
      </w:tr>
      <w:tr w:rsidR="003D3FC3" w:rsidRPr="000020F0" w14:paraId="4C824918" w14:textId="77777777" w:rsidTr="00675CD7">
        <w:tc>
          <w:tcPr>
            <w:cnfStyle w:val="001000000000" w:firstRow="0" w:lastRow="0" w:firstColumn="1" w:lastColumn="0" w:oddVBand="0" w:evenVBand="0" w:oddHBand="0" w:evenHBand="0" w:firstRowFirstColumn="0" w:firstRowLastColumn="0" w:lastRowFirstColumn="0" w:lastRowLastColumn="0"/>
            <w:tcW w:w="3675" w:type="pct"/>
          </w:tcPr>
          <w:p w14:paraId="6FB58943" w14:textId="77777777" w:rsidR="003D3FC3" w:rsidRPr="000020F0" w:rsidRDefault="003D3FC3" w:rsidP="00BD1D20">
            <w:pPr>
              <w:tabs>
                <w:tab w:val="left" w:pos="3885"/>
              </w:tabs>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Finančna relativna neto sedanja vrednost projekta</w:t>
            </w:r>
          </w:p>
        </w:tc>
        <w:tc>
          <w:tcPr>
            <w:tcW w:w="1325" w:type="pct"/>
            <w:vAlign w:val="center"/>
          </w:tcPr>
          <w:p w14:paraId="225FB3D2" w14:textId="5FFC081B" w:rsidR="003D3FC3" w:rsidRPr="000020F0" w:rsidRDefault="00675CD7" w:rsidP="00675CD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-0,9503</w:t>
            </w:r>
          </w:p>
        </w:tc>
      </w:tr>
      <w:tr w:rsidR="00675CD7" w:rsidRPr="000020F0" w14:paraId="6AC2B5DA" w14:textId="77777777" w:rsidTr="00675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vAlign w:val="bottom"/>
          </w:tcPr>
          <w:p w14:paraId="3D3AF456" w14:textId="77777777" w:rsidR="00675CD7" w:rsidRPr="000020F0" w:rsidRDefault="00675CD7" w:rsidP="00675CD7">
            <w:pPr>
              <w:tabs>
                <w:tab w:val="left" w:pos="3885"/>
              </w:tabs>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lastRenderedPageBreak/>
              <w:t>Neto sedanja vrednost (ENSV)</w:t>
            </w:r>
          </w:p>
        </w:tc>
        <w:tc>
          <w:tcPr>
            <w:tcW w:w="1325" w:type="pct"/>
            <w:vAlign w:val="center"/>
          </w:tcPr>
          <w:p w14:paraId="19BC602F" w14:textId="4FD98F62" w:rsidR="00675CD7" w:rsidRPr="000020F0" w:rsidRDefault="00675CD7" w:rsidP="00675CD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3.438.311</w:t>
            </w:r>
          </w:p>
        </w:tc>
      </w:tr>
      <w:tr w:rsidR="00675CD7" w:rsidRPr="000020F0" w14:paraId="43C4EB6A" w14:textId="77777777" w:rsidTr="00675CD7">
        <w:tc>
          <w:tcPr>
            <w:cnfStyle w:val="001000000000" w:firstRow="0" w:lastRow="0" w:firstColumn="1" w:lastColumn="0" w:oddVBand="0" w:evenVBand="0" w:oddHBand="0" w:evenHBand="0" w:firstRowFirstColumn="0" w:firstRowLastColumn="0" w:lastRowFirstColumn="0" w:lastRowLastColumn="0"/>
            <w:tcW w:w="3675" w:type="pct"/>
            <w:vAlign w:val="bottom"/>
          </w:tcPr>
          <w:p w14:paraId="4AC750AC" w14:textId="77777777" w:rsidR="00675CD7" w:rsidRPr="000020F0" w:rsidRDefault="00675CD7" w:rsidP="00675CD7">
            <w:pPr>
              <w:tabs>
                <w:tab w:val="left" w:pos="3885"/>
              </w:tabs>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Ekonomska stopnja donosa (ESD)</w:t>
            </w:r>
          </w:p>
        </w:tc>
        <w:tc>
          <w:tcPr>
            <w:tcW w:w="1325" w:type="pct"/>
            <w:vAlign w:val="center"/>
          </w:tcPr>
          <w:p w14:paraId="5B6EC693" w14:textId="09EA62F8" w:rsidR="00675CD7" w:rsidRPr="000020F0" w:rsidRDefault="00675CD7" w:rsidP="00675CD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15,33%</w:t>
            </w:r>
          </w:p>
        </w:tc>
      </w:tr>
      <w:tr w:rsidR="00675CD7" w:rsidRPr="000020F0" w14:paraId="7B1D841F" w14:textId="77777777" w:rsidTr="00675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vAlign w:val="bottom"/>
          </w:tcPr>
          <w:p w14:paraId="74881E91" w14:textId="77777777" w:rsidR="00675CD7" w:rsidRPr="000020F0" w:rsidRDefault="00675CD7" w:rsidP="00675CD7">
            <w:pPr>
              <w:tabs>
                <w:tab w:val="left" w:pos="3885"/>
              </w:tabs>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Relativna neto sedanja vrednost (</w:t>
            </w:r>
            <w:proofErr w:type="spellStart"/>
            <w:r w:rsidRPr="000020F0">
              <w:rPr>
                <w:rFonts w:asciiTheme="majorHAnsi" w:eastAsia="Arial Unicode MS" w:hAnsiTheme="majorHAnsi" w:cstheme="majorHAnsi"/>
                <w:b w:val="0"/>
                <w:color w:val="auto"/>
                <w:sz w:val="22"/>
                <w:szCs w:val="22"/>
              </w:rPr>
              <w:t>ErNSV</w:t>
            </w:r>
            <w:proofErr w:type="spellEnd"/>
            <w:r w:rsidRPr="000020F0">
              <w:rPr>
                <w:rFonts w:asciiTheme="majorHAnsi" w:eastAsia="Arial Unicode MS" w:hAnsiTheme="majorHAnsi" w:cstheme="majorHAnsi"/>
                <w:b w:val="0"/>
                <w:color w:val="auto"/>
                <w:sz w:val="22"/>
                <w:szCs w:val="22"/>
              </w:rPr>
              <w:t>)</w:t>
            </w:r>
          </w:p>
        </w:tc>
        <w:tc>
          <w:tcPr>
            <w:tcW w:w="1325" w:type="pct"/>
            <w:vAlign w:val="center"/>
          </w:tcPr>
          <w:p w14:paraId="25099172" w14:textId="571B0EEE" w:rsidR="00675CD7" w:rsidRPr="000020F0" w:rsidRDefault="00675CD7" w:rsidP="00675CD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1,43</w:t>
            </w:r>
          </w:p>
        </w:tc>
      </w:tr>
      <w:tr w:rsidR="00675CD7" w:rsidRPr="000020F0" w14:paraId="0F6A2F95" w14:textId="77777777" w:rsidTr="00675CD7">
        <w:tc>
          <w:tcPr>
            <w:cnfStyle w:val="001000000000" w:firstRow="0" w:lastRow="0" w:firstColumn="1" w:lastColumn="0" w:oddVBand="0" w:evenVBand="0" w:oddHBand="0" w:evenHBand="0" w:firstRowFirstColumn="0" w:firstRowLastColumn="0" w:lastRowFirstColumn="0" w:lastRowLastColumn="0"/>
            <w:tcW w:w="3675" w:type="pct"/>
            <w:vAlign w:val="bottom"/>
          </w:tcPr>
          <w:p w14:paraId="3662A4EE" w14:textId="77777777" w:rsidR="00675CD7" w:rsidRPr="000020F0" w:rsidRDefault="00675CD7" w:rsidP="00675CD7">
            <w:pPr>
              <w:tabs>
                <w:tab w:val="left" w:pos="3885"/>
              </w:tabs>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Razmerje med koristmi in stroški (B/</w:t>
            </w:r>
            <w:proofErr w:type="spellStart"/>
            <w:r w:rsidRPr="000020F0">
              <w:rPr>
                <w:rFonts w:asciiTheme="majorHAnsi" w:eastAsia="Arial Unicode MS" w:hAnsiTheme="majorHAnsi" w:cstheme="majorHAnsi"/>
                <w:b w:val="0"/>
                <w:color w:val="auto"/>
                <w:sz w:val="22"/>
                <w:szCs w:val="22"/>
              </w:rPr>
              <w:t>Cratio</w:t>
            </w:r>
            <w:proofErr w:type="spellEnd"/>
            <w:r w:rsidRPr="000020F0">
              <w:rPr>
                <w:rFonts w:asciiTheme="majorHAnsi" w:eastAsia="Arial Unicode MS" w:hAnsiTheme="majorHAnsi" w:cstheme="majorHAnsi"/>
                <w:b w:val="0"/>
                <w:color w:val="auto"/>
                <w:sz w:val="22"/>
                <w:szCs w:val="22"/>
              </w:rPr>
              <w:t>)</w:t>
            </w:r>
          </w:p>
        </w:tc>
        <w:tc>
          <w:tcPr>
            <w:tcW w:w="1325" w:type="pct"/>
            <w:vAlign w:val="center"/>
          </w:tcPr>
          <w:p w14:paraId="015E081F" w14:textId="015131B7" w:rsidR="00675CD7" w:rsidRPr="000020F0" w:rsidRDefault="00675CD7" w:rsidP="00675CD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0020F0">
              <w:rPr>
                <w:rFonts w:ascii="Arial" w:hAnsi="Arial" w:cs="Arial"/>
                <w:color w:val="000000"/>
                <w:sz w:val="22"/>
                <w:szCs w:val="22"/>
              </w:rPr>
              <w:t>2,14</w:t>
            </w:r>
          </w:p>
        </w:tc>
      </w:tr>
    </w:tbl>
    <w:p w14:paraId="77B021F2" w14:textId="6BB39B5D" w:rsidR="006B14FF" w:rsidRPr="000020F0" w:rsidRDefault="006B14FF" w:rsidP="00BD1D20">
      <w:pPr>
        <w:spacing w:line="276" w:lineRule="auto"/>
        <w:rPr>
          <w:rFonts w:asciiTheme="majorHAnsi" w:eastAsiaTheme="majorEastAsia" w:hAnsiTheme="majorHAnsi" w:cstheme="majorHAnsi"/>
          <w:b/>
          <w:bCs/>
          <w:color w:val="365F91" w:themeColor="accent1" w:themeShade="BF"/>
          <w:sz w:val="28"/>
          <w:szCs w:val="28"/>
        </w:rPr>
      </w:pPr>
      <w:bookmarkStart w:id="125" w:name="_Toc3698216"/>
    </w:p>
    <w:p w14:paraId="4E81615C" w14:textId="502EA011" w:rsidR="007454F0" w:rsidRPr="000020F0" w:rsidRDefault="00222C3B" w:rsidP="007454F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26" w:name="_Toc230882186"/>
      <w:r w:rsidRPr="000020F0">
        <w:rPr>
          <w:rFonts w:asciiTheme="majorHAnsi" w:eastAsiaTheme="majorEastAsia" w:hAnsiTheme="majorHAnsi" w:cstheme="majorHAnsi"/>
          <w:color w:val="244061" w:themeColor="accent1" w:themeShade="80"/>
        </w:rPr>
        <w:t>Utemeljitev izpolnjevanja pogojev javnega razpisa JR EKP UTM 2025</w:t>
      </w:r>
      <w:bookmarkEnd w:id="126"/>
    </w:p>
    <w:p w14:paraId="5480F4CA" w14:textId="77777777" w:rsidR="007454F0" w:rsidRPr="000020F0" w:rsidRDefault="007454F0" w:rsidP="007454F0">
      <w:pPr>
        <w:spacing w:after="120" w:line="276" w:lineRule="auto"/>
        <w:rPr>
          <w:rFonts w:asciiTheme="majorHAnsi" w:hAnsiTheme="majorHAnsi" w:cstheme="majorHAnsi"/>
          <w:sz w:val="22"/>
          <w:szCs w:val="22"/>
        </w:rPr>
      </w:pPr>
    </w:p>
    <w:p w14:paraId="00675365" w14:textId="77777777" w:rsidR="00222C3B" w:rsidRPr="000020F0" w:rsidRDefault="00222C3B" w:rsidP="00222C3B">
      <w:pPr>
        <w:spacing w:after="200" w:line="276" w:lineRule="auto"/>
        <w:jc w:val="both"/>
        <w:rPr>
          <w:rFonts w:ascii="Arial" w:eastAsia="Arial" w:hAnsi="Arial" w:cs="Arial"/>
          <w:sz w:val="22"/>
          <w:szCs w:val="22"/>
        </w:rPr>
      </w:pPr>
      <w:r w:rsidRPr="000020F0">
        <w:rPr>
          <w:rFonts w:ascii="Arial" w:eastAsia="Arial" w:hAnsi="Arial" w:cs="Arial"/>
          <w:sz w:val="22"/>
          <w:szCs w:val="22"/>
        </w:rPr>
        <w:t>Predmetna operacija »Celovita ureditev centra Ig – ukrepi trajnostne mobilnosti« je pripravljena za prijavo na Javni razpis za sofinanciranje ukrepov trajnostne mobilnosti v obdobju 2023–2029, oznaka JR EKP UTM 2025. Javni razpis je namenjen izboljšanju pogojev za trajnostne prometne načine v dnevnih migracijah ter povečanju deleža poti, opravljenih na trajnosten način, kar prispeva k zmanjšanju emisij toplogrednih plinov in onesnaževal zraka zaradi prometa.</w:t>
      </w:r>
    </w:p>
    <w:p w14:paraId="19B7AAB0" w14:textId="77777777" w:rsidR="00222C3B" w:rsidRPr="000020F0" w:rsidRDefault="00222C3B" w:rsidP="00222C3B">
      <w:pPr>
        <w:spacing w:after="200" w:line="276" w:lineRule="auto"/>
        <w:jc w:val="both"/>
        <w:rPr>
          <w:rFonts w:ascii="Arial" w:eastAsia="Arial" w:hAnsi="Arial" w:cs="Arial"/>
          <w:sz w:val="22"/>
          <w:szCs w:val="22"/>
        </w:rPr>
      </w:pPr>
      <w:r w:rsidRPr="000020F0">
        <w:rPr>
          <w:rFonts w:ascii="Arial" w:eastAsia="Arial" w:hAnsi="Arial" w:cs="Arial"/>
          <w:sz w:val="22"/>
          <w:szCs w:val="22"/>
        </w:rPr>
        <w:t>Predmet javnega razpisa je dodelitev nepovratnih sredstev občinam za naložbe, ki spodbujajo trajnostno mobilnost tako, da omejujejo osebni motorni promet in pomembno izboljšujejo infrastrukturo za javni potniški promet, pešce in kolesarje. V okviru razpisa so podprti ukrepi: ukrep 1 – celovita preureditev ulic in cest skladno z načeli trajnostne mobilnosti, ukrep 2 – ureditev namenskih površin za JPP, ukrep 3 – infrastruktura za pešce in ukrep 4 – infrastruktura za kolesarjenje.</w:t>
      </w:r>
    </w:p>
    <w:p w14:paraId="4EC5042C" w14:textId="77777777" w:rsidR="00222C3B" w:rsidRPr="000020F0" w:rsidRDefault="00222C3B" w:rsidP="00222C3B">
      <w:pPr>
        <w:spacing w:after="200" w:line="276" w:lineRule="auto"/>
        <w:jc w:val="both"/>
        <w:rPr>
          <w:rFonts w:ascii="Arial" w:eastAsia="Arial" w:hAnsi="Arial" w:cs="Arial"/>
          <w:sz w:val="22"/>
          <w:szCs w:val="22"/>
        </w:rPr>
      </w:pPr>
      <w:r w:rsidRPr="000020F0">
        <w:rPr>
          <w:rFonts w:ascii="Arial" w:eastAsia="Arial" w:hAnsi="Arial" w:cs="Arial"/>
          <w:sz w:val="22"/>
          <w:szCs w:val="22"/>
        </w:rPr>
        <w:t xml:space="preserve">Projekt Občine Ig vsebinsko izpolnjuje pogoje javnega razpisa, saj vključuje celovito preureditev Govekarjeve ceste in Troštove ulice, vzpostavitev skupnega prometnega prostora, ureditev avtobusnega postajališča, kolesarske infrastrukture, parkirišč za kolesa, sistema javne izposoje e-koles, ukrepov za umirjanje prometa ter spremljanje prometnih tokov. V </w:t>
      </w:r>
      <w:proofErr w:type="spellStart"/>
      <w:r w:rsidRPr="000020F0">
        <w:rPr>
          <w:rFonts w:ascii="Arial" w:eastAsia="Arial" w:hAnsi="Arial" w:cs="Arial"/>
          <w:sz w:val="22"/>
          <w:szCs w:val="22"/>
        </w:rPr>
        <w:t>novelaciji</w:t>
      </w:r>
      <w:proofErr w:type="spellEnd"/>
      <w:r w:rsidRPr="000020F0">
        <w:rPr>
          <w:rFonts w:ascii="Arial" w:eastAsia="Arial" w:hAnsi="Arial" w:cs="Arial"/>
          <w:sz w:val="22"/>
          <w:szCs w:val="22"/>
        </w:rPr>
        <w:t xml:space="preserve"> investicijskega programa so ukrepi razvidni zlasti iz poglavij 1 Uvodno pojasnilo, 1.3 Namen in cilj investicijskega projekta, 6 Tehnično-tehnološki del, 6.4 EU razpis trajnostna mobilnost, 8 Ocena vrednosti projekta, 10 Analiza vplivov investicijskega projekta na okolje, 11 Časovni načrt izvedbe investicije in 12 Načrt financiranja.</w:t>
      </w:r>
    </w:p>
    <w:p w14:paraId="21D1AC5C" w14:textId="77777777" w:rsidR="000440B9" w:rsidRPr="000020F0" w:rsidRDefault="000440B9" w:rsidP="007E7B81">
      <w:pPr>
        <w:pStyle w:val="Napis"/>
        <w:keepNext/>
        <w:spacing w:after="120" w:line="276" w:lineRule="auto"/>
        <w:rPr>
          <w:rFonts w:asciiTheme="majorHAnsi" w:hAnsiTheme="majorHAnsi" w:cstheme="majorHAnsi"/>
          <w:b w:val="0"/>
          <w:bCs w:val="0"/>
          <w:color w:val="auto"/>
          <w:sz w:val="22"/>
          <w:szCs w:val="22"/>
        </w:rPr>
        <w:sectPr w:rsidR="000440B9" w:rsidRPr="000020F0" w:rsidSect="006945A7">
          <w:headerReference w:type="default" r:id="rId52"/>
          <w:headerReference w:type="first" r:id="rId53"/>
          <w:pgSz w:w="11906" w:h="16838" w:code="9"/>
          <w:pgMar w:top="1134" w:right="1417" w:bottom="1417" w:left="1134" w:header="708" w:footer="708" w:gutter="0"/>
          <w:cols w:space="708"/>
          <w:titlePg/>
          <w:docGrid w:linePitch="360"/>
        </w:sectPr>
      </w:pPr>
    </w:p>
    <w:p w14:paraId="142C5321" w14:textId="4DF8C907" w:rsidR="007E7B81" w:rsidRPr="000020F0" w:rsidRDefault="007E7B81" w:rsidP="007E7B81">
      <w:pPr>
        <w:pStyle w:val="Napis"/>
        <w:keepNext/>
        <w:spacing w:after="120" w:line="276" w:lineRule="auto"/>
        <w:rPr>
          <w:rFonts w:asciiTheme="majorHAnsi" w:hAnsiTheme="majorHAnsi" w:cstheme="majorHAnsi"/>
          <w:b w:val="0"/>
          <w:bCs w:val="0"/>
          <w:color w:val="auto"/>
          <w:sz w:val="22"/>
          <w:szCs w:val="22"/>
        </w:rPr>
      </w:pPr>
      <w:bookmarkStart w:id="127" w:name="_Toc230882288"/>
      <w:r w:rsidRPr="000020F0">
        <w:rPr>
          <w:rFonts w:asciiTheme="majorHAnsi" w:hAnsiTheme="majorHAnsi" w:cstheme="majorHAnsi"/>
          <w:b w:val="0"/>
          <w:bCs w:val="0"/>
          <w:color w:val="auto"/>
          <w:sz w:val="22"/>
          <w:szCs w:val="22"/>
        </w:rPr>
        <w:lastRenderedPageBreak/>
        <w:t xml:space="preserve">Tabela </w:t>
      </w:r>
      <w:r w:rsidRPr="000020F0">
        <w:rPr>
          <w:rFonts w:asciiTheme="majorHAnsi" w:hAnsiTheme="majorHAnsi" w:cstheme="majorHAnsi"/>
          <w:b w:val="0"/>
          <w:bCs w:val="0"/>
          <w:color w:val="auto"/>
          <w:sz w:val="22"/>
          <w:szCs w:val="22"/>
        </w:rPr>
        <w:fldChar w:fldCharType="begin"/>
      </w:r>
      <w:r w:rsidRPr="000020F0">
        <w:rPr>
          <w:rFonts w:asciiTheme="majorHAnsi" w:hAnsiTheme="majorHAnsi" w:cstheme="majorHAnsi"/>
          <w:b w:val="0"/>
          <w:bCs w:val="0"/>
          <w:color w:val="auto"/>
          <w:sz w:val="22"/>
          <w:szCs w:val="22"/>
        </w:rPr>
        <w:instrText xml:space="preserve"> SEQ Tabela \* ARABIC </w:instrText>
      </w:r>
      <w:r w:rsidRPr="000020F0">
        <w:rPr>
          <w:rFonts w:asciiTheme="majorHAnsi" w:hAnsiTheme="majorHAnsi" w:cstheme="majorHAnsi"/>
          <w:b w:val="0"/>
          <w:bCs w:val="0"/>
          <w:color w:val="auto"/>
          <w:sz w:val="22"/>
          <w:szCs w:val="22"/>
        </w:rPr>
        <w:fldChar w:fldCharType="separate"/>
      </w:r>
      <w:r w:rsidR="00BB0C0C">
        <w:rPr>
          <w:rFonts w:asciiTheme="majorHAnsi" w:hAnsiTheme="majorHAnsi" w:cstheme="majorHAnsi"/>
          <w:b w:val="0"/>
          <w:bCs w:val="0"/>
          <w:noProof/>
          <w:color w:val="auto"/>
          <w:sz w:val="22"/>
          <w:szCs w:val="22"/>
        </w:rPr>
        <w:t>8</w:t>
      </w:r>
      <w:r w:rsidRPr="000020F0">
        <w:rPr>
          <w:rFonts w:asciiTheme="majorHAnsi" w:hAnsiTheme="majorHAnsi" w:cstheme="majorHAnsi"/>
          <w:b w:val="0"/>
          <w:bCs w:val="0"/>
          <w:color w:val="auto"/>
          <w:sz w:val="22"/>
          <w:szCs w:val="22"/>
        </w:rPr>
        <w:fldChar w:fldCharType="end"/>
      </w:r>
      <w:r w:rsidRPr="000020F0">
        <w:rPr>
          <w:rFonts w:asciiTheme="majorHAnsi" w:hAnsiTheme="majorHAnsi" w:cstheme="majorHAnsi"/>
          <w:b w:val="0"/>
          <w:bCs w:val="0"/>
          <w:color w:val="auto"/>
          <w:sz w:val="22"/>
          <w:szCs w:val="22"/>
        </w:rPr>
        <w:t>: Pregled izpolnjevanja pogojev javnega razpisa</w:t>
      </w:r>
      <w:bookmarkEnd w:id="127"/>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70"/>
        <w:gridCol w:w="4394"/>
        <w:gridCol w:w="3827"/>
        <w:gridCol w:w="1985"/>
      </w:tblGrid>
      <w:tr w:rsidR="00CC0D3F" w:rsidRPr="000020F0" w14:paraId="6356541B" w14:textId="77777777" w:rsidTr="0031452F">
        <w:trPr>
          <w:trHeight w:val="20"/>
          <w:tblHeader/>
        </w:trPr>
        <w:tc>
          <w:tcPr>
            <w:tcW w:w="720" w:type="dxa"/>
            <w:shd w:val="clear" w:color="auto" w:fill="002060"/>
            <w:vAlign w:val="center"/>
            <w:hideMark/>
          </w:tcPr>
          <w:p w14:paraId="48523788" w14:textId="77777777" w:rsidR="00CC0D3F" w:rsidRPr="000020F0" w:rsidRDefault="00CC0D3F" w:rsidP="0031452F">
            <w:pPr>
              <w:spacing w:before="120" w:after="120"/>
              <w:jc w:val="cente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Št.</w:t>
            </w:r>
          </w:p>
        </w:tc>
        <w:tc>
          <w:tcPr>
            <w:tcW w:w="3670" w:type="dxa"/>
            <w:shd w:val="clear" w:color="auto" w:fill="002060"/>
            <w:vAlign w:val="center"/>
            <w:hideMark/>
          </w:tcPr>
          <w:p w14:paraId="15294AC7" w14:textId="77777777" w:rsidR="00CC0D3F" w:rsidRPr="000020F0" w:rsidRDefault="00CC0D3F" w:rsidP="0031452F">
            <w:pPr>
              <w:spacing w:before="120" w:after="120"/>
              <w:jc w:val="cente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Pogoj javnega razpisa / zahteva</w:t>
            </w:r>
          </w:p>
        </w:tc>
        <w:tc>
          <w:tcPr>
            <w:tcW w:w="4394" w:type="dxa"/>
            <w:shd w:val="clear" w:color="auto" w:fill="002060"/>
            <w:vAlign w:val="center"/>
            <w:hideMark/>
          </w:tcPr>
          <w:p w14:paraId="6C267D1F" w14:textId="77777777" w:rsidR="00CC0D3F" w:rsidRPr="000020F0" w:rsidRDefault="00CC0D3F" w:rsidP="0031452F">
            <w:pPr>
              <w:spacing w:before="120" w:after="120"/>
              <w:jc w:val="cente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Utemeljitev izpolnjevanja pogoja</w:t>
            </w:r>
          </w:p>
        </w:tc>
        <w:tc>
          <w:tcPr>
            <w:tcW w:w="3827" w:type="dxa"/>
            <w:shd w:val="clear" w:color="auto" w:fill="002060"/>
            <w:vAlign w:val="center"/>
            <w:hideMark/>
          </w:tcPr>
          <w:p w14:paraId="1B9AFD62" w14:textId="77777777" w:rsidR="00CC0D3F" w:rsidRPr="000020F0" w:rsidRDefault="00CC0D3F" w:rsidP="0031452F">
            <w:pPr>
              <w:spacing w:before="120" w:after="120"/>
              <w:jc w:val="cente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Referenca v NIP</w:t>
            </w:r>
          </w:p>
        </w:tc>
        <w:tc>
          <w:tcPr>
            <w:tcW w:w="1985" w:type="dxa"/>
            <w:shd w:val="clear" w:color="auto" w:fill="002060"/>
            <w:vAlign w:val="center"/>
            <w:hideMark/>
          </w:tcPr>
          <w:p w14:paraId="23F75A77" w14:textId="77777777" w:rsidR="00CC0D3F" w:rsidRPr="000020F0" w:rsidRDefault="00CC0D3F" w:rsidP="0031452F">
            <w:pPr>
              <w:spacing w:before="120" w:after="120"/>
              <w:jc w:val="cente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Vir / opomba</w:t>
            </w:r>
          </w:p>
        </w:tc>
      </w:tr>
      <w:tr w:rsidR="00CC0D3F" w:rsidRPr="000020F0" w14:paraId="65E644B7" w14:textId="77777777" w:rsidTr="0031452F">
        <w:trPr>
          <w:trHeight w:val="20"/>
        </w:trPr>
        <w:tc>
          <w:tcPr>
            <w:tcW w:w="720" w:type="dxa"/>
            <w:hideMark/>
          </w:tcPr>
          <w:p w14:paraId="01E57797"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w:t>
            </w:r>
          </w:p>
        </w:tc>
        <w:tc>
          <w:tcPr>
            <w:tcW w:w="3670" w:type="dxa"/>
            <w:hideMark/>
          </w:tcPr>
          <w:p w14:paraId="5B297EE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Upravičen vlagatelj je občina oziroma konzorcij občin z ustrezno prometno strategijo.</w:t>
            </w:r>
          </w:p>
        </w:tc>
        <w:tc>
          <w:tcPr>
            <w:tcW w:w="4394" w:type="dxa"/>
            <w:hideMark/>
          </w:tcPr>
          <w:p w14:paraId="61F6FDE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Vlagatelj, investitor, naročnik in upravljavec projekta je Občina Ig, Govekarjeva cesta 6, 1292 Ig. Projekt se izvaja kot občinska naložba v javno prometno infrastrukturo.</w:t>
            </w:r>
          </w:p>
        </w:tc>
        <w:tc>
          <w:tcPr>
            <w:tcW w:w="3827" w:type="dxa"/>
            <w:hideMark/>
          </w:tcPr>
          <w:p w14:paraId="5B76588F" w14:textId="0FD833ED"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1.1 O investitorju, upravljavcu in naročniku,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_Ref230593794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18</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3.1 Osnovni podatki o naročniku, investitorju in upravljavcu,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_Ref230593818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43</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66304C26"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JR EKP UTM 2025; NIP</w:t>
            </w:r>
          </w:p>
        </w:tc>
      </w:tr>
      <w:tr w:rsidR="00CC0D3F" w:rsidRPr="000020F0" w14:paraId="3FAF334A" w14:textId="77777777" w:rsidTr="0031452F">
        <w:trPr>
          <w:trHeight w:val="20"/>
        </w:trPr>
        <w:tc>
          <w:tcPr>
            <w:tcW w:w="720" w:type="dxa"/>
            <w:hideMark/>
          </w:tcPr>
          <w:p w14:paraId="4DE7046F"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w:t>
            </w:r>
          </w:p>
        </w:tc>
        <w:tc>
          <w:tcPr>
            <w:tcW w:w="3670" w:type="dxa"/>
            <w:hideMark/>
          </w:tcPr>
          <w:p w14:paraId="32A1FC01"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spodbujati trajnostno mobilnost in zmanjševati odvisnost od osebnega motornega prometa.</w:t>
            </w:r>
          </w:p>
        </w:tc>
        <w:tc>
          <w:tcPr>
            <w:tcW w:w="4394" w:type="dxa"/>
            <w:hideMark/>
          </w:tcPr>
          <w:p w14:paraId="0B4D788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Namen projekta je izboljšati pogoje za hojo, kolesarjenje in uporabo javnega potniškega prometa ter zmanjšati odvisnost od osebnih vozil v središču Občine Ig. Projekt vključuje ukrepe za umirjanje prometa, skupni prometni prostor, zmanjšanje površin za motorni promet, izboljšanje prometne varnosti ter spodbujanje uporabe JPP in kolesarjenja.</w:t>
            </w:r>
          </w:p>
        </w:tc>
        <w:tc>
          <w:tcPr>
            <w:tcW w:w="3827" w:type="dxa"/>
            <w:hideMark/>
          </w:tcPr>
          <w:p w14:paraId="36147A93" w14:textId="4C16C810"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1.3 Namen in cilj investicijskega projekta,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_Ref230593844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20</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4.4 Razlogi za investicijsko namero,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_Ref230593858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53</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6.2 Trajnostna mobilnost,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_Ref230593872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67</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4AAF3C75"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28A79909" w14:textId="77777777" w:rsidTr="0031452F">
        <w:trPr>
          <w:trHeight w:val="20"/>
        </w:trPr>
        <w:tc>
          <w:tcPr>
            <w:tcW w:w="720" w:type="dxa"/>
            <w:hideMark/>
          </w:tcPr>
          <w:p w14:paraId="3F4F6F1B"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w:t>
            </w:r>
          </w:p>
        </w:tc>
        <w:tc>
          <w:tcPr>
            <w:tcW w:w="3670" w:type="dxa"/>
            <w:hideMark/>
          </w:tcPr>
          <w:p w14:paraId="656634C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biti skladna s predmetom javnega razpisa.</w:t>
            </w:r>
          </w:p>
        </w:tc>
        <w:tc>
          <w:tcPr>
            <w:tcW w:w="4394" w:type="dxa"/>
            <w:hideMark/>
          </w:tcPr>
          <w:p w14:paraId="1D0290B4"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 neposredno naslavlja predmet razpisa, saj gre za naložbo občine v infrastrukturo trajnostne mobilnosti, ki omejuje osebni motorni promet in izboljšuje pogoje za javni potniški promet, pešce in kolesarje.</w:t>
            </w:r>
          </w:p>
        </w:tc>
        <w:tc>
          <w:tcPr>
            <w:tcW w:w="3827" w:type="dxa"/>
            <w:hideMark/>
          </w:tcPr>
          <w:p w14:paraId="067612E6" w14:textId="08EB641E"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1 Uvodno pojasnilo,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_Ref230593891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8</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 Tehnično-tehnološki del,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_Ref230593904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66</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7ABFBC4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JR EKP UTM 2025; NIP</w:t>
            </w:r>
          </w:p>
        </w:tc>
      </w:tr>
      <w:tr w:rsidR="00CC0D3F" w:rsidRPr="000020F0" w14:paraId="19DE4783" w14:textId="77777777" w:rsidTr="0031452F">
        <w:trPr>
          <w:trHeight w:val="20"/>
        </w:trPr>
        <w:tc>
          <w:tcPr>
            <w:tcW w:w="720" w:type="dxa"/>
            <w:hideMark/>
          </w:tcPr>
          <w:p w14:paraId="40A6B7A0"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w:t>
            </w:r>
          </w:p>
        </w:tc>
        <w:tc>
          <w:tcPr>
            <w:tcW w:w="3670" w:type="dxa"/>
            <w:hideMark/>
          </w:tcPr>
          <w:p w14:paraId="56DF484B"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Ukrep 1: celovita preureditev ulic in cest skladno z načeli trajnostne mobilnosti.</w:t>
            </w:r>
          </w:p>
        </w:tc>
        <w:tc>
          <w:tcPr>
            <w:tcW w:w="4394" w:type="dxa"/>
            <w:hideMark/>
          </w:tcPr>
          <w:p w14:paraId="4EE556E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 vključuje celovito preureditev Govekarjeve ceste in Troštove ulice, zoženje vozišč, višinsko izravnavo prometnih površin, vzpostavitev skupnega prometnega prostora, omejitev hitrosti na 20 km/h, dvignjene prehode, hitrostne ovire ter ukinitev oziroma preureditev dela površin, namenjenih motornemu prometu.</w:t>
            </w:r>
          </w:p>
        </w:tc>
        <w:tc>
          <w:tcPr>
            <w:tcW w:w="3827" w:type="dxa"/>
            <w:hideMark/>
          </w:tcPr>
          <w:p w14:paraId="4F44178A" w14:textId="0104D056"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6.4.1 Ukrep 1: Celovita preureditev ulic in cest skladno z načeli trajnostne mobilnosti, str. </w:t>
            </w:r>
            <w:r w:rsidR="000446DA" w:rsidRPr="000020F0">
              <w:rPr>
                <w:rFonts w:asciiTheme="majorHAnsi" w:hAnsiTheme="majorHAnsi" w:cstheme="majorHAnsi"/>
                <w:color w:val="000000"/>
                <w:sz w:val="20"/>
                <w:szCs w:val="20"/>
              </w:rPr>
              <w:fldChar w:fldCharType="begin"/>
            </w:r>
            <w:r w:rsidR="000446DA" w:rsidRPr="000020F0">
              <w:rPr>
                <w:rFonts w:asciiTheme="majorHAnsi" w:hAnsiTheme="majorHAnsi" w:cstheme="majorHAnsi"/>
                <w:color w:val="000000"/>
                <w:sz w:val="20"/>
                <w:szCs w:val="20"/>
              </w:rPr>
              <w:instrText xml:space="preserve"> PAGEREF _Ref230593918 \h </w:instrText>
            </w:r>
            <w:r w:rsidR="000446DA" w:rsidRPr="000020F0">
              <w:rPr>
                <w:rFonts w:asciiTheme="majorHAnsi" w:hAnsiTheme="majorHAnsi" w:cstheme="majorHAnsi"/>
                <w:color w:val="000000"/>
                <w:sz w:val="20"/>
                <w:szCs w:val="20"/>
              </w:rPr>
            </w:r>
            <w:r w:rsidR="000446DA"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69</w:t>
            </w:r>
            <w:r w:rsidR="000446DA"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6.5.1 Ceste/ulice, str. </w:t>
            </w:r>
            <w:r w:rsidR="004F5A53" w:rsidRPr="000020F0">
              <w:rPr>
                <w:rFonts w:asciiTheme="majorHAnsi" w:hAnsiTheme="majorHAnsi" w:cstheme="majorHAnsi"/>
                <w:color w:val="000000"/>
                <w:sz w:val="20"/>
                <w:szCs w:val="20"/>
              </w:rPr>
              <w:fldChar w:fldCharType="begin"/>
            </w:r>
            <w:r w:rsidR="004F5A53" w:rsidRPr="000020F0">
              <w:rPr>
                <w:rFonts w:asciiTheme="majorHAnsi" w:hAnsiTheme="majorHAnsi" w:cstheme="majorHAnsi"/>
                <w:color w:val="000000"/>
                <w:sz w:val="20"/>
                <w:szCs w:val="20"/>
              </w:rPr>
              <w:instrText xml:space="preserve"> PAGEREF _Ref230593930 \h </w:instrText>
            </w:r>
            <w:r w:rsidR="004F5A53" w:rsidRPr="000020F0">
              <w:rPr>
                <w:rFonts w:asciiTheme="majorHAnsi" w:hAnsiTheme="majorHAnsi" w:cstheme="majorHAnsi"/>
                <w:color w:val="000000"/>
                <w:sz w:val="20"/>
                <w:szCs w:val="20"/>
              </w:rPr>
            </w:r>
            <w:r w:rsidR="004F5A53"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71</w:t>
            </w:r>
            <w:r w:rsidR="004F5A53"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w:t>
            </w:r>
            <w:r w:rsidR="004F5A53" w:rsidRPr="000020F0">
              <w:rPr>
                <w:rFonts w:asciiTheme="majorHAnsi" w:hAnsiTheme="majorHAnsi" w:cstheme="majorHAnsi"/>
                <w:color w:val="000000"/>
                <w:sz w:val="20"/>
                <w:szCs w:val="20"/>
              </w:rPr>
              <w:fldChar w:fldCharType="begin"/>
            </w:r>
            <w:r w:rsidR="004F5A53" w:rsidRPr="000020F0">
              <w:rPr>
                <w:rFonts w:asciiTheme="majorHAnsi" w:hAnsiTheme="majorHAnsi" w:cstheme="majorHAnsi"/>
                <w:color w:val="000000"/>
                <w:sz w:val="20"/>
                <w:szCs w:val="20"/>
              </w:rPr>
              <w:instrText xml:space="preserve"> REF _Ref230593968 \h  \* MERGEFORMAT </w:instrText>
            </w:r>
            <w:r w:rsidR="004F5A53" w:rsidRPr="000020F0">
              <w:rPr>
                <w:rFonts w:asciiTheme="majorHAnsi" w:hAnsiTheme="majorHAnsi" w:cstheme="majorHAnsi"/>
                <w:color w:val="000000"/>
                <w:sz w:val="20"/>
                <w:szCs w:val="20"/>
              </w:rPr>
            </w:r>
            <w:r w:rsidR="004F5A53" w:rsidRPr="000020F0">
              <w:rPr>
                <w:rFonts w:asciiTheme="majorHAnsi" w:hAnsiTheme="majorHAnsi" w:cstheme="majorHAnsi"/>
                <w:color w:val="000000"/>
                <w:sz w:val="20"/>
                <w:szCs w:val="20"/>
              </w:rPr>
              <w:fldChar w:fldCharType="separate"/>
            </w:r>
            <w:r w:rsidR="00BB0C0C" w:rsidRPr="00BB0C0C">
              <w:rPr>
                <w:rFonts w:asciiTheme="majorHAnsi" w:hAnsiTheme="majorHAnsi" w:cstheme="majorHAnsi"/>
                <w:sz w:val="20"/>
                <w:szCs w:val="20"/>
                <w:lang w:eastAsia="en-US"/>
              </w:rPr>
              <w:t xml:space="preserve">Tabela 2: Kazalniki vezani na </w:t>
            </w:r>
            <w:r w:rsidR="00BB0C0C" w:rsidRPr="00BB0C0C">
              <w:rPr>
                <w:rFonts w:asciiTheme="majorHAnsi" w:hAnsiTheme="majorHAnsi" w:cstheme="majorHAnsi"/>
                <w:sz w:val="20"/>
                <w:szCs w:val="20"/>
                <w:lang w:eastAsia="zh-TW"/>
              </w:rPr>
              <w:t>JR EKP UTM 2025</w:t>
            </w:r>
            <w:r w:rsidR="004F5A53" w:rsidRPr="000020F0">
              <w:rPr>
                <w:rFonts w:asciiTheme="majorHAnsi" w:hAnsiTheme="majorHAnsi" w:cstheme="majorHAnsi"/>
                <w:color w:val="000000"/>
                <w:sz w:val="20"/>
                <w:szCs w:val="20"/>
              </w:rPr>
              <w:fldChar w:fldCharType="end"/>
            </w:r>
            <w:r w:rsidR="004F5A53" w:rsidRPr="000020F0">
              <w:rPr>
                <w:rFonts w:asciiTheme="majorHAnsi" w:hAnsiTheme="majorHAnsi" w:cstheme="majorHAnsi"/>
                <w:color w:val="000000"/>
                <w:sz w:val="20"/>
                <w:szCs w:val="20"/>
              </w:rPr>
              <w:t xml:space="preserve">, str. </w:t>
            </w:r>
            <w:r w:rsidR="004F5A53" w:rsidRPr="000020F0">
              <w:rPr>
                <w:rFonts w:asciiTheme="majorHAnsi" w:hAnsiTheme="majorHAnsi" w:cstheme="majorHAnsi"/>
                <w:color w:val="000000"/>
                <w:sz w:val="20"/>
                <w:szCs w:val="20"/>
              </w:rPr>
              <w:fldChar w:fldCharType="begin"/>
            </w:r>
            <w:r w:rsidR="004F5A53" w:rsidRPr="000020F0">
              <w:rPr>
                <w:rFonts w:asciiTheme="majorHAnsi" w:hAnsiTheme="majorHAnsi" w:cstheme="majorHAnsi"/>
                <w:color w:val="000000"/>
                <w:sz w:val="20"/>
                <w:szCs w:val="20"/>
              </w:rPr>
              <w:instrText xml:space="preserve"> PAGEREF _Ref230593979 \h </w:instrText>
            </w:r>
            <w:r w:rsidR="004F5A53" w:rsidRPr="000020F0">
              <w:rPr>
                <w:rFonts w:asciiTheme="majorHAnsi" w:hAnsiTheme="majorHAnsi" w:cstheme="majorHAnsi"/>
                <w:color w:val="000000"/>
                <w:sz w:val="20"/>
                <w:szCs w:val="20"/>
              </w:rPr>
            </w:r>
            <w:r w:rsidR="004F5A53"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17</w:t>
            </w:r>
            <w:r w:rsidR="004F5A53"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0247DC62"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3F2BC815" w14:textId="77777777" w:rsidTr="0031452F">
        <w:trPr>
          <w:trHeight w:val="20"/>
        </w:trPr>
        <w:tc>
          <w:tcPr>
            <w:tcW w:w="720" w:type="dxa"/>
            <w:hideMark/>
          </w:tcPr>
          <w:p w14:paraId="7F6A3100"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w:t>
            </w:r>
          </w:p>
        </w:tc>
        <w:tc>
          <w:tcPr>
            <w:tcW w:w="3670" w:type="dxa"/>
            <w:hideMark/>
          </w:tcPr>
          <w:p w14:paraId="27E6B7A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Ukrep 2: ureditev namenskih površin za javni potniški promet.</w:t>
            </w:r>
          </w:p>
        </w:tc>
        <w:tc>
          <w:tcPr>
            <w:tcW w:w="4394" w:type="dxa"/>
            <w:hideMark/>
          </w:tcPr>
          <w:p w14:paraId="591F3AE2" w14:textId="67232BC4"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Projekt vključuje ureditev novega avtobusnega postajališča v centru Iga s tremi </w:t>
            </w:r>
            <w:proofErr w:type="spellStart"/>
            <w:r w:rsidRPr="000020F0">
              <w:rPr>
                <w:rFonts w:asciiTheme="majorHAnsi" w:hAnsiTheme="majorHAnsi" w:cstheme="majorHAnsi"/>
                <w:color w:val="000000"/>
                <w:sz w:val="20"/>
                <w:szCs w:val="20"/>
              </w:rPr>
              <w:t>nadkritimi</w:t>
            </w:r>
            <w:proofErr w:type="spellEnd"/>
            <w:r w:rsidRPr="000020F0">
              <w:rPr>
                <w:rFonts w:asciiTheme="majorHAnsi" w:hAnsiTheme="majorHAnsi" w:cstheme="majorHAnsi"/>
                <w:color w:val="000000"/>
                <w:sz w:val="20"/>
                <w:szCs w:val="20"/>
              </w:rPr>
              <w:t xml:space="preserve"> peroni ter spremljajočimi površinami za varnejšo in bolj kakovostno uporabo JPP</w:t>
            </w:r>
            <w:r w:rsidR="0039763F" w:rsidRPr="000020F0">
              <w:rPr>
                <w:rFonts w:asciiTheme="majorHAnsi" w:hAnsiTheme="majorHAnsi" w:cstheme="majorHAnsi"/>
                <w:color w:val="000000"/>
                <w:sz w:val="20"/>
                <w:szCs w:val="20"/>
              </w:rPr>
              <w:t xml:space="preserve"> in ureditev javnih sanitarij</w:t>
            </w:r>
            <w:r w:rsidRPr="000020F0">
              <w:rPr>
                <w:rFonts w:asciiTheme="majorHAnsi" w:hAnsiTheme="majorHAnsi" w:cstheme="majorHAnsi"/>
                <w:color w:val="000000"/>
                <w:sz w:val="20"/>
                <w:szCs w:val="20"/>
              </w:rPr>
              <w:t>.</w:t>
            </w:r>
          </w:p>
        </w:tc>
        <w:tc>
          <w:tcPr>
            <w:tcW w:w="3827" w:type="dxa"/>
            <w:hideMark/>
          </w:tcPr>
          <w:p w14:paraId="1E22CE10" w14:textId="3C5F9043"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6.4.2 Ukrep 2: Ureditev namenskih površin za JPP,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_Ref230594192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70</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6.2.3 Avtobusno postajališče,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_Ref230594075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68</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6.5.5 Nadstrešnica avtobusnega postajališča,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_Ref230594096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73</w:t>
            </w:r>
            <w:r w:rsidR="0031452F" w:rsidRPr="000020F0">
              <w:rPr>
                <w:rFonts w:asciiTheme="majorHAnsi" w:hAnsiTheme="majorHAnsi" w:cstheme="majorHAnsi"/>
                <w:color w:val="000000"/>
                <w:sz w:val="20"/>
                <w:szCs w:val="20"/>
              </w:rPr>
              <w:fldChar w:fldCharType="end"/>
            </w:r>
            <w:r w:rsidR="00620BE8" w:rsidRPr="000020F0">
              <w:rPr>
                <w:rFonts w:asciiTheme="majorHAnsi" w:hAnsiTheme="majorHAnsi" w:cstheme="majorHAnsi"/>
                <w:color w:val="000000"/>
                <w:sz w:val="20"/>
                <w:szCs w:val="20"/>
              </w:rPr>
              <w:t>, poglavje 6.5.4 Večnamenska objekta – kolesarnica in javne sanitarije, str. 72</w:t>
            </w:r>
            <w:r w:rsidRPr="000020F0">
              <w:rPr>
                <w:rFonts w:asciiTheme="majorHAnsi" w:hAnsiTheme="majorHAnsi" w:cstheme="majorHAnsi"/>
                <w:color w:val="000000"/>
                <w:sz w:val="20"/>
                <w:szCs w:val="20"/>
              </w:rPr>
              <w:t>.</w:t>
            </w:r>
          </w:p>
        </w:tc>
        <w:tc>
          <w:tcPr>
            <w:tcW w:w="1985" w:type="dxa"/>
            <w:hideMark/>
          </w:tcPr>
          <w:p w14:paraId="38480D1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4A53E5C3" w14:textId="77777777" w:rsidTr="0031452F">
        <w:trPr>
          <w:trHeight w:val="20"/>
        </w:trPr>
        <w:tc>
          <w:tcPr>
            <w:tcW w:w="720" w:type="dxa"/>
            <w:hideMark/>
          </w:tcPr>
          <w:p w14:paraId="0DA7B076"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6</w:t>
            </w:r>
          </w:p>
        </w:tc>
        <w:tc>
          <w:tcPr>
            <w:tcW w:w="3670" w:type="dxa"/>
            <w:hideMark/>
          </w:tcPr>
          <w:p w14:paraId="752968BE"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Ukrep 4: infrastruktura za kolesarjenje.</w:t>
            </w:r>
          </w:p>
        </w:tc>
        <w:tc>
          <w:tcPr>
            <w:tcW w:w="4394" w:type="dxa"/>
            <w:hideMark/>
          </w:tcPr>
          <w:p w14:paraId="50A444F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Projekt vključuje ureditev kolesarske infrastrukture, parkirnih mest za kolesa, </w:t>
            </w:r>
            <w:proofErr w:type="spellStart"/>
            <w:r w:rsidRPr="000020F0">
              <w:rPr>
                <w:rFonts w:asciiTheme="majorHAnsi" w:hAnsiTheme="majorHAnsi" w:cstheme="majorHAnsi"/>
                <w:color w:val="000000"/>
                <w:sz w:val="20"/>
                <w:szCs w:val="20"/>
              </w:rPr>
              <w:t>nadkritih</w:t>
            </w:r>
            <w:proofErr w:type="spellEnd"/>
            <w:r w:rsidRPr="000020F0">
              <w:rPr>
                <w:rFonts w:asciiTheme="majorHAnsi" w:hAnsiTheme="majorHAnsi" w:cstheme="majorHAnsi"/>
                <w:color w:val="000000"/>
                <w:sz w:val="20"/>
                <w:szCs w:val="20"/>
              </w:rPr>
              <w:t xml:space="preserve"> parkirišč za kolesa, varne kolesarnice, sistema javne izposoje e-koles, </w:t>
            </w:r>
            <w:r w:rsidRPr="000020F0">
              <w:rPr>
                <w:rFonts w:asciiTheme="majorHAnsi" w:hAnsiTheme="majorHAnsi" w:cstheme="majorHAnsi"/>
                <w:color w:val="000000"/>
                <w:sz w:val="20"/>
                <w:szCs w:val="20"/>
              </w:rPr>
              <w:lastRenderedPageBreak/>
              <w:t>dveh postaj sistema javne izposoje koles in nakup osmih e-koles.</w:t>
            </w:r>
          </w:p>
        </w:tc>
        <w:tc>
          <w:tcPr>
            <w:tcW w:w="3827" w:type="dxa"/>
            <w:hideMark/>
          </w:tcPr>
          <w:p w14:paraId="48F6D95A" w14:textId="1916221E"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 xml:space="preserve">Poglavje 6.4.3 Ukrep 4: Infrastruktura za kolesarje,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_Ref230594108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70</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6.2.5 Kolesarska infrastruktura,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_Ref230594118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69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6.5.3 Odprte pokrite </w:t>
            </w:r>
            <w:r w:rsidRPr="000020F0">
              <w:rPr>
                <w:rFonts w:asciiTheme="majorHAnsi" w:hAnsiTheme="majorHAnsi" w:cstheme="majorHAnsi"/>
                <w:color w:val="000000"/>
                <w:sz w:val="20"/>
                <w:szCs w:val="20"/>
              </w:rPr>
              <w:lastRenderedPageBreak/>
              <w:t xml:space="preserve">kolesarnice,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_Ref230594203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72</w:t>
            </w:r>
            <w:r w:rsidR="0031452F" w:rsidRPr="000020F0">
              <w:rPr>
                <w:rFonts w:asciiTheme="majorHAnsi" w:hAnsiTheme="majorHAnsi" w:cstheme="majorHAnsi"/>
                <w:color w:val="000000"/>
                <w:sz w:val="20"/>
                <w:szCs w:val="20"/>
              </w:rPr>
              <w:fldChar w:fldCharType="end"/>
            </w:r>
            <w:r w:rsidR="00620BE8" w:rsidRPr="000020F0">
              <w:rPr>
                <w:rFonts w:asciiTheme="majorHAnsi" w:hAnsiTheme="majorHAnsi" w:cstheme="majorHAnsi"/>
                <w:color w:val="000000"/>
                <w:sz w:val="20"/>
                <w:szCs w:val="20"/>
              </w:rPr>
              <w:t>, poglavje 6.5.4 Večnamenska objekta – kolesarnica in javne sanitarije, str. 72.</w:t>
            </w:r>
            <w:r w:rsidRPr="000020F0">
              <w:rPr>
                <w:rFonts w:asciiTheme="majorHAnsi" w:hAnsiTheme="majorHAnsi" w:cstheme="majorHAnsi"/>
                <w:color w:val="000000"/>
                <w:sz w:val="20"/>
                <w:szCs w:val="20"/>
              </w:rPr>
              <w:t xml:space="preserve">;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REF _Ref230593968 \h  \* MERGEFORMAT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sidRPr="00BB0C0C">
              <w:rPr>
                <w:rFonts w:asciiTheme="majorHAnsi" w:hAnsiTheme="majorHAnsi" w:cstheme="majorHAnsi"/>
                <w:sz w:val="20"/>
                <w:szCs w:val="20"/>
                <w:lang w:eastAsia="en-US"/>
              </w:rPr>
              <w:t xml:space="preserve">Tabela 2: Kazalniki vezani na </w:t>
            </w:r>
            <w:r w:rsidR="00BB0C0C" w:rsidRPr="00BB0C0C">
              <w:rPr>
                <w:rFonts w:asciiTheme="majorHAnsi" w:hAnsiTheme="majorHAnsi" w:cstheme="majorHAnsi"/>
                <w:sz w:val="20"/>
                <w:szCs w:val="20"/>
                <w:lang w:eastAsia="zh-TW"/>
              </w:rPr>
              <w:t>JR EKP UTM 2025</w:t>
            </w:r>
            <w:r w:rsidR="0031452F" w:rsidRPr="000020F0">
              <w:rPr>
                <w:rFonts w:asciiTheme="majorHAnsi" w:hAnsiTheme="majorHAnsi" w:cstheme="majorHAnsi"/>
                <w:color w:val="000000"/>
                <w:sz w:val="20"/>
                <w:szCs w:val="20"/>
              </w:rPr>
              <w:fldChar w:fldCharType="end"/>
            </w:r>
            <w:r w:rsidR="0031452F" w:rsidRPr="000020F0">
              <w:rPr>
                <w:rFonts w:asciiTheme="majorHAnsi" w:hAnsiTheme="majorHAnsi" w:cstheme="majorHAnsi"/>
                <w:color w:val="000000"/>
                <w:sz w:val="20"/>
                <w:szCs w:val="20"/>
              </w:rPr>
              <w:t xml:space="preserv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_Ref230593979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17</w:t>
            </w:r>
            <w:r w:rsidR="0031452F" w:rsidRPr="000020F0">
              <w:rPr>
                <w:rFonts w:asciiTheme="majorHAnsi" w:hAnsiTheme="majorHAnsi" w:cstheme="majorHAnsi"/>
                <w:color w:val="000000"/>
                <w:sz w:val="20"/>
                <w:szCs w:val="20"/>
              </w:rPr>
              <w:fldChar w:fldCharType="end"/>
            </w:r>
            <w:r w:rsidR="0031452F" w:rsidRPr="000020F0">
              <w:rPr>
                <w:rFonts w:asciiTheme="majorHAnsi" w:hAnsiTheme="majorHAnsi" w:cstheme="majorHAnsi"/>
                <w:color w:val="000000"/>
                <w:sz w:val="20"/>
                <w:szCs w:val="20"/>
              </w:rPr>
              <w:t>.</w:t>
            </w:r>
          </w:p>
        </w:tc>
        <w:tc>
          <w:tcPr>
            <w:tcW w:w="1985" w:type="dxa"/>
            <w:hideMark/>
          </w:tcPr>
          <w:p w14:paraId="40FD23D1"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NIP</w:t>
            </w:r>
          </w:p>
        </w:tc>
      </w:tr>
      <w:tr w:rsidR="00CC0D3F" w:rsidRPr="000020F0" w14:paraId="5158536F" w14:textId="77777777" w:rsidTr="0031452F">
        <w:trPr>
          <w:trHeight w:val="20"/>
        </w:trPr>
        <w:tc>
          <w:tcPr>
            <w:tcW w:w="720" w:type="dxa"/>
            <w:hideMark/>
          </w:tcPr>
          <w:p w14:paraId="0FA245B5"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w:t>
            </w:r>
          </w:p>
        </w:tc>
        <w:tc>
          <w:tcPr>
            <w:tcW w:w="3670" w:type="dxa"/>
            <w:hideMark/>
          </w:tcPr>
          <w:p w14:paraId="5F58D864"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biti načrtovana v potrjeni lokalni oziroma regionalni celostni prometni strategiji.</w:t>
            </w:r>
          </w:p>
        </w:tc>
        <w:tc>
          <w:tcPr>
            <w:tcW w:w="4394" w:type="dxa"/>
            <w:hideMark/>
          </w:tcPr>
          <w:p w14:paraId="6E72518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 je vsebinsko usklajen s strateškimi usmeritvami trajnostne mobilnosti Občine Ig in z občinsko celostno prometno strategijo, saj izboljšuje pogoje za hojo, kolesarjenje in JPP ter zmanjšuje negativne vplive motornega prometa.</w:t>
            </w:r>
          </w:p>
        </w:tc>
        <w:tc>
          <w:tcPr>
            <w:tcW w:w="3827" w:type="dxa"/>
            <w:hideMark/>
          </w:tcPr>
          <w:p w14:paraId="32AEF379" w14:textId="1F9E1794"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4.5.7 Celostna prometna strategija Občine Ig,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_Ref230594218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59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4.5 Usklajenost investicijskega projekta z razvojnimi dokumenti,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_Ref230594239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53</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7CBF48C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32F02BCD" w14:textId="77777777" w:rsidTr="0031452F">
        <w:trPr>
          <w:trHeight w:val="20"/>
        </w:trPr>
        <w:tc>
          <w:tcPr>
            <w:tcW w:w="720" w:type="dxa"/>
            <w:hideMark/>
          </w:tcPr>
          <w:p w14:paraId="4485B273"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8</w:t>
            </w:r>
          </w:p>
        </w:tc>
        <w:tc>
          <w:tcPr>
            <w:tcW w:w="3670" w:type="dxa"/>
            <w:hideMark/>
          </w:tcPr>
          <w:p w14:paraId="581BB98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imeti opredeljene kazalnike učinka.</w:t>
            </w:r>
          </w:p>
        </w:tc>
        <w:tc>
          <w:tcPr>
            <w:tcW w:w="4394" w:type="dxa"/>
            <w:hideMark/>
          </w:tcPr>
          <w:p w14:paraId="3AAA0C8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V </w:t>
            </w:r>
            <w:proofErr w:type="spellStart"/>
            <w:r w:rsidRPr="000020F0">
              <w:rPr>
                <w:rFonts w:asciiTheme="majorHAnsi" w:hAnsiTheme="majorHAnsi" w:cstheme="majorHAnsi"/>
                <w:color w:val="000000"/>
                <w:sz w:val="20"/>
                <w:szCs w:val="20"/>
              </w:rPr>
              <w:t>novelaciji</w:t>
            </w:r>
            <w:proofErr w:type="spellEnd"/>
            <w:r w:rsidRPr="000020F0">
              <w:rPr>
                <w:rFonts w:asciiTheme="majorHAnsi" w:hAnsiTheme="majorHAnsi" w:cstheme="majorHAnsi"/>
                <w:color w:val="000000"/>
                <w:sz w:val="20"/>
                <w:szCs w:val="20"/>
              </w:rPr>
              <w:t xml:space="preserve"> IP so opredeljeni kazalniki JR EKP UTM 2025: SK127, SK128, SK129, SK130, SK137, SK144, SK145, SK146, SK147, SK148 in SK150. Kazalniki vključujejo rekonstruirane ulice/ceste, skupni prometni prostor, postajališče JPP, kolesarnice, parkirna mesta za kolesa, števec kolesarjev, sistem izposoje javnih koles, postaje sistema in nova kolesa v sistemu.</w:t>
            </w:r>
          </w:p>
        </w:tc>
        <w:tc>
          <w:tcPr>
            <w:tcW w:w="3827" w:type="dxa"/>
            <w:hideMark/>
          </w:tcPr>
          <w:p w14:paraId="28B024C9" w14:textId="30A63F2E" w:rsidR="00CC0D3F" w:rsidRPr="000020F0" w:rsidRDefault="0031452F">
            <w:pPr>
              <w:rPr>
                <w:rFonts w:asciiTheme="majorHAnsi" w:hAnsiTheme="majorHAnsi" w:cstheme="majorHAnsi"/>
                <w:color w:val="000000"/>
                <w:sz w:val="20"/>
                <w:szCs w:val="20"/>
              </w:rPr>
            </w:pPr>
            <w:r w:rsidRPr="000020F0">
              <w:rPr>
                <w:rFonts w:asciiTheme="majorHAnsi" w:hAnsiTheme="majorHAnsi" w:cstheme="majorHAnsi"/>
                <w:color w:val="000000"/>
                <w:sz w:val="20"/>
                <w:szCs w:val="20"/>
              </w:rPr>
              <w:fldChar w:fldCharType="begin"/>
            </w:r>
            <w:r w:rsidRPr="000020F0">
              <w:rPr>
                <w:rFonts w:asciiTheme="majorHAnsi" w:hAnsiTheme="majorHAnsi" w:cstheme="majorHAnsi"/>
                <w:color w:val="000000"/>
                <w:sz w:val="20"/>
                <w:szCs w:val="20"/>
              </w:rPr>
              <w:instrText xml:space="preserve"> REF _Ref230593968 \h  \* MERGEFORMAT </w:instrText>
            </w:r>
            <w:r w:rsidRPr="000020F0">
              <w:rPr>
                <w:rFonts w:asciiTheme="majorHAnsi" w:hAnsiTheme="majorHAnsi" w:cstheme="majorHAnsi"/>
                <w:color w:val="000000"/>
                <w:sz w:val="20"/>
                <w:szCs w:val="20"/>
              </w:rPr>
            </w:r>
            <w:r w:rsidRPr="000020F0">
              <w:rPr>
                <w:rFonts w:asciiTheme="majorHAnsi" w:hAnsiTheme="majorHAnsi" w:cstheme="majorHAnsi"/>
                <w:color w:val="000000"/>
                <w:sz w:val="20"/>
                <w:szCs w:val="20"/>
              </w:rPr>
              <w:fldChar w:fldCharType="separate"/>
            </w:r>
            <w:r w:rsidR="00BB0C0C" w:rsidRPr="00BB0C0C">
              <w:rPr>
                <w:rFonts w:asciiTheme="majorHAnsi" w:hAnsiTheme="majorHAnsi" w:cstheme="majorHAnsi"/>
                <w:sz w:val="20"/>
                <w:szCs w:val="20"/>
                <w:lang w:eastAsia="en-US"/>
              </w:rPr>
              <w:t xml:space="preserve">Tabela 2: Kazalniki vezani na </w:t>
            </w:r>
            <w:r w:rsidR="00BB0C0C" w:rsidRPr="00BB0C0C">
              <w:rPr>
                <w:rFonts w:asciiTheme="majorHAnsi" w:hAnsiTheme="majorHAnsi" w:cstheme="majorHAnsi"/>
                <w:sz w:val="20"/>
                <w:szCs w:val="20"/>
                <w:lang w:eastAsia="zh-TW"/>
              </w:rPr>
              <w:t>JR EKP UTM 2025</w:t>
            </w:r>
            <w:r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str. </w:t>
            </w:r>
            <w:r w:rsidRPr="000020F0">
              <w:rPr>
                <w:rFonts w:asciiTheme="majorHAnsi" w:hAnsiTheme="majorHAnsi" w:cstheme="majorHAnsi"/>
                <w:color w:val="000000"/>
                <w:sz w:val="20"/>
                <w:szCs w:val="20"/>
              </w:rPr>
              <w:fldChar w:fldCharType="begin"/>
            </w:r>
            <w:r w:rsidRPr="000020F0">
              <w:rPr>
                <w:rFonts w:asciiTheme="majorHAnsi" w:hAnsiTheme="majorHAnsi" w:cstheme="majorHAnsi"/>
                <w:color w:val="000000"/>
                <w:sz w:val="20"/>
                <w:szCs w:val="20"/>
              </w:rPr>
              <w:instrText xml:space="preserve"> PAGEREF _Ref230593979 \h </w:instrText>
            </w:r>
            <w:r w:rsidRPr="000020F0">
              <w:rPr>
                <w:rFonts w:asciiTheme="majorHAnsi" w:hAnsiTheme="majorHAnsi" w:cstheme="majorHAnsi"/>
                <w:color w:val="000000"/>
                <w:sz w:val="20"/>
                <w:szCs w:val="20"/>
              </w:rPr>
            </w:r>
            <w:r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17</w:t>
            </w:r>
            <w:r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08800944"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2778BE9C" w14:textId="77777777" w:rsidTr="0031452F">
        <w:trPr>
          <w:trHeight w:val="20"/>
        </w:trPr>
        <w:tc>
          <w:tcPr>
            <w:tcW w:w="720" w:type="dxa"/>
            <w:hideMark/>
          </w:tcPr>
          <w:p w14:paraId="42CD36DB"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w:t>
            </w:r>
          </w:p>
        </w:tc>
        <w:tc>
          <w:tcPr>
            <w:tcW w:w="3670" w:type="dxa"/>
            <w:hideMark/>
          </w:tcPr>
          <w:p w14:paraId="55BE522A"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imeti zagotovljeno finančno konstrukcijo in opredeljene vire financiranja.</w:t>
            </w:r>
          </w:p>
        </w:tc>
        <w:tc>
          <w:tcPr>
            <w:tcW w:w="4394" w:type="dxa"/>
            <w:hideMark/>
          </w:tcPr>
          <w:p w14:paraId="0162F09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V </w:t>
            </w:r>
            <w:proofErr w:type="spellStart"/>
            <w:r w:rsidRPr="000020F0">
              <w:rPr>
                <w:rFonts w:asciiTheme="majorHAnsi" w:hAnsiTheme="majorHAnsi" w:cstheme="majorHAnsi"/>
                <w:color w:val="000000"/>
                <w:sz w:val="20"/>
                <w:szCs w:val="20"/>
              </w:rPr>
              <w:t>novelaciji</w:t>
            </w:r>
            <w:proofErr w:type="spellEnd"/>
            <w:r w:rsidRPr="000020F0">
              <w:rPr>
                <w:rFonts w:asciiTheme="majorHAnsi" w:hAnsiTheme="majorHAnsi" w:cstheme="majorHAnsi"/>
                <w:color w:val="000000"/>
                <w:sz w:val="20"/>
                <w:szCs w:val="20"/>
              </w:rPr>
              <w:t xml:space="preserve"> IP je opredeljena vrednost investicije po stalnih in tekočih cenah ter viri financiranja. Viri vključujejo sredstva EU, slovensko udeležbo in lastna sredstva občine.</w:t>
            </w:r>
          </w:p>
        </w:tc>
        <w:tc>
          <w:tcPr>
            <w:tcW w:w="3827" w:type="dxa"/>
            <w:hideMark/>
          </w:tcPr>
          <w:p w14:paraId="4BB4E12B" w14:textId="443D008D"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8 Ocena vrednosti projekta po stalnih in tekočih cenah,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_Ref230594263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12 Načrt financiranja v stalnih in tekočih cenah po dinamiki in virih financiranja,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_Ref230594276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110</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Tabela 1, str. 16–17.</w:t>
            </w:r>
          </w:p>
        </w:tc>
        <w:tc>
          <w:tcPr>
            <w:tcW w:w="1985" w:type="dxa"/>
            <w:hideMark/>
          </w:tcPr>
          <w:p w14:paraId="752F025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682FFFED" w14:textId="77777777" w:rsidTr="0031452F">
        <w:trPr>
          <w:trHeight w:val="20"/>
        </w:trPr>
        <w:tc>
          <w:tcPr>
            <w:tcW w:w="720" w:type="dxa"/>
            <w:hideMark/>
          </w:tcPr>
          <w:p w14:paraId="5E3530C6"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w:t>
            </w:r>
          </w:p>
        </w:tc>
        <w:tc>
          <w:tcPr>
            <w:tcW w:w="3670" w:type="dxa"/>
            <w:hideMark/>
          </w:tcPr>
          <w:p w14:paraId="399D0E6C"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biti časovno izvedljiva v obdobju upravičenosti razpisa.</w:t>
            </w:r>
          </w:p>
        </w:tc>
        <w:tc>
          <w:tcPr>
            <w:tcW w:w="4394" w:type="dxa"/>
            <w:hideMark/>
          </w:tcPr>
          <w:p w14:paraId="593F0DB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Časovni načrt projekta je določen za obdobje od 08/2024 do 03/2029, pri čemer je izvedba usklajena z roki koriščenja sredstev po javnem razpisu.</w:t>
            </w:r>
          </w:p>
        </w:tc>
        <w:tc>
          <w:tcPr>
            <w:tcW w:w="3827" w:type="dxa"/>
            <w:hideMark/>
          </w:tcPr>
          <w:p w14:paraId="62FD0B93" w14:textId="2D96A59C"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11 Časovni načrt izvedbe investicije, str. 97–105; Tabela 13, str. 98;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REF _Ref230594306 \h  \* MERGEFORMAT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sidRPr="00BB0C0C">
              <w:rPr>
                <w:rFonts w:asciiTheme="majorHAnsi" w:hAnsiTheme="majorHAnsi" w:cstheme="majorHAnsi"/>
                <w:sz w:val="20"/>
                <w:szCs w:val="20"/>
                <w:lang w:eastAsia="en-US"/>
              </w:rPr>
              <w:t>Tabela 1: Ključni podatki o projektu</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str. 16.</w:t>
            </w:r>
          </w:p>
        </w:tc>
        <w:tc>
          <w:tcPr>
            <w:tcW w:w="1985" w:type="dxa"/>
            <w:hideMark/>
          </w:tcPr>
          <w:p w14:paraId="20B2032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JR EKP UTM 2025; NIP</w:t>
            </w:r>
          </w:p>
        </w:tc>
      </w:tr>
      <w:tr w:rsidR="00CC0D3F" w:rsidRPr="000020F0" w14:paraId="1C437AA9" w14:textId="77777777" w:rsidTr="0031452F">
        <w:trPr>
          <w:trHeight w:val="20"/>
        </w:trPr>
        <w:tc>
          <w:tcPr>
            <w:tcW w:w="720" w:type="dxa"/>
            <w:hideMark/>
          </w:tcPr>
          <w:p w14:paraId="147A249B"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11</w:t>
            </w:r>
          </w:p>
        </w:tc>
        <w:tc>
          <w:tcPr>
            <w:tcW w:w="3670" w:type="dxa"/>
            <w:hideMark/>
          </w:tcPr>
          <w:p w14:paraId="2CDB0B4D"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Operacija mora biti </w:t>
            </w:r>
            <w:proofErr w:type="spellStart"/>
            <w:r w:rsidRPr="000020F0">
              <w:rPr>
                <w:rFonts w:asciiTheme="majorHAnsi" w:hAnsiTheme="majorHAnsi" w:cstheme="majorHAnsi"/>
                <w:color w:val="000000"/>
                <w:sz w:val="20"/>
                <w:szCs w:val="20"/>
              </w:rPr>
              <w:t>okoljsko</w:t>
            </w:r>
            <w:proofErr w:type="spellEnd"/>
            <w:r w:rsidRPr="000020F0">
              <w:rPr>
                <w:rFonts w:asciiTheme="majorHAnsi" w:hAnsiTheme="majorHAnsi" w:cstheme="majorHAnsi"/>
                <w:color w:val="000000"/>
                <w:sz w:val="20"/>
                <w:szCs w:val="20"/>
              </w:rPr>
              <w:t xml:space="preserve"> sprejemljiva in skladna s horizontalnimi načeli.</w:t>
            </w:r>
          </w:p>
        </w:tc>
        <w:tc>
          <w:tcPr>
            <w:tcW w:w="4394" w:type="dxa"/>
            <w:hideMark/>
          </w:tcPr>
          <w:p w14:paraId="6A4D5D44"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 vključuje ukrepe za zmanjšanje negativnih vplivov prometa, izboljšanje kakovosti bivanja, uporabo naravnih in trajnih materialov, krepitev zelene infrastrukture, ponovno uporabo padavinskih voda, podnebno odpornost, načelo »ne škoduj bistveno« in načela Novega evropskega Bauhausa.</w:t>
            </w:r>
          </w:p>
        </w:tc>
        <w:tc>
          <w:tcPr>
            <w:tcW w:w="3827" w:type="dxa"/>
            <w:hideMark/>
          </w:tcPr>
          <w:p w14:paraId="34FFE0CE" w14:textId="53F17ECC"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6.6 Skladnost projekta s horizontalnimi načeli,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_Ref230594338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76</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10.2.1 Presoja podnebne odpornosti,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_Ref230594353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94</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10.2.2 Upoštevanje načel »ne škoduj bistveno«,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_Ref230594364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95</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10.2.3 Skladnost z načelom Novega evropskega Bauhausa,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_Ref230594371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98</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57601647"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55FFB8E0" w14:textId="77777777" w:rsidTr="0031452F">
        <w:trPr>
          <w:trHeight w:val="20"/>
        </w:trPr>
        <w:tc>
          <w:tcPr>
            <w:tcW w:w="720" w:type="dxa"/>
            <w:hideMark/>
          </w:tcPr>
          <w:p w14:paraId="63C56934"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12</w:t>
            </w:r>
          </w:p>
        </w:tc>
        <w:tc>
          <w:tcPr>
            <w:tcW w:w="3670" w:type="dxa"/>
            <w:hideMark/>
          </w:tcPr>
          <w:p w14:paraId="2761D87E"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biti ekonomsko utemeljena.</w:t>
            </w:r>
          </w:p>
        </w:tc>
        <w:tc>
          <w:tcPr>
            <w:tcW w:w="4394" w:type="dxa"/>
            <w:hideMark/>
          </w:tcPr>
          <w:p w14:paraId="6FBB232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Ekonomska analiza izkazuje pozitivne družbeno-ekonomske učinke projekta. Projekt </w:t>
            </w:r>
            <w:r w:rsidRPr="000020F0">
              <w:rPr>
                <w:rFonts w:asciiTheme="majorHAnsi" w:hAnsiTheme="majorHAnsi" w:cstheme="majorHAnsi"/>
                <w:color w:val="000000"/>
                <w:sz w:val="20"/>
                <w:szCs w:val="20"/>
              </w:rPr>
              <w:lastRenderedPageBreak/>
              <w:t>prispeva k večji prometni varnosti, zmanjšanju emisij, izboljšanju dostopnosti in kakovosti javnega prostora, kar utemeljuje javno korist naložbe.</w:t>
            </w:r>
          </w:p>
        </w:tc>
        <w:tc>
          <w:tcPr>
            <w:tcW w:w="3827" w:type="dxa"/>
            <w:hideMark/>
          </w:tcPr>
          <w:p w14:paraId="793F7C28" w14:textId="792D3CD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 xml:space="preserve">Poglavje 14 Vrednotenje drugih stroškov in koristi,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_Ref230594382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123</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14.8 </w:t>
            </w:r>
            <w:r w:rsidRPr="000020F0">
              <w:rPr>
                <w:rFonts w:asciiTheme="majorHAnsi" w:hAnsiTheme="majorHAnsi" w:cstheme="majorHAnsi"/>
                <w:color w:val="000000"/>
                <w:sz w:val="20"/>
                <w:szCs w:val="20"/>
              </w:rPr>
              <w:lastRenderedPageBreak/>
              <w:t xml:space="preserve">Ekonomska analiza projekta,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_Ref230594395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129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14.10 Povzetek ekonomske analize,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_Ref230594407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134</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14.11 Koristi, ki jih ni mogoče ovrednotiti,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_Ref230594415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135</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138AFC5A"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NIP</w:t>
            </w:r>
          </w:p>
        </w:tc>
      </w:tr>
      <w:tr w:rsidR="00CC0D3F" w:rsidRPr="000020F0" w14:paraId="05FB21C0" w14:textId="77777777" w:rsidTr="0031452F">
        <w:trPr>
          <w:trHeight w:val="20"/>
        </w:trPr>
        <w:tc>
          <w:tcPr>
            <w:tcW w:w="720" w:type="dxa"/>
            <w:hideMark/>
          </w:tcPr>
          <w:p w14:paraId="4E643B59"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13</w:t>
            </w:r>
          </w:p>
        </w:tc>
        <w:tc>
          <w:tcPr>
            <w:tcW w:w="3670" w:type="dxa"/>
            <w:hideMark/>
          </w:tcPr>
          <w:p w14:paraId="7645943B"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Operacija mora imeti opredeljeno izvedbeno organizacijo, postopke javnega naročanja in način spremljanja izvedbe.</w:t>
            </w:r>
          </w:p>
        </w:tc>
        <w:tc>
          <w:tcPr>
            <w:tcW w:w="4394" w:type="dxa"/>
            <w:hideMark/>
          </w:tcPr>
          <w:p w14:paraId="66547F89"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V dokumentaciji so opredeljeni organizacija vodenja projekta, javna naročila, poročanje o izvajanju ter način zaključka projekta. S tem je zagotovljena izvedbena sposobnost investitorja za pripravo, izvedbo, spremljanje in zaključek operacije.</w:t>
            </w:r>
          </w:p>
        </w:tc>
        <w:tc>
          <w:tcPr>
            <w:tcW w:w="3827" w:type="dxa"/>
            <w:hideMark/>
          </w:tcPr>
          <w:p w14:paraId="52AD9E62" w14:textId="75A5E93C"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10.3 Organizacija izvajanja projekta in način spremljanja izvedbe projekta,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_Ref230594428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99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11.1 Organizacija vodenja projekta,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_Ref230594440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108</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11.2 Javna naročila,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_Ref230594448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108</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11.3 Poročilo o izvajanju investicije,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_Ref230594456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109</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w:t>
            </w:r>
          </w:p>
        </w:tc>
        <w:tc>
          <w:tcPr>
            <w:tcW w:w="1985" w:type="dxa"/>
            <w:hideMark/>
          </w:tcPr>
          <w:p w14:paraId="69A1F9DA"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NIP</w:t>
            </w:r>
          </w:p>
        </w:tc>
      </w:tr>
      <w:tr w:rsidR="00CC0D3F" w:rsidRPr="000020F0" w14:paraId="101F94FD" w14:textId="77777777" w:rsidTr="0031452F">
        <w:trPr>
          <w:trHeight w:val="20"/>
        </w:trPr>
        <w:tc>
          <w:tcPr>
            <w:tcW w:w="720" w:type="dxa"/>
            <w:hideMark/>
          </w:tcPr>
          <w:p w14:paraId="0E4A7867" w14:textId="77777777" w:rsidR="00CC0D3F" w:rsidRPr="000020F0" w:rsidRDefault="00CC0D3F">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14</w:t>
            </w:r>
          </w:p>
        </w:tc>
        <w:tc>
          <w:tcPr>
            <w:tcW w:w="3670" w:type="dxa"/>
            <w:hideMark/>
          </w:tcPr>
          <w:p w14:paraId="59F9BCFE"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Vloga mora biti oddana elektronsko v aplikaciji </w:t>
            </w:r>
            <w:proofErr w:type="spellStart"/>
            <w:r w:rsidRPr="000020F0">
              <w:rPr>
                <w:rFonts w:asciiTheme="majorHAnsi" w:hAnsiTheme="majorHAnsi" w:cstheme="majorHAnsi"/>
                <w:color w:val="000000"/>
                <w:sz w:val="20"/>
                <w:szCs w:val="20"/>
              </w:rPr>
              <w:t>eJR</w:t>
            </w:r>
            <w:proofErr w:type="spellEnd"/>
            <w:r w:rsidRPr="000020F0">
              <w:rPr>
                <w:rFonts w:asciiTheme="majorHAnsi" w:hAnsiTheme="majorHAnsi" w:cstheme="majorHAnsi"/>
                <w:color w:val="000000"/>
                <w:sz w:val="20"/>
                <w:szCs w:val="20"/>
              </w:rPr>
              <w:t xml:space="preserve"> z vsemi obrazci in prilogami.</w:t>
            </w:r>
          </w:p>
        </w:tc>
        <w:tc>
          <w:tcPr>
            <w:tcW w:w="4394" w:type="dxa"/>
            <w:hideMark/>
          </w:tcPr>
          <w:p w14:paraId="5CD4313E"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Občina Ig bo vlogo oddala elektronsko v aplikaciji </w:t>
            </w:r>
            <w:proofErr w:type="spellStart"/>
            <w:r w:rsidRPr="000020F0">
              <w:rPr>
                <w:rFonts w:asciiTheme="majorHAnsi" w:hAnsiTheme="majorHAnsi" w:cstheme="majorHAnsi"/>
                <w:color w:val="000000"/>
                <w:sz w:val="20"/>
                <w:szCs w:val="20"/>
              </w:rPr>
              <w:t>eJR</w:t>
            </w:r>
            <w:proofErr w:type="spellEnd"/>
            <w:r w:rsidRPr="000020F0">
              <w:rPr>
                <w:rFonts w:asciiTheme="majorHAnsi" w:hAnsiTheme="majorHAnsi" w:cstheme="majorHAnsi"/>
                <w:color w:val="000000"/>
                <w:sz w:val="20"/>
                <w:szCs w:val="20"/>
              </w:rPr>
              <w:t xml:space="preserve"> skupaj z vsemi zahtevanimi obrazci in prilogami. Javni razpis določa, da mora biti vloga v celoti izpolnjena in oddana v elektronski obliki v aplikaciji </w:t>
            </w:r>
            <w:proofErr w:type="spellStart"/>
            <w:r w:rsidRPr="000020F0">
              <w:rPr>
                <w:rFonts w:asciiTheme="majorHAnsi" w:hAnsiTheme="majorHAnsi" w:cstheme="majorHAnsi"/>
                <w:color w:val="000000"/>
                <w:sz w:val="20"/>
                <w:szCs w:val="20"/>
              </w:rPr>
              <w:t>eJR</w:t>
            </w:r>
            <w:proofErr w:type="spellEnd"/>
            <w:r w:rsidRPr="000020F0">
              <w:rPr>
                <w:rFonts w:asciiTheme="majorHAnsi" w:hAnsiTheme="majorHAnsi" w:cstheme="majorHAnsi"/>
                <w:color w:val="000000"/>
                <w:sz w:val="20"/>
                <w:szCs w:val="20"/>
              </w:rPr>
              <w:t xml:space="preserve"> z vsemi obrazci in prilogami.</w:t>
            </w:r>
          </w:p>
        </w:tc>
        <w:tc>
          <w:tcPr>
            <w:tcW w:w="3827" w:type="dxa"/>
            <w:hideMark/>
          </w:tcPr>
          <w:p w14:paraId="5371F09D" w14:textId="288FDB38"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 xml:space="preserve">Poglavje 2.8 Seznam že pripravljene in potrebne dokumentacije,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_Ref230594473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37</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xml:space="preserve">; poglavje 11.2 Javna naročila, str. </w:t>
            </w:r>
            <w:r w:rsidR="0031452F" w:rsidRPr="000020F0">
              <w:rPr>
                <w:rFonts w:asciiTheme="majorHAnsi" w:hAnsiTheme="majorHAnsi" w:cstheme="majorHAnsi"/>
                <w:color w:val="000000"/>
                <w:sz w:val="20"/>
                <w:szCs w:val="20"/>
              </w:rPr>
              <w:fldChar w:fldCharType="begin"/>
            </w:r>
            <w:r w:rsidR="0031452F" w:rsidRPr="000020F0">
              <w:rPr>
                <w:rFonts w:asciiTheme="majorHAnsi" w:hAnsiTheme="majorHAnsi" w:cstheme="majorHAnsi"/>
                <w:color w:val="000000"/>
                <w:sz w:val="20"/>
                <w:szCs w:val="20"/>
              </w:rPr>
              <w:instrText xml:space="preserve"> PAGEREF _Ref230594487 \h </w:instrText>
            </w:r>
            <w:r w:rsidR="0031452F" w:rsidRPr="000020F0">
              <w:rPr>
                <w:rFonts w:asciiTheme="majorHAnsi" w:hAnsiTheme="majorHAnsi" w:cstheme="majorHAnsi"/>
                <w:color w:val="000000"/>
                <w:sz w:val="20"/>
                <w:szCs w:val="20"/>
              </w:rPr>
            </w:r>
            <w:r w:rsidR="0031452F" w:rsidRPr="000020F0">
              <w:rPr>
                <w:rFonts w:asciiTheme="majorHAnsi" w:hAnsiTheme="majorHAnsi" w:cstheme="majorHAnsi"/>
                <w:color w:val="000000"/>
                <w:sz w:val="20"/>
                <w:szCs w:val="20"/>
              </w:rPr>
              <w:fldChar w:fldCharType="separate"/>
            </w:r>
            <w:r w:rsidR="00BB0C0C">
              <w:rPr>
                <w:rFonts w:asciiTheme="majorHAnsi" w:hAnsiTheme="majorHAnsi" w:cstheme="majorHAnsi"/>
                <w:noProof/>
                <w:color w:val="000000"/>
                <w:sz w:val="20"/>
                <w:szCs w:val="20"/>
              </w:rPr>
              <w:t>108</w:t>
            </w:r>
            <w:r w:rsidR="0031452F" w:rsidRPr="000020F0">
              <w:rPr>
                <w:rFonts w:asciiTheme="majorHAnsi" w:hAnsiTheme="majorHAnsi" w:cstheme="majorHAnsi"/>
                <w:color w:val="000000"/>
                <w:sz w:val="20"/>
                <w:szCs w:val="20"/>
              </w:rPr>
              <w:fldChar w:fldCharType="end"/>
            </w:r>
            <w:r w:rsidRPr="000020F0">
              <w:rPr>
                <w:rFonts w:asciiTheme="majorHAnsi" w:hAnsiTheme="majorHAnsi" w:cstheme="majorHAnsi"/>
                <w:color w:val="000000"/>
                <w:sz w:val="20"/>
                <w:szCs w:val="20"/>
              </w:rPr>
              <w:t>; prijavna dokumentacija JR EKP UTM 2025.</w:t>
            </w:r>
          </w:p>
        </w:tc>
        <w:tc>
          <w:tcPr>
            <w:tcW w:w="1985" w:type="dxa"/>
            <w:hideMark/>
          </w:tcPr>
          <w:p w14:paraId="55288FC0" w14:textId="77777777" w:rsidR="00CC0D3F" w:rsidRPr="000020F0" w:rsidRDefault="00CC0D3F">
            <w:pPr>
              <w:rPr>
                <w:rFonts w:asciiTheme="majorHAnsi" w:hAnsiTheme="majorHAnsi" w:cstheme="majorHAnsi"/>
                <w:color w:val="000000"/>
                <w:sz w:val="20"/>
                <w:szCs w:val="20"/>
              </w:rPr>
            </w:pPr>
            <w:r w:rsidRPr="000020F0">
              <w:rPr>
                <w:rFonts w:asciiTheme="majorHAnsi" w:hAnsiTheme="majorHAnsi" w:cstheme="majorHAnsi"/>
                <w:color w:val="000000"/>
                <w:sz w:val="20"/>
                <w:szCs w:val="20"/>
              </w:rPr>
              <w:t>JR EKP UTM 2025; prijavna dokumentacija</w:t>
            </w:r>
          </w:p>
        </w:tc>
      </w:tr>
    </w:tbl>
    <w:p w14:paraId="03CE19F2" w14:textId="77777777" w:rsidR="000440B9" w:rsidRPr="000020F0" w:rsidRDefault="000440B9" w:rsidP="00222C3B">
      <w:pPr>
        <w:spacing w:after="200" w:line="276" w:lineRule="auto"/>
        <w:jc w:val="both"/>
        <w:rPr>
          <w:rFonts w:ascii="Arial" w:eastAsia="Arial" w:hAnsi="Arial" w:cs="Arial"/>
          <w:sz w:val="22"/>
          <w:szCs w:val="22"/>
        </w:rPr>
        <w:sectPr w:rsidR="000440B9" w:rsidRPr="000020F0" w:rsidSect="00CC0D3F">
          <w:pgSz w:w="16838" w:h="11906" w:orient="landscape" w:code="9"/>
          <w:pgMar w:top="1417" w:right="1417" w:bottom="1134" w:left="1134" w:header="708" w:footer="708" w:gutter="0"/>
          <w:cols w:space="708"/>
          <w:titlePg/>
          <w:docGrid w:linePitch="360"/>
        </w:sectPr>
      </w:pPr>
    </w:p>
    <w:p w14:paraId="7765CB71" w14:textId="77777777" w:rsidR="007E7B81" w:rsidRPr="000020F0" w:rsidRDefault="007E7B81" w:rsidP="007E7B81">
      <w:pPr>
        <w:spacing w:after="200" w:line="276" w:lineRule="auto"/>
        <w:jc w:val="both"/>
        <w:rPr>
          <w:rFonts w:ascii="Arial" w:eastAsia="Arial" w:hAnsi="Arial" w:cs="Arial"/>
          <w:sz w:val="22"/>
          <w:szCs w:val="22"/>
        </w:rPr>
      </w:pPr>
      <w:r w:rsidRPr="000020F0">
        <w:rPr>
          <w:rFonts w:ascii="Arial" w:eastAsia="Arial" w:hAnsi="Arial" w:cs="Arial"/>
          <w:sz w:val="22"/>
          <w:szCs w:val="22"/>
        </w:rPr>
        <w:lastRenderedPageBreak/>
        <w:t xml:space="preserve">Na podlagi pregleda razpisnih pogojev in vsebine </w:t>
      </w:r>
      <w:proofErr w:type="spellStart"/>
      <w:r w:rsidRPr="000020F0">
        <w:rPr>
          <w:rFonts w:ascii="Arial" w:eastAsia="Arial" w:hAnsi="Arial" w:cs="Arial"/>
          <w:sz w:val="22"/>
          <w:szCs w:val="22"/>
        </w:rPr>
        <w:t>novelacije</w:t>
      </w:r>
      <w:proofErr w:type="spellEnd"/>
      <w:r w:rsidRPr="000020F0">
        <w:rPr>
          <w:rFonts w:ascii="Arial" w:eastAsia="Arial" w:hAnsi="Arial" w:cs="Arial"/>
          <w:sz w:val="22"/>
          <w:szCs w:val="22"/>
        </w:rPr>
        <w:t xml:space="preserve"> investicijskega programa je ugotovljeno, da projekt »Celovita ureditev centra Ig – ukrepi trajnostne mobilnosti« izpolnjuje ključne pogoje javnega razpisa JR EKP UTM 2025. Projekt je občinska naložba v infrastrukturo trajnostne mobilnosti, načrtovana skladno z usmeritvami celostnega prometnega načrtovanja, vključuje upravičene ukrepe javnega razpisa, ima opredeljene kazalnike, finančno konstrukcijo, časovni načrt, </w:t>
      </w:r>
      <w:proofErr w:type="spellStart"/>
      <w:r w:rsidRPr="000020F0">
        <w:rPr>
          <w:rFonts w:ascii="Arial" w:eastAsia="Arial" w:hAnsi="Arial" w:cs="Arial"/>
          <w:sz w:val="22"/>
          <w:szCs w:val="22"/>
        </w:rPr>
        <w:t>okoljsko</w:t>
      </w:r>
      <w:proofErr w:type="spellEnd"/>
      <w:r w:rsidRPr="000020F0">
        <w:rPr>
          <w:rFonts w:ascii="Arial" w:eastAsia="Arial" w:hAnsi="Arial" w:cs="Arial"/>
          <w:sz w:val="22"/>
          <w:szCs w:val="22"/>
        </w:rPr>
        <w:t xml:space="preserve"> presojo, horizontalna načela in izvedbeno organizacijo.</w:t>
      </w:r>
    </w:p>
    <w:p w14:paraId="07BD71ED" w14:textId="3E89E466" w:rsidR="007E7B81" w:rsidRPr="000020F0" w:rsidRDefault="007E7B81" w:rsidP="007E7B81">
      <w:pPr>
        <w:spacing w:after="200" w:line="276" w:lineRule="auto"/>
        <w:jc w:val="both"/>
        <w:rPr>
          <w:rFonts w:ascii="Arial" w:eastAsia="Arial" w:hAnsi="Arial" w:cs="Arial"/>
          <w:sz w:val="22"/>
          <w:szCs w:val="22"/>
        </w:rPr>
      </w:pPr>
      <w:r w:rsidRPr="000020F0">
        <w:rPr>
          <w:rFonts w:ascii="Arial" w:eastAsia="Arial" w:hAnsi="Arial" w:cs="Arial"/>
          <w:sz w:val="22"/>
          <w:szCs w:val="22"/>
        </w:rPr>
        <w:t>Operacija zato predstavlja ustrezno podlago za prijavo na javni razpis JR EKP UTM 2025 ter za pridobitev nepovratnih sredstev evropske kohezijske politike in pripadajoče slovenske udeležbe oziroma drugih virov, skladno z določili razpisne dokumentacije.</w:t>
      </w:r>
    </w:p>
    <w:p w14:paraId="1A3174B4" w14:textId="77777777" w:rsidR="007454F0" w:rsidRPr="000020F0" w:rsidRDefault="007454F0" w:rsidP="00BD1D20">
      <w:pPr>
        <w:spacing w:line="276" w:lineRule="auto"/>
        <w:rPr>
          <w:rFonts w:asciiTheme="majorHAnsi" w:eastAsiaTheme="majorEastAsia" w:hAnsiTheme="majorHAnsi" w:cstheme="majorHAnsi"/>
          <w:b/>
          <w:bCs/>
          <w:color w:val="365F91" w:themeColor="accent1" w:themeShade="BF"/>
          <w:sz w:val="28"/>
          <w:szCs w:val="28"/>
        </w:rPr>
      </w:pPr>
    </w:p>
    <w:p w14:paraId="3F627ED5" w14:textId="77777777" w:rsidR="007454F0" w:rsidRPr="000020F0" w:rsidRDefault="007454F0">
      <w:pPr>
        <w:spacing w:after="200" w:line="276" w:lineRule="auto"/>
        <w:rPr>
          <w:rFonts w:asciiTheme="majorHAnsi" w:eastAsiaTheme="majorEastAsia" w:hAnsiTheme="majorHAnsi" w:cstheme="majorHAnsi"/>
          <w:b/>
          <w:bCs/>
          <w:color w:val="365F91" w:themeColor="accent1" w:themeShade="BF"/>
          <w:sz w:val="28"/>
          <w:szCs w:val="28"/>
        </w:rPr>
      </w:pPr>
      <w:r w:rsidRPr="000020F0">
        <w:rPr>
          <w:rFonts w:cstheme="majorHAnsi"/>
        </w:rPr>
        <w:br w:type="page"/>
      </w:r>
    </w:p>
    <w:p w14:paraId="3B133CCF" w14:textId="645C2E20" w:rsidR="00000766" w:rsidRPr="000020F0" w:rsidRDefault="00000766" w:rsidP="00BD1D20">
      <w:pPr>
        <w:pStyle w:val="Naslov1"/>
        <w:numPr>
          <w:ilvl w:val="0"/>
          <w:numId w:val="3"/>
        </w:numPr>
        <w:rPr>
          <w:rFonts w:cstheme="majorHAnsi"/>
        </w:rPr>
      </w:pPr>
      <w:bookmarkStart w:id="128" w:name="_Toc230882187"/>
      <w:r w:rsidRPr="000020F0">
        <w:rPr>
          <w:rFonts w:cstheme="majorHAnsi"/>
        </w:rPr>
        <w:lastRenderedPageBreak/>
        <w:t>OSNOVNI PODATKI O INVESTITORJU IN UPRAVLJAVCU, PARTNERJU IN IZDELOVALCU INVESTICIJSKE DOKUMENTACIJE</w:t>
      </w:r>
      <w:bookmarkEnd w:id="125"/>
      <w:bookmarkEnd w:id="128"/>
      <w:r w:rsidRPr="000020F0">
        <w:rPr>
          <w:rFonts w:cstheme="majorHAnsi"/>
        </w:rPr>
        <w:t xml:space="preserve"> </w:t>
      </w:r>
    </w:p>
    <w:p w14:paraId="0BB0520B" w14:textId="20D659F2" w:rsidR="00331252" w:rsidRPr="000020F0" w:rsidRDefault="0033125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29" w:name="_Ref230593818"/>
      <w:bookmarkStart w:id="130" w:name="_Toc230882188"/>
      <w:r w:rsidRPr="000020F0">
        <w:rPr>
          <w:rFonts w:asciiTheme="majorHAnsi" w:eastAsiaTheme="majorEastAsia" w:hAnsiTheme="majorHAnsi" w:cstheme="majorHAnsi"/>
          <w:color w:val="244061" w:themeColor="accent1" w:themeShade="80"/>
        </w:rPr>
        <w:t>Osnovni podatki o naročniku</w:t>
      </w:r>
      <w:r w:rsidR="005820BB" w:rsidRPr="000020F0">
        <w:rPr>
          <w:rFonts w:asciiTheme="majorHAnsi" w:eastAsiaTheme="majorEastAsia" w:hAnsiTheme="majorHAnsi" w:cstheme="majorHAnsi"/>
          <w:color w:val="244061" w:themeColor="accent1" w:themeShade="80"/>
        </w:rPr>
        <w:t>, investitorju</w:t>
      </w:r>
      <w:r w:rsidRPr="000020F0">
        <w:rPr>
          <w:rFonts w:asciiTheme="majorHAnsi" w:eastAsiaTheme="majorEastAsia" w:hAnsiTheme="majorHAnsi" w:cstheme="majorHAnsi"/>
          <w:color w:val="244061" w:themeColor="accent1" w:themeShade="80"/>
        </w:rPr>
        <w:t xml:space="preserve"> in upravljavcu</w:t>
      </w:r>
      <w:bookmarkEnd w:id="129"/>
      <w:bookmarkEnd w:id="130"/>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0A0" w:firstRow="1" w:lastRow="0" w:firstColumn="1" w:lastColumn="0" w:noHBand="0" w:noVBand="0"/>
      </w:tblPr>
      <w:tblGrid>
        <w:gridCol w:w="3038"/>
        <w:gridCol w:w="6271"/>
      </w:tblGrid>
      <w:tr w:rsidR="00A24D61" w:rsidRPr="000020F0" w14:paraId="088DE73C" w14:textId="77777777" w:rsidTr="0093689D">
        <w:tc>
          <w:tcPr>
            <w:tcW w:w="1632" w:type="pct"/>
            <w:shd w:val="clear" w:color="auto" w:fill="DBE5F1"/>
            <w:vAlign w:val="center"/>
          </w:tcPr>
          <w:p w14:paraId="19172594"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NAZIV</w:t>
            </w:r>
          </w:p>
        </w:tc>
        <w:tc>
          <w:tcPr>
            <w:tcW w:w="3368" w:type="pct"/>
          </w:tcPr>
          <w:p w14:paraId="280951A5"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b/>
                <w:bCs/>
                <w:color w:val="000000"/>
                <w:sz w:val="22"/>
                <w:szCs w:val="22"/>
                <w:lang w:eastAsia="en-US"/>
              </w:rPr>
            </w:pPr>
            <w:r w:rsidRPr="000020F0">
              <w:rPr>
                <w:rFonts w:asciiTheme="majorHAnsi" w:eastAsia="Arial Unicode MS" w:hAnsiTheme="majorHAnsi" w:cstheme="majorHAnsi"/>
                <w:b/>
                <w:bCs/>
                <w:color w:val="000000"/>
                <w:sz w:val="22"/>
                <w:szCs w:val="22"/>
                <w:lang w:eastAsia="en-US"/>
              </w:rPr>
              <w:t>Občina Ig</w:t>
            </w:r>
          </w:p>
        </w:tc>
      </w:tr>
      <w:tr w:rsidR="00A24D61" w:rsidRPr="000020F0" w14:paraId="11C0AA5E" w14:textId="77777777" w:rsidTr="0093689D">
        <w:tc>
          <w:tcPr>
            <w:tcW w:w="1632" w:type="pct"/>
            <w:shd w:val="clear" w:color="auto" w:fill="DBE5F1"/>
            <w:vAlign w:val="center"/>
          </w:tcPr>
          <w:p w14:paraId="46EC966E"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NASLOV</w:t>
            </w:r>
          </w:p>
        </w:tc>
        <w:tc>
          <w:tcPr>
            <w:tcW w:w="3368" w:type="pct"/>
          </w:tcPr>
          <w:p w14:paraId="7D53C52F"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Govekarjeva cesta 6, 1292 Ig</w:t>
            </w:r>
          </w:p>
        </w:tc>
      </w:tr>
      <w:tr w:rsidR="00A24D61" w:rsidRPr="000020F0" w14:paraId="533EEF50" w14:textId="77777777" w:rsidTr="0093689D">
        <w:tc>
          <w:tcPr>
            <w:tcW w:w="1632" w:type="pct"/>
            <w:shd w:val="clear" w:color="auto" w:fill="DBE5F1"/>
            <w:vAlign w:val="center"/>
          </w:tcPr>
          <w:p w14:paraId="2754893A"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KONTAKT</w:t>
            </w:r>
          </w:p>
        </w:tc>
        <w:tc>
          <w:tcPr>
            <w:tcW w:w="3368" w:type="pct"/>
          </w:tcPr>
          <w:p w14:paraId="71214EEF"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T: 01 280 23 00</w:t>
            </w:r>
          </w:p>
          <w:p w14:paraId="25DE1100"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E: info@obcina-ig.si</w:t>
            </w:r>
          </w:p>
        </w:tc>
      </w:tr>
      <w:tr w:rsidR="00A24D61" w:rsidRPr="000020F0" w14:paraId="5F5AF621" w14:textId="77777777" w:rsidTr="0093689D">
        <w:tc>
          <w:tcPr>
            <w:tcW w:w="1632" w:type="pct"/>
            <w:shd w:val="clear" w:color="auto" w:fill="DBE5F1"/>
            <w:vAlign w:val="center"/>
          </w:tcPr>
          <w:p w14:paraId="306FA063"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MATIČNA ŠTEVILKA</w:t>
            </w:r>
          </w:p>
        </w:tc>
        <w:tc>
          <w:tcPr>
            <w:tcW w:w="3368" w:type="pct"/>
          </w:tcPr>
          <w:p w14:paraId="4568C504"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5874769000</w:t>
            </w:r>
          </w:p>
        </w:tc>
      </w:tr>
      <w:tr w:rsidR="00A24D61" w:rsidRPr="000020F0" w14:paraId="6CC8B2BD" w14:textId="77777777" w:rsidTr="0093689D">
        <w:tc>
          <w:tcPr>
            <w:tcW w:w="1632" w:type="pct"/>
            <w:shd w:val="clear" w:color="auto" w:fill="DBE5F1"/>
            <w:vAlign w:val="center"/>
          </w:tcPr>
          <w:p w14:paraId="3FA13B5C"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DAVČNA ŠTEVILKA</w:t>
            </w:r>
          </w:p>
        </w:tc>
        <w:tc>
          <w:tcPr>
            <w:tcW w:w="3368" w:type="pct"/>
          </w:tcPr>
          <w:p w14:paraId="276F1D6D"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SI 47731206</w:t>
            </w:r>
          </w:p>
        </w:tc>
      </w:tr>
      <w:tr w:rsidR="00A24D61" w:rsidRPr="000020F0" w14:paraId="0FDE461F" w14:textId="77777777" w:rsidTr="0093689D">
        <w:tc>
          <w:tcPr>
            <w:tcW w:w="1632" w:type="pct"/>
            <w:shd w:val="clear" w:color="auto" w:fill="DBE5F1"/>
            <w:vAlign w:val="center"/>
          </w:tcPr>
          <w:p w14:paraId="6A7DFC30"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ŠIFRA DEJAVNOSTI</w:t>
            </w:r>
          </w:p>
        </w:tc>
        <w:tc>
          <w:tcPr>
            <w:tcW w:w="3368" w:type="pct"/>
          </w:tcPr>
          <w:p w14:paraId="7E409D44"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 xml:space="preserve">84.110 (Splošna </w:t>
            </w:r>
            <w:proofErr w:type="spellStart"/>
            <w:r w:rsidRPr="000020F0">
              <w:rPr>
                <w:rFonts w:asciiTheme="majorHAnsi" w:eastAsia="Arial Unicode MS" w:hAnsiTheme="majorHAnsi" w:cstheme="majorHAnsi"/>
                <w:color w:val="000000"/>
                <w:sz w:val="22"/>
                <w:szCs w:val="22"/>
                <w:lang w:eastAsia="en-US"/>
              </w:rPr>
              <w:t>dej.javne</w:t>
            </w:r>
            <w:proofErr w:type="spellEnd"/>
            <w:r w:rsidRPr="000020F0">
              <w:rPr>
                <w:rFonts w:asciiTheme="majorHAnsi" w:eastAsia="Arial Unicode MS" w:hAnsiTheme="majorHAnsi" w:cstheme="majorHAnsi"/>
                <w:color w:val="000000"/>
                <w:sz w:val="22"/>
                <w:szCs w:val="22"/>
                <w:lang w:eastAsia="en-US"/>
              </w:rPr>
              <w:t xml:space="preserve"> uprave)</w:t>
            </w:r>
          </w:p>
        </w:tc>
      </w:tr>
      <w:tr w:rsidR="00A24D61" w:rsidRPr="000020F0" w14:paraId="2E0FAEA8" w14:textId="77777777" w:rsidTr="0093689D">
        <w:tc>
          <w:tcPr>
            <w:tcW w:w="1632" w:type="pct"/>
            <w:shd w:val="clear" w:color="auto" w:fill="DBE5F1"/>
            <w:vAlign w:val="center"/>
          </w:tcPr>
          <w:p w14:paraId="5D34D605"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ŠT. TRANSAKCIJSKEGA RAČUNA</w:t>
            </w:r>
          </w:p>
        </w:tc>
        <w:tc>
          <w:tcPr>
            <w:tcW w:w="3368" w:type="pct"/>
          </w:tcPr>
          <w:p w14:paraId="4F0377F3"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SI56 0123 7010 0000 320</w:t>
            </w:r>
          </w:p>
          <w:p w14:paraId="531D81F6" w14:textId="2CAEF622"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p>
        </w:tc>
      </w:tr>
      <w:tr w:rsidR="00A24D61" w:rsidRPr="000020F0" w14:paraId="182E2037" w14:textId="77777777" w:rsidTr="0093689D">
        <w:tc>
          <w:tcPr>
            <w:tcW w:w="1632" w:type="pct"/>
            <w:shd w:val="clear" w:color="auto" w:fill="DBE5F1"/>
            <w:vAlign w:val="center"/>
          </w:tcPr>
          <w:p w14:paraId="2AAC3946" w14:textId="77777777" w:rsidR="00A24D61" w:rsidRPr="000020F0" w:rsidRDefault="00A24D61" w:rsidP="0093689D">
            <w:pPr>
              <w:spacing w:line="276" w:lineRule="auto"/>
              <w:rPr>
                <w:rFonts w:asciiTheme="majorHAnsi" w:eastAsia="Arial Unicode MS" w:hAnsiTheme="majorHAnsi" w:cstheme="majorHAnsi"/>
                <w:b/>
                <w:i/>
                <w:sz w:val="22"/>
                <w:szCs w:val="22"/>
                <w:lang w:eastAsia="en-US"/>
              </w:rPr>
            </w:pPr>
            <w:r w:rsidRPr="000020F0">
              <w:rPr>
                <w:rFonts w:asciiTheme="majorHAnsi" w:eastAsia="Arial Unicode MS" w:hAnsiTheme="majorHAnsi" w:cstheme="majorHAnsi"/>
                <w:b/>
                <w:i/>
                <w:sz w:val="22"/>
                <w:szCs w:val="22"/>
                <w:lang w:eastAsia="en-US"/>
              </w:rPr>
              <w:t>ODGOVORNA OSEBA</w:t>
            </w:r>
          </w:p>
        </w:tc>
        <w:tc>
          <w:tcPr>
            <w:tcW w:w="3368" w:type="pct"/>
          </w:tcPr>
          <w:p w14:paraId="2C1E0EE5" w14:textId="77777777" w:rsidR="00A24D61" w:rsidRPr="000020F0" w:rsidRDefault="00A24D61" w:rsidP="0093689D">
            <w:pPr>
              <w:autoSpaceDE w:val="0"/>
              <w:autoSpaceDN w:val="0"/>
              <w:adjustRightInd w:val="0"/>
              <w:spacing w:line="276" w:lineRule="auto"/>
              <w:jc w:val="both"/>
              <w:rPr>
                <w:rFonts w:asciiTheme="majorHAnsi" w:eastAsia="Arial Unicode MS" w:hAnsiTheme="majorHAnsi" w:cstheme="majorHAnsi"/>
                <w:color w:val="000000"/>
                <w:sz w:val="22"/>
                <w:szCs w:val="22"/>
                <w:lang w:eastAsia="en-US"/>
              </w:rPr>
            </w:pPr>
            <w:r w:rsidRPr="000020F0">
              <w:rPr>
                <w:rFonts w:asciiTheme="majorHAnsi" w:eastAsia="Arial Unicode MS" w:hAnsiTheme="majorHAnsi" w:cstheme="majorHAnsi"/>
                <w:color w:val="000000"/>
                <w:sz w:val="22"/>
                <w:szCs w:val="22"/>
                <w:lang w:eastAsia="en-US"/>
              </w:rPr>
              <w:t>Župan Zlatko Usenik</w:t>
            </w:r>
          </w:p>
        </w:tc>
      </w:tr>
    </w:tbl>
    <w:p w14:paraId="58CA2E11" w14:textId="77777777" w:rsidR="006B2762" w:rsidRPr="000020F0" w:rsidRDefault="006B276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31" w:name="_Toc230882189"/>
      <w:r w:rsidRPr="000020F0">
        <w:rPr>
          <w:rFonts w:asciiTheme="majorHAnsi" w:eastAsiaTheme="majorEastAsia" w:hAnsiTheme="majorHAnsi" w:cstheme="majorHAnsi"/>
          <w:color w:val="244061" w:themeColor="accent1" w:themeShade="80"/>
        </w:rPr>
        <w:t>Osnovni podatki o izdelovalcu investicijske dokumentacije</w:t>
      </w:r>
      <w:bookmarkEnd w:id="131"/>
      <w:r w:rsidRPr="000020F0">
        <w:rPr>
          <w:rFonts w:asciiTheme="majorHAnsi" w:eastAsiaTheme="majorEastAsia" w:hAnsiTheme="majorHAnsi" w:cstheme="majorHAnsi"/>
          <w:color w:val="244061" w:themeColor="accent1" w:themeShade="80"/>
        </w:rPr>
        <w:t xml:space="preserve"> </w:t>
      </w:r>
    </w:p>
    <w:tbl>
      <w:tblPr>
        <w:tblW w:w="5000" w:type="pct"/>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ook w:val="00A0" w:firstRow="1" w:lastRow="0" w:firstColumn="1" w:lastColumn="0" w:noHBand="0" w:noVBand="0"/>
      </w:tblPr>
      <w:tblGrid>
        <w:gridCol w:w="4070"/>
        <w:gridCol w:w="5239"/>
      </w:tblGrid>
      <w:tr w:rsidR="007907B6" w:rsidRPr="000020F0" w14:paraId="108A4DF2" w14:textId="77777777" w:rsidTr="00BE2C8A">
        <w:tc>
          <w:tcPr>
            <w:tcW w:w="2186" w:type="pct"/>
            <w:shd w:val="clear" w:color="auto" w:fill="DBE5F1" w:themeFill="accent1" w:themeFillTint="33"/>
            <w:vAlign w:val="center"/>
          </w:tcPr>
          <w:p w14:paraId="5F562707"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NAZIV</w:t>
            </w:r>
          </w:p>
        </w:tc>
        <w:tc>
          <w:tcPr>
            <w:tcW w:w="2814" w:type="pct"/>
          </w:tcPr>
          <w:p w14:paraId="0724241E"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proofErr w:type="spellStart"/>
            <w:r w:rsidRPr="000020F0">
              <w:rPr>
                <w:rFonts w:asciiTheme="majorHAnsi" w:eastAsia="Arial Unicode MS" w:hAnsiTheme="majorHAnsi" w:cstheme="majorHAnsi"/>
                <w:sz w:val="22"/>
                <w:szCs w:val="22"/>
              </w:rPr>
              <w:t>ProSVET</w:t>
            </w:r>
            <w:proofErr w:type="spellEnd"/>
            <w:r w:rsidRPr="000020F0">
              <w:rPr>
                <w:rFonts w:asciiTheme="majorHAnsi" w:eastAsia="Arial Unicode MS" w:hAnsiTheme="majorHAnsi" w:cstheme="majorHAnsi"/>
                <w:sz w:val="22"/>
                <w:szCs w:val="22"/>
              </w:rPr>
              <w:t xml:space="preserve">, Martina Magajna </w:t>
            </w:r>
            <w:proofErr w:type="spellStart"/>
            <w:r w:rsidRPr="000020F0">
              <w:rPr>
                <w:rFonts w:asciiTheme="majorHAnsi" w:eastAsia="Arial Unicode MS" w:hAnsiTheme="majorHAnsi" w:cstheme="majorHAnsi"/>
                <w:sz w:val="22"/>
                <w:szCs w:val="22"/>
              </w:rPr>
              <w:t>s.p</w:t>
            </w:r>
            <w:proofErr w:type="spellEnd"/>
            <w:r w:rsidRPr="000020F0">
              <w:rPr>
                <w:rFonts w:asciiTheme="majorHAnsi" w:eastAsia="Arial Unicode MS" w:hAnsiTheme="majorHAnsi" w:cstheme="majorHAnsi"/>
                <w:sz w:val="22"/>
                <w:szCs w:val="22"/>
              </w:rPr>
              <w:t>.</w:t>
            </w:r>
          </w:p>
        </w:tc>
      </w:tr>
      <w:tr w:rsidR="007907B6" w:rsidRPr="000020F0" w14:paraId="7E173FF3" w14:textId="77777777" w:rsidTr="00BE2C8A">
        <w:tc>
          <w:tcPr>
            <w:tcW w:w="2186" w:type="pct"/>
            <w:shd w:val="clear" w:color="auto" w:fill="DBE5F1" w:themeFill="accent1" w:themeFillTint="33"/>
            <w:vAlign w:val="center"/>
          </w:tcPr>
          <w:p w14:paraId="24DCF57D"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NASLOV</w:t>
            </w:r>
          </w:p>
        </w:tc>
        <w:tc>
          <w:tcPr>
            <w:tcW w:w="2814" w:type="pct"/>
          </w:tcPr>
          <w:p w14:paraId="4BC27535"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Dilce 40, 6230 Postojna</w:t>
            </w:r>
          </w:p>
        </w:tc>
      </w:tr>
      <w:tr w:rsidR="007907B6" w:rsidRPr="000020F0" w14:paraId="4191B739" w14:textId="77777777" w:rsidTr="00BE2C8A">
        <w:tc>
          <w:tcPr>
            <w:tcW w:w="2186" w:type="pct"/>
            <w:shd w:val="clear" w:color="auto" w:fill="DBE5F1" w:themeFill="accent1" w:themeFillTint="33"/>
            <w:vAlign w:val="center"/>
          </w:tcPr>
          <w:p w14:paraId="5CFD5B57"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MATIČNA ŠTEVILKA</w:t>
            </w:r>
          </w:p>
        </w:tc>
        <w:tc>
          <w:tcPr>
            <w:tcW w:w="2814" w:type="pct"/>
          </w:tcPr>
          <w:p w14:paraId="7EA6016D"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6679889000</w:t>
            </w:r>
          </w:p>
        </w:tc>
      </w:tr>
      <w:tr w:rsidR="007907B6" w:rsidRPr="000020F0" w14:paraId="0BD0315A" w14:textId="77777777" w:rsidTr="00BE2C8A">
        <w:tc>
          <w:tcPr>
            <w:tcW w:w="2186" w:type="pct"/>
            <w:shd w:val="clear" w:color="auto" w:fill="DBE5F1" w:themeFill="accent1" w:themeFillTint="33"/>
            <w:vAlign w:val="center"/>
          </w:tcPr>
          <w:p w14:paraId="0E2ECCAB"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DAVČNA ŠTEVILKA</w:t>
            </w:r>
          </w:p>
        </w:tc>
        <w:tc>
          <w:tcPr>
            <w:tcW w:w="2814" w:type="pct"/>
          </w:tcPr>
          <w:p w14:paraId="346E701F"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SI 23051094</w:t>
            </w:r>
          </w:p>
        </w:tc>
      </w:tr>
      <w:tr w:rsidR="007907B6" w:rsidRPr="000020F0" w14:paraId="2369DD31" w14:textId="77777777" w:rsidTr="00BE2C8A">
        <w:tc>
          <w:tcPr>
            <w:tcW w:w="2186" w:type="pct"/>
            <w:shd w:val="clear" w:color="auto" w:fill="DBE5F1" w:themeFill="accent1" w:themeFillTint="33"/>
            <w:vAlign w:val="center"/>
          </w:tcPr>
          <w:p w14:paraId="4D02063D"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ŠIFRA DEJAVNOSTI</w:t>
            </w:r>
          </w:p>
        </w:tc>
        <w:tc>
          <w:tcPr>
            <w:tcW w:w="2814" w:type="pct"/>
          </w:tcPr>
          <w:p w14:paraId="61B62302"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70.220 (Dr. podjetniško in poslovno svetovanje)</w:t>
            </w:r>
          </w:p>
        </w:tc>
      </w:tr>
      <w:tr w:rsidR="007907B6" w:rsidRPr="000020F0" w14:paraId="165D466C" w14:textId="77777777" w:rsidTr="00BE2C8A">
        <w:tc>
          <w:tcPr>
            <w:tcW w:w="2186" w:type="pct"/>
            <w:shd w:val="clear" w:color="auto" w:fill="DBE5F1" w:themeFill="accent1" w:themeFillTint="33"/>
            <w:vAlign w:val="center"/>
          </w:tcPr>
          <w:p w14:paraId="2F5775FF"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POSLOVNA BANKA</w:t>
            </w:r>
          </w:p>
        </w:tc>
        <w:tc>
          <w:tcPr>
            <w:tcW w:w="2814" w:type="pct"/>
          </w:tcPr>
          <w:p w14:paraId="49567F45"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Banka </w:t>
            </w:r>
            <w:proofErr w:type="spellStart"/>
            <w:r w:rsidRPr="000020F0">
              <w:rPr>
                <w:rFonts w:asciiTheme="majorHAnsi" w:eastAsia="Arial Unicode MS" w:hAnsiTheme="majorHAnsi" w:cstheme="majorHAnsi"/>
                <w:sz w:val="22"/>
                <w:szCs w:val="22"/>
              </w:rPr>
              <w:t>Intesa</w:t>
            </w:r>
            <w:proofErr w:type="spellEnd"/>
            <w:r w:rsidRPr="000020F0">
              <w:rPr>
                <w:rFonts w:asciiTheme="majorHAnsi" w:eastAsia="Arial Unicode MS" w:hAnsiTheme="majorHAnsi" w:cstheme="majorHAnsi"/>
                <w:sz w:val="22"/>
                <w:szCs w:val="22"/>
              </w:rPr>
              <w:t xml:space="preserve"> </w:t>
            </w:r>
            <w:proofErr w:type="spellStart"/>
            <w:r w:rsidRPr="000020F0">
              <w:rPr>
                <w:rFonts w:asciiTheme="majorHAnsi" w:eastAsia="Arial Unicode MS" w:hAnsiTheme="majorHAnsi" w:cstheme="majorHAnsi"/>
                <w:sz w:val="22"/>
                <w:szCs w:val="22"/>
              </w:rPr>
              <w:t>Sanpaolo</w:t>
            </w:r>
            <w:proofErr w:type="spellEnd"/>
            <w:r w:rsidRPr="000020F0">
              <w:rPr>
                <w:rFonts w:asciiTheme="majorHAnsi" w:eastAsia="Arial Unicode MS" w:hAnsiTheme="majorHAnsi" w:cstheme="majorHAnsi"/>
                <w:sz w:val="22"/>
                <w:szCs w:val="22"/>
              </w:rPr>
              <w:t xml:space="preserve"> </w:t>
            </w:r>
            <w:proofErr w:type="spellStart"/>
            <w:r w:rsidRPr="000020F0">
              <w:rPr>
                <w:rFonts w:asciiTheme="majorHAnsi" w:eastAsia="Arial Unicode MS" w:hAnsiTheme="majorHAnsi" w:cstheme="majorHAnsi"/>
                <w:sz w:val="22"/>
                <w:szCs w:val="22"/>
              </w:rPr>
              <w:t>d.d</w:t>
            </w:r>
            <w:proofErr w:type="spellEnd"/>
            <w:r w:rsidRPr="000020F0">
              <w:rPr>
                <w:rFonts w:asciiTheme="majorHAnsi" w:eastAsia="Arial Unicode MS" w:hAnsiTheme="majorHAnsi" w:cstheme="majorHAnsi"/>
                <w:sz w:val="22"/>
                <w:szCs w:val="22"/>
              </w:rPr>
              <w:t>.</w:t>
            </w:r>
          </w:p>
        </w:tc>
      </w:tr>
      <w:tr w:rsidR="007907B6" w:rsidRPr="000020F0" w14:paraId="661CBAA2" w14:textId="77777777" w:rsidTr="00BE2C8A">
        <w:tc>
          <w:tcPr>
            <w:tcW w:w="2186" w:type="pct"/>
            <w:shd w:val="clear" w:color="auto" w:fill="DBE5F1" w:themeFill="accent1" w:themeFillTint="33"/>
            <w:vAlign w:val="center"/>
          </w:tcPr>
          <w:p w14:paraId="1363543C"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ŠT. TRANSAKCIJSKEGA RAČUNA</w:t>
            </w:r>
          </w:p>
        </w:tc>
        <w:tc>
          <w:tcPr>
            <w:tcW w:w="2814" w:type="pct"/>
          </w:tcPr>
          <w:p w14:paraId="64A341B5"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IBAN SI56 1010 0005 3587 257</w:t>
            </w:r>
          </w:p>
        </w:tc>
      </w:tr>
      <w:tr w:rsidR="007907B6" w:rsidRPr="000020F0" w14:paraId="1C0D9E40" w14:textId="77777777" w:rsidTr="00BE2C8A">
        <w:tc>
          <w:tcPr>
            <w:tcW w:w="2186" w:type="pct"/>
            <w:shd w:val="clear" w:color="auto" w:fill="DBE5F1" w:themeFill="accent1" w:themeFillTint="33"/>
            <w:vAlign w:val="center"/>
          </w:tcPr>
          <w:p w14:paraId="7730B8AF" w14:textId="77777777" w:rsidR="007907B6" w:rsidRPr="000020F0" w:rsidRDefault="007907B6" w:rsidP="00BD1D20">
            <w:pPr>
              <w:spacing w:line="276" w:lineRule="auto"/>
              <w:rPr>
                <w:rFonts w:asciiTheme="majorHAnsi" w:eastAsia="Arial Unicode MS" w:hAnsiTheme="majorHAnsi" w:cstheme="majorHAnsi"/>
                <w:b/>
                <w:i/>
              </w:rPr>
            </w:pPr>
            <w:r w:rsidRPr="000020F0">
              <w:rPr>
                <w:rFonts w:asciiTheme="majorHAnsi" w:eastAsia="Arial Unicode MS" w:hAnsiTheme="majorHAnsi" w:cstheme="majorHAnsi"/>
                <w:b/>
                <w:i/>
              </w:rPr>
              <w:t>ODGOVORNA OSEBA</w:t>
            </w:r>
          </w:p>
        </w:tc>
        <w:tc>
          <w:tcPr>
            <w:tcW w:w="2814" w:type="pct"/>
          </w:tcPr>
          <w:p w14:paraId="2329F7A1" w14:textId="77777777" w:rsidR="007907B6" w:rsidRPr="000020F0" w:rsidRDefault="007907B6" w:rsidP="00BD1D20">
            <w:pPr>
              <w:pStyle w:val="Default"/>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Martina Magajna </w:t>
            </w:r>
          </w:p>
        </w:tc>
      </w:tr>
    </w:tbl>
    <w:p w14:paraId="517CD105" w14:textId="77777777" w:rsidR="00000766" w:rsidRPr="000020F0" w:rsidRDefault="00000766" w:rsidP="00BD1D20">
      <w:pPr>
        <w:spacing w:line="276" w:lineRule="auto"/>
        <w:rPr>
          <w:rFonts w:asciiTheme="majorHAnsi" w:hAnsiTheme="majorHAnsi" w:cstheme="majorHAnsi"/>
        </w:rPr>
      </w:pPr>
      <w:r w:rsidRPr="000020F0">
        <w:rPr>
          <w:rFonts w:asciiTheme="majorHAnsi" w:hAnsiTheme="majorHAnsi" w:cstheme="majorHAnsi"/>
        </w:rPr>
        <w:br w:type="page"/>
      </w:r>
    </w:p>
    <w:p w14:paraId="3C6B8981" w14:textId="7C7A91E8" w:rsidR="00000766" w:rsidRPr="000020F0" w:rsidRDefault="00000766" w:rsidP="00BD1D20">
      <w:pPr>
        <w:pStyle w:val="Naslov1"/>
        <w:numPr>
          <w:ilvl w:val="0"/>
          <w:numId w:val="3"/>
        </w:numPr>
        <w:rPr>
          <w:rFonts w:cstheme="majorHAnsi"/>
        </w:rPr>
      </w:pPr>
      <w:bookmarkStart w:id="132" w:name="_Toc3698222"/>
      <w:bookmarkStart w:id="133" w:name="_Toc230882190"/>
      <w:r w:rsidRPr="000020F0">
        <w:rPr>
          <w:rFonts w:cstheme="majorHAnsi"/>
        </w:rPr>
        <w:lastRenderedPageBreak/>
        <w:t>ANALIZA OBSTOJEČEGA STANJA</w:t>
      </w:r>
      <w:bookmarkEnd w:id="132"/>
      <w:bookmarkEnd w:id="133"/>
      <w:r w:rsidRPr="000020F0">
        <w:rPr>
          <w:rFonts w:cstheme="majorHAnsi"/>
        </w:rPr>
        <w:t xml:space="preserve"> </w:t>
      </w:r>
    </w:p>
    <w:p w14:paraId="073E1653" w14:textId="1FB6267A" w:rsidR="002E7976" w:rsidRPr="000020F0" w:rsidRDefault="0076676D" w:rsidP="0076676D">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34" w:name="_Toc230882191"/>
      <w:r w:rsidRPr="000020F0">
        <w:rPr>
          <w:rFonts w:asciiTheme="majorHAnsi" w:eastAsiaTheme="majorEastAsia" w:hAnsiTheme="majorHAnsi" w:cstheme="majorHAnsi"/>
          <w:color w:val="244061" w:themeColor="accent1" w:themeShade="80"/>
        </w:rPr>
        <w:t>Trajnostn</w:t>
      </w:r>
      <w:r w:rsidR="00267BEC" w:rsidRPr="000020F0">
        <w:rPr>
          <w:rFonts w:asciiTheme="majorHAnsi" w:eastAsiaTheme="majorEastAsia" w:hAnsiTheme="majorHAnsi" w:cstheme="majorHAnsi"/>
          <w:color w:val="244061" w:themeColor="accent1" w:themeShade="80"/>
        </w:rPr>
        <w:t>a mobilnost v Sloveniji</w:t>
      </w:r>
      <w:bookmarkEnd w:id="134"/>
    </w:p>
    <w:p w14:paraId="3698CDE7" w14:textId="77777777" w:rsidR="00267BEC" w:rsidRPr="000020F0" w:rsidRDefault="00267BEC" w:rsidP="00267BEC">
      <w:pPr>
        <w:spacing w:after="120" w:line="276" w:lineRule="auto"/>
        <w:jc w:val="both"/>
        <w:rPr>
          <w:rFonts w:ascii="Arial" w:hAnsi="Arial" w:cs="Arial"/>
          <w:sz w:val="22"/>
          <w:szCs w:val="22"/>
        </w:rPr>
      </w:pPr>
      <w:r w:rsidRPr="000020F0">
        <w:rPr>
          <w:rFonts w:ascii="Arial" w:hAnsi="Arial" w:cs="Arial"/>
          <w:sz w:val="22"/>
          <w:szCs w:val="22"/>
        </w:rPr>
        <w:t xml:space="preserve">Slovenija se že več let usmerja v prehod na trajnostno mobilnost, skladno z nacionalnimi in evropskimi cilji zmanjševanja emisij toplogrednih plinov, izboljšanja kakovosti zraka, povečanja energetske učinkovitosti in zagotavljanja dostopnosti za vse prebivalce. Na strateški ravni je država sprejela več dokumentov, ki spodbujajo trajnostno mobilnost, med njimi </w:t>
      </w:r>
      <w:r w:rsidRPr="000020F0">
        <w:rPr>
          <w:rFonts w:ascii="Arial" w:hAnsi="Arial" w:cs="Arial"/>
          <w:b/>
          <w:bCs/>
          <w:sz w:val="22"/>
          <w:szCs w:val="22"/>
        </w:rPr>
        <w:t>Celostne prometne strategije občin (CPS)</w:t>
      </w:r>
      <w:r w:rsidRPr="000020F0">
        <w:rPr>
          <w:rFonts w:ascii="Arial" w:hAnsi="Arial" w:cs="Arial"/>
          <w:sz w:val="22"/>
          <w:szCs w:val="22"/>
        </w:rPr>
        <w:t>, nacionalne programe spodbujanja javnega potniškega prometa, ukrepe za razvoj kolesarske infrastrukture ter različne promocijske in izobraževalne projekte.</w:t>
      </w:r>
    </w:p>
    <w:p w14:paraId="1F1FF1E2" w14:textId="77777777" w:rsidR="00267BEC" w:rsidRPr="000020F0" w:rsidRDefault="00267BEC" w:rsidP="00267BEC">
      <w:pPr>
        <w:spacing w:after="120" w:line="276" w:lineRule="auto"/>
        <w:jc w:val="both"/>
        <w:rPr>
          <w:rFonts w:ascii="Arial" w:hAnsi="Arial" w:cs="Arial"/>
          <w:sz w:val="22"/>
          <w:szCs w:val="22"/>
        </w:rPr>
      </w:pPr>
      <w:r w:rsidRPr="000020F0">
        <w:rPr>
          <w:rFonts w:ascii="Arial" w:hAnsi="Arial" w:cs="Arial"/>
          <w:sz w:val="22"/>
          <w:szCs w:val="22"/>
        </w:rPr>
        <w:t>Kljub številnim prizadevanjem pa obstoječe stanje kaže na več ključnih izzivov:</w:t>
      </w:r>
    </w:p>
    <w:p w14:paraId="278F3236"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Visok delež uporabe osebnih vozil</w:t>
      </w:r>
      <w:r w:rsidRPr="000020F0">
        <w:rPr>
          <w:rFonts w:ascii="Arial" w:hAnsi="Arial" w:cs="Arial"/>
          <w:sz w:val="22"/>
          <w:szCs w:val="22"/>
        </w:rPr>
        <w:t>: Osebni avtomobil ostaja prevladujoč način premikanja, tako v urbanih območjih kot na podeželju. Tudi za kratke poti prebivalci pogosto izberejo avtomobil, kar povzroča preobremenjenost cestnega omrežja, pomanjkanje parkirnih kapacitet in negativne vplive na okolje.</w:t>
      </w:r>
    </w:p>
    <w:p w14:paraId="3B86038E"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Nezadostna dostopnost javnega potniškega prometa</w:t>
      </w:r>
      <w:r w:rsidRPr="000020F0">
        <w:rPr>
          <w:rFonts w:ascii="Arial" w:hAnsi="Arial" w:cs="Arial"/>
          <w:sz w:val="22"/>
          <w:szCs w:val="22"/>
        </w:rPr>
        <w:t>: Kljub obstoječim linijam avtobusnega in železniškega prometa je pokritost omrežja neenakomerna, zlasti v manjših občinah in razpršenih naseljih. Frekvenca voženj in povezljivost med različnimi načini prevoza sta pogosto nezadostni, kar zmanjšuje privlačnost javnega prevoza.</w:t>
      </w:r>
    </w:p>
    <w:p w14:paraId="1F43326F"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Pomanjkljiva infrastruktura za pešce in kolesarje</w:t>
      </w:r>
      <w:r w:rsidRPr="000020F0">
        <w:rPr>
          <w:rFonts w:ascii="Arial" w:hAnsi="Arial" w:cs="Arial"/>
          <w:sz w:val="22"/>
          <w:szCs w:val="22"/>
        </w:rPr>
        <w:t xml:space="preserve">: V zadnjih letih se sicer intenzivneje gradi kolesarska infrastruktura, vendar je stanje še vedno </w:t>
      </w:r>
      <w:proofErr w:type="spellStart"/>
      <w:r w:rsidRPr="000020F0">
        <w:rPr>
          <w:rFonts w:ascii="Arial" w:hAnsi="Arial" w:cs="Arial"/>
          <w:sz w:val="22"/>
          <w:szCs w:val="22"/>
        </w:rPr>
        <w:t>fragmentirano</w:t>
      </w:r>
      <w:proofErr w:type="spellEnd"/>
      <w:r w:rsidRPr="000020F0">
        <w:rPr>
          <w:rFonts w:ascii="Arial" w:hAnsi="Arial" w:cs="Arial"/>
          <w:sz w:val="22"/>
          <w:szCs w:val="22"/>
        </w:rPr>
        <w:t xml:space="preserve"> in pogosto nepovezano. Varnost kolesarjev in pešcev, predvsem v križiščih in na regionalnih cestah, ostaja problematična.</w:t>
      </w:r>
    </w:p>
    <w:p w14:paraId="6FF2899D"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Slaba medsebojna usklajenost ukrepov</w:t>
      </w:r>
      <w:r w:rsidRPr="000020F0">
        <w:rPr>
          <w:rFonts w:ascii="Arial" w:hAnsi="Arial" w:cs="Arial"/>
          <w:sz w:val="22"/>
          <w:szCs w:val="22"/>
        </w:rPr>
        <w:t xml:space="preserve">: Lokalne pobude za trajnostno mobilnost niso vedno usklajene z državnimi strategijami, kar vodi v neenotne rešitve in otežuje vzpostavitev učinkovitega </w:t>
      </w:r>
      <w:proofErr w:type="spellStart"/>
      <w:r w:rsidRPr="000020F0">
        <w:rPr>
          <w:rFonts w:ascii="Arial" w:hAnsi="Arial" w:cs="Arial"/>
          <w:sz w:val="22"/>
          <w:szCs w:val="22"/>
        </w:rPr>
        <w:t>multimodalnega</w:t>
      </w:r>
      <w:proofErr w:type="spellEnd"/>
      <w:r w:rsidRPr="000020F0">
        <w:rPr>
          <w:rFonts w:ascii="Arial" w:hAnsi="Arial" w:cs="Arial"/>
          <w:sz w:val="22"/>
          <w:szCs w:val="22"/>
        </w:rPr>
        <w:t xml:space="preserve"> sistema.</w:t>
      </w:r>
    </w:p>
    <w:p w14:paraId="46963C34"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Finančni in organizacijski izzivi</w:t>
      </w:r>
      <w:r w:rsidRPr="000020F0">
        <w:rPr>
          <w:rFonts w:ascii="Arial" w:hAnsi="Arial" w:cs="Arial"/>
          <w:sz w:val="22"/>
          <w:szCs w:val="22"/>
        </w:rPr>
        <w:t xml:space="preserve">: Realizacija ukrepov je pogosto vezana na evropska sredstva, medtem ko so sredstva za dolgoročno vzdrževanje in nadgradnjo infrastrukture omejena. Poleg tega številne občine nimajo zadostnih strokovnih kapacitet za pripravo in izvajanje zahtevnih </w:t>
      </w:r>
      <w:proofErr w:type="spellStart"/>
      <w:r w:rsidRPr="000020F0">
        <w:rPr>
          <w:rFonts w:ascii="Arial" w:hAnsi="Arial" w:cs="Arial"/>
          <w:sz w:val="22"/>
          <w:szCs w:val="22"/>
        </w:rPr>
        <w:t>mobilnostnih</w:t>
      </w:r>
      <w:proofErr w:type="spellEnd"/>
      <w:r w:rsidRPr="000020F0">
        <w:rPr>
          <w:rFonts w:ascii="Arial" w:hAnsi="Arial" w:cs="Arial"/>
          <w:sz w:val="22"/>
          <w:szCs w:val="22"/>
        </w:rPr>
        <w:t xml:space="preserve"> projektov.</w:t>
      </w:r>
    </w:p>
    <w:p w14:paraId="0C906D96" w14:textId="77777777" w:rsidR="00267BEC" w:rsidRPr="000020F0" w:rsidRDefault="00267BEC" w:rsidP="00267BEC">
      <w:pPr>
        <w:numPr>
          <w:ilvl w:val="0"/>
          <w:numId w:val="132"/>
        </w:numPr>
        <w:spacing w:after="120" w:line="276" w:lineRule="auto"/>
        <w:jc w:val="both"/>
        <w:rPr>
          <w:rFonts w:ascii="Arial" w:hAnsi="Arial" w:cs="Arial"/>
          <w:sz w:val="22"/>
          <w:szCs w:val="22"/>
        </w:rPr>
      </w:pPr>
      <w:r w:rsidRPr="000020F0">
        <w:rPr>
          <w:rFonts w:ascii="Arial" w:hAnsi="Arial" w:cs="Arial"/>
          <w:b/>
          <w:bCs/>
          <w:sz w:val="22"/>
          <w:szCs w:val="22"/>
        </w:rPr>
        <w:t>Demografski in prostorski dejavniki</w:t>
      </w:r>
      <w:r w:rsidRPr="000020F0">
        <w:rPr>
          <w:rFonts w:ascii="Arial" w:hAnsi="Arial" w:cs="Arial"/>
          <w:sz w:val="22"/>
          <w:szCs w:val="22"/>
        </w:rPr>
        <w:t>: Razpršena poselitev, staranje prebivalstva in rast predmestnih območij dodatno otežujejo razvoj učinkovitih sistemov javnega potniškega prometa in trajnostne mobilnosti.</w:t>
      </w:r>
    </w:p>
    <w:p w14:paraId="1BC8CD0A" w14:textId="77777777" w:rsidR="00267BEC" w:rsidRPr="000020F0" w:rsidRDefault="00267BEC" w:rsidP="00267BEC">
      <w:pPr>
        <w:spacing w:after="120" w:line="276" w:lineRule="auto"/>
        <w:jc w:val="both"/>
        <w:rPr>
          <w:rFonts w:ascii="Arial" w:hAnsi="Arial" w:cs="Arial"/>
          <w:sz w:val="22"/>
          <w:szCs w:val="22"/>
        </w:rPr>
      </w:pPr>
      <w:r w:rsidRPr="000020F0">
        <w:rPr>
          <w:rFonts w:ascii="Arial" w:hAnsi="Arial" w:cs="Arial"/>
          <w:sz w:val="22"/>
          <w:szCs w:val="22"/>
        </w:rPr>
        <w:t xml:space="preserve">Na pozitivni strani velja izpostaviti, da je ozaveščenost o pomenu trajnostne mobilnosti med prebivalci in podjetji v porastu. V številnih občinah so bili že pripravljeni </w:t>
      </w:r>
      <w:proofErr w:type="spellStart"/>
      <w:r w:rsidRPr="000020F0">
        <w:rPr>
          <w:rFonts w:ascii="Arial" w:hAnsi="Arial" w:cs="Arial"/>
          <w:b/>
          <w:bCs/>
          <w:sz w:val="22"/>
          <w:szCs w:val="22"/>
        </w:rPr>
        <w:t>mobilnostni</w:t>
      </w:r>
      <w:proofErr w:type="spellEnd"/>
      <w:r w:rsidRPr="000020F0">
        <w:rPr>
          <w:rFonts w:ascii="Arial" w:hAnsi="Arial" w:cs="Arial"/>
          <w:b/>
          <w:bCs/>
          <w:sz w:val="22"/>
          <w:szCs w:val="22"/>
        </w:rPr>
        <w:t xml:space="preserve"> načrti</w:t>
      </w:r>
      <w:r w:rsidRPr="000020F0">
        <w:rPr>
          <w:rFonts w:ascii="Arial" w:hAnsi="Arial" w:cs="Arial"/>
          <w:sz w:val="22"/>
          <w:szCs w:val="22"/>
        </w:rPr>
        <w:t xml:space="preserve"> in izvedeni prvi ukrepi, kot so ureditev P+R parkirišč, kolesarske povezave, subvencije za javni prevoz in promocijske kampanje. Poleg tega je bil vzpostavljen tudi </w:t>
      </w:r>
      <w:r w:rsidRPr="000020F0">
        <w:rPr>
          <w:rFonts w:ascii="Arial" w:hAnsi="Arial" w:cs="Arial"/>
          <w:b/>
          <w:bCs/>
          <w:sz w:val="22"/>
          <w:szCs w:val="22"/>
        </w:rPr>
        <w:t>Observatorij mobilnosti</w:t>
      </w:r>
      <w:r w:rsidRPr="000020F0">
        <w:rPr>
          <w:rFonts w:ascii="Arial" w:hAnsi="Arial" w:cs="Arial"/>
          <w:sz w:val="22"/>
          <w:szCs w:val="22"/>
        </w:rPr>
        <w:t>, ki omogoča spremljanje in analizo prometnih tokov ter predstavlja pomembno podporo pri načrtovanju prihodnjih ukrepov.</w:t>
      </w:r>
    </w:p>
    <w:p w14:paraId="016EBF4B" w14:textId="77777777" w:rsidR="00267BEC" w:rsidRPr="000020F0" w:rsidRDefault="00267BEC" w:rsidP="00267BEC">
      <w:pPr>
        <w:spacing w:after="120" w:line="276" w:lineRule="auto"/>
        <w:jc w:val="both"/>
        <w:rPr>
          <w:rFonts w:ascii="Arial" w:hAnsi="Arial" w:cs="Arial"/>
          <w:sz w:val="22"/>
          <w:szCs w:val="22"/>
        </w:rPr>
      </w:pPr>
      <w:r w:rsidRPr="000020F0">
        <w:rPr>
          <w:rFonts w:ascii="Arial" w:hAnsi="Arial" w:cs="Arial"/>
          <w:sz w:val="22"/>
          <w:szCs w:val="22"/>
        </w:rPr>
        <w:t>Skupna ocena obstoječega stanja kaže, da je Slovenija sicer na poti k uresničevanju ciljev trajnostne mobilnosti, vendar so spremembe potovalnih navad in prestrukturiranje prometnega sistema počasni. Ključni izziv ostaja zmanjšanje odvisnosti od osebnega avtomobila ter zagotavljanje privlačnih, varnih in učinkovitih alternativ, ki bodo prebivalcem omogočile enakovredno in dostopno mobilnost.</w:t>
      </w:r>
    </w:p>
    <w:p w14:paraId="0F2443A1" w14:textId="3EF34C7D" w:rsidR="00BC09EF" w:rsidRPr="000020F0" w:rsidRDefault="00BC09EF" w:rsidP="00BC09EF">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35" w:name="_Toc230882192"/>
      <w:r w:rsidRPr="000020F0">
        <w:rPr>
          <w:rFonts w:asciiTheme="majorHAnsi" w:eastAsiaTheme="majorEastAsia" w:hAnsiTheme="majorHAnsi" w:cstheme="majorHAnsi"/>
          <w:color w:val="244061" w:themeColor="accent1" w:themeShade="80"/>
        </w:rPr>
        <w:lastRenderedPageBreak/>
        <w:t>Trajnostna mobilnost v Osrednjeslovenski regiji</w:t>
      </w:r>
      <w:bookmarkEnd w:id="135"/>
    </w:p>
    <w:p w14:paraId="3AC638C6" w14:textId="77777777" w:rsidR="00BC09EF" w:rsidRPr="000020F0" w:rsidRDefault="00BC09EF" w:rsidP="00BC09EF">
      <w:pPr>
        <w:spacing w:after="120" w:line="276" w:lineRule="auto"/>
        <w:jc w:val="both"/>
        <w:rPr>
          <w:rFonts w:ascii="Arial" w:hAnsi="Arial" w:cs="Arial"/>
          <w:sz w:val="22"/>
          <w:szCs w:val="22"/>
        </w:rPr>
      </w:pPr>
      <w:r w:rsidRPr="000020F0">
        <w:rPr>
          <w:rFonts w:ascii="Arial" w:hAnsi="Arial" w:cs="Arial"/>
          <w:sz w:val="22"/>
          <w:szCs w:val="22"/>
        </w:rPr>
        <w:t>Osrednjeslovenska regija je najgosteje poseljeno in gospodarsko najmočnejše območje Slovenije, v katerem živi skoraj četrtina prebivalcev države. Ljubljana kot glavno mesto predstavlja osrednje gravitacijsko središče, kjer je skoncentrirana večina delovnih mest, upravnih funkcij in storitvenih dejavnosti. Zaradi tega se v regiji ustvarjajo močni prometni tokovi, saj se vsakodnevno v Ljubljano pripelje več kot sto tisoč dnevnih migrantov iz okoliških občin. Takšna koncentracija ustvarja velike pritiske na prometno infrastrukturo in bistveno vpliva na kakovost bivanja prebivalcev.</w:t>
      </w:r>
    </w:p>
    <w:p w14:paraId="617CDE37" w14:textId="1E9A206D" w:rsidR="00BC09EF" w:rsidRPr="000020F0" w:rsidRDefault="009A707B" w:rsidP="00BC09EF">
      <w:pPr>
        <w:spacing w:after="120" w:line="276" w:lineRule="auto"/>
        <w:jc w:val="both"/>
        <w:rPr>
          <w:rFonts w:ascii="Arial" w:hAnsi="Arial" w:cs="Arial"/>
          <w:sz w:val="22"/>
          <w:szCs w:val="22"/>
        </w:rPr>
      </w:pPr>
      <w:r w:rsidRPr="000020F0">
        <w:rPr>
          <w:rFonts w:ascii="Arial" w:hAnsi="Arial" w:cs="Arial"/>
          <w:sz w:val="22"/>
          <w:szCs w:val="22"/>
        </w:rPr>
        <w:t>Prevladujoči</w:t>
      </w:r>
      <w:r w:rsidR="00BC09EF" w:rsidRPr="000020F0">
        <w:rPr>
          <w:rFonts w:ascii="Arial" w:hAnsi="Arial" w:cs="Arial"/>
          <w:sz w:val="22"/>
          <w:szCs w:val="22"/>
        </w:rPr>
        <w:t xml:space="preserve"> način mobilnosti v regiji ostaja uporaba osebnega avtomobila. Ta delež presega dve tretjini vseh opravljenih poti, kar povzroča preobremenjenost cestnega omrežja, prometne zastoje in večje izpuste toplogrednih plinov. Javni potniški promet sicer obstaja v obliki mestnih avtobusnih linij (LPP), medkrajevnega avtobusnega prometa in železnice, vendar njegova konkurenčnost glede na osebni avtomobil ostaja nizka. Mestni avtobusi so v konicah pogosto počasni zaradi prometnih zastojev, železniški promet pa še ni dovolj razvpit in pogost, da bi bil privlačna alternativa za večino dnevnih migrantov.</w:t>
      </w:r>
    </w:p>
    <w:p w14:paraId="0E65DF77" w14:textId="6FE0F035" w:rsidR="00BC09EF" w:rsidRPr="000020F0" w:rsidRDefault="00BC09EF" w:rsidP="00BC09EF">
      <w:pPr>
        <w:spacing w:after="120" w:line="276" w:lineRule="auto"/>
        <w:jc w:val="both"/>
        <w:rPr>
          <w:rFonts w:ascii="Arial" w:hAnsi="Arial" w:cs="Arial"/>
          <w:sz w:val="22"/>
          <w:szCs w:val="22"/>
        </w:rPr>
      </w:pPr>
      <w:r w:rsidRPr="000020F0">
        <w:rPr>
          <w:rFonts w:ascii="Arial" w:hAnsi="Arial" w:cs="Arial"/>
          <w:sz w:val="22"/>
          <w:szCs w:val="22"/>
        </w:rPr>
        <w:t xml:space="preserve">V Ljubljani je kolesarska infrastruktura relativno dobro razvita in dopolnjena s sistemom izposoje koles </w:t>
      </w:r>
      <w:proofErr w:type="spellStart"/>
      <w:r w:rsidRPr="000020F0">
        <w:rPr>
          <w:rFonts w:ascii="Arial" w:hAnsi="Arial" w:cs="Arial"/>
          <w:sz w:val="22"/>
          <w:szCs w:val="22"/>
        </w:rPr>
        <w:t>BicikeLJ</w:t>
      </w:r>
      <w:proofErr w:type="spellEnd"/>
      <w:r w:rsidR="00B46A07" w:rsidRPr="000020F0">
        <w:rPr>
          <w:rFonts w:ascii="Arial" w:hAnsi="Arial" w:cs="Arial"/>
          <w:sz w:val="22"/>
          <w:szCs w:val="22"/>
        </w:rPr>
        <w:t xml:space="preserve"> in </w:t>
      </w:r>
      <w:proofErr w:type="spellStart"/>
      <w:r w:rsidR="00B46A07" w:rsidRPr="000020F0">
        <w:rPr>
          <w:rFonts w:ascii="Arial" w:hAnsi="Arial" w:cs="Arial"/>
          <w:sz w:val="22"/>
          <w:szCs w:val="22"/>
        </w:rPr>
        <w:t>Nomago</w:t>
      </w:r>
      <w:proofErr w:type="spellEnd"/>
      <w:r w:rsidR="00B46A07" w:rsidRPr="000020F0">
        <w:rPr>
          <w:rFonts w:ascii="Arial" w:hAnsi="Arial" w:cs="Arial"/>
          <w:sz w:val="22"/>
          <w:szCs w:val="22"/>
        </w:rPr>
        <w:t xml:space="preserve"> </w:t>
      </w:r>
      <w:proofErr w:type="spellStart"/>
      <w:r w:rsidR="00B46A07" w:rsidRPr="000020F0">
        <w:rPr>
          <w:rFonts w:ascii="Arial" w:hAnsi="Arial" w:cs="Arial"/>
          <w:sz w:val="22"/>
          <w:szCs w:val="22"/>
        </w:rPr>
        <w:t>Bikes</w:t>
      </w:r>
      <w:proofErr w:type="spellEnd"/>
      <w:r w:rsidRPr="000020F0">
        <w:rPr>
          <w:rFonts w:ascii="Arial" w:hAnsi="Arial" w:cs="Arial"/>
          <w:sz w:val="22"/>
          <w:szCs w:val="22"/>
        </w:rPr>
        <w:t>, ki je povečal delež kolesarjenja v mestnem jedru. Vendar pa povezave z okoliškimi občinami ostajajo nepovezane, ponekod celo nevarne za kolesarje, zato kolesarjenje kot vsakodnevna oblika prevoza na regionalni ravni še ni zaživelo. Podobno velja za pešce: v mestnem središču so pogoji ugodni, v obmestnih in regionalnih povezavah pa infrastrukturna ureditev pogosto ni primerna.</w:t>
      </w:r>
    </w:p>
    <w:p w14:paraId="753A98E4" w14:textId="77777777" w:rsidR="00BC09EF" w:rsidRPr="000020F0" w:rsidRDefault="00BC09EF" w:rsidP="00BC09EF">
      <w:pPr>
        <w:spacing w:after="120" w:line="276" w:lineRule="auto"/>
        <w:jc w:val="both"/>
        <w:rPr>
          <w:rFonts w:ascii="Arial" w:hAnsi="Arial" w:cs="Arial"/>
          <w:sz w:val="22"/>
          <w:szCs w:val="22"/>
        </w:rPr>
      </w:pPr>
      <w:r w:rsidRPr="000020F0">
        <w:rPr>
          <w:rFonts w:ascii="Arial" w:hAnsi="Arial" w:cs="Arial"/>
          <w:sz w:val="22"/>
          <w:szCs w:val="22"/>
        </w:rPr>
        <w:t>V zadnjih letih so bili izvedeni določeni premiki. Vzpostavljen je bil sistem parkirišč P+R, ki omogoča prestop z avtomobila na javni potniški promet, kar se je izkazalo za učinkovito predvsem na obrobju Ljubljane. Mestna občina Ljubljana je z uvedbo celostne prometne strategije postavila temelje za nadaljnji razvoj trajnostne mobilnosti, kar vključuje tudi omejevanje prometa v mestnem jedru, širitev peš con in spodbujanje kolesarjenja. Obenem potekajo projekti modernizacije železnic in gradnje regionalnih kolesarskih povezav, ki bodo v prihodnosti lahko bistveno izboljšali dostopnost.</w:t>
      </w:r>
    </w:p>
    <w:p w14:paraId="640859AA" w14:textId="77777777" w:rsidR="00BC09EF" w:rsidRPr="000020F0" w:rsidRDefault="00BC09EF" w:rsidP="00A475EF">
      <w:pPr>
        <w:spacing w:after="120" w:line="276" w:lineRule="auto"/>
        <w:jc w:val="both"/>
        <w:rPr>
          <w:rFonts w:ascii="Arial" w:hAnsi="Arial" w:cs="Arial"/>
          <w:sz w:val="22"/>
          <w:szCs w:val="22"/>
        </w:rPr>
      </w:pPr>
      <w:r w:rsidRPr="000020F0">
        <w:rPr>
          <w:rFonts w:ascii="Arial" w:hAnsi="Arial" w:cs="Arial"/>
          <w:sz w:val="22"/>
          <w:szCs w:val="22"/>
        </w:rPr>
        <w:t>Kljub tem pozitivnim premikom pa obstoječe stanje ostaja problematično. Prevlada osebnega avtomobila, nizka privlačnost javnega prometa in še nezadostna regionalna kolesarska mreža kažejo, da je trajnostna mobilnost v Osrednji Sloveniji še v začetni fazi razvoja. Posledice so vsakodnevni prometni zastoji, presežene mejne vrednosti onesnaževal v zraku, povečana izpostavljenost hrupu ter zmanjšana kakovost bivanja v mestnih in primestnih območjih.</w:t>
      </w:r>
    </w:p>
    <w:p w14:paraId="2F64ABE5" w14:textId="77777777" w:rsidR="00BC09EF" w:rsidRPr="000020F0" w:rsidRDefault="00BC09EF" w:rsidP="00A475EF">
      <w:pPr>
        <w:spacing w:after="120" w:line="276" w:lineRule="auto"/>
        <w:jc w:val="both"/>
        <w:rPr>
          <w:rFonts w:ascii="Arial" w:hAnsi="Arial" w:cs="Arial"/>
          <w:sz w:val="22"/>
          <w:szCs w:val="22"/>
        </w:rPr>
      </w:pPr>
      <w:r w:rsidRPr="000020F0">
        <w:rPr>
          <w:rFonts w:ascii="Arial" w:hAnsi="Arial" w:cs="Arial"/>
          <w:sz w:val="22"/>
          <w:szCs w:val="22"/>
        </w:rPr>
        <w:t>Skupna ocena obstoječega stanja torej kaže, da Osrednja Slovenija zaradi svoje gospodarske in prostorske vloge nosi največji potencial, pa tudi največje tveganje glede mobilnosti v državi. Čeprav so bili izvedeni prvi pomembni koraki, obseg in hitrost izvedbe še ne zadoščata, da bi bistveno zmanjšali odvisnost prebivalcev od osebnega avtomobila. V prihodnje bo zato nujno nadaljevati z ukrepi, ki bodo povečali privlačnost javnega potniškega prometa, razvili varno in povezano kolesarsko omrežje ter zagotovili učinkovito integracijo različnih oblik trajnostne mobilnosti.</w:t>
      </w:r>
    </w:p>
    <w:p w14:paraId="4258ECE4" w14:textId="3C3A312F" w:rsidR="00E53734" w:rsidRPr="000020F0" w:rsidRDefault="00E53734" w:rsidP="00A475EF">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36" w:name="_Toc230882193"/>
      <w:r w:rsidRPr="000020F0">
        <w:rPr>
          <w:rFonts w:asciiTheme="majorHAnsi" w:eastAsiaTheme="majorEastAsia" w:hAnsiTheme="majorHAnsi" w:cstheme="majorHAnsi"/>
          <w:color w:val="244061" w:themeColor="accent1" w:themeShade="80"/>
        </w:rPr>
        <w:t>Analiza stanja</w:t>
      </w:r>
      <w:bookmarkEnd w:id="136"/>
    </w:p>
    <w:p w14:paraId="4BC9ADA6" w14:textId="77777777" w:rsidR="00FE1022" w:rsidRPr="000020F0" w:rsidRDefault="00FE1022" w:rsidP="00F06107">
      <w:pPr>
        <w:spacing w:before="100" w:beforeAutospacing="1" w:after="100" w:afterAutospacing="1"/>
        <w:jc w:val="both"/>
        <w:rPr>
          <w:rFonts w:ascii="Arial" w:hAnsi="Arial" w:cs="Arial"/>
          <w:sz w:val="22"/>
          <w:szCs w:val="22"/>
        </w:rPr>
      </w:pPr>
      <w:r w:rsidRPr="000020F0">
        <w:rPr>
          <w:rFonts w:ascii="Arial" w:hAnsi="Arial" w:cs="Arial"/>
          <w:sz w:val="22"/>
          <w:szCs w:val="22"/>
        </w:rPr>
        <w:t xml:space="preserve">V centru Iga so določene površine namenjene javni rabi za prosti čas, druženje in mobilnost, vendar so trenutno celostno neurejene. Ureditev parkirnih režimov je parcialna in nepovezana, javne površine med seboj niso ustrezno povezane, kar zmanjšuje varnost in funkcionalnost </w:t>
      </w:r>
      <w:r w:rsidRPr="000020F0">
        <w:rPr>
          <w:rFonts w:ascii="Arial" w:hAnsi="Arial" w:cs="Arial"/>
          <w:sz w:val="22"/>
          <w:szCs w:val="22"/>
        </w:rPr>
        <w:lastRenderedPageBreak/>
        <w:t xml:space="preserve">prostora, zlasti za pešce in kolesarje. Obenem na teh območjih primanjkuje zelenih površin, ki bi prispevale k večji kakovosti bivanja ter omogočale učinkovitejše prilagajanje podnebnim spremembam, boljše odvodnjavanje meteornih voda in izboljšanje </w:t>
      </w:r>
      <w:proofErr w:type="spellStart"/>
      <w:r w:rsidRPr="000020F0">
        <w:rPr>
          <w:rFonts w:ascii="Arial" w:hAnsi="Arial" w:cs="Arial"/>
          <w:sz w:val="22"/>
          <w:szCs w:val="22"/>
        </w:rPr>
        <w:t>mikroklimatskih</w:t>
      </w:r>
      <w:proofErr w:type="spellEnd"/>
      <w:r w:rsidRPr="000020F0">
        <w:rPr>
          <w:rFonts w:ascii="Arial" w:hAnsi="Arial" w:cs="Arial"/>
          <w:sz w:val="22"/>
          <w:szCs w:val="22"/>
        </w:rPr>
        <w:t xml:space="preserve"> razmer. Celovita ureditev prostora bi tako poleg </w:t>
      </w:r>
      <w:proofErr w:type="spellStart"/>
      <w:r w:rsidRPr="000020F0">
        <w:rPr>
          <w:rFonts w:ascii="Arial" w:hAnsi="Arial" w:cs="Arial"/>
          <w:sz w:val="22"/>
          <w:szCs w:val="22"/>
        </w:rPr>
        <w:t>okoljskih</w:t>
      </w:r>
      <w:proofErr w:type="spellEnd"/>
      <w:r w:rsidRPr="000020F0">
        <w:rPr>
          <w:rFonts w:ascii="Arial" w:hAnsi="Arial" w:cs="Arial"/>
          <w:sz w:val="22"/>
          <w:szCs w:val="22"/>
        </w:rPr>
        <w:t xml:space="preserve"> in funkcionalnih učinkov prispevala tudi k širšim gospodarskim koristim, kot so povečanje privlačnosti območja, dvig vrednosti nepremičnin ter razvoj lokalnega turizma.</w:t>
      </w:r>
    </w:p>
    <w:p w14:paraId="1317873C" w14:textId="77777777" w:rsidR="00FE1022" w:rsidRPr="000020F0" w:rsidRDefault="00FE1022" w:rsidP="00F06107">
      <w:pPr>
        <w:spacing w:before="100" w:beforeAutospacing="1" w:after="100" w:afterAutospacing="1"/>
        <w:jc w:val="both"/>
        <w:rPr>
          <w:rFonts w:ascii="Arial" w:hAnsi="Arial" w:cs="Arial"/>
          <w:sz w:val="22"/>
          <w:szCs w:val="22"/>
        </w:rPr>
      </w:pPr>
      <w:r w:rsidRPr="000020F0">
        <w:rPr>
          <w:rFonts w:ascii="Arial" w:hAnsi="Arial" w:cs="Arial"/>
          <w:sz w:val="22"/>
          <w:szCs w:val="22"/>
        </w:rPr>
        <w:t>Posebej problematična je neustrezno urejena varna pot za šolarje. V središču Iga se nahaja OŠ Ig, ki jo obiskujejo učenci prve triade iz matičnega šolskega okoliša ter od četrtega razreda dalje vsi učenci Občine Ig, zato je zagotavljanje varnih, preglednih in trajnostno naravnanih dostopnih poti do šole eden ključnih razvojnih izzivov območja.</w:t>
      </w:r>
    </w:p>
    <w:p w14:paraId="41CC7574" w14:textId="77777777" w:rsidR="00120E04" w:rsidRPr="000020F0" w:rsidRDefault="00120E04" w:rsidP="00A475EF">
      <w:pPr>
        <w:spacing w:after="120" w:line="276" w:lineRule="auto"/>
        <w:jc w:val="both"/>
        <w:rPr>
          <w:rFonts w:ascii="Arial" w:hAnsi="Arial" w:cs="Arial"/>
          <w:sz w:val="22"/>
          <w:szCs w:val="22"/>
        </w:rPr>
      </w:pPr>
      <w:r w:rsidRPr="000020F0">
        <w:rPr>
          <w:rFonts w:ascii="Arial" w:hAnsi="Arial" w:cs="Arial"/>
          <w:sz w:val="22"/>
          <w:szCs w:val="22"/>
        </w:rPr>
        <w:t xml:space="preserve">V neposrednem centru Iga že stoji Hiša narave in kolišč -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kjer se število obiskovalcev in turistov od njegovega odprtja vztrajno dviguje. Z ustrezno ureditvijo ostalih točk javnih površin bo </w:t>
      </w:r>
      <w:proofErr w:type="spellStart"/>
      <w:r w:rsidRPr="000020F0">
        <w:rPr>
          <w:rFonts w:ascii="Arial" w:hAnsi="Arial" w:cs="Arial"/>
          <w:sz w:val="22"/>
          <w:szCs w:val="22"/>
        </w:rPr>
        <w:t>Interpretacijski</w:t>
      </w:r>
      <w:proofErr w:type="spellEnd"/>
      <w:r w:rsidRPr="000020F0">
        <w:rPr>
          <w:rFonts w:ascii="Arial" w:hAnsi="Arial" w:cs="Arial"/>
          <w:sz w:val="22"/>
          <w:szCs w:val="22"/>
        </w:rPr>
        <w:t xml:space="preserve"> center še dodatno dvignil svoj standard ponudbe ter tako obiskovalcem kot turistom in prebivalcem omogočil neovirano gibanje med posameznimi točkami v naselju Ig kot tudi zagotovitev ustreznih površin za medgeneracijsko druženje ob upoštevanju čim večje površine zelenih površin in trajnostne mobilnosti. Tako bo občina imela možnost slediti vsem evropskim usmeritvam in standardom vezano na zelene površine in trajnostno mobilnost.</w:t>
      </w:r>
    </w:p>
    <w:p w14:paraId="5BC2CCDD" w14:textId="77777777" w:rsidR="00120E04" w:rsidRPr="000020F0" w:rsidRDefault="00120E04" w:rsidP="00A475EF">
      <w:pPr>
        <w:spacing w:after="120" w:line="276" w:lineRule="auto"/>
        <w:jc w:val="both"/>
        <w:rPr>
          <w:rFonts w:ascii="Arial" w:hAnsi="Arial" w:cs="Arial"/>
          <w:sz w:val="22"/>
          <w:szCs w:val="22"/>
        </w:rPr>
      </w:pPr>
      <w:r w:rsidRPr="000020F0">
        <w:rPr>
          <w:rFonts w:ascii="Arial" w:hAnsi="Arial" w:cs="Arial"/>
          <w:sz w:val="22"/>
          <w:szCs w:val="22"/>
        </w:rPr>
        <w:t xml:space="preserve">Na območju urejanja so ob Govekarjevi cesti javne stavbe, in sicer Osnovna šola Ig, Pošta, cerkev Sv. Martina,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ter občinska stavba z gostujočim sedežem matičnega urada. Na stiku z Ljubljansko cesto pa je obstoječa glavna avtobusna postaja, ki je prestopnega značaja. Med Ljubljansko cesto in Govekarjevo cesto ni urejene varne šolske poti oz. varne pešpoti. Območje obstoječe avtobusne postaje je treba posodobiti tako z vizualnega kot s prometnega vidika.</w:t>
      </w:r>
    </w:p>
    <w:p w14:paraId="5B3A1F70" w14:textId="3943418D" w:rsidR="00120E04" w:rsidRPr="000020F0" w:rsidRDefault="00120E04" w:rsidP="00A475EF">
      <w:pPr>
        <w:spacing w:after="120" w:line="276" w:lineRule="auto"/>
        <w:rPr>
          <w:rFonts w:ascii="Arial" w:hAnsi="Arial" w:cs="Arial"/>
          <w:bCs/>
          <w:sz w:val="22"/>
          <w:szCs w:val="22"/>
        </w:rPr>
      </w:pPr>
      <w:bookmarkStart w:id="137" w:name="_Toc209029192"/>
      <w:bookmarkStart w:id="138" w:name="_Toc209277207"/>
      <w:bookmarkStart w:id="139" w:name="_Toc230882317"/>
      <w:r w:rsidRPr="000020F0">
        <w:rPr>
          <w:rFonts w:ascii="Arial" w:hAnsi="Arial" w:cs="Arial"/>
          <w:b/>
          <w:bCs/>
          <w:sz w:val="22"/>
          <w:szCs w:val="22"/>
        </w:rPr>
        <w:t xml:space="preserve">Slika </w:t>
      </w:r>
      <w:r w:rsidRPr="000020F0">
        <w:rPr>
          <w:rFonts w:ascii="Arial" w:hAnsi="Arial" w:cs="Arial"/>
          <w:b/>
          <w:bCs/>
          <w:sz w:val="22"/>
          <w:szCs w:val="22"/>
        </w:rPr>
        <w:fldChar w:fldCharType="begin"/>
      </w:r>
      <w:r w:rsidRPr="000020F0">
        <w:rPr>
          <w:rFonts w:ascii="Arial" w:hAnsi="Arial" w:cs="Arial"/>
          <w:b/>
          <w:bCs/>
          <w:sz w:val="22"/>
          <w:szCs w:val="22"/>
        </w:rPr>
        <w:instrText xml:space="preserve"> SEQ Slika \* ARABIC </w:instrText>
      </w:r>
      <w:r w:rsidRPr="000020F0">
        <w:rPr>
          <w:rFonts w:ascii="Arial" w:hAnsi="Arial" w:cs="Arial"/>
          <w:b/>
          <w:bCs/>
          <w:sz w:val="22"/>
          <w:szCs w:val="22"/>
        </w:rPr>
        <w:fldChar w:fldCharType="separate"/>
      </w:r>
      <w:r w:rsidR="00BB0C0C">
        <w:rPr>
          <w:rFonts w:ascii="Arial" w:hAnsi="Arial" w:cs="Arial"/>
          <w:b/>
          <w:bCs/>
          <w:noProof/>
          <w:sz w:val="22"/>
          <w:szCs w:val="22"/>
        </w:rPr>
        <w:t>3</w:t>
      </w:r>
      <w:r w:rsidRPr="000020F0">
        <w:rPr>
          <w:rFonts w:ascii="Arial" w:hAnsi="Arial" w:cs="Arial"/>
          <w:b/>
          <w:bCs/>
          <w:sz w:val="22"/>
          <w:szCs w:val="22"/>
        </w:rPr>
        <w:fldChar w:fldCharType="end"/>
      </w:r>
      <w:r w:rsidRPr="000020F0">
        <w:rPr>
          <w:rFonts w:ascii="Arial" w:hAnsi="Arial" w:cs="Arial"/>
          <w:b/>
          <w:bCs/>
          <w:sz w:val="22"/>
          <w:szCs w:val="22"/>
        </w:rPr>
        <w:t>:</w:t>
      </w:r>
      <w:r w:rsidR="00A475EF" w:rsidRPr="000020F0">
        <w:rPr>
          <w:rFonts w:ascii="Arial" w:hAnsi="Arial" w:cs="Arial"/>
          <w:b/>
          <w:bCs/>
          <w:sz w:val="22"/>
          <w:szCs w:val="22"/>
        </w:rPr>
        <w:t xml:space="preserve"> </w:t>
      </w:r>
      <w:r w:rsidRPr="000020F0">
        <w:rPr>
          <w:rFonts w:ascii="Arial" w:hAnsi="Arial" w:cs="Arial"/>
          <w:bCs/>
          <w:sz w:val="22"/>
          <w:szCs w:val="22"/>
        </w:rPr>
        <w:t>Center Iga</w:t>
      </w:r>
      <w:bookmarkEnd w:id="137"/>
      <w:bookmarkEnd w:id="138"/>
      <w:bookmarkEnd w:id="139"/>
    </w:p>
    <w:p w14:paraId="5FD4EDC4" w14:textId="77777777" w:rsidR="00120E04" w:rsidRPr="000020F0" w:rsidRDefault="00120E04" w:rsidP="00A475EF">
      <w:pPr>
        <w:spacing w:after="120" w:line="276" w:lineRule="auto"/>
        <w:jc w:val="both"/>
        <w:rPr>
          <w:rFonts w:ascii="Arial" w:hAnsi="Arial" w:cs="Arial"/>
          <w:sz w:val="22"/>
          <w:szCs w:val="22"/>
          <w:lang w:eastAsia="zh-TW"/>
        </w:rPr>
      </w:pPr>
      <w:r w:rsidRPr="000020F0">
        <w:rPr>
          <w:rFonts w:ascii="Arial" w:hAnsi="Arial" w:cs="Arial"/>
          <w:noProof/>
          <w:sz w:val="22"/>
          <w:szCs w:val="22"/>
        </w:rPr>
        <w:drawing>
          <wp:inline distT="0" distB="0" distL="0" distR="0" wp14:anchorId="066BEED9" wp14:editId="75B6A58A">
            <wp:extent cx="5759450" cy="3839845"/>
            <wp:effectExtent l="0" t="0" r="0" b="8255"/>
            <wp:docPr id="855704262" name="Picture 20" descr="An aerial view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04262" name="Picture 20" descr="An aerial view of a tow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06B26F7E" w14:textId="77777777" w:rsidR="00120E04" w:rsidRPr="000020F0" w:rsidRDefault="00120E04" w:rsidP="00A475EF">
      <w:pPr>
        <w:spacing w:after="120" w:line="276" w:lineRule="auto"/>
        <w:jc w:val="both"/>
        <w:rPr>
          <w:rFonts w:ascii="Arial" w:hAnsi="Arial" w:cs="Arial"/>
          <w:sz w:val="22"/>
          <w:szCs w:val="22"/>
          <w:lang w:eastAsia="zh-TW"/>
        </w:rPr>
      </w:pPr>
    </w:p>
    <w:p w14:paraId="1082FBBA" w14:textId="1DD09D70" w:rsidR="008609C8" w:rsidRPr="000020F0" w:rsidRDefault="007E57C7" w:rsidP="00A475EF">
      <w:pPr>
        <w:spacing w:after="200" w:line="276" w:lineRule="auto"/>
        <w:jc w:val="both"/>
        <w:rPr>
          <w:rFonts w:ascii="Arial" w:hAnsi="Arial" w:cs="Arial"/>
          <w:sz w:val="22"/>
          <w:szCs w:val="22"/>
        </w:rPr>
      </w:pPr>
      <w:r w:rsidRPr="000020F0">
        <w:rPr>
          <w:rFonts w:ascii="Arial" w:hAnsi="Arial" w:cs="Arial"/>
          <w:sz w:val="22"/>
          <w:szCs w:val="22"/>
        </w:rPr>
        <w:lastRenderedPageBreak/>
        <w:t xml:space="preserve">V nadaljevanju je podana podrobna </w:t>
      </w:r>
      <w:r w:rsidR="009A707B" w:rsidRPr="000020F0">
        <w:rPr>
          <w:rFonts w:ascii="Arial" w:hAnsi="Arial" w:cs="Arial"/>
          <w:sz w:val="22"/>
          <w:szCs w:val="22"/>
        </w:rPr>
        <w:t>analiza</w:t>
      </w:r>
      <w:r w:rsidRPr="000020F0">
        <w:rPr>
          <w:rFonts w:ascii="Arial" w:hAnsi="Arial" w:cs="Arial"/>
          <w:sz w:val="22"/>
          <w:szCs w:val="22"/>
        </w:rPr>
        <w:t xml:space="preserve"> </w:t>
      </w:r>
      <w:r w:rsidR="009A707B" w:rsidRPr="000020F0">
        <w:rPr>
          <w:rFonts w:ascii="Arial" w:hAnsi="Arial" w:cs="Arial"/>
          <w:sz w:val="22"/>
          <w:szCs w:val="22"/>
        </w:rPr>
        <w:t xml:space="preserve">obstoječega </w:t>
      </w:r>
      <w:r w:rsidRPr="000020F0">
        <w:rPr>
          <w:rFonts w:ascii="Arial" w:hAnsi="Arial" w:cs="Arial"/>
          <w:sz w:val="22"/>
          <w:szCs w:val="22"/>
        </w:rPr>
        <w:t>stanja področja</w:t>
      </w:r>
      <w:r w:rsidR="003E2BF1" w:rsidRPr="000020F0">
        <w:rPr>
          <w:rFonts w:ascii="Arial" w:hAnsi="Arial" w:cs="Arial"/>
          <w:sz w:val="22"/>
          <w:szCs w:val="22"/>
        </w:rPr>
        <w:t>,</w:t>
      </w:r>
      <w:r w:rsidRPr="000020F0">
        <w:rPr>
          <w:rFonts w:ascii="Arial" w:hAnsi="Arial" w:cs="Arial"/>
          <w:sz w:val="22"/>
          <w:szCs w:val="22"/>
        </w:rPr>
        <w:t xml:space="preserve"> ki je predmet</w:t>
      </w:r>
      <w:r w:rsidR="009A707B" w:rsidRPr="000020F0">
        <w:rPr>
          <w:rFonts w:ascii="Arial" w:hAnsi="Arial" w:cs="Arial"/>
          <w:sz w:val="22"/>
          <w:szCs w:val="22"/>
        </w:rPr>
        <w:t xml:space="preserve"> obravnave</w:t>
      </w:r>
      <w:r w:rsidR="003E2BF1" w:rsidRPr="000020F0">
        <w:rPr>
          <w:rFonts w:ascii="Arial" w:hAnsi="Arial" w:cs="Arial"/>
          <w:sz w:val="22"/>
          <w:szCs w:val="22"/>
        </w:rPr>
        <w:t>:</w:t>
      </w:r>
    </w:p>
    <w:p w14:paraId="5DD642B9" w14:textId="77777777" w:rsidR="009A707B" w:rsidRPr="000020F0" w:rsidRDefault="009A707B" w:rsidP="00A475EF">
      <w:pPr>
        <w:spacing w:line="276" w:lineRule="auto"/>
        <w:jc w:val="both"/>
        <w:rPr>
          <w:rFonts w:ascii="Arial" w:hAnsi="Arial" w:cs="Arial"/>
          <w:sz w:val="22"/>
          <w:szCs w:val="22"/>
        </w:rPr>
      </w:pPr>
      <w:r w:rsidRPr="000020F0">
        <w:rPr>
          <w:rFonts w:ascii="Arial" w:hAnsi="Arial" w:cs="Arial"/>
          <w:b/>
          <w:bCs/>
          <w:sz w:val="22"/>
          <w:szCs w:val="22"/>
        </w:rPr>
        <w:t>Govekarjeva cesta</w:t>
      </w:r>
      <w:r w:rsidRPr="000020F0">
        <w:rPr>
          <w:rFonts w:ascii="Arial" w:hAnsi="Arial" w:cs="Arial"/>
          <w:sz w:val="22"/>
          <w:szCs w:val="22"/>
        </w:rPr>
        <w:t xml:space="preserve"> je del lokalne ceste Brest-Matena-Iška Loka-Ig (odsek 133011) in poteka od avtobusnega postajališča skozi občinsko središče. Urejena je kot dvosmerna cesta. Na obravnavanem odseku je dolžina ceste 197  m in je široka 6 m. Pločnik je parcialno urejen, na delu od avtobusnega postajališča do občinske stavbe pločnika ni zgrajenega. Na enem delu je urejen samo enostransko. Na Govekarjevi ni urejenih površin za kolesarje.</w:t>
      </w:r>
    </w:p>
    <w:p w14:paraId="75258E8D" w14:textId="77777777" w:rsidR="003850DD" w:rsidRPr="000020F0" w:rsidRDefault="003850DD" w:rsidP="00A475EF">
      <w:pPr>
        <w:spacing w:line="276" w:lineRule="auto"/>
        <w:jc w:val="both"/>
        <w:rPr>
          <w:rFonts w:ascii="Arial" w:hAnsi="Arial" w:cs="Arial"/>
          <w:sz w:val="22"/>
          <w:szCs w:val="22"/>
        </w:rPr>
      </w:pPr>
    </w:p>
    <w:p w14:paraId="5604281E" w14:textId="79DB7069" w:rsidR="006F5421" w:rsidRPr="000020F0" w:rsidRDefault="006F5421" w:rsidP="00A475EF">
      <w:pPr>
        <w:pStyle w:val="Napis"/>
        <w:spacing w:line="276" w:lineRule="auto"/>
        <w:jc w:val="both"/>
        <w:rPr>
          <w:rFonts w:asciiTheme="majorHAnsi" w:hAnsiTheme="majorHAnsi" w:cstheme="majorHAnsi"/>
          <w:b w:val="0"/>
          <w:bCs w:val="0"/>
          <w:color w:val="auto"/>
          <w:sz w:val="22"/>
          <w:szCs w:val="22"/>
        </w:rPr>
      </w:pPr>
      <w:bookmarkStart w:id="140" w:name="_Toc230882318"/>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4</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r w:rsidRPr="000020F0">
        <w:rPr>
          <w:rFonts w:asciiTheme="majorHAnsi" w:hAnsiTheme="majorHAnsi" w:cstheme="majorHAnsi"/>
          <w:b w:val="0"/>
          <w:bCs w:val="0"/>
          <w:color w:val="auto"/>
          <w:sz w:val="22"/>
          <w:szCs w:val="22"/>
        </w:rPr>
        <w:t>Del Govekarjeve ceste, kjer ni urejenega pločnika</w:t>
      </w:r>
      <w:bookmarkEnd w:id="140"/>
    </w:p>
    <w:p w14:paraId="7883E142" w14:textId="77777777" w:rsidR="006F5421" w:rsidRPr="000020F0" w:rsidRDefault="006F5421" w:rsidP="00A475EF">
      <w:pPr>
        <w:spacing w:line="276" w:lineRule="auto"/>
        <w:jc w:val="both"/>
        <w:rPr>
          <w:rFonts w:asciiTheme="majorHAnsi" w:hAnsiTheme="majorHAnsi" w:cstheme="majorHAnsi"/>
          <w:sz w:val="22"/>
          <w:szCs w:val="22"/>
        </w:rPr>
      </w:pPr>
      <w:r w:rsidRPr="000020F0">
        <w:rPr>
          <w:rFonts w:asciiTheme="majorHAnsi" w:hAnsiTheme="majorHAnsi" w:cstheme="majorHAnsi"/>
          <w:noProof/>
          <w:sz w:val="22"/>
          <w:szCs w:val="22"/>
        </w:rPr>
        <w:drawing>
          <wp:inline distT="0" distB="0" distL="0" distR="0" wp14:anchorId="7665A36C" wp14:editId="009FF8CE">
            <wp:extent cx="3522980" cy="3619500"/>
            <wp:effectExtent l="0" t="0" r="1270" b="0"/>
            <wp:docPr id="1925445289" name="Slika 1" descr="A street with cars park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45289" name="Slika 1" descr="A street with cars parked on it&#10;&#10;AI-generated content may be incorrect."/>
                    <pic:cNvPicPr/>
                  </pic:nvPicPr>
                  <pic:blipFill>
                    <a:blip r:embed="rId55"/>
                    <a:stretch>
                      <a:fillRect/>
                    </a:stretch>
                  </pic:blipFill>
                  <pic:spPr>
                    <a:xfrm>
                      <a:off x="0" y="0"/>
                      <a:ext cx="3539386" cy="3636355"/>
                    </a:xfrm>
                    <a:prstGeom prst="rect">
                      <a:avLst/>
                    </a:prstGeom>
                  </pic:spPr>
                </pic:pic>
              </a:graphicData>
            </a:graphic>
          </wp:inline>
        </w:drawing>
      </w:r>
    </w:p>
    <w:p w14:paraId="12DA1EC3" w14:textId="77777777" w:rsidR="006F5421" w:rsidRPr="000020F0" w:rsidRDefault="006F5421" w:rsidP="00A475EF">
      <w:pPr>
        <w:spacing w:line="276" w:lineRule="auto"/>
        <w:jc w:val="both"/>
        <w:rPr>
          <w:rFonts w:ascii="Arial" w:hAnsi="Arial" w:cs="Arial"/>
          <w:sz w:val="22"/>
          <w:szCs w:val="22"/>
        </w:rPr>
      </w:pPr>
    </w:p>
    <w:p w14:paraId="52EFE055" w14:textId="1418B4BB" w:rsidR="009A707B" w:rsidRPr="000020F0" w:rsidRDefault="009A707B" w:rsidP="00A475EF">
      <w:pPr>
        <w:spacing w:line="276" w:lineRule="auto"/>
        <w:jc w:val="both"/>
        <w:rPr>
          <w:rFonts w:ascii="Arial" w:hAnsi="Arial" w:cs="Arial"/>
          <w:sz w:val="22"/>
          <w:szCs w:val="22"/>
        </w:rPr>
      </w:pPr>
      <w:r w:rsidRPr="000020F0">
        <w:rPr>
          <w:rFonts w:ascii="Arial" w:hAnsi="Arial" w:cs="Arial"/>
          <w:sz w:val="22"/>
          <w:szCs w:val="22"/>
        </w:rPr>
        <w:t xml:space="preserve">Parkirna mesta za avtomobile so urejena ob Govekarjevi cesti na levi strani proti severu (12PM) in desni strani med občinsko stavbo in stavbo Pošta (21 PM).  Z novo ureditvijo se ta parkirna mesta ukinjajo. </w:t>
      </w:r>
    </w:p>
    <w:p w14:paraId="37E0B94A" w14:textId="77777777" w:rsidR="00A475EF" w:rsidRPr="000020F0" w:rsidRDefault="00A475EF" w:rsidP="00A475EF">
      <w:pPr>
        <w:spacing w:line="276" w:lineRule="auto"/>
        <w:jc w:val="both"/>
        <w:rPr>
          <w:rFonts w:ascii="Arial" w:hAnsi="Arial" w:cs="Arial"/>
          <w:sz w:val="22"/>
          <w:szCs w:val="22"/>
        </w:rPr>
      </w:pPr>
    </w:p>
    <w:p w14:paraId="033B1B8E" w14:textId="5AB994DA" w:rsidR="004607A3" w:rsidRPr="000020F0" w:rsidRDefault="004607A3" w:rsidP="00A475EF">
      <w:pPr>
        <w:pStyle w:val="Napis"/>
        <w:spacing w:line="276" w:lineRule="auto"/>
        <w:jc w:val="both"/>
        <w:rPr>
          <w:rFonts w:asciiTheme="majorHAnsi" w:hAnsiTheme="majorHAnsi" w:cstheme="majorHAnsi"/>
          <w:b w:val="0"/>
          <w:bCs w:val="0"/>
          <w:color w:val="auto"/>
          <w:sz w:val="22"/>
          <w:szCs w:val="22"/>
        </w:rPr>
      </w:pPr>
      <w:bookmarkStart w:id="141" w:name="_Toc230882319"/>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5</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bCs w:val="0"/>
          <w:color w:val="auto"/>
          <w:sz w:val="22"/>
          <w:szCs w:val="22"/>
        </w:rPr>
        <w:t xml:space="preserve"> Parkirna mesta na levi strani ob Govekarjevi cesti proti S (</w:t>
      </w:r>
      <w:proofErr w:type="spellStart"/>
      <w:r w:rsidRPr="000020F0">
        <w:rPr>
          <w:rFonts w:asciiTheme="majorHAnsi" w:hAnsiTheme="majorHAnsi" w:cstheme="majorHAnsi"/>
          <w:b w:val="0"/>
          <w:bCs w:val="0"/>
          <w:color w:val="auto"/>
          <w:sz w:val="22"/>
          <w:szCs w:val="22"/>
        </w:rPr>
        <w:t>Morostig</w:t>
      </w:r>
      <w:proofErr w:type="spellEnd"/>
      <w:r w:rsidRPr="000020F0">
        <w:rPr>
          <w:rFonts w:asciiTheme="majorHAnsi" w:hAnsiTheme="majorHAnsi" w:cstheme="majorHAnsi"/>
          <w:b w:val="0"/>
          <w:bCs w:val="0"/>
          <w:color w:val="auto"/>
          <w:sz w:val="22"/>
          <w:szCs w:val="22"/>
        </w:rPr>
        <w:t>), začasno zaprto v času Evropskega tedna mobilnosti</w:t>
      </w:r>
      <w:bookmarkEnd w:id="141"/>
      <w:r w:rsidRPr="000020F0">
        <w:rPr>
          <w:rFonts w:asciiTheme="majorHAnsi" w:hAnsiTheme="majorHAnsi" w:cstheme="majorHAnsi"/>
          <w:b w:val="0"/>
          <w:bCs w:val="0"/>
          <w:color w:val="auto"/>
          <w:sz w:val="22"/>
          <w:szCs w:val="22"/>
        </w:rPr>
        <w:t xml:space="preserve"> </w:t>
      </w:r>
    </w:p>
    <w:p w14:paraId="0D9CB9E1" w14:textId="77777777" w:rsidR="004607A3" w:rsidRPr="000020F0" w:rsidRDefault="004607A3" w:rsidP="00A475EF">
      <w:pPr>
        <w:spacing w:line="276" w:lineRule="auto"/>
        <w:jc w:val="both"/>
        <w:rPr>
          <w:rFonts w:asciiTheme="majorHAnsi" w:hAnsiTheme="majorHAnsi" w:cstheme="majorHAnsi"/>
          <w:sz w:val="22"/>
          <w:szCs w:val="22"/>
        </w:rPr>
      </w:pPr>
      <w:r w:rsidRPr="000020F0">
        <w:rPr>
          <w:rFonts w:asciiTheme="majorHAnsi" w:hAnsiTheme="majorHAnsi" w:cstheme="majorHAnsi"/>
          <w:noProof/>
          <w:sz w:val="22"/>
          <w:szCs w:val="22"/>
        </w:rPr>
        <w:lastRenderedPageBreak/>
        <w:drawing>
          <wp:inline distT="0" distB="0" distL="0" distR="0" wp14:anchorId="5093B56C" wp14:editId="33EACFCA">
            <wp:extent cx="5415148" cy="2791141"/>
            <wp:effectExtent l="0" t="0" r="0" b="9525"/>
            <wp:docPr id="911985886" name="Slika 1" descr="A road sign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85886" name="Slika 1" descr="A road sign in front of a building&#10;&#10;AI-generated content may be incorrect."/>
                    <pic:cNvPicPr/>
                  </pic:nvPicPr>
                  <pic:blipFill>
                    <a:blip r:embed="rId56"/>
                    <a:stretch>
                      <a:fillRect/>
                    </a:stretch>
                  </pic:blipFill>
                  <pic:spPr>
                    <a:xfrm>
                      <a:off x="0" y="0"/>
                      <a:ext cx="5427180" cy="2797343"/>
                    </a:xfrm>
                    <a:prstGeom prst="rect">
                      <a:avLst/>
                    </a:prstGeom>
                  </pic:spPr>
                </pic:pic>
              </a:graphicData>
            </a:graphic>
          </wp:inline>
        </w:drawing>
      </w:r>
    </w:p>
    <w:p w14:paraId="336D4D4C" w14:textId="77777777" w:rsidR="004607A3" w:rsidRPr="000020F0" w:rsidRDefault="004607A3" w:rsidP="00A475EF">
      <w:pPr>
        <w:spacing w:line="276" w:lineRule="auto"/>
        <w:jc w:val="both"/>
        <w:rPr>
          <w:rFonts w:ascii="Arial" w:hAnsi="Arial" w:cs="Arial"/>
          <w:sz w:val="22"/>
          <w:szCs w:val="22"/>
        </w:rPr>
      </w:pPr>
    </w:p>
    <w:p w14:paraId="6BCFD77E" w14:textId="77777777" w:rsidR="006F5421" w:rsidRPr="000020F0" w:rsidRDefault="006F5421" w:rsidP="00A475EF">
      <w:pPr>
        <w:spacing w:line="276" w:lineRule="auto"/>
        <w:jc w:val="both"/>
        <w:rPr>
          <w:rFonts w:ascii="Arial" w:hAnsi="Arial" w:cs="Arial"/>
          <w:sz w:val="22"/>
          <w:szCs w:val="22"/>
        </w:rPr>
      </w:pPr>
    </w:p>
    <w:p w14:paraId="727FAA4E" w14:textId="63DF0052" w:rsidR="00C64BE3" w:rsidRPr="000020F0" w:rsidRDefault="00C64BE3" w:rsidP="00A475EF">
      <w:pPr>
        <w:pStyle w:val="Napis"/>
        <w:spacing w:line="276" w:lineRule="auto"/>
        <w:jc w:val="both"/>
        <w:rPr>
          <w:rFonts w:asciiTheme="majorHAnsi" w:hAnsiTheme="majorHAnsi" w:cstheme="majorHAnsi"/>
          <w:color w:val="auto"/>
          <w:sz w:val="22"/>
          <w:szCs w:val="22"/>
        </w:rPr>
      </w:pPr>
      <w:bookmarkStart w:id="142" w:name="_Toc230882320"/>
      <w:r w:rsidRPr="000020F0">
        <w:rPr>
          <w:rFonts w:asciiTheme="majorHAnsi" w:hAnsiTheme="majorHAnsi" w:cstheme="majorHAnsi"/>
          <w:noProof/>
          <w:color w:val="auto"/>
          <w:sz w:val="22"/>
          <w:szCs w:val="22"/>
        </w:rPr>
        <w:drawing>
          <wp:anchor distT="0" distB="0" distL="114300" distR="114300" simplePos="0" relativeHeight="251661824" behindDoc="0" locked="0" layoutInCell="1" allowOverlap="1" wp14:anchorId="72E9CAB9" wp14:editId="27DADCF2">
            <wp:simplePos x="0" y="0"/>
            <wp:positionH relativeFrom="column">
              <wp:posOffset>3810</wp:posOffset>
            </wp:positionH>
            <wp:positionV relativeFrom="paragraph">
              <wp:posOffset>300990</wp:posOffset>
            </wp:positionV>
            <wp:extent cx="5414645" cy="2368550"/>
            <wp:effectExtent l="0" t="0" r="0" b="0"/>
            <wp:wrapTopAndBottom/>
            <wp:docPr id="778145056" name="Slika 1" descr="A parking lot with cars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45056" name="Slika 1" descr="A parking lot with cars parked in front of a building&#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14645" cy="2368550"/>
                    </a:xfrm>
                    <a:prstGeom prst="rect">
                      <a:avLst/>
                    </a:prstGeom>
                  </pic:spPr>
                </pic:pic>
              </a:graphicData>
            </a:graphic>
            <wp14:sizeRelH relativeFrom="margin">
              <wp14:pctWidth>0</wp14:pctWidth>
            </wp14:sizeRelH>
            <wp14:sizeRelV relativeFrom="margin">
              <wp14:pctHeight>0</wp14:pctHeight>
            </wp14:sizeRelV>
          </wp:anchor>
        </w:drawing>
      </w:r>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6</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r w:rsidRPr="000020F0">
        <w:rPr>
          <w:rFonts w:asciiTheme="majorHAnsi" w:hAnsiTheme="majorHAnsi" w:cstheme="majorHAnsi"/>
          <w:b w:val="0"/>
          <w:bCs w:val="0"/>
          <w:color w:val="auto"/>
          <w:sz w:val="22"/>
          <w:szCs w:val="22"/>
        </w:rPr>
        <w:t>Parkirna mesta med občinsko stavbo in pošto</w:t>
      </w:r>
      <w:bookmarkEnd w:id="142"/>
    </w:p>
    <w:p w14:paraId="26B55791" w14:textId="77777777" w:rsidR="00C64BE3" w:rsidRPr="000020F0" w:rsidRDefault="00C64BE3" w:rsidP="00A475EF">
      <w:pPr>
        <w:spacing w:line="276" w:lineRule="auto"/>
        <w:jc w:val="both"/>
        <w:rPr>
          <w:rFonts w:asciiTheme="majorHAnsi" w:hAnsiTheme="majorHAnsi" w:cstheme="majorHAnsi"/>
          <w:sz w:val="22"/>
          <w:szCs w:val="22"/>
        </w:rPr>
      </w:pPr>
    </w:p>
    <w:p w14:paraId="15ED1871" w14:textId="77777777" w:rsidR="00C64BE3" w:rsidRPr="000020F0" w:rsidRDefault="00C64BE3" w:rsidP="00A475EF">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Hitrost na cesti je omejena na 30 km/h. Pri športni dvorani je postaja za šolski avtobus. V celoti je asfaltirana. </w:t>
      </w:r>
    </w:p>
    <w:p w14:paraId="2750AB28" w14:textId="3C2AE251" w:rsidR="007D721D" w:rsidRPr="000020F0" w:rsidRDefault="007D721D" w:rsidP="007D721D">
      <w:pPr>
        <w:pStyle w:val="Napis"/>
        <w:spacing w:before="240" w:line="276" w:lineRule="auto"/>
        <w:jc w:val="both"/>
        <w:rPr>
          <w:rFonts w:asciiTheme="majorHAnsi" w:hAnsiTheme="majorHAnsi" w:cstheme="majorHAnsi"/>
          <w:b w:val="0"/>
          <w:bCs w:val="0"/>
          <w:color w:val="auto"/>
          <w:sz w:val="22"/>
          <w:szCs w:val="22"/>
        </w:rPr>
      </w:pPr>
      <w:bookmarkStart w:id="143" w:name="_Toc230882321"/>
      <w:r w:rsidRPr="000020F0">
        <w:rPr>
          <w:rFonts w:asciiTheme="majorHAnsi" w:hAnsiTheme="majorHAnsi" w:cstheme="majorHAnsi"/>
          <w:noProof/>
          <w:color w:val="auto"/>
          <w:sz w:val="22"/>
          <w:szCs w:val="22"/>
        </w:rPr>
        <w:lastRenderedPageBreak/>
        <w:drawing>
          <wp:anchor distT="0" distB="0" distL="114300" distR="114300" simplePos="0" relativeHeight="251662848" behindDoc="0" locked="0" layoutInCell="1" allowOverlap="1" wp14:anchorId="0D85631A" wp14:editId="056358CD">
            <wp:simplePos x="0" y="0"/>
            <wp:positionH relativeFrom="margin">
              <wp:align>left</wp:align>
            </wp:positionH>
            <wp:positionV relativeFrom="paragraph">
              <wp:posOffset>480060</wp:posOffset>
            </wp:positionV>
            <wp:extent cx="4800600" cy="2990850"/>
            <wp:effectExtent l="0" t="0" r="0" b="0"/>
            <wp:wrapTopAndBottom/>
            <wp:docPr id="2115392945" name="Slika 1" descr="A road with cars park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92945" name="Slika 1" descr="A road with cars parked on it&#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4800600" cy="2990850"/>
                    </a:xfrm>
                    <a:prstGeom prst="rect">
                      <a:avLst/>
                    </a:prstGeom>
                  </pic:spPr>
                </pic:pic>
              </a:graphicData>
            </a:graphic>
            <wp14:sizeRelH relativeFrom="margin">
              <wp14:pctWidth>0</wp14:pctWidth>
            </wp14:sizeRelH>
            <wp14:sizeRelV relativeFrom="margin">
              <wp14:pctHeight>0</wp14:pctHeight>
            </wp14:sizeRelV>
          </wp:anchor>
        </w:drawing>
      </w:r>
      <w:r w:rsidR="00C64BE3" w:rsidRPr="000020F0">
        <w:rPr>
          <w:rFonts w:asciiTheme="majorHAnsi" w:hAnsiTheme="majorHAnsi" w:cstheme="majorHAnsi"/>
          <w:color w:val="auto"/>
          <w:sz w:val="22"/>
          <w:szCs w:val="22"/>
        </w:rPr>
        <w:t xml:space="preserve">Slika </w:t>
      </w:r>
      <w:r w:rsidR="00C64BE3" w:rsidRPr="000020F0">
        <w:rPr>
          <w:rFonts w:asciiTheme="majorHAnsi" w:hAnsiTheme="majorHAnsi" w:cstheme="majorHAnsi"/>
          <w:color w:val="auto"/>
          <w:sz w:val="22"/>
          <w:szCs w:val="22"/>
        </w:rPr>
        <w:fldChar w:fldCharType="begin"/>
      </w:r>
      <w:r w:rsidR="00C64BE3" w:rsidRPr="000020F0">
        <w:rPr>
          <w:rFonts w:asciiTheme="majorHAnsi" w:hAnsiTheme="majorHAnsi" w:cstheme="majorHAnsi"/>
          <w:color w:val="auto"/>
          <w:sz w:val="22"/>
          <w:szCs w:val="22"/>
        </w:rPr>
        <w:instrText xml:space="preserve"> SEQ Slika \* ARABIC </w:instrText>
      </w:r>
      <w:r w:rsidR="00C64BE3"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7</w:t>
      </w:r>
      <w:r w:rsidR="00C64BE3" w:rsidRPr="000020F0">
        <w:rPr>
          <w:rFonts w:asciiTheme="majorHAnsi" w:hAnsiTheme="majorHAnsi" w:cstheme="majorHAnsi"/>
          <w:color w:val="auto"/>
          <w:sz w:val="22"/>
          <w:szCs w:val="22"/>
        </w:rPr>
        <w:fldChar w:fldCharType="end"/>
      </w:r>
      <w:r w:rsidR="00C64BE3" w:rsidRPr="000020F0">
        <w:rPr>
          <w:rFonts w:asciiTheme="majorHAnsi" w:hAnsiTheme="majorHAnsi" w:cstheme="majorHAnsi"/>
          <w:color w:val="auto"/>
          <w:sz w:val="22"/>
          <w:szCs w:val="22"/>
        </w:rPr>
        <w:t xml:space="preserve">: </w:t>
      </w:r>
      <w:r w:rsidR="00C64BE3" w:rsidRPr="000020F0">
        <w:rPr>
          <w:rFonts w:asciiTheme="majorHAnsi" w:hAnsiTheme="majorHAnsi" w:cstheme="majorHAnsi"/>
          <w:b w:val="0"/>
          <w:bCs w:val="0"/>
          <w:color w:val="auto"/>
          <w:sz w:val="22"/>
          <w:szCs w:val="22"/>
        </w:rPr>
        <w:t>Govekarjeva cesta, avtobusno postajališče za šolski bus</w:t>
      </w:r>
      <w:bookmarkEnd w:id="143"/>
    </w:p>
    <w:p w14:paraId="111EC9E6" w14:textId="1993D241" w:rsidR="00C64BE3" w:rsidRPr="000020F0" w:rsidRDefault="00C64BE3" w:rsidP="00A475EF">
      <w:pPr>
        <w:spacing w:line="276" w:lineRule="auto"/>
        <w:jc w:val="both"/>
        <w:rPr>
          <w:rFonts w:ascii="Arial" w:hAnsi="Arial" w:cs="Arial"/>
          <w:sz w:val="22"/>
          <w:szCs w:val="22"/>
        </w:rPr>
      </w:pPr>
    </w:p>
    <w:p w14:paraId="07050CF7" w14:textId="16DBEA05" w:rsidR="009A707B" w:rsidRPr="000020F0" w:rsidRDefault="009A707B" w:rsidP="00A475EF">
      <w:pPr>
        <w:spacing w:line="276" w:lineRule="auto"/>
        <w:jc w:val="both"/>
        <w:rPr>
          <w:rFonts w:ascii="Arial" w:hAnsi="Arial" w:cs="Arial"/>
          <w:sz w:val="22"/>
          <w:szCs w:val="22"/>
        </w:rPr>
      </w:pPr>
      <w:r w:rsidRPr="000020F0">
        <w:rPr>
          <w:rFonts w:ascii="Arial" w:hAnsi="Arial" w:cs="Arial"/>
          <w:sz w:val="22"/>
          <w:szCs w:val="22"/>
        </w:rPr>
        <w:t>Na obravnavanem odseku je</w:t>
      </w:r>
      <w:r w:rsidR="002107C6" w:rsidRPr="000020F0">
        <w:rPr>
          <w:rFonts w:ascii="Arial" w:hAnsi="Arial" w:cs="Arial"/>
          <w:sz w:val="22"/>
          <w:szCs w:val="22"/>
        </w:rPr>
        <w:t xml:space="preserve"> bilo v obdobju od 12.9.2025 do 22.9.2025, merjeno v eno smer, povprečno 862 prevozov vozil na dan. Ob tej predpostavki, </w:t>
      </w:r>
      <w:r w:rsidR="00155EB3" w:rsidRPr="000020F0">
        <w:rPr>
          <w:rFonts w:ascii="Arial" w:hAnsi="Arial" w:cs="Arial"/>
          <w:sz w:val="22"/>
          <w:szCs w:val="22"/>
        </w:rPr>
        <w:t xml:space="preserve">da je enako število vozil v nasprotni smeri ocenjujemo, </w:t>
      </w:r>
      <w:r w:rsidR="002107C6" w:rsidRPr="000020F0">
        <w:rPr>
          <w:rFonts w:ascii="Arial" w:hAnsi="Arial" w:cs="Arial"/>
          <w:sz w:val="22"/>
          <w:szCs w:val="22"/>
        </w:rPr>
        <w:t>da je skupaj povprečno 1724 prevozov vozil v obe smeri</w:t>
      </w:r>
      <w:r w:rsidR="00485D0D" w:rsidRPr="000020F0">
        <w:rPr>
          <w:rFonts w:ascii="Arial" w:hAnsi="Arial" w:cs="Arial"/>
          <w:sz w:val="22"/>
          <w:szCs w:val="22"/>
        </w:rPr>
        <w:t xml:space="preserve"> na dan</w:t>
      </w:r>
      <w:r w:rsidRPr="000020F0">
        <w:rPr>
          <w:rStyle w:val="Sprotnaopomba-sklic"/>
          <w:rFonts w:ascii="Arial" w:hAnsi="Arial" w:cs="Arial"/>
          <w:sz w:val="22"/>
          <w:szCs w:val="22"/>
        </w:rPr>
        <w:footnoteReference w:id="2"/>
      </w:r>
      <w:r w:rsidRPr="000020F0">
        <w:rPr>
          <w:rFonts w:ascii="Arial" w:hAnsi="Arial" w:cs="Arial"/>
          <w:sz w:val="22"/>
          <w:szCs w:val="22"/>
        </w:rPr>
        <w:t xml:space="preserve">. </w:t>
      </w:r>
    </w:p>
    <w:p w14:paraId="67CF2436" w14:textId="77777777" w:rsidR="009A707B" w:rsidRPr="000020F0" w:rsidRDefault="009A707B" w:rsidP="00A475EF">
      <w:pPr>
        <w:spacing w:line="276" w:lineRule="auto"/>
        <w:jc w:val="both"/>
        <w:rPr>
          <w:rFonts w:ascii="Arial" w:hAnsi="Arial" w:cs="Arial"/>
          <w:sz w:val="22"/>
          <w:szCs w:val="22"/>
        </w:rPr>
      </w:pPr>
    </w:p>
    <w:p w14:paraId="10AD2C92" w14:textId="65810A86" w:rsidR="009A707B" w:rsidRPr="000020F0" w:rsidRDefault="009A707B" w:rsidP="00A475EF">
      <w:pPr>
        <w:spacing w:line="276" w:lineRule="auto"/>
        <w:jc w:val="both"/>
        <w:rPr>
          <w:rFonts w:ascii="Arial" w:hAnsi="Arial" w:cs="Arial"/>
          <w:sz w:val="22"/>
          <w:szCs w:val="22"/>
        </w:rPr>
      </w:pPr>
      <w:r w:rsidRPr="000020F0">
        <w:rPr>
          <w:rFonts w:ascii="Arial" w:hAnsi="Arial" w:cs="Arial"/>
          <w:sz w:val="22"/>
          <w:szCs w:val="22"/>
        </w:rPr>
        <w:t xml:space="preserve">Na delu Govekarjeve ceste, od križišča Troštove ulice, do parkirišča pri pokopališču je zarisan kolesarski pas. </w:t>
      </w:r>
      <w:r w:rsidR="002107C6" w:rsidRPr="000020F0">
        <w:rPr>
          <w:rFonts w:ascii="Arial" w:hAnsi="Arial" w:cs="Arial"/>
          <w:sz w:val="22"/>
          <w:szCs w:val="22"/>
        </w:rPr>
        <w:t>Na obravnavanem odseku je bilo v obdobju od 1.9.2025 do 11.9.2025, merjeno v eno smer, povprečno 587 prevozov vozil na dan. Ob tej predpostavki</w:t>
      </w:r>
      <w:r w:rsidR="00155EB3" w:rsidRPr="000020F0">
        <w:rPr>
          <w:rFonts w:ascii="Arial" w:hAnsi="Arial" w:cs="Arial"/>
          <w:sz w:val="22"/>
          <w:szCs w:val="22"/>
        </w:rPr>
        <w:t xml:space="preserve">, da je enako število vozil v nasprotni smeri </w:t>
      </w:r>
      <w:r w:rsidR="002107C6" w:rsidRPr="000020F0">
        <w:rPr>
          <w:rFonts w:ascii="Arial" w:hAnsi="Arial" w:cs="Arial"/>
          <w:sz w:val="22"/>
          <w:szCs w:val="22"/>
        </w:rPr>
        <w:t>ocenjujemo, da je skupaj povprečno 1174 prevozov vozil v obe smeri</w:t>
      </w:r>
      <w:r w:rsidR="00485D0D" w:rsidRPr="000020F0">
        <w:rPr>
          <w:rFonts w:ascii="Arial" w:hAnsi="Arial" w:cs="Arial"/>
          <w:sz w:val="22"/>
          <w:szCs w:val="22"/>
        </w:rPr>
        <w:t xml:space="preserve"> na dan</w:t>
      </w:r>
      <w:r w:rsidRPr="000020F0">
        <w:rPr>
          <w:rStyle w:val="Sprotnaopomba-sklic"/>
          <w:rFonts w:ascii="Arial" w:hAnsi="Arial" w:cs="Arial"/>
          <w:sz w:val="22"/>
          <w:szCs w:val="22"/>
        </w:rPr>
        <w:footnoteReference w:id="3"/>
      </w:r>
      <w:r w:rsidRPr="000020F0">
        <w:rPr>
          <w:rFonts w:ascii="Arial" w:hAnsi="Arial" w:cs="Arial"/>
          <w:sz w:val="22"/>
          <w:szCs w:val="22"/>
        </w:rPr>
        <w:t>.</w:t>
      </w:r>
    </w:p>
    <w:p w14:paraId="5E93A7AB" w14:textId="77777777" w:rsidR="009A707B" w:rsidRPr="000020F0" w:rsidRDefault="009A707B" w:rsidP="00A475EF">
      <w:pPr>
        <w:spacing w:line="276" w:lineRule="auto"/>
        <w:jc w:val="both"/>
        <w:rPr>
          <w:rFonts w:ascii="Arial" w:hAnsi="Arial" w:cs="Arial"/>
          <w:sz w:val="22"/>
          <w:szCs w:val="22"/>
        </w:rPr>
      </w:pPr>
    </w:p>
    <w:p w14:paraId="619421A9" w14:textId="0B40705F" w:rsidR="009A707B" w:rsidRPr="000020F0" w:rsidRDefault="009A707B" w:rsidP="00A475EF">
      <w:pPr>
        <w:spacing w:line="276" w:lineRule="auto"/>
        <w:jc w:val="both"/>
        <w:rPr>
          <w:rFonts w:ascii="Arial" w:hAnsi="Arial" w:cs="Arial"/>
          <w:sz w:val="22"/>
          <w:szCs w:val="22"/>
        </w:rPr>
      </w:pPr>
      <w:r w:rsidRPr="000020F0">
        <w:rPr>
          <w:rFonts w:ascii="Arial" w:hAnsi="Arial" w:cs="Arial"/>
          <w:sz w:val="22"/>
          <w:szCs w:val="22"/>
        </w:rPr>
        <w:t>Ob Govekarjevi cesti (del, ki je predmet prenove) so nanizane pomemb</w:t>
      </w:r>
      <w:r w:rsidR="001305D6" w:rsidRPr="000020F0">
        <w:rPr>
          <w:rFonts w:ascii="Arial" w:hAnsi="Arial" w:cs="Arial"/>
          <w:sz w:val="22"/>
          <w:szCs w:val="22"/>
        </w:rPr>
        <w:t>n</w:t>
      </w:r>
      <w:r w:rsidRPr="000020F0">
        <w:rPr>
          <w:rFonts w:ascii="Arial" w:hAnsi="Arial" w:cs="Arial"/>
          <w:sz w:val="22"/>
          <w:szCs w:val="22"/>
        </w:rPr>
        <w:t xml:space="preserve">e ustanove: občinska stavba, pošta, športna dvorana z glavnim vhodom,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 hiša narave in kolišč, župnijska cerkev sv. Martina.</w:t>
      </w:r>
    </w:p>
    <w:p w14:paraId="21B2AB95" w14:textId="77777777" w:rsidR="00C64BE3" w:rsidRPr="000020F0" w:rsidRDefault="00C64BE3" w:rsidP="00A475EF">
      <w:pPr>
        <w:spacing w:line="276" w:lineRule="auto"/>
        <w:jc w:val="both"/>
        <w:rPr>
          <w:rFonts w:ascii="Arial" w:hAnsi="Arial" w:cs="Arial"/>
          <w:sz w:val="22"/>
          <w:szCs w:val="22"/>
        </w:rPr>
      </w:pPr>
    </w:p>
    <w:p w14:paraId="49D3505A" w14:textId="3260EA8F" w:rsidR="00A475EF" w:rsidRPr="000020F0" w:rsidRDefault="00A475EF" w:rsidP="00A475EF">
      <w:pPr>
        <w:pStyle w:val="Napis"/>
        <w:spacing w:line="276" w:lineRule="auto"/>
        <w:jc w:val="both"/>
        <w:rPr>
          <w:rFonts w:asciiTheme="majorHAnsi" w:hAnsiTheme="majorHAnsi" w:cstheme="majorHAnsi"/>
          <w:b w:val="0"/>
          <w:bCs w:val="0"/>
          <w:color w:val="auto"/>
          <w:sz w:val="22"/>
          <w:szCs w:val="22"/>
        </w:rPr>
      </w:pPr>
      <w:bookmarkStart w:id="144" w:name="_Toc230882322"/>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8</w:t>
      </w:r>
      <w:r w:rsidRPr="000020F0">
        <w:rPr>
          <w:rFonts w:asciiTheme="majorHAnsi" w:hAnsiTheme="majorHAnsi" w:cstheme="majorHAnsi"/>
          <w:color w:val="auto"/>
          <w:sz w:val="22"/>
          <w:szCs w:val="22"/>
        </w:rPr>
        <w:fldChar w:fldCharType="end"/>
      </w:r>
      <w:r w:rsidRPr="000020F0">
        <w:rPr>
          <w:rFonts w:asciiTheme="majorHAnsi" w:hAnsiTheme="majorHAnsi" w:cstheme="majorHAnsi"/>
          <w:b w:val="0"/>
          <w:bCs w:val="0"/>
          <w:color w:val="auto"/>
          <w:sz w:val="22"/>
          <w:szCs w:val="22"/>
        </w:rPr>
        <w:t>: Križišče Govekarjeve ceste in Troštove ulice</w:t>
      </w:r>
      <w:r w:rsidR="001E11FF" w:rsidRPr="000020F0">
        <w:rPr>
          <w:rFonts w:asciiTheme="majorHAnsi" w:hAnsiTheme="majorHAnsi" w:cstheme="majorHAnsi"/>
          <w:b w:val="0"/>
          <w:bCs w:val="0"/>
          <w:color w:val="auto"/>
          <w:sz w:val="22"/>
          <w:szCs w:val="22"/>
        </w:rPr>
        <w:t xml:space="preserve"> ter kolesarski pas na Govekarjevi cesti</w:t>
      </w:r>
      <w:bookmarkEnd w:id="144"/>
    </w:p>
    <w:p w14:paraId="2C75E750" w14:textId="1AE0537C" w:rsidR="0035351E" w:rsidRPr="000020F0" w:rsidRDefault="0035351E" w:rsidP="0035351E">
      <w:r w:rsidRPr="000020F0">
        <w:rPr>
          <w:noProof/>
        </w:rPr>
        <w:drawing>
          <wp:inline distT="0" distB="0" distL="0" distR="0" wp14:anchorId="2AEF6BC7" wp14:editId="7C0334A5">
            <wp:extent cx="5940425" cy="2352040"/>
            <wp:effectExtent l="0" t="0" r="3175" b="0"/>
            <wp:docPr id="1607504894"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04894" name="Slika 1607504894"/>
                    <pic:cNvPicPr/>
                  </pic:nvPicPr>
                  <pic:blipFill>
                    <a:blip r:embed="rId59">
                      <a:extLst>
                        <a:ext uri="{28A0092B-C50C-407E-A947-70E740481C1C}">
                          <a14:useLocalDpi xmlns:a14="http://schemas.microsoft.com/office/drawing/2010/main" val="0"/>
                        </a:ext>
                      </a:extLst>
                    </a:blip>
                    <a:stretch>
                      <a:fillRect/>
                    </a:stretch>
                  </pic:blipFill>
                  <pic:spPr>
                    <a:xfrm>
                      <a:off x="0" y="0"/>
                      <a:ext cx="5940425" cy="2352040"/>
                    </a:xfrm>
                    <a:prstGeom prst="rect">
                      <a:avLst/>
                    </a:prstGeom>
                  </pic:spPr>
                </pic:pic>
              </a:graphicData>
            </a:graphic>
          </wp:inline>
        </w:drawing>
      </w:r>
    </w:p>
    <w:p w14:paraId="6FDA464E" w14:textId="77777777" w:rsidR="0035351E" w:rsidRPr="000020F0" w:rsidRDefault="0035351E" w:rsidP="0035351E"/>
    <w:p w14:paraId="237B94C2" w14:textId="77777777" w:rsidR="00A475EF" w:rsidRPr="000020F0" w:rsidRDefault="00A475EF" w:rsidP="00A475EF">
      <w:pPr>
        <w:spacing w:line="276" w:lineRule="auto"/>
        <w:rPr>
          <w:rFonts w:ascii="Arial" w:hAnsi="Arial" w:cs="Arial"/>
          <w:b/>
          <w:bCs/>
          <w:sz w:val="22"/>
          <w:szCs w:val="22"/>
        </w:rPr>
      </w:pPr>
    </w:p>
    <w:p w14:paraId="68965B7B" w14:textId="6747BA98" w:rsidR="009A707B" w:rsidRPr="000020F0" w:rsidRDefault="009A707B" w:rsidP="00A475EF">
      <w:pPr>
        <w:spacing w:line="276" w:lineRule="auto"/>
        <w:rPr>
          <w:rFonts w:ascii="Arial" w:hAnsi="Arial" w:cs="Arial"/>
          <w:sz w:val="22"/>
          <w:szCs w:val="22"/>
        </w:rPr>
      </w:pPr>
      <w:r w:rsidRPr="000020F0">
        <w:rPr>
          <w:rFonts w:ascii="Arial" w:hAnsi="Arial" w:cs="Arial"/>
          <w:b/>
          <w:bCs/>
          <w:sz w:val="22"/>
          <w:szCs w:val="22"/>
        </w:rPr>
        <w:t>Troštova</w:t>
      </w:r>
      <w:r w:rsidRPr="000020F0">
        <w:rPr>
          <w:rFonts w:ascii="Arial" w:hAnsi="Arial" w:cs="Arial"/>
          <w:sz w:val="22"/>
          <w:szCs w:val="22"/>
        </w:rPr>
        <w:t xml:space="preserve"> </w:t>
      </w:r>
      <w:r w:rsidRPr="000020F0">
        <w:rPr>
          <w:rFonts w:ascii="Arial" w:hAnsi="Arial" w:cs="Arial"/>
          <w:b/>
          <w:bCs/>
          <w:sz w:val="22"/>
          <w:szCs w:val="22"/>
        </w:rPr>
        <w:t>ulica</w:t>
      </w:r>
      <w:r w:rsidRPr="000020F0">
        <w:rPr>
          <w:rFonts w:ascii="Arial" w:hAnsi="Arial" w:cs="Arial"/>
          <w:sz w:val="22"/>
          <w:szCs w:val="22"/>
        </w:rPr>
        <w:t xml:space="preserve">, ki je na obravnavanem odseku kategorizirana kot javna pot št. 634261, je urejena kot dvosmerna, z dvostranskim pločnikom. V celoti je asfaltirana. Na delu ulice so urejena paralelna parkirna mesta, ki bodo z novo ureditvijo ukinjena. Hitrost je omejena na 30 km/h. </w:t>
      </w:r>
      <w:r w:rsidR="00090E02" w:rsidRPr="000020F0">
        <w:rPr>
          <w:rFonts w:ascii="Arial" w:hAnsi="Arial" w:cs="Arial"/>
          <w:sz w:val="22"/>
          <w:szCs w:val="22"/>
        </w:rPr>
        <w:t>Del ceste, ki se prenavlja</w:t>
      </w:r>
      <w:r w:rsidRPr="000020F0">
        <w:rPr>
          <w:rFonts w:ascii="Arial" w:hAnsi="Arial" w:cs="Arial"/>
          <w:sz w:val="22"/>
          <w:szCs w:val="22"/>
        </w:rPr>
        <w:t xml:space="preserve"> je dolg </w:t>
      </w:r>
      <w:r w:rsidR="004963F0" w:rsidRPr="000020F0">
        <w:rPr>
          <w:rFonts w:ascii="Arial" w:hAnsi="Arial" w:cs="Arial"/>
          <w:sz w:val="22"/>
          <w:szCs w:val="22"/>
        </w:rPr>
        <w:t>57</w:t>
      </w:r>
      <w:r w:rsidRPr="000020F0">
        <w:rPr>
          <w:rFonts w:ascii="Arial" w:hAnsi="Arial" w:cs="Arial"/>
          <w:sz w:val="22"/>
          <w:szCs w:val="22"/>
        </w:rPr>
        <w:t xml:space="preserve"> m in širok 5,5 m. </w:t>
      </w:r>
    </w:p>
    <w:p w14:paraId="0BBBE0D2" w14:textId="77777777" w:rsidR="0035351E" w:rsidRPr="000020F0" w:rsidRDefault="0035351E" w:rsidP="00A475EF">
      <w:pPr>
        <w:spacing w:line="276" w:lineRule="auto"/>
        <w:rPr>
          <w:rFonts w:ascii="Arial" w:hAnsi="Arial" w:cs="Arial"/>
          <w:sz w:val="22"/>
          <w:szCs w:val="22"/>
        </w:rPr>
      </w:pPr>
    </w:p>
    <w:p w14:paraId="7ADB0385" w14:textId="291E028C" w:rsidR="00D5731F" w:rsidRPr="000020F0" w:rsidRDefault="00D5731F" w:rsidP="00D5731F">
      <w:pPr>
        <w:pStyle w:val="Napis"/>
        <w:spacing w:line="276" w:lineRule="auto"/>
        <w:rPr>
          <w:rFonts w:asciiTheme="majorHAnsi" w:hAnsiTheme="majorHAnsi" w:cstheme="majorHAnsi"/>
          <w:color w:val="auto"/>
          <w:sz w:val="22"/>
          <w:szCs w:val="22"/>
        </w:rPr>
      </w:pPr>
      <w:bookmarkStart w:id="145" w:name="_Toc230882323"/>
      <w:r w:rsidRPr="000020F0">
        <w:rPr>
          <w:rFonts w:asciiTheme="majorHAnsi" w:hAnsiTheme="majorHAnsi" w:cstheme="majorHAnsi"/>
          <w:noProof/>
          <w:color w:val="auto"/>
          <w:sz w:val="22"/>
          <w:szCs w:val="22"/>
        </w:rPr>
        <w:drawing>
          <wp:anchor distT="0" distB="0" distL="114300" distR="114300" simplePos="0" relativeHeight="251667968" behindDoc="0" locked="0" layoutInCell="1" allowOverlap="1" wp14:anchorId="3F230DC3" wp14:editId="3ED3C2D6">
            <wp:simplePos x="0" y="0"/>
            <wp:positionH relativeFrom="column">
              <wp:posOffset>2956560</wp:posOffset>
            </wp:positionH>
            <wp:positionV relativeFrom="paragraph">
              <wp:posOffset>360045</wp:posOffset>
            </wp:positionV>
            <wp:extent cx="3290570" cy="3075305"/>
            <wp:effectExtent l="0" t="0" r="5080" b="0"/>
            <wp:wrapTopAndBottom/>
            <wp:docPr id="1194903750" name="Slika 1" descr="A row of cars parked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03750" name="Slika 1" descr="A row of cars parked on a street&#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3290570" cy="3075305"/>
                    </a:xfrm>
                    <a:prstGeom prst="rect">
                      <a:avLst/>
                    </a:prstGeom>
                  </pic:spPr>
                </pic:pic>
              </a:graphicData>
            </a:graphic>
            <wp14:sizeRelH relativeFrom="margin">
              <wp14:pctWidth>0</wp14:pctWidth>
            </wp14:sizeRelH>
            <wp14:sizeRelV relativeFrom="margin">
              <wp14:pctHeight>0</wp14:pctHeight>
            </wp14:sizeRelV>
          </wp:anchor>
        </w:drawing>
      </w:r>
      <w:r w:rsidRPr="000020F0">
        <w:rPr>
          <w:rFonts w:asciiTheme="majorHAnsi" w:hAnsiTheme="majorHAnsi" w:cstheme="majorHAnsi"/>
          <w:noProof/>
          <w:color w:val="auto"/>
          <w:sz w:val="22"/>
          <w:szCs w:val="22"/>
        </w:rPr>
        <w:drawing>
          <wp:anchor distT="0" distB="0" distL="114300" distR="114300" simplePos="0" relativeHeight="251666944" behindDoc="0" locked="0" layoutInCell="1" allowOverlap="1" wp14:anchorId="5CE67324" wp14:editId="5CF8D910">
            <wp:simplePos x="0" y="0"/>
            <wp:positionH relativeFrom="column">
              <wp:posOffset>3810</wp:posOffset>
            </wp:positionH>
            <wp:positionV relativeFrom="paragraph">
              <wp:posOffset>360045</wp:posOffset>
            </wp:positionV>
            <wp:extent cx="2899410" cy="3065145"/>
            <wp:effectExtent l="0" t="0" r="0" b="1905"/>
            <wp:wrapTopAndBottom/>
            <wp:docPr id="1101804268" name="Slika 1" descr="Cars parked cars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04268" name="Slika 1" descr="Cars parked cars on a street&#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2899410" cy="3065145"/>
                    </a:xfrm>
                    <a:prstGeom prst="rect">
                      <a:avLst/>
                    </a:prstGeom>
                  </pic:spPr>
                </pic:pic>
              </a:graphicData>
            </a:graphic>
            <wp14:sizeRelH relativeFrom="page">
              <wp14:pctWidth>0</wp14:pctWidth>
            </wp14:sizeRelH>
            <wp14:sizeRelV relativeFrom="page">
              <wp14:pctHeight>0</wp14:pctHeight>
            </wp14:sizeRelV>
          </wp:anchor>
        </w:drawing>
      </w:r>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9</w:t>
      </w:r>
      <w:r w:rsidRPr="000020F0">
        <w:rPr>
          <w:rFonts w:asciiTheme="majorHAnsi" w:hAnsiTheme="majorHAnsi" w:cstheme="majorHAnsi"/>
          <w:color w:val="auto"/>
          <w:sz w:val="22"/>
          <w:szCs w:val="22"/>
        </w:rPr>
        <w:fldChar w:fldCharType="end"/>
      </w:r>
      <w:r w:rsidRPr="000020F0">
        <w:rPr>
          <w:rFonts w:asciiTheme="majorHAnsi" w:hAnsiTheme="majorHAnsi" w:cstheme="majorHAnsi"/>
          <w:i/>
          <w:iCs/>
          <w:color w:val="auto"/>
          <w:sz w:val="22"/>
          <w:szCs w:val="22"/>
        </w:rPr>
        <w:t xml:space="preserve"> </w:t>
      </w:r>
      <w:r w:rsidRPr="000020F0">
        <w:rPr>
          <w:rFonts w:asciiTheme="majorHAnsi" w:hAnsiTheme="majorHAnsi" w:cstheme="majorHAnsi"/>
          <w:b w:val="0"/>
          <w:bCs w:val="0"/>
          <w:color w:val="auto"/>
          <w:sz w:val="22"/>
          <w:szCs w:val="22"/>
        </w:rPr>
        <w:t>Troštova ulica</w:t>
      </w:r>
      <w:bookmarkEnd w:id="145"/>
    </w:p>
    <w:p w14:paraId="1EFA13EC" w14:textId="77777777" w:rsidR="00D5731F" w:rsidRPr="000020F0" w:rsidRDefault="00D5731F" w:rsidP="009A707B">
      <w:pPr>
        <w:rPr>
          <w:rFonts w:asciiTheme="minorHAnsi" w:eastAsiaTheme="minorEastAsia" w:hAnsiTheme="minorHAnsi" w:cstheme="minorBidi"/>
          <w:b/>
          <w:bCs/>
          <w:color w:val="4F81BD" w:themeColor="accent1"/>
          <w:sz w:val="18"/>
          <w:szCs w:val="18"/>
        </w:rPr>
      </w:pPr>
    </w:p>
    <w:p w14:paraId="732E1E97" w14:textId="77777777" w:rsidR="00D5731F" w:rsidRPr="000020F0" w:rsidRDefault="00D5731F" w:rsidP="00D5731F">
      <w:pPr>
        <w:spacing w:line="276" w:lineRule="auto"/>
        <w:rPr>
          <w:rFonts w:asciiTheme="minorHAnsi" w:eastAsiaTheme="minorEastAsia" w:hAnsiTheme="minorHAnsi" w:cstheme="minorBidi"/>
          <w:b/>
          <w:bCs/>
          <w:color w:val="4F81BD" w:themeColor="accent1"/>
          <w:sz w:val="18"/>
          <w:szCs w:val="18"/>
        </w:rPr>
      </w:pPr>
    </w:p>
    <w:p w14:paraId="1B80E7D1" w14:textId="48669C43" w:rsidR="009A707B" w:rsidRPr="000020F0" w:rsidRDefault="009A707B" w:rsidP="00D5731F">
      <w:pPr>
        <w:spacing w:line="276" w:lineRule="auto"/>
        <w:rPr>
          <w:rFonts w:ascii="Arial" w:hAnsi="Arial" w:cs="Arial"/>
          <w:sz w:val="22"/>
          <w:szCs w:val="22"/>
        </w:rPr>
      </w:pPr>
      <w:r w:rsidRPr="000020F0">
        <w:rPr>
          <w:rFonts w:ascii="Arial" w:hAnsi="Arial" w:cs="Arial"/>
          <w:sz w:val="22"/>
          <w:szCs w:val="22"/>
        </w:rPr>
        <w:t xml:space="preserve">Ob Troštovi ulici je zgrajena športna dvorana, Osnovna šola Ig. Na koncu Troštove ulice je  novo športno igrišče, poleg obstoječih stanovanjskih hiš.  </w:t>
      </w:r>
    </w:p>
    <w:p w14:paraId="3B49EC48" w14:textId="77777777" w:rsidR="009A707B" w:rsidRPr="000020F0" w:rsidRDefault="009A707B" w:rsidP="00D5731F">
      <w:pPr>
        <w:pStyle w:val="Default"/>
        <w:spacing w:line="276" w:lineRule="auto"/>
        <w:jc w:val="both"/>
        <w:rPr>
          <w:sz w:val="22"/>
          <w:szCs w:val="22"/>
        </w:rPr>
      </w:pPr>
    </w:p>
    <w:p w14:paraId="1DFA5835" w14:textId="08C05B08" w:rsidR="009A707B" w:rsidRPr="000020F0" w:rsidRDefault="009A707B" w:rsidP="00D5731F">
      <w:pPr>
        <w:pStyle w:val="Default"/>
        <w:spacing w:line="276" w:lineRule="auto"/>
        <w:jc w:val="both"/>
        <w:rPr>
          <w:sz w:val="22"/>
          <w:szCs w:val="22"/>
        </w:rPr>
      </w:pPr>
      <w:r w:rsidRPr="000020F0">
        <w:rPr>
          <w:sz w:val="22"/>
          <w:szCs w:val="22"/>
        </w:rPr>
        <w:t xml:space="preserve">Obstoječe </w:t>
      </w:r>
      <w:r w:rsidRPr="000020F0">
        <w:rPr>
          <w:b/>
          <w:bCs/>
          <w:sz w:val="22"/>
          <w:szCs w:val="22"/>
        </w:rPr>
        <w:t>avtobusno postajališče</w:t>
      </w:r>
      <w:r w:rsidRPr="000020F0">
        <w:rPr>
          <w:sz w:val="22"/>
          <w:szCs w:val="22"/>
        </w:rPr>
        <w:t xml:space="preserve"> leži ob Ljubljanski (regionalna cesta R3-642, odsek 1360) in Govekarjevi cesti. Na avtobusnem postajališču ustavljajo integrirani medkrajevni avtobusi (linija 40 in 42) dolžine 12 m in mestni avtobusi (linija 19I) dolžine 18 m. Na avtobusnem postajališču sta postavljeni dve nadstrešnici – čakalnici za potnike, ki ne zadoščata kapaciteti upor</w:t>
      </w:r>
      <w:r w:rsidR="00A43375" w:rsidRPr="000020F0">
        <w:rPr>
          <w:sz w:val="22"/>
          <w:szCs w:val="22"/>
        </w:rPr>
        <w:t>a</w:t>
      </w:r>
      <w:r w:rsidRPr="000020F0">
        <w:rPr>
          <w:sz w:val="22"/>
          <w:szCs w:val="22"/>
        </w:rPr>
        <w:t xml:space="preserve">bnikov. Na Ljubljanski cesti, mimo avtobusnega postajališča je omejitev hitrosti 50 km/h. Trenutna ureditev ne omogoča optimalnega prestopanja med avtobusi in ne zadošča kapaciteti uporabe. Ker ima avtobusno postajališče le en peron, avtobusi pogosto stojijo zaporedno na Ljubljanski cesti, kar povzroča nepreglednost, predvsem pri izvozu iz Govekarjeve ceste na Ljubljansko cesto. </w:t>
      </w:r>
    </w:p>
    <w:p w14:paraId="42F5AABA" w14:textId="77777777" w:rsidR="00D5731F" w:rsidRPr="000020F0" w:rsidRDefault="00D5731F" w:rsidP="009A707B">
      <w:pPr>
        <w:pStyle w:val="Default"/>
        <w:jc w:val="both"/>
        <w:rPr>
          <w:rFonts w:asciiTheme="minorHAnsi" w:eastAsiaTheme="minorEastAsia" w:hAnsiTheme="minorHAnsi" w:cstheme="minorBidi"/>
          <w:b/>
          <w:bCs/>
          <w:color w:val="4F81BD" w:themeColor="accent1"/>
          <w:sz w:val="18"/>
          <w:szCs w:val="18"/>
          <w:lang w:eastAsia="sl-SI"/>
        </w:rPr>
      </w:pPr>
    </w:p>
    <w:p w14:paraId="4C4956BD" w14:textId="77777777" w:rsidR="00D5731F" w:rsidRPr="000020F0" w:rsidRDefault="00D5731F" w:rsidP="009A707B">
      <w:pPr>
        <w:pStyle w:val="Default"/>
        <w:jc w:val="both"/>
        <w:rPr>
          <w:rFonts w:asciiTheme="minorHAnsi" w:eastAsiaTheme="minorEastAsia" w:hAnsiTheme="minorHAnsi" w:cstheme="minorBidi"/>
          <w:b/>
          <w:bCs/>
          <w:color w:val="4F81BD" w:themeColor="accent1"/>
          <w:sz w:val="18"/>
          <w:szCs w:val="18"/>
          <w:lang w:eastAsia="sl-SI"/>
        </w:rPr>
      </w:pPr>
    </w:p>
    <w:p w14:paraId="433CBE7E" w14:textId="65A37EEE" w:rsidR="009A707B" w:rsidRPr="000020F0" w:rsidRDefault="009A707B" w:rsidP="00D5731F">
      <w:pPr>
        <w:pStyle w:val="Default"/>
        <w:spacing w:line="276" w:lineRule="auto"/>
        <w:jc w:val="both"/>
        <w:rPr>
          <w:sz w:val="22"/>
          <w:szCs w:val="22"/>
        </w:rPr>
      </w:pPr>
      <w:r w:rsidRPr="000020F0">
        <w:rPr>
          <w:b/>
          <w:bCs/>
          <w:sz w:val="22"/>
          <w:szCs w:val="22"/>
        </w:rPr>
        <w:t>Mirujoč promet</w:t>
      </w:r>
      <w:r w:rsidRPr="000020F0">
        <w:rPr>
          <w:sz w:val="22"/>
          <w:szCs w:val="22"/>
        </w:rPr>
        <w:t xml:space="preserve"> v središču Iga je urejen na več mestih. Parkirna mesta za avtomobile so urejena ob Govekarjevi cesti na levi strani proti severu (12 PM) in desni strani med občinsko stavbo in stavbo Pošta (21 PM).  Ob občinski stavbi je  urejenih 5 parkirnih mest za zaposlene. Pred osnovno šolo in na prostoru nekdanjega igrišča je urejenih  skupno 63 PM.</w:t>
      </w:r>
    </w:p>
    <w:p w14:paraId="0C64C882" w14:textId="77777777" w:rsidR="009A707B" w:rsidRPr="000020F0" w:rsidRDefault="009A707B" w:rsidP="00D5731F">
      <w:pPr>
        <w:pStyle w:val="Default"/>
        <w:spacing w:line="276" w:lineRule="auto"/>
        <w:jc w:val="both"/>
        <w:rPr>
          <w:sz w:val="22"/>
          <w:szCs w:val="22"/>
        </w:rPr>
      </w:pPr>
      <w:r w:rsidRPr="000020F0">
        <w:rPr>
          <w:sz w:val="22"/>
          <w:szCs w:val="22"/>
        </w:rPr>
        <w:t>Začasno parkirišče je urejeno tudi na mestu porušene stavbe Govekarjeva cesta 3 severno od avtobusnega postajališča, ob Govekarjevi cesti.</w:t>
      </w:r>
    </w:p>
    <w:p w14:paraId="04BE5C55" w14:textId="6E59A561" w:rsidR="007E5252" w:rsidRPr="000020F0" w:rsidRDefault="007E5252" w:rsidP="007E5252">
      <w:pPr>
        <w:pStyle w:val="Napis"/>
        <w:spacing w:line="276" w:lineRule="auto"/>
        <w:rPr>
          <w:rFonts w:asciiTheme="majorHAnsi" w:hAnsiTheme="majorHAnsi" w:cstheme="majorHAnsi"/>
          <w:color w:val="auto"/>
          <w:sz w:val="22"/>
          <w:szCs w:val="22"/>
        </w:rPr>
      </w:pPr>
      <w:bookmarkStart w:id="146" w:name="_Toc230882324"/>
      <w:r w:rsidRPr="000020F0">
        <w:rPr>
          <w:rFonts w:asciiTheme="majorHAnsi" w:hAnsiTheme="majorHAnsi" w:cstheme="majorHAnsi"/>
          <w:noProof/>
          <w:color w:val="auto"/>
          <w:sz w:val="22"/>
          <w:szCs w:val="22"/>
        </w:rPr>
        <w:lastRenderedPageBreak/>
        <w:drawing>
          <wp:anchor distT="0" distB="0" distL="114300" distR="114300" simplePos="0" relativeHeight="251670016" behindDoc="0" locked="0" layoutInCell="1" allowOverlap="1" wp14:anchorId="15E8D7B6" wp14:editId="43024E19">
            <wp:simplePos x="0" y="0"/>
            <wp:positionH relativeFrom="column">
              <wp:posOffset>3810</wp:posOffset>
            </wp:positionH>
            <wp:positionV relativeFrom="paragraph">
              <wp:posOffset>311785</wp:posOffset>
            </wp:positionV>
            <wp:extent cx="5647690" cy="3200400"/>
            <wp:effectExtent l="0" t="0" r="0" b="0"/>
            <wp:wrapTopAndBottom/>
            <wp:docPr id="1535236849" name="Slika 1" descr="A red car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6849" name="Slika 1" descr="A red car parked in a parking lot&#10;&#10;AI-generated content may be incorrect."/>
                    <pic:cNvPicPr/>
                  </pic:nvPicPr>
                  <pic:blipFill>
                    <a:blip r:embed="rId62">
                      <a:extLst>
                        <a:ext uri="{28A0092B-C50C-407E-A947-70E740481C1C}">
                          <a14:useLocalDpi xmlns:a14="http://schemas.microsoft.com/office/drawing/2010/main" val="0"/>
                        </a:ext>
                      </a:extLst>
                    </a:blip>
                    <a:stretch>
                      <a:fillRect/>
                    </a:stretch>
                  </pic:blipFill>
                  <pic:spPr>
                    <a:xfrm>
                      <a:off x="0" y="0"/>
                      <a:ext cx="5647690" cy="3200400"/>
                    </a:xfrm>
                    <a:prstGeom prst="rect">
                      <a:avLst/>
                    </a:prstGeom>
                  </pic:spPr>
                </pic:pic>
              </a:graphicData>
            </a:graphic>
            <wp14:sizeRelH relativeFrom="margin">
              <wp14:pctWidth>0</wp14:pctWidth>
            </wp14:sizeRelH>
            <wp14:sizeRelV relativeFrom="margin">
              <wp14:pctHeight>0</wp14:pctHeight>
            </wp14:sizeRelV>
          </wp:anchor>
        </w:drawing>
      </w:r>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10</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i/>
          <w:iCs/>
          <w:color w:val="auto"/>
          <w:sz w:val="22"/>
          <w:szCs w:val="22"/>
        </w:rPr>
        <w:t xml:space="preserve"> </w:t>
      </w:r>
      <w:r w:rsidRPr="000020F0">
        <w:rPr>
          <w:rFonts w:asciiTheme="majorHAnsi" w:hAnsiTheme="majorHAnsi" w:cstheme="majorHAnsi"/>
          <w:b w:val="0"/>
          <w:bCs w:val="0"/>
          <w:color w:val="auto"/>
          <w:sz w:val="22"/>
          <w:szCs w:val="22"/>
        </w:rPr>
        <w:t>Parkirišče pri OŠ</w:t>
      </w:r>
      <w:bookmarkEnd w:id="146"/>
    </w:p>
    <w:p w14:paraId="116CE9D0" w14:textId="77777777" w:rsidR="009A707B" w:rsidRPr="000020F0" w:rsidRDefault="009A707B" w:rsidP="00D5731F">
      <w:pPr>
        <w:pStyle w:val="Default"/>
        <w:spacing w:line="276" w:lineRule="auto"/>
        <w:jc w:val="both"/>
        <w:rPr>
          <w:sz w:val="22"/>
          <w:szCs w:val="22"/>
        </w:rPr>
      </w:pPr>
    </w:p>
    <w:p w14:paraId="64BA5E9E" w14:textId="6D85959C" w:rsidR="00DF4439" w:rsidRPr="000020F0" w:rsidRDefault="00DF4439" w:rsidP="00DF4439">
      <w:pPr>
        <w:pStyle w:val="Napis"/>
        <w:spacing w:line="276" w:lineRule="auto"/>
        <w:jc w:val="both"/>
        <w:rPr>
          <w:rFonts w:asciiTheme="majorHAnsi" w:hAnsiTheme="majorHAnsi" w:cstheme="majorHAnsi"/>
          <w:color w:val="auto"/>
          <w:sz w:val="22"/>
          <w:szCs w:val="22"/>
        </w:rPr>
      </w:pPr>
      <w:bookmarkStart w:id="147" w:name="_Toc230882325"/>
      <w:r w:rsidRPr="000020F0">
        <w:rPr>
          <w:rFonts w:asciiTheme="majorHAnsi" w:hAnsiTheme="majorHAnsi" w:cstheme="majorHAnsi"/>
          <w:noProof/>
          <w:color w:val="auto"/>
          <w:sz w:val="22"/>
          <w:szCs w:val="22"/>
        </w:rPr>
        <w:drawing>
          <wp:anchor distT="0" distB="0" distL="114300" distR="114300" simplePos="0" relativeHeight="251672064" behindDoc="0" locked="0" layoutInCell="1" allowOverlap="1" wp14:anchorId="5CCCB434" wp14:editId="1BCD9134">
            <wp:simplePos x="0" y="0"/>
            <wp:positionH relativeFrom="column">
              <wp:posOffset>3810</wp:posOffset>
            </wp:positionH>
            <wp:positionV relativeFrom="paragraph">
              <wp:posOffset>307975</wp:posOffset>
            </wp:positionV>
            <wp:extent cx="5857875" cy="3468370"/>
            <wp:effectExtent l="0" t="0" r="9525" b="0"/>
            <wp:wrapTopAndBottom/>
            <wp:docPr id="758355412" name="Slika 1" descr="A parking lot with cars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55412" name="Slika 1" descr="A parking lot with cars parked in front of a building&#10;&#10;AI-generated content may be incorrect."/>
                    <pic:cNvPicPr/>
                  </pic:nvPicPr>
                  <pic:blipFill>
                    <a:blip r:embed="rId63">
                      <a:extLst>
                        <a:ext uri="{28A0092B-C50C-407E-A947-70E740481C1C}">
                          <a14:useLocalDpi xmlns:a14="http://schemas.microsoft.com/office/drawing/2010/main" val="0"/>
                        </a:ext>
                      </a:extLst>
                    </a:blip>
                    <a:stretch>
                      <a:fillRect/>
                    </a:stretch>
                  </pic:blipFill>
                  <pic:spPr>
                    <a:xfrm>
                      <a:off x="0" y="0"/>
                      <a:ext cx="5857875" cy="3468370"/>
                    </a:xfrm>
                    <a:prstGeom prst="rect">
                      <a:avLst/>
                    </a:prstGeom>
                  </pic:spPr>
                </pic:pic>
              </a:graphicData>
            </a:graphic>
            <wp14:sizeRelH relativeFrom="margin">
              <wp14:pctWidth>0</wp14:pctWidth>
            </wp14:sizeRelH>
            <wp14:sizeRelV relativeFrom="margin">
              <wp14:pctHeight>0</wp14:pctHeight>
            </wp14:sizeRelV>
          </wp:anchor>
        </w:drawing>
      </w:r>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11</w:t>
      </w:r>
      <w:r w:rsidRPr="000020F0">
        <w:rPr>
          <w:rFonts w:asciiTheme="majorHAnsi" w:hAnsiTheme="majorHAnsi" w:cstheme="majorHAnsi"/>
          <w:color w:val="auto"/>
          <w:sz w:val="22"/>
          <w:szCs w:val="22"/>
        </w:rPr>
        <w:fldChar w:fldCharType="end"/>
      </w:r>
      <w:r w:rsidRPr="000020F0">
        <w:rPr>
          <w:rFonts w:asciiTheme="majorHAnsi" w:hAnsiTheme="majorHAnsi" w:cstheme="majorHAnsi"/>
          <w:i/>
          <w:iCs/>
          <w:color w:val="auto"/>
          <w:sz w:val="22"/>
          <w:szCs w:val="22"/>
        </w:rPr>
        <w:t xml:space="preserve"> </w:t>
      </w:r>
      <w:r w:rsidRPr="000020F0">
        <w:rPr>
          <w:rFonts w:asciiTheme="majorHAnsi" w:hAnsiTheme="majorHAnsi" w:cstheme="majorHAnsi"/>
          <w:b w:val="0"/>
          <w:bCs w:val="0"/>
          <w:color w:val="auto"/>
          <w:sz w:val="22"/>
          <w:szCs w:val="22"/>
        </w:rPr>
        <w:t>Parkirišče pri OŠ</w:t>
      </w:r>
      <w:bookmarkEnd w:id="147"/>
    </w:p>
    <w:p w14:paraId="45AEFA05" w14:textId="77777777" w:rsidR="00DF4439" w:rsidRPr="000020F0" w:rsidRDefault="00DF4439" w:rsidP="00D5731F">
      <w:pPr>
        <w:pStyle w:val="Default"/>
        <w:spacing w:line="276" w:lineRule="auto"/>
        <w:jc w:val="both"/>
        <w:rPr>
          <w:sz w:val="22"/>
          <w:szCs w:val="22"/>
        </w:rPr>
      </w:pPr>
    </w:p>
    <w:p w14:paraId="784B280D" w14:textId="617EF96E" w:rsidR="00FB0F49" w:rsidRPr="000020F0" w:rsidRDefault="00FB0F49" w:rsidP="00FB0F49">
      <w:pPr>
        <w:pStyle w:val="Napis"/>
        <w:spacing w:line="276" w:lineRule="auto"/>
        <w:jc w:val="both"/>
        <w:rPr>
          <w:rFonts w:asciiTheme="majorHAnsi" w:hAnsiTheme="majorHAnsi" w:cstheme="majorHAnsi"/>
          <w:color w:val="auto"/>
          <w:sz w:val="22"/>
          <w:szCs w:val="22"/>
        </w:rPr>
      </w:pPr>
      <w:bookmarkStart w:id="148" w:name="_Toc230882326"/>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12</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i/>
          <w:iCs/>
          <w:color w:val="auto"/>
          <w:sz w:val="22"/>
          <w:szCs w:val="22"/>
        </w:rPr>
        <w:t xml:space="preserve"> </w:t>
      </w:r>
      <w:r w:rsidRPr="000020F0">
        <w:rPr>
          <w:rFonts w:asciiTheme="majorHAnsi" w:hAnsiTheme="majorHAnsi" w:cstheme="majorHAnsi"/>
          <w:b w:val="0"/>
          <w:bCs w:val="0"/>
          <w:color w:val="auto"/>
          <w:sz w:val="22"/>
          <w:szCs w:val="22"/>
        </w:rPr>
        <w:t>Začasno parkirišče ob Govekarjevi cesti</w:t>
      </w:r>
      <w:bookmarkEnd w:id="148"/>
    </w:p>
    <w:p w14:paraId="764C821D" w14:textId="77777777" w:rsidR="00FB0F49" w:rsidRPr="000020F0" w:rsidRDefault="00FB0F49" w:rsidP="00FB0F49">
      <w:pPr>
        <w:pStyle w:val="Default"/>
        <w:spacing w:line="276" w:lineRule="auto"/>
        <w:jc w:val="both"/>
        <w:rPr>
          <w:rFonts w:asciiTheme="majorHAnsi" w:hAnsiTheme="majorHAnsi" w:cstheme="majorHAnsi"/>
          <w:color w:val="auto"/>
          <w:sz w:val="22"/>
          <w:szCs w:val="22"/>
        </w:rPr>
      </w:pPr>
      <w:r w:rsidRPr="000020F0">
        <w:rPr>
          <w:rFonts w:asciiTheme="majorHAnsi" w:hAnsiTheme="majorHAnsi" w:cstheme="majorHAnsi"/>
          <w:noProof/>
          <w:color w:val="auto"/>
          <w:sz w:val="22"/>
          <w:szCs w:val="22"/>
        </w:rPr>
        <w:lastRenderedPageBreak/>
        <w:drawing>
          <wp:anchor distT="0" distB="0" distL="114300" distR="114300" simplePos="0" relativeHeight="251674112" behindDoc="0" locked="0" layoutInCell="1" allowOverlap="1" wp14:anchorId="70289B6D" wp14:editId="7261696E">
            <wp:simplePos x="0" y="0"/>
            <wp:positionH relativeFrom="column">
              <wp:posOffset>3810</wp:posOffset>
            </wp:positionH>
            <wp:positionV relativeFrom="paragraph">
              <wp:posOffset>-1905</wp:posOffset>
            </wp:positionV>
            <wp:extent cx="5844578" cy="3629025"/>
            <wp:effectExtent l="0" t="0" r="3810" b="0"/>
            <wp:wrapTopAndBottom/>
            <wp:docPr id="1344477514" name="Slika 1" descr="A group of car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77514" name="Slika 1" descr="A group of cars parked in a parking lot&#10;&#10;AI-generated content may be incorrect."/>
                    <pic:cNvPicPr/>
                  </pic:nvPicPr>
                  <pic:blipFill>
                    <a:blip r:embed="rId64">
                      <a:extLst>
                        <a:ext uri="{28A0092B-C50C-407E-A947-70E740481C1C}">
                          <a14:useLocalDpi xmlns:a14="http://schemas.microsoft.com/office/drawing/2010/main" val="0"/>
                        </a:ext>
                      </a:extLst>
                    </a:blip>
                    <a:stretch>
                      <a:fillRect/>
                    </a:stretch>
                  </pic:blipFill>
                  <pic:spPr>
                    <a:xfrm>
                      <a:off x="0" y="0"/>
                      <a:ext cx="5844578" cy="3629025"/>
                    </a:xfrm>
                    <a:prstGeom prst="rect">
                      <a:avLst/>
                    </a:prstGeom>
                  </pic:spPr>
                </pic:pic>
              </a:graphicData>
            </a:graphic>
          </wp:anchor>
        </w:drawing>
      </w:r>
    </w:p>
    <w:p w14:paraId="4125CCB6" w14:textId="77777777" w:rsidR="009A707B" w:rsidRPr="000020F0" w:rsidRDefault="009A707B" w:rsidP="00D5731F">
      <w:pPr>
        <w:pStyle w:val="Default"/>
        <w:spacing w:line="276" w:lineRule="auto"/>
        <w:jc w:val="both"/>
        <w:rPr>
          <w:sz w:val="22"/>
          <w:szCs w:val="22"/>
        </w:rPr>
      </w:pPr>
    </w:p>
    <w:p w14:paraId="622B300A" w14:textId="4EB17838" w:rsidR="009A707B" w:rsidRPr="000020F0" w:rsidRDefault="009A707B" w:rsidP="00D5731F">
      <w:pPr>
        <w:pStyle w:val="Default"/>
        <w:spacing w:line="276" w:lineRule="auto"/>
        <w:jc w:val="both"/>
        <w:rPr>
          <w:sz w:val="22"/>
          <w:szCs w:val="22"/>
        </w:rPr>
      </w:pPr>
      <w:r w:rsidRPr="000020F0">
        <w:rPr>
          <w:sz w:val="22"/>
          <w:szCs w:val="22"/>
        </w:rPr>
        <w:t>V središču Iga</w:t>
      </w:r>
      <w:r w:rsidR="00AE4687" w:rsidRPr="000020F0">
        <w:rPr>
          <w:sz w:val="22"/>
          <w:szCs w:val="22"/>
        </w:rPr>
        <w:t xml:space="preserve"> je</w:t>
      </w:r>
      <w:r w:rsidRPr="000020F0">
        <w:rPr>
          <w:sz w:val="22"/>
          <w:szCs w:val="22"/>
        </w:rPr>
        <w:t xml:space="preserve"> zasajenih 15 dreves, ki jih bomo ohranili s presaditvijo.</w:t>
      </w:r>
    </w:p>
    <w:p w14:paraId="2DDEEC3D" w14:textId="77777777" w:rsidR="009A707B" w:rsidRPr="000020F0" w:rsidRDefault="009A707B" w:rsidP="00D5731F">
      <w:pPr>
        <w:pStyle w:val="Default"/>
        <w:spacing w:line="276" w:lineRule="auto"/>
        <w:jc w:val="both"/>
        <w:rPr>
          <w:sz w:val="22"/>
          <w:szCs w:val="22"/>
        </w:rPr>
      </w:pPr>
    </w:p>
    <w:p w14:paraId="10F4BBC9" w14:textId="15929C94" w:rsidR="00512FD3" w:rsidRPr="000020F0" w:rsidRDefault="00512FD3" w:rsidP="00512FD3">
      <w:pPr>
        <w:pStyle w:val="Napis"/>
        <w:spacing w:line="276" w:lineRule="auto"/>
        <w:jc w:val="both"/>
        <w:rPr>
          <w:rFonts w:asciiTheme="majorHAnsi" w:hAnsiTheme="majorHAnsi" w:cstheme="majorHAnsi"/>
          <w:color w:val="auto"/>
          <w:sz w:val="22"/>
          <w:szCs w:val="22"/>
        </w:rPr>
      </w:pPr>
      <w:bookmarkStart w:id="149" w:name="_Toc230882327"/>
      <w:r w:rsidRPr="000020F0">
        <w:rPr>
          <w:rFonts w:asciiTheme="majorHAnsi" w:hAnsiTheme="majorHAnsi" w:cstheme="majorHAnsi"/>
          <w:noProof/>
          <w:color w:val="auto"/>
          <w:sz w:val="22"/>
          <w:szCs w:val="22"/>
        </w:rPr>
        <w:drawing>
          <wp:anchor distT="0" distB="0" distL="114300" distR="114300" simplePos="0" relativeHeight="251676160" behindDoc="0" locked="0" layoutInCell="1" allowOverlap="1" wp14:anchorId="17D4CD09" wp14:editId="5B575FF9">
            <wp:simplePos x="0" y="0"/>
            <wp:positionH relativeFrom="column">
              <wp:posOffset>3175</wp:posOffset>
            </wp:positionH>
            <wp:positionV relativeFrom="paragraph">
              <wp:posOffset>308610</wp:posOffset>
            </wp:positionV>
            <wp:extent cx="5838825" cy="3369310"/>
            <wp:effectExtent l="0" t="0" r="9525" b="2540"/>
            <wp:wrapTopAndBottom/>
            <wp:docPr id="46205579" name="Slika 1" descr="Car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5579" name="Slika 1" descr="Cars parked in a parking lot&#10;&#10;AI-generated content may be incorrect."/>
                    <pic:cNvPicPr/>
                  </pic:nvPicPr>
                  <pic:blipFill>
                    <a:blip r:embed="rId65">
                      <a:extLst>
                        <a:ext uri="{28A0092B-C50C-407E-A947-70E740481C1C}">
                          <a14:useLocalDpi xmlns:a14="http://schemas.microsoft.com/office/drawing/2010/main" val="0"/>
                        </a:ext>
                      </a:extLst>
                    </a:blip>
                    <a:stretch>
                      <a:fillRect/>
                    </a:stretch>
                  </pic:blipFill>
                  <pic:spPr>
                    <a:xfrm>
                      <a:off x="0" y="0"/>
                      <a:ext cx="5838825" cy="3369310"/>
                    </a:xfrm>
                    <a:prstGeom prst="rect">
                      <a:avLst/>
                    </a:prstGeom>
                  </pic:spPr>
                </pic:pic>
              </a:graphicData>
            </a:graphic>
            <wp14:sizeRelH relativeFrom="margin">
              <wp14:pctWidth>0</wp14:pctWidth>
            </wp14:sizeRelH>
            <wp14:sizeRelV relativeFrom="margin">
              <wp14:pctHeight>0</wp14:pctHeight>
            </wp14:sizeRelV>
          </wp:anchor>
        </w:drawing>
      </w:r>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13</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i/>
          <w:iCs/>
          <w:color w:val="auto"/>
          <w:sz w:val="22"/>
          <w:szCs w:val="22"/>
        </w:rPr>
        <w:t xml:space="preserve"> </w:t>
      </w:r>
      <w:r w:rsidRPr="000020F0">
        <w:rPr>
          <w:rFonts w:asciiTheme="majorHAnsi" w:hAnsiTheme="majorHAnsi" w:cstheme="majorHAnsi"/>
          <w:b w:val="0"/>
          <w:bCs w:val="0"/>
          <w:color w:val="auto"/>
          <w:sz w:val="22"/>
          <w:szCs w:val="22"/>
        </w:rPr>
        <w:t>Obstoječa drevesa</w:t>
      </w:r>
      <w:bookmarkEnd w:id="149"/>
    </w:p>
    <w:p w14:paraId="5CDFCE28" w14:textId="77777777" w:rsidR="00512FD3" w:rsidRPr="000020F0" w:rsidRDefault="00512FD3" w:rsidP="00D5731F">
      <w:pPr>
        <w:pStyle w:val="Default"/>
        <w:spacing w:line="276" w:lineRule="auto"/>
        <w:jc w:val="both"/>
        <w:rPr>
          <w:sz w:val="22"/>
          <w:szCs w:val="22"/>
        </w:rPr>
      </w:pPr>
    </w:p>
    <w:p w14:paraId="5C19BC9F" w14:textId="77777777" w:rsidR="009A707B" w:rsidRPr="000020F0" w:rsidRDefault="009A707B" w:rsidP="00D5731F">
      <w:pPr>
        <w:pStyle w:val="Default"/>
        <w:spacing w:line="276" w:lineRule="auto"/>
        <w:jc w:val="both"/>
        <w:rPr>
          <w:sz w:val="22"/>
          <w:szCs w:val="22"/>
        </w:rPr>
      </w:pPr>
    </w:p>
    <w:p w14:paraId="53289AB0" w14:textId="1FC52E79" w:rsidR="009A707B" w:rsidRPr="000020F0" w:rsidRDefault="009A707B" w:rsidP="00D5731F">
      <w:pPr>
        <w:pStyle w:val="Default"/>
        <w:spacing w:line="276" w:lineRule="auto"/>
        <w:jc w:val="both"/>
        <w:rPr>
          <w:sz w:val="22"/>
          <w:szCs w:val="22"/>
        </w:rPr>
      </w:pPr>
      <w:r w:rsidRPr="000020F0">
        <w:rPr>
          <w:sz w:val="22"/>
          <w:szCs w:val="22"/>
        </w:rPr>
        <w:t>Kolesarska infrastruktura v središču Iga ni urejena, razen nekaj stojal za kolesa ob glavnih stavbah</w:t>
      </w:r>
      <w:r w:rsidR="00C54E5E" w:rsidRPr="000020F0">
        <w:rPr>
          <w:sz w:val="22"/>
          <w:szCs w:val="22"/>
        </w:rPr>
        <w:t xml:space="preserve"> in kolesarskega pasu od križišča Govekarjeve in Troštove do pokopališča.</w:t>
      </w:r>
    </w:p>
    <w:p w14:paraId="38DB3077" w14:textId="77777777" w:rsidR="009A707B" w:rsidRPr="000020F0" w:rsidRDefault="009A707B" w:rsidP="00BD1D20">
      <w:pPr>
        <w:spacing w:after="200" w:line="276" w:lineRule="auto"/>
        <w:jc w:val="both"/>
        <w:rPr>
          <w:rFonts w:ascii="Arial" w:hAnsi="Arial" w:cs="Arial"/>
          <w:sz w:val="22"/>
          <w:szCs w:val="22"/>
        </w:rPr>
      </w:pPr>
    </w:p>
    <w:p w14:paraId="336FB6E3" w14:textId="77777777" w:rsidR="00000766" w:rsidRPr="000020F0" w:rsidRDefault="00000766"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50" w:name="_Toc3698232"/>
      <w:bookmarkStart w:id="151" w:name="_Ref230593858"/>
      <w:bookmarkStart w:id="152" w:name="_Toc230882194"/>
      <w:r w:rsidRPr="000020F0">
        <w:rPr>
          <w:rFonts w:asciiTheme="majorHAnsi" w:eastAsiaTheme="majorEastAsia" w:hAnsiTheme="majorHAnsi" w:cstheme="majorHAnsi"/>
          <w:color w:val="244061" w:themeColor="accent1" w:themeShade="80"/>
        </w:rPr>
        <w:lastRenderedPageBreak/>
        <w:t>Razlogi za investicijsko namero in prikaz potreb, ki jih bo zadovoljevala investicija</w:t>
      </w:r>
      <w:bookmarkEnd w:id="150"/>
      <w:bookmarkEnd w:id="151"/>
      <w:bookmarkEnd w:id="152"/>
    </w:p>
    <w:p w14:paraId="51D649A3" w14:textId="77777777" w:rsidR="00FC0662" w:rsidRPr="000020F0" w:rsidRDefault="00FC0662" w:rsidP="00BD1D20">
      <w:pPr>
        <w:pBdr>
          <w:top w:val="nil"/>
          <w:left w:val="nil"/>
          <w:bottom w:val="nil"/>
          <w:right w:val="nil"/>
          <w:between w:val="nil"/>
        </w:pBdr>
        <w:spacing w:line="276" w:lineRule="auto"/>
        <w:jc w:val="both"/>
        <w:rPr>
          <w:rFonts w:ascii="Arial" w:eastAsia="Arial" w:hAnsi="Arial" w:cs="Arial"/>
          <w:color w:val="000000"/>
          <w:sz w:val="22"/>
          <w:szCs w:val="22"/>
        </w:rPr>
      </w:pPr>
    </w:p>
    <w:p w14:paraId="24D3DEF0" w14:textId="77777777" w:rsidR="00FC0662" w:rsidRPr="000020F0" w:rsidRDefault="00FC0662" w:rsidP="00FC0662">
      <w:pPr>
        <w:spacing w:after="120" w:line="276" w:lineRule="auto"/>
        <w:jc w:val="both"/>
        <w:rPr>
          <w:rFonts w:ascii="Arial" w:hAnsi="Arial" w:cs="Arial"/>
          <w:sz w:val="22"/>
          <w:szCs w:val="22"/>
        </w:rPr>
      </w:pPr>
      <w:r w:rsidRPr="000020F0">
        <w:rPr>
          <w:rFonts w:ascii="Arial" w:hAnsi="Arial" w:cs="Arial"/>
          <w:sz w:val="22"/>
          <w:szCs w:val="22"/>
        </w:rPr>
        <w:t xml:space="preserve">Obstoječe prometne in javne površine v središču Iga so funkcionalno in prometno preobremenjene ter prostorsko nepovezane. Peš in kolesarske povezave med ključnimi javnimi objekti – Osnovno šolo Ig, Občino Ig, Pošto, cerkvijo sv. Martina, </w:t>
      </w:r>
      <w:proofErr w:type="spellStart"/>
      <w:r w:rsidRPr="000020F0">
        <w:rPr>
          <w:rFonts w:ascii="Arial" w:hAnsi="Arial" w:cs="Arial"/>
          <w:sz w:val="22"/>
          <w:szCs w:val="22"/>
        </w:rPr>
        <w:t>interpretacijskim</w:t>
      </w:r>
      <w:proofErr w:type="spellEnd"/>
      <w:r w:rsidRPr="000020F0">
        <w:rPr>
          <w:rFonts w:ascii="Arial" w:hAnsi="Arial" w:cs="Arial"/>
          <w:sz w:val="22"/>
          <w:szCs w:val="22"/>
        </w:rPr>
        <w:t xml:space="preserve"> centrom – Hiša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in avtobusno postajo – niso urejene v skladu s sodobnimi standardi varnosti in trajnostne mobilnosti. Posledično se pojavljajo prometne nevarnosti, zlasti za šolarje, starejše in druge ranljive skupine prebivalcev.</w:t>
      </w:r>
    </w:p>
    <w:p w14:paraId="6F1C662A" w14:textId="77777777" w:rsidR="00FC0662" w:rsidRPr="000020F0" w:rsidRDefault="00FC0662" w:rsidP="00FC0662">
      <w:pPr>
        <w:spacing w:after="120" w:line="276" w:lineRule="auto"/>
        <w:jc w:val="both"/>
        <w:rPr>
          <w:rFonts w:ascii="Arial" w:hAnsi="Arial" w:cs="Arial"/>
          <w:sz w:val="22"/>
          <w:szCs w:val="22"/>
        </w:rPr>
      </w:pPr>
      <w:r w:rsidRPr="000020F0">
        <w:rPr>
          <w:rFonts w:ascii="Arial" w:hAnsi="Arial" w:cs="Arial"/>
          <w:sz w:val="22"/>
          <w:szCs w:val="22"/>
        </w:rPr>
        <w:t>Dodatno so javne površine urejene parcialno, z nepreglednimi režimi parkiranja in brez zadostne ozelenitve, kar negativno vpliva na kakovost bivanja ter zmanjšuje odpornost prostora na podnebne spremembe. Zaradi pomanjkanja zelenih pasov, drevoredov in prepustnih površin se pojavljajo težave z odvodnjavanjem, učinki toplotnih otokov in hrupom v naselju.</w:t>
      </w:r>
    </w:p>
    <w:p w14:paraId="2F885651" w14:textId="77777777" w:rsidR="00FC0662" w:rsidRPr="000020F0" w:rsidRDefault="00FC0662" w:rsidP="00FC0662">
      <w:pPr>
        <w:spacing w:after="120" w:line="276" w:lineRule="auto"/>
        <w:jc w:val="both"/>
        <w:rPr>
          <w:rFonts w:ascii="Arial" w:hAnsi="Arial" w:cs="Arial"/>
          <w:sz w:val="22"/>
          <w:szCs w:val="22"/>
        </w:rPr>
      </w:pPr>
      <w:r w:rsidRPr="000020F0">
        <w:rPr>
          <w:rFonts w:ascii="Arial" w:hAnsi="Arial" w:cs="Arial"/>
          <w:sz w:val="22"/>
          <w:szCs w:val="22"/>
        </w:rPr>
        <w:t xml:space="preserve">Rastoče število obiskovalcev </w:t>
      </w:r>
      <w:proofErr w:type="spellStart"/>
      <w:r w:rsidRPr="000020F0">
        <w:rPr>
          <w:rFonts w:ascii="Arial" w:hAnsi="Arial" w:cs="Arial"/>
          <w:sz w:val="22"/>
          <w:szCs w:val="22"/>
        </w:rPr>
        <w:t>Morostiga</w:t>
      </w:r>
      <w:proofErr w:type="spellEnd"/>
      <w:r w:rsidRPr="000020F0">
        <w:rPr>
          <w:rFonts w:ascii="Arial" w:hAnsi="Arial" w:cs="Arial"/>
          <w:sz w:val="22"/>
          <w:szCs w:val="22"/>
        </w:rPr>
        <w:t xml:space="preserve"> – hiša narave in kolišč ter povečan turistični in rekreativni pomen območja dodatno krepita potrebo po ureditvi celovitega sistema javnih površin, ki bo tako obiskovalcem kot prebivalcem omogočil neovirano gibanje, kakovostno preživljanje prostega časa in medgeneracijsko druženje.</w:t>
      </w:r>
    </w:p>
    <w:p w14:paraId="1C641B0C" w14:textId="77777777" w:rsidR="00FC0662" w:rsidRPr="000020F0" w:rsidRDefault="00FC0662" w:rsidP="00FC0662">
      <w:pPr>
        <w:spacing w:after="120" w:line="276" w:lineRule="auto"/>
        <w:jc w:val="both"/>
        <w:rPr>
          <w:rFonts w:ascii="Arial" w:hAnsi="Arial" w:cs="Arial"/>
          <w:sz w:val="22"/>
          <w:szCs w:val="22"/>
        </w:rPr>
      </w:pPr>
      <w:r w:rsidRPr="000020F0">
        <w:rPr>
          <w:rFonts w:ascii="Arial" w:hAnsi="Arial" w:cs="Arial"/>
          <w:sz w:val="22"/>
          <w:szCs w:val="22"/>
        </w:rPr>
        <w:t>Investicijska namera izhaja tudi iz strateških in zakonodajnih okvirov:</w:t>
      </w:r>
    </w:p>
    <w:p w14:paraId="476E68FC" w14:textId="77777777" w:rsidR="00FC0662" w:rsidRPr="000020F0" w:rsidRDefault="00FC0662" w:rsidP="00FC0662">
      <w:pPr>
        <w:numPr>
          <w:ilvl w:val="0"/>
          <w:numId w:val="133"/>
        </w:numPr>
        <w:spacing w:after="120" w:line="276" w:lineRule="auto"/>
        <w:jc w:val="both"/>
        <w:rPr>
          <w:rFonts w:ascii="Arial" w:hAnsi="Arial" w:cs="Arial"/>
          <w:sz w:val="22"/>
          <w:szCs w:val="22"/>
        </w:rPr>
      </w:pPr>
      <w:r w:rsidRPr="000020F0">
        <w:rPr>
          <w:rFonts w:ascii="Arial" w:hAnsi="Arial" w:cs="Arial"/>
          <w:sz w:val="22"/>
          <w:szCs w:val="22"/>
        </w:rPr>
        <w:t>Nacionalnih in evropskih usmeritev na področju trajnostne mobilnosti,</w:t>
      </w:r>
    </w:p>
    <w:p w14:paraId="71BE6C47" w14:textId="064D501F" w:rsidR="00FC0662" w:rsidRPr="000020F0" w:rsidRDefault="00FC0662" w:rsidP="00FC0662">
      <w:pPr>
        <w:numPr>
          <w:ilvl w:val="0"/>
          <w:numId w:val="133"/>
        </w:numPr>
        <w:spacing w:after="120" w:line="276" w:lineRule="auto"/>
        <w:jc w:val="both"/>
        <w:rPr>
          <w:rFonts w:ascii="Arial" w:hAnsi="Arial" w:cs="Arial"/>
          <w:sz w:val="22"/>
          <w:szCs w:val="22"/>
        </w:rPr>
      </w:pPr>
      <w:r w:rsidRPr="000020F0">
        <w:rPr>
          <w:rFonts w:ascii="Arial" w:hAnsi="Arial" w:cs="Arial"/>
          <w:sz w:val="22"/>
          <w:szCs w:val="22"/>
        </w:rPr>
        <w:t xml:space="preserve">zahtev javnega razpisa </w:t>
      </w:r>
      <w:r w:rsidRPr="000020F0">
        <w:rPr>
          <w:rFonts w:ascii="Arial" w:hAnsi="Arial" w:cs="Arial"/>
          <w:b/>
          <w:bCs/>
          <w:sz w:val="22"/>
          <w:szCs w:val="22"/>
        </w:rPr>
        <w:t>JR EKP UTM 202</w:t>
      </w:r>
      <w:r w:rsidR="001262E7" w:rsidRPr="000020F0">
        <w:rPr>
          <w:rFonts w:ascii="Arial" w:hAnsi="Arial" w:cs="Arial"/>
          <w:b/>
          <w:bCs/>
          <w:sz w:val="22"/>
          <w:szCs w:val="22"/>
        </w:rPr>
        <w:t>5</w:t>
      </w:r>
      <w:r w:rsidRPr="000020F0">
        <w:rPr>
          <w:rFonts w:ascii="Arial" w:hAnsi="Arial" w:cs="Arial"/>
          <w:sz w:val="22"/>
          <w:szCs w:val="22"/>
        </w:rPr>
        <w:t>, ki spodbujajo zmanjšanje emisij toplogrednih plinov, izboljšanje kakovosti zraka in bivanja, razvoj zelene infrastrukture ter večjo prometno varnost,</w:t>
      </w:r>
    </w:p>
    <w:p w14:paraId="314CCCBD" w14:textId="77777777" w:rsidR="00FC0662" w:rsidRPr="000020F0" w:rsidRDefault="00FC0662" w:rsidP="00FC0662">
      <w:pPr>
        <w:numPr>
          <w:ilvl w:val="0"/>
          <w:numId w:val="133"/>
        </w:numPr>
        <w:spacing w:after="120" w:line="276" w:lineRule="auto"/>
        <w:jc w:val="both"/>
        <w:rPr>
          <w:rFonts w:ascii="Arial" w:hAnsi="Arial" w:cs="Arial"/>
          <w:sz w:val="22"/>
          <w:szCs w:val="22"/>
        </w:rPr>
      </w:pPr>
      <w:r w:rsidRPr="000020F0">
        <w:rPr>
          <w:rFonts w:ascii="Arial" w:hAnsi="Arial" w:cs="Arial"/>
          <w:sz w:val="22"/>
          <w:szCs w:val="22"/>
        </w:rPr>
        <w:t>potreb občine po zagotavljanju varnih šolskih poti in vključujočih javnih površin za vse prebivalce,</w:t>
      </w:r>
    </w:p>
    <w:p w14:paraId="6A574CB1" w14:textId="77777777" w:rsidR="00FC0662" w:rsidRPr="000020F0" w:rsidRDefault="00FC0662" w:rsidP="00FC0662">
      <w:pPr>
        <w:numPr>
          <w:ilvl w:val="0"/>
          <w:numId w:val="133"/>
        </w:numPr>
        <w:spacing w:after="120" w:line="276" w:lineRule="auto"/>
        <w:jc w:val="both"/>
        <w:rPr>
          <w:rFonts w:ascii="Arial" w:hAnsi="Arial" w:cs="Arial"/>
          <w:sz w:val="22"/>
          <w:szCs w:val="22"/>
        </w:rPr>
      </w:pPr>
      <w:r w:rsidRPr="000020F0">
        <w:rPr>
          <w:rFonts w:ascii="Arial" w:hAnsi="Arial" w:cs="Arial"/>
          <w:sz w:val="22"/>
          <w:szCs w:val="22"/>
        </w:rPr>
        <w:t>sledenju zastavljenih ciljev iz sprejete Občinske celostne prometne strategije Ig.</w:t>
      </w:r>
    </w:p>
    <w:p w14:paraId="322620EE" w14:textId="77777777" w:rsidR="00FC0662" w:rsidRPr="000020F0" w:rsidRDefault="00FC0662" w:rsidP="00FC0662">
      <w:pPr>
        <w:spacing w:after="120" w:line="276" w:lineRule="auto"/>
        <w:jc w:val="both"/>
        <w:rPr>
          <w:rFonts w:ascii="Arial" w:hAnsi="Arial" w:cs="Arial"/>
          <w:b/>
          <w:bCs/>
          <w:sz w:val="22"/>
          <w:szCs w:val="22"/>
        </w:rPr>
      </w:pPr>
      <w:r w:rsidRPr="000020F0">
        <w:rPr>
          <w:rFonts w:ascii="Arial" w:hAnsi="Arial" w:cs="Arial"/>
          <w:b/>
          <w:bCs/>
          <w:sz w:val="22"/>
          <w:szCs w:val="22"/>
        </w:rPr>
        <w:t xml:space="preserve">Našteti razlogi skupaj utemeljujejo potrebo po investiciji, ki bo s celovito preureditvijo prometnih in javnih površin v središču Iga zagotovila varno, dostopno in </w:t>
      </w:r>
      <w:proofErr w:type="spellStart"/>
      <w:r w:rsidRPr="000020F0">
        <w:rPr>
          <w:rFonts w:ascii="Arial" w:hAnsi="Arial" w:cs="Arial"/>
          <w:b/>
          <w:bCs/>
          <w:sz w:val="22"/>
          <w:szCs w:val="22"/>
        </w:rPr>
        <w:t>okoljsko</w:t>
      </w:r>
      <w:proofErr w:type="spellEnd"/>
      <w:r w:rsidRPr="000020F0">
        <w:rPr>
          <w:rFonts w:ascii="Arial" w:hAnsi="Arial" w:cs="Arial"/>
          <w:b/>
          <w:bCs/>
          <w:sz w:val="22"/>
          <w:szCs w:val="22"/>
        </w:rPr>
        <w:t xml:space="preserve"> trajnostno ureditev prostora.</w:t>
      </w:r>
    </w:p>
    <w:p w14:paraId="7348AD69" w14:textId="452B5CE5" w:rsidR="00000766" w:rsidRPr="000020F0" w:rsidRDefault="00000766"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153" w:name="_Toc3698233"/>
      <w:bookmarkStart w:id="154" w:name="_Ref230594232"/>
      <w:bookmarkStart w:id="155" w:name="_Ref230594239"/>
      <w:bookmarkStart w:id="156" w:name="_Toc230882195"/>
      <w:r w:rsidRPr="000020F0">
        <w:rPr>
          <w:rFonts w:asciiTheme="majorHAnsi" w:eastAsiaTheme="majorEastAsia" w:hAnsiTheme="majorHAnsi" w:cstheme="majorHAnsi"/>
          <w:color w:val="244061" w:themeColor="accent1" w:themeShade="80"/>
        </w:rPr>
        <w:t xml:space="preserve">Usklajenosti investicijskega projekta z državnim strateškim razvojnim dokumentom </w:t>
      </w:r>
      <w:r w:rsidR="00987434" w:rsidRPr="000020F0">
        <w:rPr>
          <w:rFonts w:asciiTheme="majorHAnsi" w:eastAsiaTheme="majorEastAsia" w:hAnsiTheme="majorHAnsi" w:cstheme="majorHAnsi"/>
          <w:color w:val="244061" w:themeColor="accent1" w:themeShade="80"/>
        </w:rPr>
        <w:t xml:space="preserve">in drugimi razvojnimi dokumenti, </w:t>
      </w:r>
      <w:r w:rsidRPr="000020F0">
        <w:rPr>
          <w:rFonts w:asciiTheme="majorHAnsi" w:eastAsiaTheme="majorEastAsia" w:hAnsiTheme="majorHAnsi" w:cstheme="majorHAnsi"/>
          <w:color w:val="244061" w:themeColor="accent1" w:themeShade="80"/>
        </w:rPr>
        <w:t>usmeritvami Skupnosti ter strategijami in izvedbenimi dokumenti strategij posameznih področij in dejavnosti</w:t>
      </w:r>
      <w:bookmarkEnd w:id="153"/>
      <w:bookmarkEnd w:id="154"/>
      <w:bookmarkEnd w:id="155"/>
      <w:bookmarkEnd w:id="156"/>
    </w:p>
    <w:p w14:paraId="6D37A14D"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Investicija je usklajena s strateškimi in izvedbeni dokumenti tako na občinski kot državni in ravni EU. </w:t>
      </w:r>
    </w:p>
    <w:p w14:paraId="0A33E623"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Projekt je usklajen s sledečimi razvojnimi strategijami: - </w:t>
      </w:r>
    </w:p>
    <w:p w14:paraId="04107435"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 xml:space="preserve">Strategija razvoja Slovenije 2030, </w:t>
      </w:r>
    </w:p>
    <w:p w14:paraId="0646BE2B" w14:textId="77777777" w:rsidR="007259FD" w:rsidRPr="000020F0" w:rsidRDefault="007259FD" w:rsidP="007259FD">
      <w:pPr>
        <w:numPr>
          <w:ilvl w:val="0"/>
          <w:numId w:val="134"/>
        </w:numPr>
        <w:spacing w:line="276" w:lineRule="auto"/>
        <w:contextualSpacing/>
        <w:rPr>
          <w:rFonts w:ascii="Arial" w:hAnsi="Arial" w:cs="Arial"/>
          <w:sz w:val="22"/>
          <w:szCs w:val="22"/>
        </w:rPr>
      </w:pPr>
      <w:r w:rsidRPr="000020F0">
        <w:rPr>
          <w:rFonts w:ascii="Arial" w:hAnsi="Arial" w:cs="Arial"/>
          <w:sz w:val="22"/>
          <w:szCs w:val="22"/>
        </w:rPr>
        <w:t>Slovenska strategija trajnostne pametne specializacije S5,</w:t>
      </w:r>
    </w:p>
    <w:p w14:paraId="62FA31D7"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 xml:space="preserve">Strategija prostorskega razvoja Slovenije, </w:t>
      </w:r>
    </w:p>
    <w:p w14:paraId="3356E41E"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Celoviti nacionalni energetski in podnebni načrt Republike Slovenije,</w:t>
      </w:r>
    </w:p>
    <w:p w14:paraId="277A12AA"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 xml:space="preserve">Strategija kulturne dediščine 2020-2023, </w:t>
      </w:r>
    </w:p>
    <w:p w14:paraId="112ACD57"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 xml:space="preserve">Strategija trajnostne rasti slovenskega turizma 2017-2021, </w:t>
      </w:r>
    </w:p>
    <w:p w14:paraId="32144452"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 xml:space="preserve">Program evropske kohezijske politike v obdobju 2021-2027 v Sloveniji, </w:t>
      </w:r>
    </w:p>
    <w:p w14:paraId="4E8DBCBA" w14:textId="77777777" w:rsidR="007259FD" w:rsidRPr="000020F0" w:rsidRDefault="007259FD"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Regionalni razvojni program Ljubljanske urbane regije za obdobje 2021-2027,</w:t>
      </w:r>
    </w:p>
    <w:p w14:paraId="2E8E1B97" w14:textId="7E671CD0" w:rsidR="007259FD" w:rsidRPr="000020F0" w:rsidRDefault="00C54E5E" w:rsidP="007259FD">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t>C</w:t>
      </w:r>
      <w:r w:rsidR="007259FD" w:rsidRPr="000020F0">
        <w:rPr>
          <w:rFonts w:ascii="Arial" w:hAnsi="Arial" w:cs="Arial"/>
          <w:sz w:val="22"/>
          <w:szCs w:val="22"/>
        </w:rPr>
        <w:t xml:space="preserve">elostna prometna strategija </w:t>
      </w:r>
      <w:r w:rsidRPr="000020F0">
        <w:rPr>
          <w:rFonts w:ascii="Arial" w:hAnsi="Arial" w:cs="Arial"/>
          <w:sz w:val="22"/>
          <w:szCs w:val="22"/>
        </w:rPr>
        <w:t xml:space="preserve">Občine </w:t>
      </w:r>
      <w:r w:rsidR="007259FD" w:rsidRPr="000020F0">
        <w:rPr>
          <w:rFonts w:ascii="Arial" w:hAnsi="Arial" w:cs="Arial"/>
          <w:sz w:val="22"/>
          <w:szCs w:val="22"/>
        </w:rPr>
        <w:t>Ig,</w:t>
      </w:r>
    </w:p>
    <w:p w14:paraId="5516C0F3" w14:textId="2C166F0E" w:rsidR="007259FD" w:rsidRPr="000020F0" w:rsidRDefault="007259FD" w:rsidP="0009142F">
      <w:pPr>
        <w:numPr>
          <w:ilvl w:val="0"/>
          <w:numId w:val="134"/>
        </w:numPr>
        <w:spacing w:after="120" w:line="276" w:lineRule="auto"/>
        <w:contextualSpacing/>
        <w:jc w:val="both"/>
        <w:rPr>
          <w:rFonts w:ascii="Arial" w:hAnsi="Arial" w:cs="Arial"/>
          <w:sz w:val="22"/>
          <w:szCs w:val="22"/>
        </w:rPr>
      </w:pPr>
      <w:r w:rsidRPr="000020F0">
        <w:rPr>
          <w:rFonts w:ascii="Arial" w:hAnsi="Arial" w:cs="Arial"/>
          <w:sz w:val="22"/>
          <w:szCs w:val="22"/>
        </w:rPr>
        <w:lastRenderedPageBreak/>
        <w:t>Strategija prostorskega razvoja Občine Ig.</w:t>
      </w:r>
    </w:p>
    <w:p w14:paraId="64F51AAB"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57" w:name="_Toc209029135"/>
      <w:bookmarkStart w:id="158" w:name="_Toc209277127"/>
      <w:bookmarkStart w:id="159" w:name="_Toc230882196"/>
      <w:r w:rsidRPr="000020F0">
        <w:rPr>
          <w:rFonts w:asciiTheme="majorHAnsi" w:eastAsiaTheme="majorEastAsia" w:hAnsiTheme="majorHAnsi" w:cstheme="majorHAnsi"/>
          <w:color w:val="244061" w:themeColor="accent1" w:themeShade="80"/>
          <w:szCs w:val="22"/>
        </w:rPr>
        <w:t>Strategija razvoja Slovenije 2030</w:t>
      </w:r>
      <w:bookmarkEnd w:id="157"/>
      <w:bookmarkEnd w:id="158"/>
      <w:bookmarkEnd w:id="159"/>
    </w:p>
    <w:p w14:paraId="4F6B6F84"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Strategijo razvoja Slovenije 2030 je Vlada RS sprejela na svoji 159. redni seji, 7. 12. 2017 ter je podlaga celovitega procesa srednjeročnega načrtovanja, ki predvideva določitev prednostnih nalog in ukrepov, ti pa morajo biti določeni tako, da upoštevajo usmeritve fiskalne politike. </w:t>
      </w:r>
    </w:p>
    <w:p w14:paraId="67A20D37"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Osrednji cilj Strategije razvoja Slovenije 2030 je zagotoviti kakovostno življenje za vse, ki ga je mogoče uresničiti z uravnoteženim gospodarskim, družbenim in </w:t>
      </w:r>
      <w:proofErr w:type="spellStart"/>
      <w:r w:rsidRPr="000020F0">
        <w:rPr>
          <w:rFonts w:ascii="Arial" w:hAnsi="Arial" w:cs="Arial"/>
          <w:sz w:val="22"/>
          <w:szCs w:val="22"/>
        </w:rPr>
        <w:t>okoljskim</w:t>
      </w:r>
      <w:proofErr w:type="spellEnd"/>
      <w:r w:rsidRPr="000020F0">
        <w:rPr>
          <w:rFonts w:ascii="Arial" w:hAnsi="Arial" w:cs="Arial"/>
          <w:sz w:val="22"/>
          <w:szCs w:val="22"/>
        </w:rPr>
        <w:t xml:space="preserve"> razvojem, ki upošteva omejitve in zmožnosti planeta ter ustvarja pogoje in priložnosti za sedanje in prihodnje rodove. Na ravni posameznika se kakovostno življenje kaže v dobrih priložnostih za delo, izobraževanje in ustvarjanje, v dostojnem, varnem in aktivnem življenju, zdravem in čistem okolju ter vključevanju v demokratično odločanje in soupravljanje družbe. </w:t>
      </w:r>
    </w:p>
    <w:p w14:paraId="4EE1F742"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Strateške usmeritve države za doseganje kakovostnega življenja so: </w:t>
      </w:r>
    </w:p>
    <w:p w14:paraId="4DD7779E" w14:textId="77777777" w:rsidR="007259FD" w:rsidRPr="000020F0" w:rsidRDefault="007259FD" w:rsidP="007259FD">
      <w:pPr>
        <w:numPr>
          <w:ilvl w:val="0"/>
          <w:numId w:val="135"/>
        </w:numPr>
        <w:spacing w:after="120" w:line="276" w:lineRule="auto"/>
        <w:contextualSpacing/>
        <w:jc w:val="both"/>
        <w:rPr>
          <w:rFonts w:ascii="Arial" w:hAnsi="Arial" w:cs="Arial"/>
          <w:sz w:val="22"/>
          <w:szCs w:val="22"/>
        </w:rPr>
      </w:pPr>
      <w:r w:rsidRPr="000020F0">
        <w:rPr>
          <w:rFonts w:ascii="Arial" w:hAnsi="Arial" w:cs="Arial"/>
          <w:sz w:val="22"/>
          <w:szCs w:val="22"/>
        </w:rPr>
        <w:t xml:space="preserve">vključujoča, zdrava, varna in odgovorna družba,  </w:t>
      </w:r>
    </w:p>
    <w:p w14:paraId="5E14BDAA" w14:textId="77777777" w:rsidR="007259FD" w:rsidRPr="000020F0" w:rsidRDefault="007259FD" w:rsidP="007259FD">
      <w:pPr>
        <w:numPr>
          <w:ilvl w:val="0"/>
          <w:numId w:val="135"/>
        </w:numPr>
        <w:spacing w:after="120" w:line="276" w:lineRule="auto"/>
        <w:contextualSpacing/>
        <w:jc w:val="both"/>
        <w:rPr>
          <w:rFonts w:ascii="Arial" w:hAnsi="Arial" w:cs="Arial"/>
          <w:sz w:val="22"/>
          <w:szCs w:val="22"/>
        </w:rPr>
      </w:pPr>
      <w:r w:rsidRPr="000020F0">
        <w:rPr>
          <w:rFonts w:ascii="Arial" w:hAnsi="Arial" w:cs="Arial"/>
          <w:sz w:val="22"/>
          <w:szCs w:val="22"/>
        </w:rPr>
        <w:t xml:space="preserve">učenje za in skozi vse življenje,  </w:t>
      </w:r>
    </w:p>
    <w:p w14:paraId="5CBD17B8" w14:textId="77777777" w:rsidR="007259FD" w:rsidRPr="000020F0" w:rsidRDefault="007259FD" w:rsidP="007259FD">
      <w:pPr>
        <w:numPr>
          <w:ilvl w:val="0"/>
          <w:numId w:val="135"/>
        </w:numPr>
        <w:spacing w:after="120" w:line="276" w:lineRule="auto"/>
        <w:contextualSpacing/>
        <w:jc w:val="both"/>
        <w:rPr>
          <w:rFonts w:ascii="Arial" w:hAnsi="Arial" w:cs="Arial"/>
          <w:sz w:val="22"/>
          <w:szCs w:val="22"/>
        </w:rPr>
      </w:pPr>
      <w:r w:rsidRPr="000020F0">
        <w:rPr>
          <w:rFonts w:ascii="Arial" w:hAnsi="Arial" w:cs="Arial"/>
          <w:sz w:val="22"/>
          <w:szCs w:val="22"/>
        </w:rPr>
        <w:t xml:space="preserve">visoko produktivno gospodarstvo, ki ustvarja dodano vrednost za vse,  </w:t>
      </w:r>
    </w:p>
    <w:p w14:paraId="5D43DC70" w14:textId="77777777" w:rsidR="007259FD" w:rsidRPr="000020F0" w:rsidRDefault="007259FD" w:rsidP="007259FD">
      <w:pPr>
        <w:numPr>
          <w:ilvl w:val="0"/>
          <w:numId w:val="135"/>
        </w:numPr>
        <w:spacing w:after="120" w:line="276" w:lineRule="auto"/>
        <w:contextualSpacing/>
        <w:jc w:val="both"/>
        <w:rPr>
          <w:rFonts w:ascii="Arial" w:hAnsi="Arial" w:cs="Arial"/>
          <w:sz w:val="22"/>
          <w:szCs w:val="22"/>
        </w:rPr>
      </w:pPr>
      <w:r w:rsidRPr="000020F0">
        <w:rPr>
          <w:rFonts w:ascii="Arial" w:hAnsi="Arial" w:cs="Arial"/>
          <w:sz w:val="22"/>
          <w:szCs w:val="22"/>
        </w:rPr>
        <w:t xml:space="preserve">ohranjeno zdravo naravno okolje,  </w:t>
      </w:r>
    </w:p>
    <w:p w14:paraId="0F6C926D" w14:textId="77777777" w:rsidR="007259FD" w:rsidRPr="000020F0" w:rsidRDefault="007259FD" w:rsidP="007259FD">
      <w:pPr>
        <w:numPr>
          <w:ilvl w:val="0"/>
          <w:numId w:val="135"/>
        </w:numPr>
        <w:spacing w:after="120" w:line="276" w:lineRule="auto"/>
        <w:contextualSpacing/>
        <w:jc w:val="both"/>
        <w:rPr>
          <w:rFonts w:ascii="Arial" w:hAnsi="Arial" w:cs="Arial"/>
          <w:sz w:val="22"/>
          <w:szCs w:val="22"/>
        </w:rPr>
      </w:pPr>
      <w:r w:rsidRPr="000020F0">
        <w:rPr>
          <w:rFonts w:ascii="Arial" w:hAnsi="Arial" w:cs="Arial"/>
          <w:sz w:val="22"/>
          <w:szCs w:val="22"/>
        </w:rPr>
        <w:t xml:space="preserve">visoka stopnja sodelovanja, usposobljenosti in učinkovitosti upravljanja. </w:t>
      </w:r>
    </w:p>
    <w:p w14:paraId="533A1BFD"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Razvojni cilji strategije: </w:t>
      </w:r>
    </w:p>
    <w:p w14:paraId="7750A22E"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1: Zdravo in aktivno življenje  </w:t>
      </w:r>
    </w:p>
    <w:p w14:paraId="6B6AC6C7"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2: Znanje in spretnosti za kakovostno življenje in delo  </w:t>
      </w:r>
    </w:p>
    <w:p w14:paraId="7A58BB19"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3: Dostojno življenje za vse  </w:t>
      </w:r>
    </w:p>
    <w:p w14:paraId="390EA332"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4: Kultura in jezik kot temeljna dejavnika nacionalne identitete  </w:t>
      </w:r>
    </w:p>
    <w:p w14:paraId="01978B69"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5: Gospodarska stabilnost  </w:t>
      </w:r>
    </w:p>
    <w:p w14:paraId="2DCBF13F"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6: Konkurenčni in družbeno odgovoren podjetniški in raziskovalni sektor  </w:t>
      </w:r>
    </w:p>
    <w:p w14:paraId="03F2B6EA"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7: Vključujoč trg dela in kakovostna delovna mesta  </w:t>
      </w:r>
    </w:p>
    <w:p w14:paraId="115FD064"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8: </w:t>
      </w:r>
      <w:proofErr w:type="spellStart"/>
      <w:r w:rsidRPr="000020F0">
        <w:rPr>
          <w:rFonts w:ascii="Arial" w:hAnsi="Arial" w:cs="Arial"/>
          <w:sz w:val="22"/>
          <w:szCs w:val="22"/>
        </w:rPr>
        <w:t>Nizkoogljično</w:t>
      </w:r>
      <w:proofErr w:type="spellEnd"/>
      <w:r w:rsidRPr="000020F0">
        <w:rPr>
          <w:rFonts w:ascii="Arial" w:hAnsi="Arial" w:cs="Arial"/>
          <w:sz w:val="22"/>
          <w:szCs w:val="22"/>
        </w:rPr>
        <w:t xml:space="preserve"> krožno gospodarstvo  </w:t>
      </w:r>
    </w:p>
    <w:p w14:paraId="23CA4FF4"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9: Trajnostno upravljanje naravnih virov  </w:t>
      </w:r>
    </w:p>
    <w:p w14:paraId="236A07A4"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10: Zaupanja vreden pravni sistem  </w:t>
      </w:r>
    </w:p>
    <w:p w14:paraId="35B3DF0E"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 xml:space="preserve">Cilj 11: Varna in globalno odgovorna Slovenija  </w:t>
      </w:r>
    </w:p>
    <w:p w14:paraId="5080EE52" w14:textId="77777777" w:rsidR="007259FD" w:rsidRPr="000020F0" w:rsidRDefault="007259FD" w:rsidP="007259FD">
      <w:pPr>
        <w:numPr>
          <w:ilvl w:val="0"/>
          <w:numId w:val="136"/>
        </w:numPr>
        <w:spacing w:after="120" w:line="276" w:lineRule="auto"/>
        <w:contextualSpacing/>
        <w:jc w:val="both"/>
        <w:rPr>
          <w:rFonts w:ascii="Arial" w:hAnsi="Arial" w:cs="Arial"/>
          <w:sz w:val="22"/>
          <w:szCs w:val="22"/>
        </w:rPr>
      </w:pPr>
      <w:r w:rsidRPr="000020F0">
        <w:rPr>
          <w:rFonts w:ascii="Arial" w:hAnsi="Arial" w:cs="Arial"/>
          <w:sz w:val="22"/>
          <w:szCs w:val="22"/>
        </w:rPr>
        <w:t>Cilj 12: Učinkovito upravljanje in kakovostne javne storitve</w:t>
      </w:r>
    </w:p>
    <w:p w14:paraId="2A26ABA0" w14:textId="77777777" w:rsidR="00EB0D59" w:rsidRPr="000020F0" w:rsidRDefault="00EB0D59" w:rsidP="007259FD">
      <w:pPr>
        <w:spacing w:after="120" w:line="276" w:lineRule="auto"/>
        <w:jc w:val="both"/>
        <w:rPr>
          <w:rFonts w:ascii="Arial" w:hAnsi="Arial" w:cs="Arial"/>
          <w:sz w:val="22"/>
          <w:szCs w:val="22"/>
        </w:rPr>
      </w:pPr>
    </w:p>
    <w:p w14:paraId="7D4393DB" w14:textId="4D5DFFAF"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SRS za obdobje 2014 2020 poudarja, da je potrebno posebno pozornost nameniti razvoju, ki prinaša delovna mesta, večjo produktivnost in ne negativno vpliva na okolje. Vizija razvoja v okviru SRS: »Slovenija je konkurenčna družba znanja in inoviranja, ki ob spoštovanju </w:t>
      </w:r>
      <w:proofErr w:type="spellStart"/>
      <w:r w:rsidRPr="000020F0">
        <w:rPr>
          <w:rFonts w:ascii="Arial" w:hAnsi="Arial" w:cs="Arial"/>
          <w:sz w:val="22"/>
          <w:szCs w:val="22"/>
        </w:rPr>
        <w:t>okoljskih</w:t>
      </w:r>
      <w:proofErr w:type="spellEnd"/>
      <w:r w:rsidRPr="000020F0">
        <w:rPr>
          <w:rFonts w:ascii="Arial" w:hAnsi="Arial" w:cs="Arial"/>
          <w:sz w:val="22"/>
          <w:szCs w:val="22"/>
        </w:rPr>
        <w:t xml:space="preserve"> omejitev zagotavlja blagostanje svojih prebivalcev in postaja model moderne </w:t>
      </w:r>
      <w:proofErr w:type="spellStart"/>
      <w:r w:rsidRPr="000020F0">
        <w:rPr>
          <w:rFonts w:ascii="Arial" w:hAnsi="Arial" w:cs="Arial"/>
          <w:sz w:val="22"/>
          <w:szCs w:val="22"/>
        </w:rPr>
        <w:t>eko</w:t>
      </w:r>
      <w:proofErr w:type="spellEnd"/>
      <w:r w:rsidRPr="000020F0">
        <w:rPr>
          <w:rFonts w:ascii="Arial" w:hAnsi="Arial" w:cs="Arial"/>
          <w:sz w:val="22"/>
          <w:szCs w:val="22"/>
        </w:rPr>
        <w:t xml:space="preserve"> regije«. Razvojne prioritete SRS: </w:t>
      </w:r>
    </w:p>
    <w:p w14:paraId="248C311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1. Konkurenčno gospodarstvo; </w:t>
      </w:r>
    </w:p>
    <w:p w14:paraId="31452FC7"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2. Znanje in zaposlovanje; </w:t>
      </w:r>
    </w:p>
    <w:p w14:paraId="4646C401"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3. Zeleno življenjsko okolje ter </w:t>
      </w:r>
    </w:p>
    <w:p w14:paraId="23DA249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4. Vključujoča družba. </w:t>
      </w:r>
    </w:p>
    <w:p w14:paraId="02BB9B77"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Razvoj mora temeljiti na izboljšanju učinkovitosti rabe vseh virov, človeških, finančnih in naravnih, na inovativni in intenzivni uporabi informacijsko komunikacijskih in tehnologije, ter na ustrezni </w:t>
      </w:r>
      <w:r w:rsidRPr="000020F0">
        <w:rPr>
          <w:rFonts w:ascii="Arial" w:hAnsi="Arial" w:cs="Arial"/>
          <w:sz w:val="22"/>
          <w:szCs w:val="22"/>
        </w:rPr>
        <w:lastRenderedPageBreak/>
        <w:t>delitvi bremen in ugodnosti ob povečanju zaposlenosti. Predpogoji za to pa so pravna država, učinkovita javna uprava in ustrezna prometna infrastruktura za trajnostno mobilnost. S svojim ciljem predstavlja obravnavani projekt v osnutku Strategije razvoja Slovenije 2014–2020 določene cilje na četrti razvojni prioriteti: Vključujoča družba, katere cilj je zagotoviti dostopnost kulture vsem družbenim skupinam in skrb za družbeno kohezivnost. To se bo doseglo z vlaganjem v zelene površine in trajnostno mobilnost.</w:t>
      </w:r>
    </w:p>
    <w:p w14:paraId="4B13B671"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60" w:name="_Toc209029136"/>
      <w:bookmarkStart w:id="161" w:name="_Toc209277128"/>
      <w:bookmarkStart w:id="162" w:name="_Toc230882197"/>
      <w:r w:rsidRPr="000020F0">
        <w:rPr>
          <w:rFonts w:asciiTheme="majorHAnsi" w:eastAsiaTheme="majorEastAsia" w:hAnsiTheme="majorHAnsi" w:cstheme="majorHAnsi"/>
          <w:color w:val="244061" w:themeColor="accent1" w:themeShade="80"/>
          <w:szCs w:val="22"/>
        </w:rPr>
        <w:t>Slovenska strategija trajnostne pametne specializacije S5</w:t>
      </w:r>
      <w:bookmarkEnd w:id="160"/>
      <w:bookmarkEnd w:id="161"/>
      <w:bookmarkEnd w:id="162"/>
    </w:p>
    <w:p w14:paraId="2C6B74C6"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V programskem obdobju 2021–2027 je nadgrajena Strategija pametne specializacije v Sloveniji kot cilj zastavila zeleni prehod, ki ga razumemo kot </w:t>
      </w:r>
      <w:r w:rsidRPr="000020F0">
        <w:rPr>
          <w:rFonts w:ascii="Arial" w:hAnsi="Arial" w:cs="Arial"/>
          <w:bCs/>
          <w:sz w:val="22"/>
          <w:szCs w:val="22"/>
        </w:rPr>
        <w:t xml:space="preserve">inovativno, </w:t>
      </w:r>
      <w:proofErr w:type="spellStart"/>
      <w:r w:rsidRPr="000020F0">
        <w:rPr>
          <w:rFonts w:ascii="Arial" w:hAnsi="Arial" w:cs="Arial"/>
          <w:bCs/>
          <w:sz w:val="22"/>
          <w:szCs w:val="22"/>
        </w:rPr>
        <w:t>nizkoogljično</w:t>
      </w:r>
      <w:proofErr w:type="spellEnd"/>
      <w:r w:rsidRPr="000020F0">
        <w:rPr>
          <w:rFonts w:ascii="Arial" w:hAnsi="Arial" w:cs="Arial"/>
          <w:bCs/>
          <w:sz w:val="22"/>
          <w:szCs w:val="22"/>
        </w:rPr>
        <w:t>, digitalno in na znanju temelječo preobrazbo gospodarstva in družbe</w:t>
      </w:r>
      <w:r w:rsidRPr="000020F0">
        <w:rPr>
          <w:rFonts w:ascii="Arial" w:hAnsi="Arial" w:cs="Arial"/>
          <w:sz w:val="22"/>
          <w:szCs w:val="22"/>
        </w:rPr>
        <w:t xml:space="preserve">. Pri tem procesu igrajo deležniki na področjih, kjer Slovenija izkazuje primerjalne prednosti in so vključena v prednostna področja S5, vodilno vlogo. Koncept ob nedavno sprejeti Uredbi EU o taksonomiji tudi na ravni EU dobiva trajnostni značaj. V Sloveniji tak razvoj koncepta uveljavljamo pod kratico S5 (ang. </w:t>
      </w:r>
      <w:proofErr w:type="spellStart"/>
      <w:r w:rsidRPr="000020F0">
        <w:rPr>
          <w:rFonts w:ascii="Arial" w:hAnsi="Arial" w:cs="Arial"/>
          <w:i/>
          <w:sz w:val="22"/>
          <w:szCs w:val="22"/>
        </w:rPr>
        <w:t>Slovenian</w:t>
      </w:r>
      <w:proofErr w:type="spellEnd"/>
      <w:r w:rsidRPr="000020F0">
        <w:rPr>
          <w:rFonts w:ascii="Arial" w:hAnsi="Arial" w:cs="Arial"/>
          <w:i/>
          <w:sz w:val="22"/>
          <w:szCs w:val="22"/>
        </w:rPr>
        <w:t xml:space="preserve"> </w:t>
      </w:r>
      <w:proofErr w:type="spellStart"/>
      <w:r w:rsidRPr="000020F0">
        <w:rPr>
          <w:rFonts w:ascii="Arial" w:hAnsi="Arial" w:cs="Arial"/>
          <w:b/>
          <w:i/>
          <w:sz w:val="22"/>
          <w:szCs w:val="22"/>
        </w:rPr>
        <w:t>Sustainable</w:t>
      </w:r>
      <w:proofErr w:type="spellEnd"/>
      <w:r w:rsidRPr="000020F0">
        <w:rPr>
          <w:rFonts w:ascii="Arial" w:hAnsi="Arial" w:cs="Arial"/>
          <w:i/>
          <w:sz w:val="22"/>
          <w:szCs w:val="22"/>
        </w:rPr>
        <w:t xml:space="preserve"> Smart </w:t>
      </w:r>
      <w:proofErr w:type="spellStart"/>
      <w:r w:rsidRPr="000020F0">
        <w:rPr>
          <w:rFonts w:ascii="Arial" w:hAnsi="Arial" w:cs="Arial"/>
          <w:i/>
          <w:sz w:val="22"/>
          <w:szCs w:val="22"/>
        </w:rPr>
        <w:t>Specialisation</w:t>
      </w:r>
      <w:proofErr w:type="spellEnd"/>
      <w:r w:rsidRPr="000020F0">
        <w:rPr>
          <w:rFonts w:ascii="Arial" w:hAnsi="Arial" w:cs="Arial"/>
          <w:i/>
          <w:sz w:val="22"/>
          <w:szCs w:val="22"/>
        </w:rPr>
        <w:t xml:space="preserve"> </w:t>
      </w:r>
      <w:proofErr w:type="spellStart"/>
      <w:r w:rsidRPr="000020F0">
        <w:rPr>
          <w:rFonts w:ascii="Arial" w:hAnsi="Arial" w:cs="Arial"/>
          <w:i/>
          <w:sz w:val="22"/>
          <w:szCs w:val="22"/>
        </w:rPr>
        <w:t>Strategy</w:t>
      </w:r>
      <w:proofErr w:type="spellEnd"/>
      <w:r w:rsidRPr="000020F0">
        <w:rPr>
          <w:rFonts w:ascii="Arial" w:hAnsi="Arial" w:cs="Arial"/>
          <w:sz w:val="22"/>
          <w:szCs w:val="22"/>
        </w:rPr>
        <w:t xml:space="preserve">), ki predstavlja celovito in osrednjo podlago za dodeljevanje dela sredstev v okviru ESRR znotraj cilja Pametna Evropa. </w:t>
      </w:r>
    </w:p>
    <w:p w14:paraId="316BA786"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Strateški cilj S5 je zeleni prehod, ki ga razumemo kot </w:t>
      </w:r>
      <w:r w:rsidRPr="000020F0">
        <w:rPr>
          <w:rFonts w:ascii="Arial" w:hAnsi="Arial" w:cs="Arial"/>
          <w:b/>
          <w:sz w:val="22"/>
          <w:szCs w:val="22"/>
        </w:rPr>
        <w:t xml:space="preserve">inovativna, </w:t>
      </w:r>
      <w:proofErr w:type="spellStart"/>
      <w:r w:rsidRPr="000020F0">
        <w:rPr>
          <w:rFonts w:ascii="Arial" w:hAnsi="Arial" w:cs="Arial"/>
          <w:b/>
          <w:sz w:val="22"/>
          <w:szCs w:val="22"/>
        </w:rPr>
        <w:t>nizkoogljična</w:t>
      </w:r>
      <w:proofErr w:type="spellEnd"/>
      <w:r w:rsidRPr="000020F0">
        <w:rPr>
          <w:rFonts w:ascii="Arial" w:hAnsi="Arial" w:cs="Arial"/>
          <w:b/>
          <w:sz w:val="22"/>
          <w:szCs w:val="22"/>
        </w:rPr>
        <w:t>, digitalna in na znanju temelječa preobrazba gospodarstva in družbe</w:t>
      </w:r>
      <w:r w:rsidRPr="000020F0">
        <w:rPr>
          <w:rFonts w:ascii="Arial" w:hAnsi="Arial" w:cs="Arial"/>
          <w:sz w:val="22"/>
          <w:szCs w:val="22"/>
        </w:rPr>
        <w:t>.</w:t>
      </w:r>
    </w:p>
    <w:p w14:paraId="0A06801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Strategija spodbuja </w:t>
      </w:r>
      <w:proofErr w:type="spellStart"/>
      <w:r w:rsidRPr="000020F0">
        <w:rPr>
          <w:rFonts w:ascii="Arial" w:hAnsi="Arial" w:cs="Arial"/>
          <w:sz w:val="22"/>
          <w:szCs w:val="22"/>
        </w:rPr>
        <w:t>ogljično</w:t>
      </w:r>
      <w:proofErr w:type="spellEnd"/>
      <w:r w:rsidRPr="000020F0">
        <w:rPr>
          <w:rFonts w:ascii="Arial" w:hAnsi="Arial" w:cs="Arial"/>
          <w:sz w:val="22"/>
          <w:szCs w:val="22"/>
        </w:rPr>
        <w:t xml:space="preserve"> neodvisno družbo, ki vključuje rešitve z uporabo podatkov agregatne mobilnosti oziroma migracij znotraj posamezne občine in med občinami; pametno prometno ureditev mest; </w:t>
      </w:r>
      <w:proofErr w:type="spellStart"/>
      <w:r w:rsidRPr="000020F0">
        <w:rPr>
          <w:rFonts w:ascii="Arial" w:hAnsi="Arial" w:cs="Arial"/>
          <w:sz w:val="22"/>
          <w:szCs w:val="22"/>
        </w:rPr>
        <w:t>multimodalno</w:t>
      </w:r>
      <w:proofErr w:type="spellEnd"/>
      <w:r w:rsidRPr="000020F0">
        <w:rPr>
          <w:rFonts w:ascii="Arial" w:hAnsi="Arial" w:cs="Arial"/>
          <w:sz w:val="22"/>
          <w:szCs w:val="22"/>
        </w:rPr>
        <w:t xml:space="preserve"> platformo mobilnosti.</w:t>
      </w:r>
    </w:p>
    <w:p w14:paraId="366DE0D5"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Ureditev zelenih površin z zelenimi in modrimi ukrepi ustvarja pogoje za zmanjšanje </w:t>
      </w:r>
      <w:proofErr w:type="spellStart"/>
      <w:r w:rsidRPr="000020F0">
        <w:rPr>
          <w:rFonts w:ascii="Arial" w:hAnsi="Arial" w:cs="Arial"/>
          <w:sz w:val="22"/>
          <w:szCs w:val="22"/>
        </w:rPr>
        <w:t>ogljičnega</w:t>
      </w:r>
      <w:proofErr w:type="spellEnd"/>
      <w:r w:rsidRPr="000020F0">
        <w:rPr>
          <w:rFonts w:ascii="Arial" w:hAnsi="Arial" w:cs="Arial"/>
          <w:sz w:val="22"/>
          <w:szCs w:val="22"/>
        </w:rPr>
        <w:t xml:space="preserve"> odtisa ter primernih površin, ki ima pozitiven vpliv zlasti pomemben za ranljive skupine, ki imajo možnost prilagajanja na vse večje temperaturne razlike še manjše.</w:t>
      </w:r>
    </w:p>
    <w:p w14:paraId="16CEEE76"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63" w:name="_Toc209029137"/>
      <w:bookmarkStart w:id="164" w:name="_Toc209277129"/>
      <w:bookmarkStart w:id="165" w:name="_Toc230882198"/>
      <w:r w:rsidRPr="000020F0">
        <w:rPr>
          <w:rFonts w:asciiTheme="majorHAnsi" w:eastAsiaTheme="majorEastAsia" w:hAnsiTheme="majorHAnsi" w:cstheme="majorHAnsi"/>
          <w:color w:val="244061" w:themeColor="accent1" w:themeShade="80"/>
          <w:szCs w:val="22"/>
        </w:rPr>
        <w:t>Strategija prostorskega razvoja Slovenije 2050</w:t>
      </w:r>
      <w:bookmarkEnd w:id="163"/>
      <w:bookmarkEnd w:id="164"/>
      <w:bookmarkEnd w:id="165"/>
    </w:p>
    <w:p w14:paraId="3C3127DA"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Strategije prostorskega razvoja Slovenije 2050 je strateški prostorski akt, ki ga je 28. 06. 2023 z resolucijo sprejel Državni zbor Republike Slovenije. Pripravo SPRS2050 je vidilo Ministrstvo za naravne vire in prostor, Direktorat za prostor in graditev. </w:t>
      </w:r>
    </w:p>
    <w:p w14:paraId="44D2A1D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Projekt je skladen s SPRS2050, ki določa dolgoročne strateške cilje države in usmeritve razvoja dejavnosti v prostoru. Projekt je skladen s strateškimi usmeritvami prostorskega razvoja, ki podpira razvoj čezmejnih urbanih območij in čezmejno povezanih poselitvenih in gospodarskih sistemov – na širših mestnih območjih v obmejnem prostoru se v povezavi s sosednjimi čezmejnimi središči povečujejo gospodarska, raziskovalno-izobraževalna in kulturna vloga posameznih središč z namenom krepitve njihove vloge na čezmejnem funkcionalnem urbanem območju. S tem se na širšem čezmejnem funkcionalnem območju krepijo skupne konkurenčne prednosti, zlasti doseganje kritične mase za izboljšanje inovacijskih zmogljivosti, in racionalnejša raba infrastrukturnih zmogljivosti. </w:t>
      </w:r>
    </w:p>
    <w:p w14:paraId="5F98D362"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Strateški cilji SPRS2050 postavljajo okvirne pogoje za doseganje prostorske kohezije, krepitve vloge Slovenije v procesih čezmejnega in mednarodnega povezovanja ter za oblikovanje novih, več funkcionalnih rešitev za razvojne težave sodobne družbe. </w:t>
      </w:r>
    </w:p>
    <w:p w14:paraId="04F23B9C"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V tem smislu cilji: </w:t>
      </w:r>
    </w:p>
    <w:p w14:paraId="5BE57D74"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krepijo prostorsko učinkovitost rabe virov, povezanost prostora (znotraj države in v mednarodnem prostoru), konkurenčnost posameznih območij in skladen regionalni razvoj; </w:t>
      </w:r>
    </w:p>
    <w:p w14:paraId="0E0AA44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lastRenderedPageBreak/>
        <w:t>- izboljšujejo prostorsko kakovost – kakovost bivalnega in naravnega okolja, dostopnost stanovanj, dostopnost storitev ter spodbujajo socialno vključenost;</w:t>
      </w:r>
    </w:p>
    <w:p w14:paraId="494E2405"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krepijo prostorsko identiteto s krepitvijo lokalnega znanja, pripadnosti in vizije skupnosti ter s krepitvijo prepoznavnosti Slovenije kot države z visoko kakovostjo ohranjenih naravnih in kulturnih prvin krajine. </w:t>
      </w:r>
    </w:p>
    <w:p w14:paraId="55C8ABEE"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Cilji SPRS2050 so: </w:t>
      </w:r>
    </w:p>
    <w:p w14:paraId="0E78BAAE"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1.</w:t>
      </w:r>
      <w:r w:rsidRPr="000020F0">
        <w:rPr>
          <w:rFonts w:ascii="Arial" w:hAnsi="Arial" w:cs="Arial"/>
          <w:sz w:val="22"/>
          <w:szCs w:val="22"/>
        </w:rPr>
        <w:t xml:space="preserve"> Vzpostaviti ustrezne razmere za prehod v podnebno nevtralno družbo. </w:t>
      </w:r>
    </w:p>
    <w:p w14:paraId="489E6A4B"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2.</w:t>
      </w:r>
      <w:r w:rsidRPr="000020F0">
        <w:rPr>
          <w:rFonts w:ascii="Arial" w:hAnsi="Arial" w:cs="Arial"/>
          <w:sz w:val="22"/>
          <w:szCs w:val="22"/>
        </w:rPr>
        <w:t xml:space="preserve"> Doseči mednarodno konkurenčnost slovenskih mest. </w:t>
      </w:r>
    </w:p>
    <w:p w14:paraId="0060AB39"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3.</w:t>
      </w:r>
      <w:r w:rsidRPr="000020F0">
        <w:rPr>
          <w:rFonts w:ascii="Arial" w:hAnsi="Arial" w:cs="Arial"/>
          <w:sz w:val="22"/>
          <w:szCs w:val="22"/>
        </w:rPr>
        <w:t xml:space="preserve"> Zagotoviti kakovost življenja na urbanih in podeželskih območjih. </w:t>
      </w:r>
    </w:p>
    <w:p w14:paraId="1795535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4.</w:t>
      </w:r>
      <w:r w:rsidRPr="000020F0">
        <w:rPr>
          <w:rFonts w:ascii="Arial" w:hAnsi="Arial" w:cs="Arial"/>
          <w:sz w:val="22"/>
          <w:szCs w:val="22"/>
        </w:rPr>
        <w:t xml:space="preserve"> Okrepiti prostorsko identiteto. </w:t>
      </w:r>
    </w:p>
    <w:p w14:paraId="56AC16B0"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5.</w:t>
      </w:r>
      <w:r w:rsidRPr="000020F0">
        <w:rPr>
          <w:rFonts w:ascii="Arial" w:hAnsi="Arial" w:cs="Arial"/>
          <w:sz w:val="22"/>
          <w:szCs w:val="22"/>
        </w:rPr>
        <w:t xml:space="preserve"> Izboljšati odpornost in prilagodljivost prostora na spremembe. </w:t>
      </w:r>
    </w:p>
    <w:p w14:paraId="22EF4878"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Projekt je skladen s cilji prostorskega razvoja SPRS2050 predvsem v naslednjih pogledih: </w:t>
      </w:r>
    </w:p>
    <w:p w14:paraId="50BBEA2D"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 Cilj 1</w:t>
      </w:r>
      <w:r w:rsidRPr="000020F0">
        <w:rPr>
          <w:rFonts w:ascii="Arial" w:hAnsi="Arial" w:cs="Arial"/>
          <w:sz w:val="22"/>
          <w:szCs w:val="22"/>
        </w:rPr>
        <w:t>: Vzpostaviti ustrezne razmere za prehod v podnebno nevtralno družbo,</w:t>
      </w:r>
    </w:p>
    <w:p w14:paraId="54139E3B"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prednostna naloga P2: Povečati varčnost in učinkovitost rabe prostora ter naravnih virov</w:t>
      </w:r>
    </w:p>
    <w:p w14:paraId="0FAA2E21"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prednostna naloga P3: Prenoviti razvrednotena urbana in krajinska območja </w:t>
      </w:r>
    </w:p>
    <w:p w14:paraId="0EB862A9"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(z izvedbo projekta se bo prispevalo k ustrezni tudi urbani ureditvi centra Iga, z izvedbo projekta se bo  pripomoglo k skladnemu regionalnemu razvoju, na prostorskih potencialnih in virih območja na trajnostni način, s tem da se bo nudila podporo gospodarstvu, kulturnemu in socialnemu razvoju, omogočajo zaposlenost v lokalnem okolju in prispevalo k preprečevanju izseljevanja prebivalstva, povečevanju odpornost na podnebne spremembe ter omogočanju prilagajanje nanje, zmanjševalo ranljivost prostora ter krepilo nacionalno in regionalno prostorsko identiteto); </w:t>
      </w:r>
    </w:p>
    <w:p w14:paraId="52ADA97C"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 Cilj 3</w:t>
      </w:r>
      <w:r w:rsidRPr="000020F0">
        <w:rPr>
          <w:rFonts w:ascii="Arial" w:hAnsi="Arial" w:cs="Arial"/>
          <w:sz w:val="22"/>
          <w:szCs w:val="22"/>
        </w:rPr>
        <w:t xml:space="preserve">: Zagotoviti kakovost življenja na urbanih in podeželskih območjih,  </w:t>
      </w:r>
    </w:p>
    <w:p w14:paraId="6B4BEDC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prednostna naloga P6: Povečati privlačnost in kakovost bivanja v slovenskih mestih </w:t>
      </w:r>
    </w:p>
    <w:p w14:paraId="5AEF1063"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 prednostna naloga P8: Izboljšati odpornost naselij na podnebne spremembe </w:t>
      </w:r>
    </w:p>
    <w:p w14:paraId="20549F47"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(z izvedbo projekta se bo oblikovalo mestni/urbani prostor v prostor za interakcijo, inovacije, kulturne in skupnostne povezanosti, kjer se bodo na območju posegov prepletali prostori za bivanje, delo in prosti čas v navezavi na okolico in krajino; na območju se bo izboljšalo trajnostno mobilnost kot osnovni koncept udobne, učinkovite, zdrave in okolju prijazne dostopnosti, prispevalo se bo k uvajanju rešitev krožnega gospodarstva; gradnja bo izvedena skladno z načeli trajnostne gradnje, v okolici pa se bo uredilo tudi ustrezne zelene površine in raščena tla, kot pomembnemu blažilcu vpliva podnebnih sprememb, zlasti z vidika zmanjšanja vplivov emisij toplogrednih plinov in prašnih delcev v okolje; k večji privlačnosti urbanega območja pa bo prispevala tudi celostna prenova in kvalitetno zasnovane urbanistične rešitve, kjer naj bi se posegi v okviru projekta izvajali; zasnovane urbanistične rešitve in arhitekturne zasnove upoštevajo tudi kakovostno stavbno, arhitekturno in kulturno dediščino, kakovostno oblikovane in vzdrževanje javne grajene in zelene površine v povezavi z zelenimi sistemi ter v življenje skupnosti dobro vključeno kulturno dediščino in javno dostopne dele območja); </w:t>
      </w:r>
    </w:p>
    <w:p w14:paraId="696F1D30"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 xml:space="preserve"> Cilj 5: </w:t>
      </w:r>
      <w:r w:rsidRPr="000020F0">
        <w:rPr>
          <w:rFonts w:ascii="Arial" w:hAnsi="Arial" w:cs="Arial"/>
          <w:sz w:val="22"/>
          <w:szCs w:val="22"/>
        </w:rPr>
        <w:t>Izboljšati odpornost in prilagodljivost prostora na spremembe - prednostna naloga P12: Izboljšati odpornost prostora - prednostna naloga P13: Okrepiti zmožnosti zaznavanja izzivov in njihovih učinkov na prostor</w:t>
      </w:r>
    </w:p>
    <w:p w14:paraId="66BFB5B1"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lastRenderedPageBreak/>
        <w:t>(z izvedbo projekta se bo spodbujala krepitev sinergij v prostoru ter omogočalo doseganje več funkcionalnosti prostora, zlasti na tistih področjih, kjer to lahko prispeva k večji odpornosti prostora na podnebne spremembe ter omilitvi škodljivih posledic naravnih nesreč; okrepljena bo skrb za ustrezno umestitev rešitev ter istočasno ohranitev ekološke povezljivosti).</w:t>
      </w:r>
    </w:p>
    <w:p w14:paraId="63AA3FC9"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Iz vsega navedenega vidimo, da je projekt skladen s SPRS2050, saj bo njegova izvedba pripomogla k uresničevanju ciljev SPRS2050.</w:t>
      </w:r>
    </w:p>
    <w:p w14:paraId="4D3B536C"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66" w:name="_Toc209029138"/>
      <w:bookmarkStart w:id="167" w:name="_Toc209277130"/>
      <w:bookmarkStart w:id="168" w:name="_Toc230882199"/>
      <w:r w:rsidRPr="000020F0">
        <w:rPr>
          <w:rFonts w:asciiTheme="majorHAnsi" w:eastAsiaTheme="majorEastAsia" w:hAnsiTheme="majorHAnsi" w:cstheme="majorHAnsi"/>
          <w:color w:val="244061" w:themeColor="accent1" w:themeShade="80"/>
          <w:szCs w:val="22"/>
        </w:rPr>
        <w:t>Celoviti nacionalni energetski in podnebni načrt Republike Slovenije (NEPN)</w:t>
      </w:r>
      <w:bookmarkEnd w:id="166"/>
      <w:bookmarkEnd w:id="167"/>
      <w:bookmarkEnd w:id="168"/>
    </w:p>
    <w:p w14:paraId="1F06EF03"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Celoviti nacionalni energetski in podnebni načrt (NEPN) je akcijsko strateški dokument, ki ga je skladno z Uredbo EU 2018/1999 o upravljanju energetske unije in podnebnih ukrepov dolžna sprejeti vsaka država članica EU.</w:t>
      </w:r>
    </w:p>
    <w:p w14:paraId="680BF811"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NEPN za obdobje do leta 2030 (s pogledom do 2040) določa cilje, politike in ukrepe na petih razsežnostih energetske unije:</w:t>
      </w:r>
    </w:p>
    <w:p w14:paraId="2E3883F0"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1.</w:t>
      </w:r>
      <w:r w:rsidRPr="000020F0">
        <w:rPr>
          <w:rFonts w:ascii="Arial" w:hAnsi="Arial" w:cs="Arial"/>
          <w:sz w:val="22"/>
          <w:szCs w:val="22"/>
        </w:rPr>
        <w:t xml:space="preserve"> razogljičenje (emisije TGP in OVE),</w:t>
      </w:r>
    </w:p>
    <w:p w14:paraId="492A46E8"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2.</w:t>
      </w:r>
      <w:r w:rsidRPr="000020F0">
        <w:rPr>
          <w:rFonts w:ascii="Arial" w:hAnsi="Arial" w:cs="Arial"/>
          <w:sz w:val="22"/>
          <w:szCs w:val="22"/>
        </w:rPr>
        <w:t xml:space="preserve"> energetska učinkovitost,</w:t>
      </w:r>
    </w:p>
    <w:p w14:paraId="75EF1F60"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3.</w:t>
      </w:r>
      <w:r w:rsidRPr="000020F0">
        <w:rPr>
          <w:rFonts w:ascii="Arial" w:hAnsi="Arial" w:cs="Arial"/>
          <w:sz w:val="22"/>
          <w:szCs w:val="22"/>
        </w:rPr>
        <w:t xml:space="preserve"> energetska varnost,</w:t>
      </w:r>
    </w:p>
    <w:p w14:paraId="719391B2"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4.</w:t>
      </w:r>
      <w:r w:rsidRPr="000020F0">
        <w:rPr>
          <w:rFonts w:ascii="Arial" w:hAnsi="Arial" w:cs="Arial"/>
          <w:sz w:val="22"/>
          <w:szCs w:val="22"/>
        </w:rPr>
        <w:t xml:space="preserve"> notranji trg ter</w:t>
      </w:r>
    </w:p>
    <w:p w14:paraId="45494230"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5.</w:t>
      </w:r>
      <w:r w:rsidRPr="000020F0">
        <w:rPr>
          <w:rFonts w:ascii="Arial" w:hAnsi="Arial" w:cs="Arial"/>
          <w:sz w:val="22"/>
          <w:szCs w:val="22"/>
        </w:rPr>
        <w:t xml:space="preserve"> raziskave, inovacije in konkurenčnost.</w:t>
      </w:r>
    </w:p>
    <w:p w14:paraId="267D1444"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Slovenija mora v naslednjem desetletju obvladati hitro rast potniškega in tovornega prometa ter usmerjati prometne tokove na alternativna prevozna sredstva. Pri tem je ključnega pomena postopno zmanjševanje rabe energije s povečanjem energetske učinkovitosti in prehodom na </w:t>
      </w:r>
      <w:proofErr w:type="spellStart"/>
      <w:r w:rsidRPr="000020F0">
        <w:rPr>
          <w:rFonts w:ascii="Arial" w:hAnsi="Arial" w:cs="Arial"/>
          <w:sz w:val="22"/>
          <w:szCs w:val="22"/>
        </w:rPr>
        <w:t>nizkoemisijska</w:t>
      </w:r>
      <w:proofErr w:type="spellEnd"/>
      <w:r w:rsidRPr="000020F0">
        <w:rPr>
          <w:rFonts w:ascii="Arial" w:hAnsi="Arial" w:cs="Arial"/>
          <w:sz w:val="22"/>
          <w:szCs w:val="22"/>
        </w:rPr>
        <w:t xml:space="preserve"> vozila. K trajnostni mobilnosti svoj delež prispevata tudi pešačenje in kolesarjenje, zato bomo aktivno spodbujali izgradnjo kolesarske infrastrukture in infrastrukture za pešce. Na ta način bo Slovenija omogočila prebivalstvu enostaven, hiter, zelen in za okolje ter mestna središča </w:t>
      </w:r>
      <w:proofErr w:type="spellStart"/>
      <w:r w:rsidRPr="000020F0">
        <w:rPr>
          <w:rFonts w:ascii="Arial" w:hAnsi="Arial" w:cs="Arial"/>
          <w:sz w:val="22"/>
          <w:szCs w:val="22"/>
        </w:rPr>
        <w:t>neinvaziven</w:t>
      </w:r>
      <w:proofErr w:type="spellEnd"/>
      <w:r w:rsidRPr="000020F0">
        <w:rPr>
          <w:rFonts w:ascii="Arial" w:hAnsi="Arial" w:cs="Arial"/>
          <w:sz w:val="22"/>
          <w:szCs w:val="22"/>
        </w:rPr>
        <w:t xml:space="preserve"> promet v zadnjih kilometrih. Cilj je, da se v deležu potovanj zmanjša število potovanj z osebnim avtomobilom (zdaj je takšnih 67 % potovanj) in bistveno poveča število potovanj peš, s kolesom ali javnim potniškim prevozom.</w:t>
      </w:r>
    </w:p>
    <w:p w14:paraId="277F2C9A"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Predmetni projekt, ki predstavlja ureditev zelene infrastrukture in ukrepe trajnostne mobilnosti, bo prispeval ravno k temu cilju, saj bodo prebivalci v rangu 500 metrov lahko pešačili v prijaznem okolju ter s tem prispevali k zmanjšanju </w:t>
      </w:r>
      <w:proofErr w:type="spellStart"/>
      <w:r w:rsidRPr="000020F0">
        <w:rPr>
          <w:rFonts w:ascii="Arial" w:hAnsi="Arial" w:cs="Arial"/>
          <w:sz w:val="22"/>
          <w:szCs w:val="22"/>
        </w:rPr>
        <w:t>ogljičnega</w:t>
      </w:r>
      <w:proofErr w:type="spellEnd"/>
      <w:r w:rsidRPr="000020F0">
        <w:rPr>
          <w:rFonts w:ascii="Arial" w:hAnsi="Arial" w:cs="Arial"/>
          <w:sz w:val="22"/>
          <w:szCs w:val="22"/>
        </w:rPr>
        <w:t xml:space="preserve"> odtisa, sama investicija pa k ugodnejšemu okolju za prebivalce, obiskovalce in turiste.</w:t>
      </w:r>
    </w:p>
    <w:p w14:paraId="03E1768B"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69" w:name="_Toc209029139"/>
      <w:bookmarkStart w:id="170" w:name="_Toc209277131"/>
      <w:bookmarkStart w:id="171" w:name="_Toc230882200"/>
      <w:r w:rsidRPr="000020F0">
        <w:rPr>
          <w:rFonts w:asciiTheme="majorHAnsi" w:eastAsiaTheme="majorEastAsia" w:hAnsiTheme="majorHAnsi" w:cstheme="majorHAnsi"/>
          <w:color w:val="244061" w:themeColor="accent1" w:themeShade="80"/>
          <w:szCs w:val="22"/>
        </w:rPr>
        <w:t>Program Evropske kohezijske politike v obdobju 2021-2027 (PEKP 21-27)</w:t>
      </w:r>
      <w:bookmarkEnd w:id="169"/>
      <w:bookmarkEnd w:id="170"/>
      <w:bookmarkEnd w:id="171"/>
    </w:p>
    <w:p w14:paraId="7C204105"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Evropska kohezijska politika je glavna naložbena politika Evropske unije. Z njeno pomočjo se je v Sloveniji uresničilo že številne projekte, ki so bistveno prispevali k hitrejšemu razvoju države. V obdobju hitrih sprememb, ki jih narekujeta zeleni in digitalni prehod, so za Slovenijo ključnega pomena ukrepi v smeri večje odpornosti gospodarstva in družbe, izkoriščanja novih priložnosti ter pospešitve prehoda v visoko produktivno, </w:t>
      </w:r>
      <w:proofErr w:type="spellStart"/>
      <w:r w:rsidRPr="000020F0">
        <w:rPr>
          <w:rFonts w:ascii="Arial" w:hAnsi="Arial" w:cs="Arial"/>
          <w:sz w:val="22"/>
          <w:szCs w:val="22"/>
        </w:rPr>
        <w:t>nizkoogljično</w:t>
      </w:r>
      <w:proofErr w:type="spellEnd"/>
      <w:r w:rsidRPr="000020F0">
        <w:rPr>
          <w:rFonts w:ascii="Arial" w:hAnsi="Arial" w:cs="Arial"/>
          <w:sz w:val="22"/>
          <w:szCs w:val="22"/>
        </w:rPr>
        <w:t xml:space="preserve"> in krožno gospodarstvo, s končnim ciljem kakovostnega življenja za vse. </w:t>
      </w:r>
    </w:p>
    <w:p w14:paraId="7C6B5B38"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Projekt je skladen s cilji PEKP 21-27, in sicer s ciljno politiko 2 »Bolj zelena, </w:t>
      </w:r>
      <w:proofErr w:type="spellStart"/>
      <w:r w:rsidRPr="000020F0">
        <w:rPr>
          <w:rFonts w:ascii="Arial" w:hAnsi="Arial" w:cs="Arial"/>
          <w:sz w:val="22"/>
          <w:szCs w:val="22"/>
        </w:rPr>
        <w:t>nizkoogljična</w:t>
      </w:r>
      <w:proofErr w:type="spellEnd"/>
      <w:r w:rsidRPr="000020F0">
        <w:rPr>
          <w:rFonts w:ascii="Arial" w:hAnsi="Arial" w:cs="Arial"/>
          <w:sz w:val="22"/>
          <w:szCs w:val="22"/>
        </w:rPr>
        <w:t xml:space="preserve"> Evropa, ki je odporna in prehaja na gospodarstvo z ničelnim </w:t>
      </w:r>
      <w:proofErr w:type="spellStart"/>
      <w:r w:rsidRPr="000020F0">
        <w:rPr>
          <w:rFonts w:ascii="Arial" w:hAnsi="Arial" w:cs="Arial"/>
          <w:sz w:val="22"/>
          <w:szCs w:val="22"/>
        </w:rPr>
        <w:t>ogljičnim</w:t>
      </w:r>
      <w:proofErr w:type="spellEnd"/>
      <w:r w:rsidRPr="000020F0">
        <w:rPr>
          <w:rFonts w:ascii="Arial" w:hAnsi="Arial" w:cs="Arial"/>
          <w:sz w:val="22"/>
          <w:szCs w:val="22"/>
        </w:rPr>
        <w:t xml:space="preserve"> odtisom s spodbujanjem čistega in pravičnega energetskega prehoda, zelenih in modrih naložb, krožnega gospodarstva, blaženja </w:t>
      </w:r>
      <w:r w:rsidRPr="000020F0">
        <w:rPr>
          <w:rFonts w:ascii="Arial" w:hAnsi="Arial" w:cs="Arial"/>
          <w:sz w:val="22"/>
          <w:szCs w:val="22"/>
        </w:rPr>
        <w:lastRenderedPageBreak/>
        <w:t>podnebnih sprememb in prilagajanja nanje ter preprečevanja in obvladovanja tveganj ter trajnostne mestne mobilnosti.«</w:t>
      </w:r>
    </w:p>
    <w:p w14:paraId="3D975DAB"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CILJ:</w:t>
      </w:r>
      <w:r w:rsidRPr="000020F0">
        <w:rPr>
          <w:rFonts w:ascii="Arial" w:hAnsi="Arial" w:cs="Arial"/>
          <w:sz w:val="22"/>
          <w:szCs w:val="22"/>
        </w:rPr>
        <w:t xml:space="preserve"> Izboljšanje varstva in ohranjanja narave ter biotske raznovrstnosti in zelene infrastrukture, tudi v mestnem okolju, in zmanjšanje vseh oblik onesnaževanja Ukrepi za izboljšanje stanja biotske raznovrstnosti v omrežju Natura 2000 in na drugih prednostnih območjih varstva narave so namenjeni prioritetnim Natura 2000 območjem za izboljšanje stanja vrst in habitatnih tipov, v manjšem delu ureditvi z obiskom najbolj obremenjenih delov narave ter vlagan jem v zeleno infrastrukturo v urbanem okolju, Prednostna naloga 3: Zelena preobrazba za podnebno nevtralnost Specifični cilj RSO2.7. Izboljšanje varstva in ohranjanja narave ter biotske raznovrstnosti in zelene infrastrukture, tudi v mestnem okolju, in zmanjšanje vseh oblik onesnaževanja (ESRR)</w:t>
      </w:r>
    </w:p>
    <w:p w14:paraId="72F1395E"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ter prav tako </w:t>
      </w:r>
    </w:p>
    <w:p w14:paraId="2B32B998"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CILJ:</w:t>
      </w:r>
      <w:r w:rsidRPr="000020F0">
        <w:rPr>
          <w:rFonts w:ascii="Arial" w:hAnsi="Arial" w:cs="Arial"/>
          <w:sz w:val="22"/>
          <w:szCs w:val="22"/>
        </w:rPr>
        <w:t xml:space="preserve"> Spodbujanje trajnostne mestne mobilnosti v okviru prehoda na gospodarstvo z ničelno stopnjo neto emisij ogljika Investicije na področju trajnostne urbane mobilnosti bodo pripomogle k dvigu deleža trajnostnih prometnih načinov v dnevnih migracijah prebivalstva ter zmanjšanju emisij toplogrednih plinov (TPG). Trajna rešitev za ta izziv je prehod na trajnostno mobilnost z nizkimi emisijami CO2 in onesnaževal zraka ter z nizko porabo energije s poudarkom na aktivni mobilnosti, zato bodo ukrepi usmerjeni na navedena področja. Hkrati pa bodo ukrepi usmerjeni v povečanje uporabe vozil na alternativne energente. Poleg ukrepov za izboljšanje javnega potniškega prometa z uvajanjem </w:t>
      </w:r>
      <w:proofErr w:type="spellStart"/>
      <w:r w:rsidRPr="000020F0">
        <w:rPr>
          <w:rFonts w:ascii="Arial" w:hAnsi="Arial" w:cs="Arial"/>
          <w:sz w:val="22"/>
          <w:szCs w:val="22"/>
        </w:rPr>
        <w:t>brezemisijskih</w:t>
      </w:r>
      <w:proofErr w:type="spellEnd"/>
      <w:r w:rsidRPr="000020F0">
        <w:rPr>
          <w:rFonts w:ascii="Arial" w:hAnsi="Arial" w:cs="Arial"/>
          <w:sz w:val="22"/>
          <w:szCs w:val="22"/>
        </w:rPr>
        <w:t xml:space="preserve"> vozil, je namreč ključno zagotavljanje ustrezne polnilne infrastrukture za alternativne energente za različne vrste vozil. Prednostno bodo sredstva namenjena infrastrukturi za </w:t>
      </w:r>
      <w:proofErr w:type="spellStart"/>
      <w:r w:rsidRPr="000020F0">
        <w:rPr>
          <w:rFonts w:ascii="Arial" w:hAnsi="Arial" w:cs="Arial"/>
          <w:sz w:val="22"/>
          <w:szCs w:val="22"/>
        </w:rPr>
        <w:t>multimodalni</w:t>
      </w:r>
      <w:proofErr w:type="spellEnd"/>
      <w:r w:rsidRPr="000020F0">
        <w:rPr>
          <w:rFonts w:ascii="Arial" w:hAnsi="Arial" w:cs="Arial"/>
          <w:sz w:val="22"/>
          <w:szCs w:val="22"/>
        </w:rPr>
        <w:t xml:space="preserve"> potniški promet od vrat do vrat. Hrbtenica sistema mora biti javni potniški promet (JPP), dopolnjuje pa se s kolesarskimi povezavami in infrastrukturo za pešce, s poudarkom na dostopu do postajališč JPP ter s točkami prestopa iz osebnega avtomobila na JPP ali </w:t>
      </w:r>
      <w:proofErr w:type="spellStart"/>
      <w:r w:rsidRPr="000020F0">
        <w:rPr>
          <w:rFonts w:ascii="Arial" w:hAnsi="Arial" w:cs="Arial"/>
          <w:sz w:val="22"/>
          <w:szCs w:val="22"/>
        </w:rPr>
        <w:t>sopotništvo</w:t>
      </w:r>
      <w:proofErr w:type="spellEnd"/>
      <w:r w:rsidRPr="000020F0">
        <w:rPr>
          <w:rFonts w:ascii="Arial" w:hAnsi="Arial" w:cs="Arial"/>
          <w:sz w:val="22"/>
          <w:szCs w:val="22"/>
        </w:rPr>
        <w:t xml:space="preserve"> ali ostale aktivne oblike prevoza, prednostne naloge 5 »Trajnostna (čez)regionalna mobilnost in povezljivost«, specifičnega cilja RSO 3.2 »Razvoj in krepitev trajnostne, pametne in </w:t>
      </w:r>
      <w:proofErr w:type="spellStart"/>
      <w:r w:rsidRPr="000020F0">
        <w:rPr>
          <w:rFonts w:ascii="Arial" w:hAnsi="Arial" w:cs="Arial"/>
          <w:sz w:val="22"/>
          <w:szCs w:val="22"/>
        </w:rPr>
        <w:t>intermodalne</w:t>
      </w:r>
      <w:proofErr w:type="spellEnd"/>
      <w:r w:rsidRPr="000020F0">
        <w:rPr>
          <w:rFonts w:ascii="Arial" w:hAnsi="Arial" w:cs="Arial"/>
          <w:sz w:val="22"/>
          <w:szCs w:val="22"/>
        </w:rPr>
        <w:t xml:space="preserve"> nacionalne, regionalne in lokalne mobilnosti, odporne proti podnebnim spremembam, vključno z boljšim dostopom do vseevropskega prometnega omrežja (TEN-T) in čezmejno mobilnostjo«.</w:t>
      </w:r>
    </w:p>
    <w:p w14:paraId="23D36032"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72" w:name="_Toc209029140"/>
      <w:bookmarkStart w:id="173" w:name="_Toc209277132"/>
      <w:bookmarkStart w:id="174" w:name="_Toc230882201"/>
      <w:r w:rsidRPr="000020F0">
        <w:rPr>
          <w:rFonts w:asciiTheme="majorHAnsi" w:eastAsiaTheme="majorEastAsia" w:hAnsiTheme="majorHAnsi" w:cstheme="majorHAnsi"/>
          <w:color w:val="244061" w:themeColor="accent1" w:themeShade="80"/>
          <w:szCs w:val="22"/>
        </w:rPr>
        <w:t>Regionalni razvojni program Ljubljanske urbane regije 2021-2027 (RRP LUR)</w:t>
      </w:r>
      <w:bookmarkEnd w:id="172"/>
      <w:bookmarkEnd w:id="173"/>
      <w:bookmarkEnd w:id="174"/>
    </w:p>
    <w:p w14:paraId="408EC721"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Splošni okvir za določitev ciljev in usmeritev regionalne politike v Sloveniji ter pripravo RRP določata Strategija razvoja Slovenije 2030 (SRS 2030) in Strategija prostorskega razvoja Slovenije 2050 (SPRS 2050). </w:t>
      </w:r>
    </w:p>
    <w:p w14:paraId="407A0D3D"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 xml:space="preserve">Vsebinska izhodišča programiranja v okviru Evropske kohezijske politike so usmerjena na pet ciljev: </w:t>
      </w:r>
    </w:p>
    <w:p w14:paraId="255AA53E"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1.</w:t>
      </w:r>
      <w:r w:rsidRPr="000020F0">
        <w:rPr>
          <w:rFonts w:ascii="Arial" w:hAnsi="Arial" w:cs="Arial"/>
          <w:sz w:val="22"/>
          <w:szCs w:val="22"/>
        </w:rPr>
        <w:t xml:space="preserve"> Pametnejša Evropa s spodbujanjem inovativne in pametne gospodarske preobrazbe; </w:t>
      </w:r>
    </w:p>
    <w:p w14:paraId="21820B53"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2.</w:t>
      </w:r>
      <w:r w:rsidRPr="000020F0">
        <w:rPr>
          <w:rFonts w:ascii="Arial" w:hAnsi="Arial" w:cs="Arial"/>
          <w:sz w:val="22"/>
          <w:szCs w:val="22"/>
        </w:rPr>
        <w:t xml:space="preserve"> Bolj zelena, </w:t>
      </w:r>
      <w:proofErr w:type="spellStart"/>
      <w:r w:rsidRPr="000020F0">
        <w:rPr>
          <w:rFonts w:ascii="Arial" w:hAnsi="Arial" w:cs="Arial"/>
          <w:sz w:val="22"/>
          <w:szCs w:val="22"/>
        </w:rPr>
        <w:t>nizkoogljična</w:t>
      </w:r>
      <w:proofErr w:type="spellEnd"/>
      <w:r w:rsidRPr="000020F0">
        <w:rPr>
          <w:rFonts w:ascii="Arial" w:hAnsi="Arial" w:cs="Arial"/>
          <w:sz w:val="22"/>
          <w:szCs w:val="22"/>
        </w:rPr>
        <w:t xml:space="preserve"> Evropa s spodbujanjem prehoda na čisto in pravično energijo, zelene in modre naložbe, krožno gospodarstvo, prilagajanje podnebnim spremembam ter preprečevanje in upravljanje tveganj; </w:t>
      </w:r>
    </w:p>
    <w:p w14:paraId="14F933CA"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3.</w:t>
      </w:r>
      <w:r w:rsidRPr="000020F0">
        <w:rPr>
          <w:rFonts w:ascii="Arial" w:hAnsi="Arial" w:cs="Arial"/>
          <w:sz w:val="22"/>
          <w:szCs w:val="22"/>
        </w:rPr>
        <w:t xml:space="preserve"> Bolj povezana Evropa z izboljšanjem mobilnosti in regionalne povezljivosti IKT; </w:t>
      </w:r>
    </w:p>
    <w:p w14:paraId="37448E8C"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4.</w:t>
      </w:r>
      <w:r w:rsidRPr="000020F0">
        <w:rPr>
          <w:rFonts w:ascii="Arial" w:hAnsi="Arial" w:cs="Arial"/>
          <w:sz w:val="22"/>
          <w:szCs w:val="22"/>
        </w:rPr>
        <w:t xml:space="preserve"> Bolj socialna Evropa za izvajanje evropskega stebra socialnih pravic; </w:t>
      </w:r>
    </w:p>
    <w:p w14:paraId="5C1D533F"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b/>
          <w:sz w:val="22"/>
          <w:szCs w:val="22"/>
        </w:rPr>
        <w:t>5.</w:t>
      </w:r>
      <w:r w:rsidRPr="000020F0">
        <w:rPr>
          <w:rFonts w:ascii="Arial" w:hAnsi="Arial" w:cs="Arial"/>
          <w:sz w:val="22"/>
          <w:szCs w:val="22"/>
        </w:rPr>
        <w:t xml:space="preserve"> Evropa, ki je bliže državljanom, in sicer s spodbujanjem trajnostnega in celostnega razvoja mest, podeželja in obalnih območij ter lokalnih pobud.</w:t>
      </w:r>
    </w:p>
    <w:p w14:paraId="6C0F6F2D"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lastRenderedPageBreak/>
        <w:t>Kot prioriteto 3 RRP LUR navaja zeleno regijo trajnostnih rešitev, konkretno 6.3.1 Trajnostna mobilnost in 6.3.4 Razvoj in upravljanje zelene infrastrukture.</w:t>
      </w:r>
    </w:p>
    <w:p w14:paraId="272902A4" w14:textId="77777777" w:rsidR="007259FD" w:rsidRPr="000020F0" w:rsidRDefault="007259FD" w:rsidP="007259FD">
      <w:pPr>
        <w:spacing w:after="120" w:line="276" w:lineRule="auto"/>
        <w:jc w:val="both"/>
        <w:rPr>
          <w:rFonts w:ascii="Arial" w:hAnsi="Arial" w:cs="Arial"/>
          <w:sz w:val="22"/>
          <w:szCs w:val="22"/>
        </w:rPr>
      </w:pPr>
      <w:r w:rsidRPr="000020F0">
        <w:rPr>
          <w:rFonts w:ascii="Arial" w:hAnsi="Arial" w:cs="Arial"/>
          <w:sz w:val="22"/>
          <w:szCs w:val="22"/>
        </w:rPr>
        <w:t>Projekt sledi dvema prioritetama RRP LUR.</w:t>
      </w:r>
    </w:p>
    <w:p w14:paraId="077F1D58" w14:textId="3E55B27D" w:rsidR="007259FD" w:rsidRPr="000020F0" w:rsidRDefault="00C54E5E"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75" w:name="_Toc209029141"/>
      <w:bookmarkStart w:id="176" w:name="_Toc209277133"/>
      <w:bookmarkStart w:id="177" w:name="_Ref230594218"/>
      <w:bookmarkStart w:id="178" w:name="_Toc230882202"/>
      <w:r w:rsidRPr="000020F0">
        <w:rPr>
          <w:rFonts w:asciiTheme="majorHAnsi" w:eastAsiaTheme="majorEastAsia" w:hAnsiTheme="majorHAnsi" w:cstheme="majorHAnsi"/>
          <w:color w:val="244061" w:themeColor="accent1" w:themeShade="80"/>
          <w:szCs w:val="22"/>
        </w:rPr>
        <w:t>C</w:t>
      </w:r>
      <w:r w:rsidR="007259FD" w:rsidRPr="000020F0">
        <w:rPr>
          <w:rFonts w:asciiTheme="majorHAnsi" w:eastAsiaTheme="majorEastAsia" w:hAnsiTheme="majorHAnsi" w:cstheme="majorHAnsi"/>
          <w:color w:val="244061" w:themeColor="accent1" w:themeShade="80"/>
          <w:szCs w:val="22"/>
        </w:rPr>
        <w:t xml:space="preserve">elostna prometna strategija </w:t>
      </w:r>
      <w:r w:rsidRPr="000020F0">
        <w:rPr>
          <w:rFonts w:asciiTheme="majorHAnsi" w:eastAsiaTheme="majorEastAsia" w:hAnsiTheme="majorHAnsi" w:cstheme="majorHAnsi"/>
          <w:color w:val="244061" w:themeColor="accent1" w:themeShade="80"/>
          <w:szCs w:val="22"/>
        </w:rPr>
        <w:t xml:space="preserve">Občine </w:t>
      </w:r>
      <w:r w:rsidR="007259FD" w:rsidRPr="000020F0">
        <w:rPr>
          <w:rFonts w:asciiTheme="majorHAnsi" w:eastAsiaTheme="majorEastAsia" w:hAnsiTheme="majorHAnsi" w:cstheme="majorHAnsi"/>
          <w:color w:val="244061" w:themeColor="accent1" w:themeShade="80"/>
          <w:szCs w:val="22"/>
        </w:rPr>
        <w:t>Ig</w:t>
      </w:r>
      <w:bookmarkEnd w:id="175"/>
      <w:bookmarkEnd w:id="176"/>
      <w:bookmarkEnd w:id="177"/>
      <w:bookmarkEnd w:id="178"/>
    </w:p>
    <w:p w14:paraId="2809B320"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Občina Ig je izrazito bivalna, s prevladujočim deležem delovno aktivnega prebivalstva, pri čemer se velika večina zaposlenih vsakodnevno vozi na delo v druge občine, predvsem Ljubljano. To ustvarja visoke obremenitve cestnega prometa, saj je osebni avtomobil še vedno najpogostejši način premikanja. Stopnja motorizacije se je v zadnjem desetletju povečala, kar se odraža v prometnih zastojih in preobremenjenosti s parkiranjem v središču Iga, kjer so javne površine pogosto namenjene mirujočemu prometu.</w:t>
      </w:r>
    </w:p>
    <w:p w14:paraId="172991F1"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Javni potniški promet je premalo razvit in za uporabnike časovno nekonkurenčen. Delež prebivalcev, ki se vanj vključuje za vsakodnevne poti, je zelo nizek, kar velja tako za potovanja znotraj občine kot tudi za povezave s sosednjimi občinami. Najboljšo dostopnost ima območje središča Iga, kjer je glavno avtobusno postajališče, vendar peš dostop do njega zajema le ožjo okolico. Dostop s kolesom je širši, a nezadosten, saj občina še nima dovolj varno urejenih in povezanih kolesarskih poti, ki bi omogočale privlačne in varne povezave med naselji ter naprej do Ljubljane in drugih sosednjih občin.</w:t>
      </w:r>
    </w:p>
    <w:p w14:paraId="30D090AF"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 xml:space="preserve">Aktivne oblike mobilnosti, kot sta hoja in kolesarjenje, so premalo zastopane, čeprav ankete kažejo, da bi prebivalci bili pripravljeni večkrat potovati na trajnostne načine, če bi bile poti varnejše, krajše in bolj udobne. Številni pešci so primorani hoditi ob prometnih cestah brez zaščite, manjkajo varne šolske poti, dostop do postaj javnega prevoza pa je pogosto nevaren in neurejen. Hkrati pa so se v zadnjih letih že izvedli nekateri ukrepi za izboljšanje stanja, kot so brv </w:t>
      </w:r>
      <w:proofErr w:type="spellStart"/>
      <w:r w:rsidRPr="000020F0">
        <w:rPr>
          <w:rFonts w:ascii="Arial" w:hAnsi="Arial" w:cs="Arial"/>
          <w:sz w:val="22"/>
          <w:szCs w:val="22"/>
          <w:lang w:eastAsia="zh-TW"/>
        </w:rPr>
        <w:t>Rastuke</w:t>
      </w:r>
      <w:proofErr w:type="spellEnd"/>
      <w:r w:rsidRPr="000020F0">
        <w:rPr>
          <w:rFonts w:ascii="Arial" w:hAnsi="Arial" w:cs="Arial"/>
          <w:sz w:val="22"/>
          <w:szCs w:val="22"/>
          <w:lang w:eastAsia="zh-TW"/>
        </w:rPr>
        <w:t>–Čolnarska ulica, pešpoti do Ljubljanske ceste, novi pločniki ob glavnih poteh in ureditev Govekarjeve ceste. V pripravi je tudi projektna dokumentacija za celovito ureditev središča Iga, ki bo zasnovana po načelih trajnostne mobilnosti.</w:t>
      </w:r>
    </w:p>
    <w:p w14:paraId="4C4B6403"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Na področju prometne varnosti se stanje v zadnjem obdobju ni bistveno izboljšalo. V obdobju 2018–2022 je bilo v občini zabeleženih 164 prometnih nesreč, pri čemer ostaja delež nesreč z udeleženimi pešci in kolesarji zaskrbljujoč (okoli 18 % vseh nesreč letno). V večini primerov gre za lažje telesne poškodbe, a občani prometno varnost prepoznavajo kot eno ključnih vrednot, kar potrjujejo tudi rezultati anket in razprav.</w:t>
      </w:r>
    </w:p>
    <w:p w14:paraId="0348AA26"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Na podlagi teh izzivov OCPS predvideva niz ukrepov za izboljšanje stanja. V ospredju so ukrepi za izboljšanje pogojev za hojo, predvsem ureditev novih varnih pešpoti ob prometnicah in varnih šolskih poti, skupaj z ozelenitvijo javnih površin ter umirjanjem motornega prometa v središču Iga. Na področju kolesarjenja so predvidene povezane in varne kolesarske poti med naselji in do avtobusnih postaj, skupaj z razvojem sistema (e-)koles. Posebna pozornost bo namenjena tudi izboljšanju povezav javnega potniškega prometa, kjer je cilj povečati delež uporabnikov ter vzpostaviti povezovalne točke za enostavno kombiniranje različnih načinov mobilnosti. Ukrepi vključujejo tudi učinkovitejše upravljanje mirujočega prometa s parkirno politiko ter umikanje avtomobilskega prometa iz središč naselij.</w:t>
      </w:r>
    </w:p>
    <w:p w14:paraId="15B42C3B"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Za reševanje ugotovljenih prometnih izzivov OCPS Ig predvideva širok nabor ukrepov, ki se nanašajo na vse oblike mobilnosti in so razdeljeni v pet temeljnih stebrov.</w:t>
      </w:r>
    </w:p>
    <w:p w14:paraId="3C117E4C"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 xml:space="preserve">Na področju hoje je predvidena ureditev novih varnih pešpoti v naseljih in med njimi ter do avtobusnih postajališč. Poseben poudarek bo namenjen varnim šolskim potem, z razširjenimi pločniki, talnimi ureditvami in ukrepi za umirjanje prometa. Površine za pešce bodo ozelenjene, </w:t>
      </w:r>
      <w:r w:rsidRPr="000020F0">
        <w:rPr>
          <w:rFonts w:ascii="Arial" w:hAnsi="Arial" w:cs="Arial"/>
          <w:sz w:val="22"/>
          <w:szCs w:val="22"/>
          <w:lang w:eastAsia="zh-TW"/>
        </w:rPr>
        <w:lastRenderedPageBreak/>
        <w:t>opremljene z drevoredi in urbano opremo, v središču Iga pa bo izvedena celovita prenova, ki vključuje razširjene pločnike ob Govekarjevi cesti, prestavitev parkirnih mest, ureditev trga med Občino in pošto s paviljoni in stojnicami ter postavitev javnih sanitarij. Predvideni so tudi rekreacijski koridorji za hojo in boljši peš dostop do naravnih in rekreativnih območij.</w:t>
      </w:r>
    </w:p>
    <w:p w14:paraId="0626F032"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Za kolesarjenje se načrtuje vzpostavitev varnih in povezanih kolesarskih poti, tako znotraj naselij kot tudi do sosednjih občin (Ljubljana, Škofljica, Brezovica, Podpeč). Predvidena je izgradnja kolesarskih povezav do avtobusnih postaj in P+R parkirišč ter vzpostavitev sistema javne izposoje koles in e-koles, skupaj s podporno infrastrukturo, kot so stojala in polnilnice. Poti bodo zasajene z drevesi za senco, hkrati pa se bodo razvijale tudi rekreativne kolesarske povezave, ki bodo omogočale dostop do naravnih in turističnih območij.</w:t>
      </w:r>
    </w:p>
    <w:p w14:paraId="1ED965B0"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 xml:space="preserve">Na področju javnega potniškega prometa strategija predvideva izboljšanje povezanosti med naselji v občini in z okoliškimi občinami ter nadgradnjo avtobusnih linij z večjo frekvenco in boljšo časovno usklajenostjo. Vzpostavile se bodo povezovalne točke, ki bodo omogočale enostavno kombiniranje različnih načinov mobilnosti – javnega prevoza, </w:t>
      </w:r>
      <w:proofErr w:type="spellStart"/>
      <w:r w:rsidRPr="000020F0">
        <w:rPr>
          <w:rFonts w:ascii="Arial" w:hAnsi="Arial" w:cs="Arial"/>
          <w:sz w:val="22"/>
          <w:szCs w:val="22"/>
          <w:lang w:eastAsia="zh-TW"/>
        </w:rPr>
        <w:t>sopotništva</w:t>
      </w:r>
      <w:proofErr w:type="spellEnd"/>
      <w:r w:rsidRPr="000020F0">
        <w:rPr>
          <w:rFonts w:ascii="Arial" w:hAnsi="Arial" w:cs="Arial"/>
          <w:sz w:val="22"/>
          <w:szCs w:val="22"/>
          <w:lang w:eastAsia="zh-TW"/>
        </w:rPr>
        <w:t>, kolesarjenja, izposoje koles in parkirišč P+R. Glavno avtobusno postajališče v središču Iga bo prenovljeno in opremljeno z nadstrešnicami, izboljšan pa bo tudi peš in kolesarski dostop do postajališč.</w:t>
      </w:r>
    </w:p>
    <w:p w14:paraId="151EDB45"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V zvezi z motornim prometom so predvideni ukrepi za njegovo umirjanje v središču Iga in v naseljih, z uvedbo enosmernih ureditev, območij umirjenega prometa in talnih ureditev. Strategija predvideva postopno umikanje motornega prometa iz središč naselij ter oblikovanje učinkovite parkirne politike, ki bo zmanjšala obremenjenost s parkiranjem v centru in spodbudila uporabo P+R parkirišč na robu naselij. Na ključnih prometnih točkah so načrtovane rekonstrukcije, med drugim ureditev krožišča pri obrtni coni in križišča v Tomišlju. Posebna pozornost bo namenjena tudi zagotavljanju varnosti in prevoznosti za kmetijsko mehanizacijo.</w:t>
      </w:r>
    </w:p>
    <w:p w14:paraId="5BCEA0BC"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Zadnji sklop ukrepov se nanaša na celostno prometno načrtovanje. Občina se zavezuje, da bo načela trajnostne mobilnosti vključila v svoje vsakodnevno odločanje, okrepila usposobljenost zaposlenih in zagotovila kontinuirano komunikacijo z javnostjo. Vzpostavljen bo sistem spremljanja učinkov strategije z enotnimi kazalniki, o katerih bo občina redno poročala ministrstvu do leta 2032. Strategija predvideva tudi nadaljnje vključevanje prebivalcev pri izvajanju ukrepov ter ozaveščanje o prednostih trajnostne mobilnosti.</w:t>
      </w:r>
    </w:p>
    <w:p w14:paraId="20F92EC1"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Na ta način OCPS Ig povezuje infrastrukturne ukrepe (pločniki, kolesarske poti, avtobusna postajališča, parkirišča) z mehkimi ukrepi (umirjanje prometa, parkirna politika, ozaveščanje), kar zagotavlja celovit prehod k bolj varni, dostopni in trajnostni mobilnosti.</w:t>
      </w:r>
    </w:p>
    <w:p w14:paraId="12836F84"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S celostnim pristopom občina tako odgovarja na ključne izzive: visoko odvisnost od osebnega avtomobila, prometno obremenjenost središča, nezadostno razvite trajnostne oblike mobilnosti in prometno varnost ranljivih skupin. Vključevanje prebivalcev v proces priprave strategije ter že izražena visoka podpora ukrepom pa zagotavljata trdno osnovo, da bodo predvideni ukrepi tudi dejansko zaživeli v praksi in dolgoročno izboljšali kakovost življenja v občini.</w:t>
      </w:r>
    </w:p>
    <w:p w14:paraId="5759E6C8" w14:textId="77777777" w:rsidR="007259FD" w:rsidRPr="000020F0" w:rsidRDefault="007259FD" w:rsidP="007259FD">
      <w:pPr>
        <w:spacing w:after="120" w:line="276" w:lineRule="auto"/>
        <w:jc w:val="both"/>
        <w:rPr>
          <w:rFonts w:ascii="Arial" w:hAnsi="Arial" w:cs="Arial"/>
          <w:sz w:val="22"/>
          <w:szCs w:val="22"/>
          <w:lang w:eastAsia="zh-TW"/>
        </w:rPr>
      </w:pPr>
      <w:r w:rsidRPr="000020F0">
        <w:rPr>
          <w:rFonts w:ascii="Arial" w:hAnsi="Arial" w:cs="Arial"/>
          <w:sz w:val="22"/>
          <w:szCs w:val="22"/>
          <w:lang w:eastAsia="zh-TW"/>
        </w:rPr>
        <w:t>Občina Ig ima v akcijskem načrtu OCPS med drugim zapisane naslednje ukrepe, ki se neposredno nanašajo na obravnavani projekt:</w:t>
      </w:r>
    </w:p>
    <w:p w14:paraId="2EF7599A"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Priprava projektne, investicijske in druge dokumentacije za celovito ureditev središča Iga.</w:t>
      </w:r>
    </w:p>
    <w:p w14:paraId="623545B4"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Transformacija parkirnih površin pred Občino v trg s površinami za pešce, paviljonom, stojnicami in sanitarijami.</w:t>
      </w:r>
    </w:p>
    <w:p w14:paraId="30C005A6"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 xml:space="preserve">Ureditev enosmernega krožnega prometa med OŠ in Občino (ob pošti) in zagotovitev površin za izboljšanje udobja in varnosti ranljivih udeležencev v prometu. </w:t>
      </w:r>
    </w:p>
    <w:p w14:paraId="51A5836D"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lastRenderedPageBreak/>
        <w:t>Ureditev Govekarjeve ceste ob OŠ s površinami za pešce in kolesarje, drevoredom in urbano opremo.</w:t>
      </w:r>
    </w:p>
    <w:p w14:paraId="55AFC96F"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Vzpostavitev regijske javne mreže sistema izposoje (e-)koles po celi občini, ki bo kompatibilen s sistemi v sosednjih občinah</w:t>
      </w:r>
    </w:p>
    <w:p w14:paraId="53CF832F"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 xml:space="preserve">Postavitev (varnih) kolesarnic in naslonov za priklapljanje koles (opcijsko s servisnimi stojali za popravilo koles in polnilnicami za e-kolesa): najmanj 5 lokacij v času trajanja strategije </w:t>
      </w:r>
    </w:p>
    <w:p w14:paraId="5AE89670" w14:textId="77777777" w:rsidR="007259FD" w:rsidRPr="000020F0" w:rsidRDefault="007259FD" w:rsidP="007259FD">
      <w:pPr>
        <w:spacing w:after="120" w:line="276" w:lineRule="auto"/>
        <w:ind w:left="284"/>
        <w:jc w:val="both"/>
        <w:rPr>
          <w:rFonts w:ascii="Arial" w:hAnsi="Arial" w:cs="Arial"/>
          <w:sz w:val="22"/>
          <w:szCs w:val="22"/>
          <w:lang w:eastAsia="zh-TW"/>
        </w:rPr>
      </w:pPr>
      <w:r w:rsidRPr="000020F0">
        <w:rPr>
          <w:rFonts w:ascii="Arial" w:hAnsi="Arial" w:cs="Arial"/>
          <w:sz w:val="22"/>
          <w:szCs w:val="22"/>
          <w:lang w:eastAsia="zh-TW"/>
        </w:rPr>
        <w:t xml:space="preserve">(npr. na območju obrtne cone, na parkirišču pri pokopališču, pri vstopu na kolišča, v središču Iga oz. ob avtobusnem postajališču in drugih </w:t>
      </w:r>
      <w:proofErr w:type="spellStart"/>
      <w:r w:rsidRPr="000020F0">
        <w:rPr>
          <w:rFonts w:ascii="Arial" w:hAnsi="Arial" w:cs="Arial"/>
          <w:sz w:val="22"/>
          <w:szCs w:val="22"/>
          <w:lang w:eastAsia="zh-TW"/>
        </w:rPr>
        <w:t>večmodalnih</w:t>
      </w:r>
      <w:proofErr w:type="spellEnd"/>
      <w:r w:rsidRPr="000020F0">
        <w:rPr>
          <w:rFonts w:ascii="Arial" w:hAnsi="Arial" w:cs="Arial"/>
          <w:sz w:val="22"/>
          <w:szCs w:val="22"/>
          <w:lang w:eastAsia="zh-TW"/>
        </w:rPr>
        <w:t xml:space="preserve"> točkah oz. avtobusnih postajališčih...).</w:t>
      </w:r>
    </w:p>
    <w:p w14:paraId="27E023E6"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Prenova avtobusne postaje v središču Iga z ureditvijo treh peronov pokritih z nadstrešnico, ureditvijo čakalnice in klopi za čakajoče.</w:t>
      </w:r>
    </w:p>
    <w:p w14:paraId="5CCE06E5" w14:textId="77777777" w:rsidR="007259FD" w:rsidRPr="000020F0" w:rsidRDefault="007259FD" w:rsidP="007259FD">
      <w:pPr>
        <w:numPr>
          <w:ilvl w:val="0"/>
          <w:numId w:val="13"/>
        </w:numPr>
        <w:spacing w:after="120" w:line="276" w:lineRule="auto"/>
        <w:contextualSpacing/>
        <w:jc w:val="both"/>
        <w:rPr>
          <w:rFonts w:ascii="Arial" w:hAnsi="Arial" w:cs="Arial"/>
          <w:sz w:val="22"/>
          <w:szCs w:val="22"/>
          <w:lang w:eastAsia="zh-TW"/>
        </w:rPr>
      </w:pPr>
      <w:r w:rsidRPr="000020F0">
        <w:rPr>
          <w:rFonts w:ascii="Arial" w:hAnsi="Arial" w:cs="Arial"/>
          <w:sz w:val="22"/>
          <w:szCs w:val="22"/>
          <w:lang w:eastAsia="zh-TW"/>
        </w:rPr>
        <w:t>Umirjanje prometa s prikazovalniki in merilniki hitrosti, z zniževanjem dovoljene hitrosti vožnje ter drugimi ukrepi, izjemoma s hitrostnimi ovirami v okolici šol in vrtcev</w:t>
      </w:r>
    </w:p>
    <w:p w14:paraId="6EA66F5C" w14:textId="77777777" w:rsidR="007259FD" w:rsidRPr="000020F0" w:rsidRDefault="007259FD" w:rsidP="007259F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79" w:name="_Toc209029142"/>
      <w:bookmarkStart w:id="180" w:name="_Toc209277134"/>
      <w:bookmarkStart w:id="181" w:name="_Toc230882203"/>
      <w:r w:rsidRPr="000020F0">
        <w:rPr>
          <w:rFonts w:asciiTheme="majorHAnsi" w:eastAsiaTheme="majorEastAsia" w:hAnsiTheme="majorHAnsi" w:cstheme="majorHAnsi"/>
          <w:color w:val="244061" w:themeColor="accent1" w:themeShade="80"/>
          <w:szCs w:val="22"/>
        </w:rPr>
        <w:t>Spisek strokovnih podlag</w:t>
      </w:r>
      <w:bookmarkEnd w:id="179"/>
      <w:bookmarkEnd w:id="180"/>
      <w:bookmarkEnd w:id="181"/>
    </w:p>
    <w:p w14:paraId="7C78F8C6" w14:textId="528CFEEC" w:rsidR="007259FD" w:rsidRPr="000020F0" w:rsidRDefault="007259FD" w:rsidP="007259FD">
      <w:pPr>
        <w:spacing w:line="276" w:lineRule="auto"/>
        <w:jc w:val="both"/>
        <w:rPr>
          <w:rFonts w:ascii="Arial" w:hAnsi="Arial" w:cs="Arial"/>
          <w:sz w:val="22"/>
          <w:szCs w:val="22"/>
          <w:lang w:eastAsia="zh-TW"/>
        </w:rPr>
      </w:pPr>
      <w:r w:rsidRPr="000020F0">
        <w:rPr>
          <w:rFonts w:ascii="Arial" w:hAnsi="Arial" w:cs="Arial"/>
          <w:sz w:val="22"/>
          <w:szCs w:val="22"/>
          <w:lang w:eastAsia="zh-TW"/>
        </w:rPr>
        <w:t>Strokovne podlage za izdelavo</w:t>
      </w:r>
      <w:r w:rsidR="0065311E" w:rsidRPr="000020F0">
        <w:rPr>
          <w:rFonts w:ascii="Arial" w:hAnsi="Arial" w:cs="Arial"/>
          <w:sz w:val="22"/>
          <w:szCs w:val="22"/>
          <w:lang w:eastAsia="zh-TW"/>
        </w:rPr>
        <w:t xml:space="preserve"> </w:t>
      </w:r>
      <w:proofErr w:type="spellStart"/>
      <w:r w:rsidR="0065311E" w:rsidRPr="000020F0">
        <w:rPr>
          <w:rFonts w:ascii="Arial" w:hAnsi="Arial" w:cs="Arial"/>
          <w:sz w:val="22"/>
          <w:szCs w:val="22"/>
          <w:lang w:eastAsia="zh-TW"/>
        </w:rPr>
        <w:t>novelacije</w:t>
      </w:r>
      <w:proofErr w:type="spellEnd"/>
      <w:r w:rsidRPr="000020F0">
        <w:rPr>
          <w:rFonts w:ascii="Arial" w:hAnsi="Arial" w:cs="Arial"/>
          <w:sz w:val="22"/>
          <w:szCs w:val="22"/>
          <w:lang w:eastAsia="zh-TW"/>
        </w:rPr>
        <w:t xml:space="preserve"> investicijskega programa</w:t>
      </w:r>
      <w:r w:rsidR="0065311E" w:rsidRPr="000020F0">
        <w:rPr>
          <w:rFonts w:ascii="Arial" w:hAnsi="Arial" w:cs="Arial"/>
          <w:sz w:val="22"/>
          <w:szCs w:val="22"/>
          <w:lang w:eastAsia="zh-TW"/>
        </w:rPr>
        <w:t xml:space="preserve"> št. 1</w:t>
      </w:r>
      <w:r w:rsidRPr="000020F0">
        <w:rPr>
          <w:rFonts w:ascii="Arial" w:hAnsi="Arial" w:cs="Arial"/>
          <w:sz w:val="22"/>
          <w:szCs w:val="22"/>
          <w:lang w:eastAsia="zh-TW"/>
        </w:rPr>
        <w:t xml:space="preserve"> so:</w:t>
      </w:r>
    </w:p>
    <w:p w14:paraId="2AADAAB9" w14:textId="77777777" w:rsidR="006050AD" w:rsidRPr="000020F0" w:rsidRDefault="006050AD" w:rsidP="006050AD">
      <w:pPr>
        <w:numPr>
          <w:ilvl w:val="0"/>
          <w:numId w:val="131"/>
        </w:numPr>
        <w:spacing w:line="276" w:lineRule="auto"/>
        <w:contextualSpacing/>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Uredba o enotni metodologiji za pripravo in obravnavo investicijske dokumentacije na področju javnih financ (Uradni list RS, št. 60/06, 54/10 in 27/16)</w:t>
      </w:r>
    </w:p>
    <w:p w14:paraId="637B4C6D" w14:textId="77777777" w:rsidR="006050AD" w:rsidRPr="000020F0" w:rsidRDefault="006050AD" w:rsidP="006050AD">
      <w:pPr>
        <w:numPr>
          <w:ilvl w:val="0"/>
          <w:numId w:val="131"/>
        </w:numPr>
        <w:spacing w:line="276" w:lineRule="auto"/>
        <w:contextualSpacing/>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 xml:space="preserve">Zakon o financiranju občin (Uradni list RS, št. 123/06, 57/08, 36/11, 14/15 – ZUUJFO, 71/17, 21/18 – </w:t>
      </w:r>
      <w:proofErr w:type="spellStart"/>
      <w:r w:rsidRPr="000020F0">
        <w:rPr>
          <w:rFonts w:asciiTheme="majorHAnsi" w:hAnsiTheme="majorHAnsi" w:cstheme="majorHAnsi"/>
          <w:sz w:val="22"/>
          <w:szCs w:val="22"/>
          <w:lang w:eastAsia="zh-TW"/>
        </w:rPr>
        <w:t>popr</w:t>
      </w:r>
      <w:proofErr w:type="spellEnd"/>
      <w:r w:rsidRPr="000020F0">
        <w:rPr>
          <w:rFonts w:asciiTheme="majorHAnsi" w:hAnsiTheme="majorHAnsi" w:cstheme="majorHAnsi"/>
          <w:sz w:val="22"/>
          <w:szCs w:val="22"/>
          <w:lang w:eastAsia="zh-TW"/>
        </w:rPr>
        <w:t>., 80/20 – ZIUOOPE, 189/20 – ZFRO, 207/21, 44/22 – ZVO-2, 17/25, 93/25 – ZNUZJV in 14/26)</w:t>
      </w:r>
    </w:p>
    <w:p w14:paraId="0C2FEDE8" w14:textId="77777777" w:rsidR="006050AD" w:rsidRPr="000020F0" w:rsidRDefault="006050AD" w:rsidP="006050AD">
      <w:pPr>
        <w:numPr>
          <w:ilvl w:val="0"/>
          <w:numId w:val="131"/>
        </w:numPr>
        <w:spacing w:line="276" w:lineRule="auto"/>
        <w:jc w:val="both"/>
        <w:rPr>
          <w:rFonts w:ascii="Arial" w:eastAsia="Arial" w:hAnsi="Arial" w:cs="Arial"/>
          <w:sz w:val="22"/>
          <w:szCs w:val="22"/>
        </w:rPr>
      </w:pPr>
      <w:r w:rsidRPr="000020F0">
        <w:rPr>
          <w:rFonts w:asciiTheme="majorHAnsi" w:eastAsia="Arial" w:hAnsiTheme="majorHAnsi" w:cstheme="majorHAnsi"/>
          <w:sz w:val="22"/>
          <w:szCs w:val="22"/>
        </w:rPr>
        <w:t>Zakon o javnem naročanju (ZJN-3) (Uradni list RS, št. </w:t>
      </w:r>
      <w:r w:rsidRPr="000020F0">
        <w:rPr>
          <w:rFonts w:asciiTheme="majorHAnsi" w:hAnsiTheme="majorHAnsi" w:cstheme="majorHAnsi"/>
          <w:sz w:val="22"/>
          <w:szCs w:val="22"/>
        </w:rPr>
        <w:t xml:space="preserve">91/15, 14/18, 121/21, 10/22, 74/22 – </w:t>
      </w:r>
      <w:proofErr w:type="spellStart"/>
      <w:r w:rsidRPr="000020F0">
        <w:rPr>
          <w:rFonts w:asciiTheme="majorHAnsi" w:hAnsiTheme="majorHAnsi" w:cstheme="majorHAnsi"/>
          <w:sz w:val="22"/>
          <w:szCs w:val="22"/>
        </w:rPr>
        <w:t>odl</w:t>
      </w:r>
      <w:proofErr w:type="spellEnd"/>
      <w:r w:rsidRPr="000020F0">
        <w:rPr>
          <w:rFonts w:asciiTheme="majorHAnsi" w:hAnsiTheme="majorHAnsi" w:cstheme="majorHAnsi"/>
          <w:sz w:val="22"/>
          <w:szCs w:val="22"/>
        </w:rPr>
        <w:t>. US, 100/22 – ZNUZSZS, 28/23, 88/23 – ZOPNN-F in 83/25 – ZOUL)</w:t>
      </w:r>
      <w:r w:rsidRPr="000020F0">
        <w:t xml:space="preserve"> </w:t>
      </w:r>
    </w:p>
    <w:p w14:paraId="25C69DD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Sveta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2020/2093 z dne 17. decembra 2020 o določitvi večletnega finančnega okvira za obdobje 2021–2027 (UL L št. 433I z dne 22. 12. 2020, str. 11), zadnjič spremenjena z Uredbo Sveta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2024/765 z dne 29. februarja 2024 o spremembi Uredbe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2020/2093 o določitvi večletnega finančnega okvira za obdobje 2021–2027 (UL L, 2024/765 z dne 29. 2. 2024);</w:t>
      </w:r>
    </w:p>
    <w:p w14:paraId="4FA33D84"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xml:space="preserve">) 2020/2092 Evropskega parlamenta in Sveta z dne 16. decembra 2020 o splošnem režimu pogojenosti za zaščito proračuna Unije (UL L št. 433I z dne 22. 12. 2020, str. 1), zadnjič popravljena s Popravkom Uredbe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2020/2092 Evropskega parlamenta in Sveta z dne 16. decembra 2020 o splošnem režimu pogojenosti za zaščito proračuna Unije (UL L, 2023/90149 z dne 5. 12. 2023);</w:t>
      </w:r>
    </w:p>
    <w:p w14:paraId="447BD20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nadaljnjem besedilu: Uredba (EU) 2021/1060);</w:t>
      </w:r>
    </w:p>
    <w:p w14:paraId="5D3672D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2021/1058 Evropskega parlamenta in Sveta z dne 24. junija 2021 o Evropskem skladu za regionalni razvoj in Kohezijskem skladu (UL L št. 231 z dne 30. 6. </w:t>
      </w:r>
      <w:r w:rsidRPr="000020F0">
        <w:rPr>
          <w:rFonts w:asciiTheme="majorHAnsi" w:eastAsia="Arial" w:hAnsiTheme="majorHAnsi" w:cstheme="majorHAnsi"/>
          <w:sz w:val="22"/>
          <w:szCs w:val="22"/>
        </w:rPr>
        <w:lastRenderedPageBreak/>
        <w:t>2021, str. 60),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w:t>
      </w:r>
    </w:p>
    <w:p w14:paraId="0CE1C4A9"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2024/2509 Evropskega parlamenta in Sveta z dne 23. septembra 2024 o finančnih pravilih, ki se uporabljajo za splošni proračun Unije (UL L, 2024/2509 z dne 26. 9. 2024);</w:t>
      </w:r>
    </w:p>
    <w:p w14:paraId="4C422D3C"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2020/852 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 2024/90104 z dne 15. 2. 2024) (v nadaljnjem besedilu: Uredba (EU) 2020/852);</w:t>
      </w:r>
    </w:p>
    <w:p w14:paraId="21CE2639"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0020F0">
        <w:rPr>
          <w:rFonts w:asciiTheme="majorHAnsi" w:eastAsia="Arial" w:hAnsiTheme="majorHAnsi" w:cstheme="majorHAnsi"/>
          <w:sz w:val="22"/>
          <w:szCs w:val="22"/>
        </w:rPr>
        <w:t>okoljskih</w:t>
      </w:r>
      <w:proofErr w:type="spellEnd"/>
      <w:r w:rsidRPr="000020F0">
        <w:rPr>
          <w:rFonts w:asciiTheme="majorHAnsi" w:eastAsia="Arial" w:hAnsiTheme="majorHAnsi" w:cstheme="majorHAnsi"/>
          <w:sz w:val="22"/>
          <w:szCs w:val="22"/>
        </w:rPr>
        <w:t xml:space="preserve"> ciljev (UL L št. 442 z dne 9. 12. 2021, str. 1), zadnjič spremenjena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0020F0">
        <w:rPr>
          <w:rFonts w:asciiTheme="majorHAnsi" w:eastAsia="Arial" w:hAnsiTheme="majorHAnsi" w:cstheme="majorHAnsi"/>
          <w:sz w:val="22"/>
          <w:szCs w:val="22"/>
        </w:rPr>
        <w:t>okoljskih</w:t>
      </w:r>
      <w:proofErr w:type="spellEnd"/>
      <w:r w:rsidRPr="000020F0">
        <w:rPr>
          <w:rFonts w:asciiTheme="majorHAnsi" w:eastAsia="Arial" w:hAnsiTheme="majorHAnsi" w:cstheme="majorHAnsi"/>
          <w:sz w:val="22"/>
          <w:szCs w:val="22"/>
        </w:rPr>
        <w:t xml:space="preserve"> ciljev (UL L, 2023/2485 z dne 21. 11. 2023);</w:t>
      </w:r>
    </w:p>
    <w:p w14:paraId="7C9D20DC"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https://ec.europa.eu/regional_policy/sources/guidance/GL_corrections_pp_irregularities_SL.pdf in https://ec.europa.eu/regional_policy/sources/guidance/GL_corrections_pp_irregularities_annex_SL.pdf;</w:t>
      </w:r>
    </w:p>
    <w:p w14:paraId="3302950E"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(EU) 2016/679 Evropskega parlamenta in Sveta z dne 27. aprila 2016 o varstvu posameznikov pri obdelavi osebnih podatkov in o prostem pretoku takih podatkov ter o razveljavitvi Direktive 95/46/ES (Splošna uredba o varstvu podatkov) (UL L št. 119 str.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 (v nadaljnjem besedilu: Uredba (EU) 2016/679);</w:t>
      </w:r>
    </w:p>
    <w:p w14:paraId="051CFAC1"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Uredba (EU) 2022/2039 Evropskega parlamenta in Sveta z dne 19. oktobra 2022 o spremembi uredb (EU) št. 1303/2013 in (EU) 2021/1060 glede dodatne prožnosti za </w:t>
      </w:r>
      <w:r w:rsidRPr="000020F0">
        <w:rPr>
          <w:rFonts w:asciiTheme="majorHAnsi" w:eastAsia="Arial" w:hAnsiTheme="majorHAnsi" w:cstheme="majorHAnsi"/>
          <w:sz w:val="22"/>
          <w:szCs w:val="22"/>
        </w:rPr>
        <w:lastRenderedPageBreak/>
        <w:t>obravnavanje posledic vojaške agresije Ruske federacije FAST (prožna pomoč za ozemlja) – CARE (UL L št. 275 z dne 25.10.2022, str. 23);</w:t>
      </w:r>
    </w:p>
    <w:p w14:paraId="43CC6839"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drugi delegirani in izvedbeni akti, ki jih Komisija sprejme v skladu s 113. in 114. členom Uredbe (EU) 2021/1060 z vsemi spremembami;</w:t>
      </w:r>
    </w:p>
    <w:p w14:paraId="13C72FB2"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(v nadaljnjem besedilu: Direktiva 2015/849/EU);</w:t>
      </w:r>
    </w:p>
    <w:p w14:paraId="5B7D8319"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Listina Evropske unije o temeljnih pravicah (UL L št. 326 z dne 26. 10. 2012, str. 391);</w:t>
      </w:r>
    </w:p>
    <w:p w14:paraId="791B4233"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Smernice o načelih, merilih in okvirnih lestvicah, ki se morajo uporabljati v zvezi s finančnimi popravki, ki jih Komisija izvede v skladu s členoma 99 in 100 Uredbe Sveta (ES) št. 1083/2006, z dne 11. julija 2006, objavljene na https://www.eu-skladi.si/sl/dokumenti/navodila/skmbt_c654e16032914450.pdf;</w:t>
      </w:r>
    </w:p>
    <w:p w14:paraId="25C7A2DA"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Obvestilo Komisije Smernice o izogibanju in obvladovanju nasprotja interesov v skladu s finančno uredbo (2021/C 121/01), objavljeno na https://eur-lex.europa.eu/legal-content/SL/TXT/PDF/?uri=CELEX:52021XC0409(01)&amp;from=SL;</w:t>
      </w:r>
    </w:p>
    <w:p w14:paraId="76BF56A4"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Sporazum o partnerstvu med Slovenijo in Evropsko komisijo za obdobje 2021–2027, št. CCI 2021SI16FFPA001, z dne 12. 9. 2022, objavljen na spletni strani https://evropskasredstva.si/evropska-kohezijska-politika/kljucni-dokumenti/programski-dokumenti-za-obdobje-2021-2027/;</w:t>
      </w:r>
    </w:p>
    <w:p w14:paraId="256BBC6E"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Program evropske kohezijske politike v obdobju 2021-2027 v Sloveniji, št. CCI 2021SI16FFPR001, z dne 22. 11. 2024, objavljen na spletni strani https://evropskasredstva.si/evropska-kohezijska-politika/kljucni-dokumenti/programski-dokumenti-za-obdobje-2021-2027/;</w:t>
      </w:r>
    </w:p>
    <w:p w14:paraId="31287C56"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javnih financah (Uradni list RS, št. 11/11 – uradno prečiščeno besedilo, 14/13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101/13, 55/15 – </w:t>
      </w:r>
      <w:proofErr w:type="spellStart"/>
      <w:r w:rsidRPr="000020F0">
        <w:rPr>
          <w:rFonts w:asciiTheme="majorHAnsi" w:eastAsia="Arial" w:hAnsiTheme="majorHAnsi" w:cstheme="majorHAnsi"/>
          <w:sz w:val="22"/>
          <w:szCs w:val="22"/>
        </w:rPr>
        <w:t>ZFisP</w:t>
      </w:r>
      <w:proofErr w:type="spellEnd"/>
      <w:r w:rsidRPr="000020F0">
        <w:rPr>
          <w:rFonts w:asciiTheme="majorHAnsi" w:eastAsia="Arial" w:hAnsiTheme="majorHAnsi" w:cstheme="majorHAnsi"/>
          <w:sz w:val="22"/>
          <w:szCs w:val="22"/>
        </w:rPr>
        <w:t xml:space="preserve">, 96/15 – ZIPRS1617, 13/18, 195/20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18/23 – ZDU-1O, 76/23, 24/25 – ZFisP-1, 39/25 – ZJF-J in 112/25 – ZJF-K);</w:t>
      </w:r>
    </w:p>
    <w:p w14:paraId="7936C7CE"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Proračun Republike Slovenije za leto 2025 (Uradni list RS, št. 123/23 in 104/24);</w:t>
      </w:r>
    </w:p>
    <w:p w14:paraId="459C1E80"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Proračun Republike Slovenije za leto 2026 (Uradni list RS, št. 104/24 IN 95/25);</w:t>
      </w:r>
    </w:p>
    <w:p w14:paraId="114AE74D"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izvrševanju proračunov Republike Slovenije za leti 2025 in 2026 (Uradni list RS, št. 104/24, 17/25 – ZFO-1E, 32/25 – ZJU-1 in 95/25 – ZIPRS2627);</w:t>
      </w:r>
    </w:p>
    <w:p w14:paraId="01981D70"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izvrševanju proračunov Republike Slovenije za leti 2026 in 2027 (Uradni list RS, št. 95/25);</w:t>
      </w:r>
    </w:p>
    <w:p w14:paraId="43AE0876"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davku na dodano vrednost (Uradni list RS, št. 13/11 – uradno prečiščeno besedilo, 18/11, 78/11, 38/12, 83/12, 86/14, 90/15, 77/18, 59/19, 72/19, 196/21 – </w:t>
      </w:r>
      <w:proofErr w:type="spellStart"/>
      <w:r w:rsidRPr="000020F0">
        <w:rPr>
          <w:rFonts w:asciiTheme="majorHAnsi" w:eastAsia="Arial" w:hAnsiTheme="majorHAnsi" w:cstheme="majorHAnsi"/>
          <w:sz w:val="22"/>
          <w:szCs w:val="22"/>
        </w:rPr>
        <w:t>ZDOsk</w:t>
      </w:r>
      <w:proofErr w:type="spellEnd"/>
      <w:r w:rsidRPr="000020F0">
        <w:rPr>
          <w:rFonts w:asciiTheme="majorHAnsi" w:eastAsia="Arial" w:hAnsiTheme="majorHAnsi" w:cstheme="majorHAnsi"/>
          <w:sz w:val="22"/>
          <w:szCs w:val="22"/>
        </w:rPr>
        <w:t xml:space="preserve">, 3/22, 29/22 – ZUOPDCE, 40/23 – </w:t>
      </w:r>
      <w:proofErr w:type="spellStart"/>
      <w:r w:rsidRPr="000020F0">
        <w:rPr>
          <w:rFonts w:asciiTheme="majorHAnsi" w:eastAsia="Arial" w:hAnsiTheme="majorHAnsi" w:cstheme="majorHAnsi"/>
          <w:sz w:val="22"/>
          <w:szCs w:val="22"/>
        </w:rPr>
        <w:t>ZDavPR</w:t>
      </w:r>
      <w:proofErr w:type="spellEnd"/>
      <w:r w:rsidRPr="000020F0">
        <w:rPr>
          <w:rFonts w:asciiTheme="majorHAnsi" w:eastAsia="Arial" w:hAnsiTheme="majorHAnsi" w:cstheme="majorHAnsi"/>
          <w:sz w:val="22"/>
          <w:szCs w:val="22"/>
        </w:rPr>
        <w:t>-B, 122/23 in 104/24; v nadaljnjem besedilu: ZDDV-1);</w:t>
      </w:r>
    </w:p>
    <w:p w14:paraId="0687683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pravnem varstvu v postopkih javnega naročanja (Uradni list RS, št. 43/11, 60/11 – ZTP-D, 63/13, 90/14 – ZDU-1I, 60/17 in 72/19);</w:t>
      </w:r>
    </w:p>
    <w:p w14:paraId="13B6DB82"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splošnem upravnem postopku (Uradni list RS, št. 24/06 – uradno prečiščeno besedilo, 105/06 – ZUS-1, 126/07, 65/08, 8/10, 82/13 in 175/20 – ZIUOPDVE, 3/22 – </w:t>
      </w:r>
      <w:proofErr w:type="spellStart"/>
      <w:r w:rsidRPr="000020F0">
        <w:rPr>
          <w:rFonts w:asciiTheme="majorHAnsi" w:eastAsia="Arial" w:hAnsiTheme="majorHAnsi" w:cstheme="majorHAnsi"/>
          <w:sz w:val="22"/>
          <w:szCs w:val="22"/>
        </w:rPr>
        <w:t>ZDeb</w:t>
      </w:r>
      <w:proofErr w:type="spellEnd"/>
      <w:r w:rsidRPr="000020F0">
        <w:rPr>
          <w:rFonts w:asciiTheme="majorHAnsi" w:eastAsia="Arial" w:hAnsiTheme="majorHAnsi" w:cstheme="majorHAnsi"/>
          <w:sz w:val="22"/>
          <w:szCs w:val="22"/>
        </w:rPr>
        <w:t xml:space="preserve"> IN 85/25);</w:t>
      </w:r>
    </w:p>
    <w:p w14:paraId="690FBA8E"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varstvu osebnih podatkov (Uradni list RS, št. 163/22 IN 40/25 – ZInfV-1 in 10/26 – ZP-1L);</w:t>
      </w:r>
    </w:p>
    <w:p w14:paraId="1B74B97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poslovni skrivnosti (Uradni list RS, št. 22/19);</w:t>
      </w:r>
    </w:p>
    <w:p w14:paraId="67FD03CB"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integriteti in preprečevanju korupcije (Uradni list RS, št. 69/11 – uradno prečiščeno besedilo, 158/20, 3/22 – </w:t>
      </w:r>
      <w:proofErr w:type="spellStart"/>
      <w:r w:rsidRPr="000020F0">
        <w:rPr>
          <w:rFonts w:asciiTheme="majorHAnsi" w:eastAsia="Arial" w:hAnsiTheme="majorHAnsi" w:cstheme="majorHAnsi"/>
          <w:sz w:val="22"/>
          <w:szCs w:val="22"/>
        </w:rPr>
        <w:t>ZDeb</w:t>
      </w:r>
      <w:proofErr w:type="spellEnd"/>
      <w:r w:rsidRPr="000020F0">
        <w:rPr>
          <w:rFonts w:asciiTheme="majorHAnsi" w:eastAsia="Arial" w:hAnsiTheme="majorHAnsi" w:cstheme="majorHAnsi"/>
          <w:sz w:val="22"/>
          <w:szCs w:val="22"/>
        </w:rPr>
        <w:t xml:space="preserve"> in 16/23 – </w:t>
      </w:r>
      <w:proofErr w:type="spellStart"/>
      <w:r w:rsidRPr="000020F0">
        <w:rPr>
          <w:rFonts w:asciiTheme="majorHAnsi" w:eastAsia="Arial" w:hAnsiTheme="majorHAnsi" w:cstheme="majorHAnsi"/>
          <w:sz w:val="22"/>
          <w:szCs w:val="22"/>
        </w:rPr>
        <w:t>ZZPri</w:t>
      </w:r>
      <w:proofErr w:type="spellEnd"/>
      <w:r w:rsidRPr="000020F0">
        <w:rPr>
          <w:rFonts w:asciiTheme="majorHAnsi" w:eastAsia="Arial" w:hAnsiTheme="majorHAnsi" w:cstheme="majorHAnsi"/>
          <w:sz w:val="22"/>
          <w:szCs w:val="22"/>
        </w:rPr>
        <w:t>);</w:t>
      </w:r>
    </w:p>
    <w:p w14:paraId="70876799"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lastRenderedPageBreak/>
        <w:t>Zakon o preprečevanju pranja denarja in financiranja terorizma (Uradni list RS, št. 48/22, 145/22, 17/25 in 74/25; v nadaljnjem besedilu: ZPPDFT-2);</w:t>
      </w:r>
    </w:p>
    <w:p w14:paraId="159E4528"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Zakon o finančnem poslovanju, postopkih zaradi insolventnosti in prisilnem prenehanju (Uradni list RS, št. 176/21 – uradno prečiščeno besedilo, 178/21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196/21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157/22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35/23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57/23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xml:space="preserve">. US, 102/23 in 25/25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w:t>
      </w:r>
    </w:p>
    <w:p w14:paraId="73CFCAA6"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ratifikaciji Konvencije o pravicah invalidov in Izbirnega protokola h Konvenciji o pravicah invalidov (Uradni list RS - Mednarodne pogodbe, št. 10/08);</w:t>
      </w:r>
    </w:p>
    <w:p w14:paraId="059E2836"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varstvu okolja (Uradni list RS, št. 44/22, 18/23 – ZDU-1O, 78/23 – ZUNPEOVE, 23/24 in 21/25 – ZOPVOOV);</w:t>
      </w:r>
    </w:p>
    <w:p w14:paraId="1F79544B"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Gradbeni zakon (Uradni list RS, št. 199/21, 105/22 – ZZNŠPP, 133/23, 85/24 – ZAID-A in 75/25 – GZ-1B; v nadaljnjem besedilu: GZ-1);</w:t>
      </w:r>
    </w:p>
    <w:p w14:paraId="0CA38F53"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celostnem prometnem načrtovanju (Uradni list RS, št. 130/22 in 22/25; v nadaljnjem besedilu: ZCPN);</w:t>
      </w:r>
    </w:p>
    <w:p w14:paraId="79BE20F7"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cestah (Uradni list RS, št. 132/22, 140/22 – ZSDH-1A, 29/23 in 78/23 – ZUNPEOVE; v nadaljnjem besedilu: ZCes-2);</w:t>
      </w:r>
    </w:p>
    <w:p w14:paraId="0E039E51"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dostopnosti do proizvodov in storitev za invalide (Uradni list RS, št. 14/23 in 14/26 – ZDPSI-A; v nadaljnjem besedilu: ZDPSI);</w:t>
      </w:r>
    </w:p>
    <w:p w14:paraId="3BDD4332"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Zakon o infrastrukturi za alternativna goriva in spodbujanju prehoda na alternativna goriva v prometu (Uradni list RS, št. 62/23);</w:t>
      </w:r>
    </w:p>
    <w:p w14:paraId="3267B0BA"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Kazenski zakonik (Uradni list RS, št. 50/12 – uradno prečiščeno besedilo, 54/15, 6/16 – </w:t>
      </w:r>
      <w:proofErr w:type="spellStart"/>
      <w:r w:rsidRPr="000020F0">
        <w:rPr>
          <w:rFonts w:asciiTheme="majorHAnsi" w:eastAsia="Arial" w:hAnsiTheme="majorHAnsi" w:cstheme="majorHAnsi"/>
          <w:sz w:val="22"/>
          <w:szCs w:val="22"/>
        </w:rPr>
        <w:t>popr</w:t>
      </w:r>
      <w:proofErr w:type="spellEnd"/>
      <w:r w:rsidRPr="000020F0">
        <w:rPr>
          <w:rFonts w:asciiTheme="majorHAnsi" w:eastAsia="Arial" w:hAnsiTheme="majorHAnsi" w:cstheme="majorHAnsi"/>
          <w:sz w:val="22"/>
          <w:szCs w:val="22"/>
        </w:rPr>
        <w:t xml:space="preserve">., 38/16, 27/17, 23/20, 91/20, 95/21, 186/21, 105/22 – ZZNŠPP, 16/23 in 107/24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v nadaljnjem besedilu: KZ-1);</w:t>
      </w:r>
    </w:p>
    <w:p w14:paraId="4EF3A80F"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Obligacijski zakonik (Uradni list RS, št. 97/07 – uradno prečiščeno besedilo, 64/16 – </w:t>
      </w:r>
      <w:proofErr w:type="spellStart"/>
      <w:r w:rsidRPr="000020F0">
        <w:rPr>
          <w:rFonts w:asciiTheme="majorHAnsi" w:eastAsia="Arial" w:hAnsiTheme="majorHAnsi" w:cstheme="majorHAnsi"/>
          <w:sz w:val="22"/>
          <w:szCs w:val="22"/>
        </w:rPr>
        <w:t>odl</w:t>
      </w:r>
      <w:proofErr w:type="spellEnd"/>
      <w:r w:rsidRPr="000020F0">
        <w:rPr>
          <w:rFonts w:asciiTheme="majorHAnsi" w:eastAsia="Arial" w:hAnsiTheme="majorHAnsi" w:cstheme="majorHAnsi"/>
          <w:sz w:val="22"/>
          <w:szCs w:val="22"/>
        </w:rPr>
        <w:t>. US in 20/18 – OROZ631; v nadaljnjem besedilu: OZ);</w:t>
      </w:r>
    </w:p>
    <w:p w14:paraId="74833524"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Podnebni zakon (Uradni list RS, št. 56/25; v nadaljnjem </w:t>
      </w:r>
      <w:proofErr w:type="spellStart"/>
      <w:r w:rsidRPr="000020F0">
        <w:rPr>
          <w:rFonts w:asciiTheme="majorHAnsi" w:eastAsia="Arial" w:hAnsiTheme="majorHAnsi" w:cstheme="majorHAnsi"/>
          <w:sz w:val="22"/>
          <w:szCs w:val="22"/>
        </w:rPr>
        <w:t>besedilu_PoZ</w:t>
      </w:r>
      <w:proofErr w:type="spellEnd"/>
      <w:r w:rsidRPr="000020F0">
        <w:rPr>
          <w:rFonts w:asciiTheme="majorHAnsi" w:eastAsia="Arial" w:hAnsiTheme="majorHAnsi" w:cstheme="majorHAnsi"/>
          <w:sz w:val="22"/>
          <w:szCs w:val="22"/>
        </w:rPr>
        <w:t>);</w:t>
      </w:r>
    </w:p>
    <w:p w14:paraId="689AA348"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izvajanju uredb (EU) in (</w:t>
      </w:r>
      <w:proofErr w:type="spellStart"/>
      <w:r w:rsidRPr="000020F0">
        <w:rPr>
          <w:rFonts w:asciiTheme="majorHAnsi" w:eastAsia="Arial" w:hAnsiTheme="majorHAnsi" w:cstheme="majorHAnsi"/>
          <w:sz w:val="22"/>
          <w:szCs w:val="22"/>
        </w:rPr>
        <w:t>Euratom</w:t>
      </w:r>
      <w:proofErr w:type="spellEnd"/>
      <w:r w:rsidRPr="000020F0">
        <w:rPr>
          <w:rFonts w:asciiTheme="majorHAnsi" w:eastAsia="Arial" w:hAnsiTheme="majorHAnsi" w:cstheme="majorHAnsi"/>
          <w:sz w:val="22"/>
          <w:szCs w:val="22"/>
        </w:rPr>
        <w:t>) na področju izvajanja evropske kohezijske politike v obdobju 2021–2027 za cilj naložbe za rast in delovna mesta (Uradni list RS št. 21/23 in 13/25);</w:t>
      </w:r>
    </w:p>
    <w:p w14:paraId="0F76EF14"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zelenem javnem naročanju (Uradni list RS, št. 51/17, 64/19, 121/21 in 132/23);</w:t>
      </w:r>
    </w:p>
    <w:p w14:paraId="60BE97A6"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postopku, merilih in načinih dodeljevanja sredstev za spodbujanje razvojnih programov in prednostnih nalog  (Uradni list RS, št. 56/11 in 13/26);</w:t>
      </w:r>
    </w:p>
    <w:p w14:paraId="0ACC9CCA"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Uredba o razvrščanju objektov (Uradni list RS, št. 96/22);</w:t>
      </w:r>
    </w:p>
    <w:p w14:paraId="66A7B0EC" w14:textId="77777777" w:rsidR="006050AD" w:rsidRPr="000020F0" w:rsidRDefault="006050AD" w:rsidP="006050AD">
      <w:pPr>
        <w:numPr>
          <w:ilvl w:val="0"/>
          <w:numId w:val="131"/>
        </w:numPr>
        <w:spacing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Odlok o prostorskem redu občine Ig (Uradni list RS, št.: 35/12, 77/12, 101/13 – popravek, 8/15, 51/18, 54/18 – popravek, 107/20 – popravek in 68/25 – tehnična posodobitev grafičnega dela prostorskega izvedbenega akta Občine Ig)</w:t>
      </w:r>
    </w:p>
    <w:p w14:paraId="4A3B28C6" w14:textId="77777777" w:rsidR="006050AD" w:rsidRPr="000020F0" w:rsidRDefault="006050AD" w:rsidP="006050AD">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Proračun Občine Ig za leto 2025</w:t>
      </w:r>
    </w:p>
    <w:p w14:paraId="5A980201" w14:textId="77777777" w:rsidR="006050AD" w:rsidRPr="000020F0" w:rsidRDefault="006050AD" w:rsidP="006050AD">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Proračun Občine Ig za leto 2026</w:t>
      </w:r>
    </w:p>
    <w:p w14:paraId="4EFF6C1C" w14:textId="77777777" w:rsidR="004963F0" w:rsidRPr="000020F0" w:rsidRDefault="004963F0" w:rsidP="004963F0">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 xml:space="preserve">DGD št. 06/2025 maj 2025, dopolnitev julij 2025, projektant </w:t>
      </w:r>
      <w:proofErr w:type="spellStart"/>
      <w:r w:rsidRPr="000020F0">
        <w:rPr>
          <w:rFonts w:ascii="Arial" w:eastAsia="Arial" w:hAnsi="Arial" w:cs="Arial"/>
          <w:sz w:val="22"/>
          <w:szCs w:val="22"/>
        </w:rPr>
        <w:t>Atekt</w:t>
      </w:r>
      <w:proofErr w:type="spellEnd"/>
      <w:r w:rsidRPr="000020F0">
        <w:rPr>
          <w:rFonts w:ascii="Arial" w:eastAsia="Arial" w:hAnsi="Arial" w:cs="Arial"/>
          <w:sz w:val="22"/>
          <w:szCs w:val="22"/>
        </w:rPr>
        <w:t xml:space="preserve"> d.o.o.</w:t>
      </w:r>
    </w:p>
    <w:p w14:paraId="37E35F3D" w14:textId="77777777" w:rsidR="004963F0" w:rsidRPr="000020F0" w:rsidRDefault="004963F0" w:rsidP="004963F0">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Gradbeno dovoljenje št. 351-1772/2025-6224-10 z dne 12.9.2025</w:t>
      </w:r>
    </w:p>
    <w:p w14:paraId="28C984AC" w14:textId="285A29CA" w:rsidR="004963F0" w:rsidRPr="000020F0" w:rsidRDefault="004963F0" w:rsidP="004963F0">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PZI</w:t>
      </w:r>
      <w:r w:rsidR="00CB5363" w:rsidRPr="000020F0">
        <w:rPr>
          <w:rFonts w:ascii="Arial" w:eastAsia="Arial" w:hAnsi="Arial" w:cs="Arial"/>
          <w:sz w:val="22"/>
          <w:szCs w:val="22"/>
        </w:rPr>
        <w:t xml:space="preserve"> št.</w:t>
      </w:r>
      <w:r w:rsidRPr="000020F0">
        <w:rPr>
          <w:rFonts w:ascii="Arial" w:eastAsia="Arial" w:hAnsi="Arial" w:cs="Arial"/>
          <w:sz w:val="22"/>
          <w:szCs w:val="22"/>
        </w:rPr>
        <w:t xml:space="preserve"> 6/2025, september 2025</w:t>
      </w:r>
      <w:r w:rsidR="0087014C" w:rsidRPr="000020F0">
        <w:rPr>
          <w:rFonts w:ascii="Arial" w:eastAsia="Arial" w:hAnsi="Arial" w:cs="Arial"/>
          <w:sz w:val="22"/>
          <w:szCs w:val="22"/>
        </w:rPr>
        <w:t xml:space="preserve">, </w:t>
      </w:r>
      <w:proofErr w:type="spellStart"/>
      <w:r w:rsidR="0087014C" w:rsidRPr="000020F0">
        <w:rPr>
          <w:rFonts w:ascii="Arial" w:eastAsia="Arial" w:hAnsi="Arial" w:cs="Arial"/>
          <w:sz w:val="22"/>
          <w:szCs w:val="22"/>
        </w:rPr>
        <w:t>novelacija</w:t>
      </w:r>
      <w:proofErr w:type="spellEnd"/>
      <w:r w:rsidR="0087014C" w:rsidRPr="000020F0">
        <w:rPr>
          <w:rFonts w:ascii="Arial" w:eastAsia="Arial" w:hAnsi="Arial" w:cs="Arial"/>
          <w:sz w:val="22"/>
          <w:szCs w:val="22"/>
        </w:rPr>
        <w:t xml:space="preserve"> maj 2026</w:t>
      </w:r>
    </w:p>
    <w:p w14:paraId="55F38855" w14:textId="77777777" w:rsidR="004963F0" w:rsidRPr="000020F0" w:rsidRDefault="004963F0" w:rsidP="004963F0">
      <w:pPr>
        <w:numPr>
          <w:ilvl w:val="0"/>
          <w:numId w:val="131"/>
        </w:numPr>
        <w:spacing w:line="276" w:lineRule="auto"/>
        <w:jc w:val="both"/>
        <w:rPr>
          <w:rFonts w:ascii="Arial" w:eastAsia="Arial" w:hAnsi="Arial" w:cs="Arial"/>
          <w:sz w:val="22"/>
          <w:szCs w:val="22"/>
        </w:rPr>
      </w:pPr>
      <w:r w:rsidRPr="000020F0">
        <w:rPr>
          <w:rFonts w:ascii="Arial" w:eastAsia="Arial" w:hAnsi="Arial" w:cs="Arial"/>
          <w:sz w:val="22"/>
          <w:szCs w:val="22"/>
        </w:rPr>
        <w:t>Interni podatki investitorja</w:t>
      </w:r>
    </w:p>
    <w:p w14:paraId="2FF6B42F" w14:textId="77777777" w:rsidR="006B2762" w:rsidRPr="000020F0" w:rsidRDefault="006B2762" w:rsidP="00BD1D20">
      <w:pPr>
        <w:pStyle w:val="Naslov1"/>
        <w:numPr>
          <w:ilvl w:val="0"/>
          <w:numId w:val="3"/>
        </w:numPr>
        <w:rPr>
          <w:rFonts w:cstheme="majorHAnsi"/>
        </w:rPr>
      </w:pPr>
      <w:bookmarkStart w:id="182" w:name="_Toc230882204"/>
      <w:r w:rsidRPr="000020F0">
        <w:rPr>
          <w:rFonts w:cstheme="majorHAnsi"/>
        </w:rPr>
        <w:t xml:space="preserve">ANALIZA </w:t>
      </w:r>
      <w:r w:rsidR="00000766" w:rsidRPr="000020F0">
        <w:rPr>
          <w:rFonts w:cstheme="majorHAnsi"/>
        </w:rPr>
        <w:t>TRŽNIH MOŽNOSTI</w:t>
      </w:r>
      <w:bookmarkEnd w:id="182"/>
      <w:r w:rsidRPr="000020F0">
        <w:rPr>
          <w:rFonts w:cstheme="majorHAnsi"/>
        </w:rPr>
        <w:t xml:space="preserve"> </w:t>
      </w:r>
    </w:p>
    <w:p w14:paraId="266B32F6" w14:textId="77777777" w:rsidR="00E430F8" w:rsidRPr="000020F0" w:rsidRDefault="00E430F8" w:rsidP="00BD1D20">
      <w:pPr>
        <w:spacing w:line="276" w:lineRule="auto"/>
        <w:jc w:val="both"/>
        <w:rPr>
          <w:rFonts w:asciiTheme="majorHAnsi" w:hAnsiTheme="majorHAnsi" w:cstheme="majorHAnsi"/>
          <w:sz w:val="22"/>
          <w:szCs w:val="22"/>
        </w:rPr>
      </w:pPr>
    </w:p>
    <w:p w14:paraId="0D6F1940" w14:textId="77777777" w:rsidR="0092545F" w:rsidRPr="000020F0" w:rsidRDefault="0092545F" w:rsidP="0092545F">
      <w:pPr>
        <w:spacing w:after="200" w:line="276" w:lineRule="auto"/>
        <w:jc w:val="both"/>
        <w:rPr>
          <w:rFonts w:ascii="Arial" w:hAnsi="Arial" w:cs="Arial"/>
          <w:sz w:val="22"/>
          <w:szCs w:val="22"/>
        </w:rPr>
      </w:pPr>
      <w:r w:rsidRPr="000020F0">
        <w:rPr>
          <w:rFonts w:ascii="Arial" w:hAnsi="Arial" w:cs="Arial"/>
          <w:sz w:val="22"/>
          <w:szCs w:val="22"/>
        </w:rPr>
        <w:t xml:space="preserve">Analiza tržnih možnosti je proces zbiranja, zapisovanja, razvrščanja in analiziranja podatkov o kupcih, konkurentih in drugih dejavnikih, ki oblikujejo odnose med ponudniki proizvodov in storitev ter njihovimi kupci. Ocena oziroma analiza tržnih možnosti investicijskega projekta je raziskava, ki podpira različne strateške poslovne odločitve investitorja, s poudarkom na odločitvah s </w:t>
      </w:r>
      <w:r w:rsidRPr="000020F0">
        <w:rPr>
          <w:rFonts w:ascii="Arial" w:hAnsi="Arial" w:cs="Arial"/>
          <w:sz w:val="22"/>
          <w:szCs w:val="22"/>
        </w:rPr>
        <w:lastRenderedPageBreak/>
        <w:t xml:space="preserve">področja trženja. Na tržne možnosti investicijskega projekta navadno v največji meri vplivajo dejavniki, kot so: velikost trga, moč konkurence ter potencialna rast trga. </w:t>
      </w:r>
    </w:p>
    <w:p w14:paraId="3504A18B" w14:textId="77777777" w:rsidR="0092545F" w:rsidRPr="000020F0" w:rsidRDefault="0092545F" w:rsidP="0092545F">
      <w:pPr>
        <w:spacing w:after="200" w:line="276" w:lineRule="auto"/>
        <w:jc w:val="both"/>
        <w:rPr>
          <w:rFonts w:ascii="Arial" w:hAnsi="Arial" w:cs="Arial"/>
          <w:sz w:val="22"/>
          <w:szCs w:val="22"/>
        </w:rPr>
      </w:pPr>
      <w:r w:rsidRPr="000020F0">
        <w:rPr>
          <w:rFonts w:ascii="Arial" w:hAnsi="Arial" w:cs="Arial"/>
          <w:sz w:val="22"/>
          <w:szCs w:val="22"/>
        </w:rPr>
        <w:t>Izvedba investicije ne pomeni razvoja tržne dejavnosti v podjetniškem smislu, saj občina ni tržna institucija. Projekt pa kljub temu omogoča ustvarjanje določenih prihodkov v okviru izvajanja javnih storitev, s katerimi se lahko dolgoročno delno pokrivajo obratovalni stroški nove infrastrukture.</w:t>
      </w:r>
    </w:p>
    <w:p w14:paraId="39FB5208" w14:textId="77777777" w:rsidR="00711DE5" w:rsidRPr="000020F0" w:rsidRDefault="00711DE5" w:rsidP="00711DE5">
      <w:pPr>
        <w:spacing w:after="200" w:line="276" w:lineRule="auto"/>
        <w:jc w:val="both"/>
        <w:rPr>
          <w:rFonts w:ascii="Arial" w:hAnsi="Arial" w:cs="Arial"/>
          <w:sz w:val="22"/>
          <w:szCs w:val="22"/>
        </w:rPr>
      </w:pPr>
      <w:r w:rsidRPr="000020F0">
        <w:rPr>
          <w:rFonts w:ascii="Arial" w:hAnsi="Arial" w:cs="Arial"/>
          <w:sz w:val="22"/>
          <w:szCs w:val="22"/>
        </w:rPr>
        <w:t>Z izvedbo projekta se vzpostavljata dva vira prihodkov v okviru javnih storitev:</w:t>
      </w:r>
    </w:p>
    <w:p w14:paraId="7986C283" w14:textId="77777777" w:rsidR="00711DE5" w:rsidRPr="000020F0" w:rsidRDefault="00711DE5" w:rsidP="00711DE5">
      <w:pPr>
        <w:numPr>
          <w:ilvl w:val="0"/>
          <w:numId w:val="137"/>
        </w:numPr>
        <w:spacing w:after="200" w:line="276" w:lineRule="auto"/>
        <w:jc w:val="both"/>
        <w:rPr>
          <w:rFonts w:ascii="Arial" w:hAnsi="Arial" w:cs="Arial"/>
          <w:sz w:val="22"/>
          <w:szCs w:val="22"/>
        </w:rPr>
      </w:pPr>
      <w:r w:rsidRPr="000020F0">
        <w:rPr>
          <w:rFonts w:ascii="Arial" w:hAnsi="Arial" w:cs="Arial"/>
          <w:b/>
          <w:bCs/>
          <w:sz w:val="22"/>
          <w:szCs w:val="22"/>
        </w:rPr>
        <w:t>Prihodki od parkirišč</w:t>
      </w:r>
    </w:p>
    <w:p w14:paraId="41E111FA" w14:textId="77777777" w:rsidR="00711DE5" w:rsidRPr="000020F0" w:rsidRDefault="00711DE5" w:rsidP="00711DE5">
      <w:pPr>
        <w:spacing w:after="200" w:line="276" w:lineRule="auto"/>
        <w:ind w:left="720"/>
        <w:jc w:val="both"/>
        <w:rPr>
          <w:rFonts w:ascii="Arial" w:hAnsi="Arial" w:cs="Arial"/>
          <w:sz w:val="22"/>
          <w:szCs w:val="22"/>
        </w:rPr>
      </w:pPr>
      <w:r w:rsidRPr="000020F0">
        <w:rPr>
          <w:rFonts w:ascii="Arial" w:hAnsi="Arial" w:cs="Arial"/>
          <w:sz w:val="22"/>
          <w:szCs w:val="22"/>
        </w:rPr>
        <w:t>V središču Iga bo urejenih 56 parkirnih mest (izgradnja parkirišča predstavlja neupravičen strošek). Ob predpostavljeni 80-odstotni zasedenosti v času od 8.00 do 18.00, ter ob upoštevanju, da približno 40 % uporabnikov parkira kratkotrajno (do dve uri brezplačno), medtem ko ostali po dveh urah parkiranja plačujejo parkirnino v višini 0,50 EUR/uro, se ocenjujejo prihodki v višini približno 17.160 EUR letno (upoštevano 260 delovnih dni na leto).</w:t>
      </w:r>
    </w:p>
    <w:p w14:paraId="727B7D5B" w14:textId="77777777" w:rsidR="00711DE5" w:rsidRPr="000020F0" w:rsidRDefault="00711DE5" w:rsidP="00711DE5">
      <w:pPr>
        <w:numPr>
          <w:ilvl w:val="0"/>
          <w:numId w:val="137"/>
        </w:numPr>
        <w:spacing w:after="200" w:line="276" w:lineRule="auto"/>
        <w:jc w:val="both"/>
        <w:rPr>
          <w:rFonts w:ascii="Arial" w:hAnsi="Arial" w:cs="Arial"/>
          <w:sz w:val="22"/>
          <w:szCs w:val="22"/>
        </w:rPr>
      </w:pPr>
      <w:r w:rsidRPr="000020F0">
        <w:rPr>
          <w:rFonts w:ascii="Arial" w:hAnsi="Arial" w:cs="Arial"/>
          <w:b/>
          <w:bCs/>
          <w:sz w:val="22"/>
          <w:szCs w:val="22"/>
        </w:rPr>
        <w:t>Prihodki iz sistema javne izposoje e-koles</w:t>
      </w:r>
    </w:p>
    <w:p w14:paraId="06850E96" w14:textId="5DBDF08A" w:rsidR="00711DE5" w:rsidRPr="000020F0" w:rsidRDefault="00711DE5" w:rsidP="00711DE5">
      <w:pPr>
        <w:spacing w:after="200" w:line="276" w:lineRule="auto"/>
        <w:ind w:left="720"/>
        <w:jc w:val="both"/>
        <w:rPr>
          <w:rFonts w:ascii="Arial" w:hAnsi="Arial" w:cs="Arial"/>
          <w:sz w:val="22"/>
          <w:szCs w:val="22"/>
        </w:rPr>
      </w:pPr>
      <w:r w:rsidRPr="000020F0">
        <w:rPr>
          <w:rFonts w:ascii="Arial" w:hAnsi="Arial" w:cs="Arial"/>
          <w:sz w:val="22"/>
          <w:szCs w:val="22"/>
        </w:rPr>
        <w:t xml:space="preserve">Za občino Ig, ki šteje </w:t>
      </w:r>
      <w:r w:rsidR="0032375A" w:rsidRPr="000020F0">
        <w:rPr>
          <w:rFonts w:ascii="Arial" w:hAnsi="Arial" w:cs="Arial"/>
          <w:sz w:val="22"/>
          <w:szCs w:val="22"/>
        </w:rPr>
        <w:t>7.926</w:t>
      </w:r>
      <w:r w:rsidRPr="000020F0">
        <w:rPr>
          <w:rFonts w:ascii="Arial" w:hAnsi="Arial" w:cs="Arial"/>
          <w:sz w:val="22"/>
          <w:szCs w:val="22"/>
        </w:rPr>
        <w:t xml:space="preserve"> prebivalcev, se ocenjuje, da se bo v sistem registriralo približno 5 % prebivalcev (okoli 390 uporabnikov). Ob letni uporabnini v višini 20 EUR znašajo skupni pričakovani prihodki sistema e-koles približno 7.800 EUR letno.</w:t>
      </w:r>
    </w:p>
    <w:p w14:paraId="398D5427" w14:textId="77777777" w:rsidR="00711DE5" w:rsidRPr="000020F0" w:rsidRDefault="00711DE5" w:rsidP="00711DE5">
      <w:pPr>
        <w:spacing w:after="200" w:line="276" w:lineRule="auto"/>
        <w:jc w:val="both"/>
        <w:rPr>
          <w:rFonts w:ascii="Arial" w:hAnsi="Arial" w:cs="Arial"/>
          <w:sz w:val="22"/>
          <w:szCs w:val="22"/>
        </w:rPr>
      </w:pPr>
      <w:r w:rsidRPr="000020F0">
        <w:rPr>
          <w:rFonts w:ascii="Arial" w:hAnsi="Arial" w:cs="Arial"/>
          <w:sz w:val="22"/>
          <w:szCs w:val="22"/>
        </w:rPr>
        <w:t>Skupni letni prihodki iz obeh virov se tako ocenjujejo na okoli 24.960 EUR, kar predstavlja prispevek k pokrivanju obratovalnih stroškov nove infrastrukture.</w:t>
      </w:r>
    </w:p>
    <w:p w14:paraId="4BBAC400" w14:textId="77777777" w:rsidR="00F72643" w:rsidRPr="000020F0" w:rsidRDefault="00F72643" w:rsidP="00BD1D20">
      <w:pPr>
        <w:spacing w:after="200" w:line="276" w:lineRule="auto"/>
        <w:rPr>
          <w:rFonts w:asciiTheme="majorHAnsi" w:eastAsiaTheme="majorEastAsia" w:hAnsiTheme="majorHAnsi" w:cstheme="majorHAnsi"/>
          <w:b/>
          <w:bCs/>
          <w:color w:val="365F91" w:themeColor="accent1" w:themeShade="BF"/>
          <w:sz w:val="28"/>
          <w:szCs w:val="28"/>
        </w:rPr>
      </w:pPr>
      <w:r w:rsidRPr="000020F0">
        <w:rPr>
          <w:rFonts w:cstheme="majorHAnsi"/>
        </w:rPr>
        <w:br w:type="page"/>
      </w:r>
    </w:p>
    <w:p w14:paraId="54C049DF" w14:textId="4E19B828" w:rsidR="00A844EE" w:rsidRPr="000020F0" w:rsidRDefault="00000766" w:rsidP="00BD1D20">
      <w:pPr>
        <w:pStyle w:val="Naslov1"/>
        <w:numPr>
          <w:ilvl w:val="0"/>
          <w:numId w:val="3"/>
        </w:numPr>
        <w:rPr>
          <w:rFonts w:cstheme="majorHAnsi"/>
        </w:rPr>
      </w:pPr>
      <w:bookmarkStart w:id="183" w:name="_Ref230593904"/>
      <w:bookmarkStart w:id="184" w:name="_Toc230882205"/>
      <w:r w:rsidRPr="000020F0">
        <w:rPr>
          <w:rFonts w:cstheme="majorHAnsi"/>
        </w:rPr>
        <w:lastRenderedPageBreak/>
        <w:t>TEHNIČNO-TEHNOLOŠKI DEL</w:t>
      </w:r>
      <w:bookmarkEnd w:id="183"/>
      <w:bookmarkEnd w:id="184"/>
    </w:p>
    <w:p w14:paraId="65328620" w14:textId="77777777" w:rsidR="00334632" w:rsidRPr="000020F0" w:rsidRDefault="00334632" w:rsidP="00BD1D20">
      <w:pPr>
        <w:spacing w:after="120" w:line="276" w:lineRule="auto"/>
        <w:jc w:val="both"/>
        <w:rPr>
          <w:rFonts w:ascii="Arial" w:eastAsia="Arial" w:hAnsi="Arial" w:cs="Arial"/>
          <w:sz w:val="22"/>
          <w:szCs w:val="22"/>
        </w:rPr>
      </w:pPr>
      <w:bookmarkStart w:id="185" w:name="_Hlk125799335"/>
    </w:p>
    <w:bookmarkEnd w:id="185"/>
    <w:p w14:paraId="21F6CA17" w14:textId="77777777" w:rsidR="00990AB7" w:rsidRPr="000020F0" w:rsidRDefault="00990AB7" w:rsidP="00990AB7">
      <w:pPr>
        <w:spacing w:after="120" w:line="276" w:lineRule="auto"/>
        <w:jc w:val="both"/>
        <w:rPr>
          <w:rFonts w:ascii="Arial" w:hAnsi="Arial" w:cs="Arial"/>
          <w:b/>
          <w:sz w:val="22"/>
          <w:szCs w:val="22"/>
          <w:u w:val="single"/>
          <w:lang w:eastAsia="en-US"/>
        </w:rPr>
      </w:pPr>
      <w:r w:rsidRPr="000020F0">
        <w:rPr>
          <w:rFonts w:ascii="Arial" w:hAnsi="Arial" w:cs="Arial"/>
          <w:sz w:val="22"/>
          <w:szCs w:val="22"/>
          <w:u w:val="single"/>
          <w:lang w:eastAsia="en-US"/>
        </w:rPr>
        <w:t xml:space="preserve">Projekt je smiselno načrtovan po načelih </w:t>
      </w:r>
      <w:r w:rsidRPr="000020F0">
        <w:rPr>
          <w:rFonts w:ascii="Arial" w:hAnsi="Arial" w:cs="Arial"/>
          <w:b/>
          <w:sz w:val="22"/>
          <w:szCs w:val="22"/>
          <w:u w:val="single"/>
          <w:lang w:eastAsia="en-US"/>
        </w:rPr>
        <w:t xml:space="preserve">NTR – na naravi temelječe rešitve </w:t>
      </w:r>
      <w:r w:rsidRPr="000020F0">
        <w:rPr>
          <w:rFonts w:ascii="Arial" w:hAnsi="Arial" w:cs="Arial"/>
          <w:sz w:val="22"/>
          <w:szCs w:val="22"/>
          <w:u w:val="single"/>
          <w:lang w:eastAsia="en-US"/>
        </w:rPr>
        <w:t>(NBS):</w:t>
      </w:r>
    </w:p>
    <w:p w14:paraId="13B3A7FA" w14:textId="77777777" w:rsidR="00990AB7" w:rsidRPr="000020F0" w:rsidRDefault="00990AB7" w:rsidP="00990AB7">
      <w:pPr>
        <w:spacing w:after="120" w:line="276" w:lineRule="auto"/>
        <w:jc w:val="both"/>
        <w:rPr>
          <w:rFonts w:ascii="Arial" w:hAnsi="Arial" w:cs="Arial"/>
          <w:sz w:val="22"/>
          <w:szCs w:val="22"/>
          <w:lang w:eastAsia="en-US"/>
        </w:rPr>
      </w:pPr>
      <w:r w:rsidRPr="000020F0">
        <w:rPr>
          <w:rFonts w:ascii="Arial" w:hAnsi="Arial" w:cs="Arial"/>
          <w:sz w:val="22"/>
          <w:szCs w:val="22"/>
          <w:lang w:eastAsia="en-US"/>
        </w:rPr>
        <w:t>Projekt vključuje ureditve površin v središču naselja, ki bodo pozitivno vplivale na zdravje in dobro počutje ljudi, zmanjševanje CO</w:t>
      </w:r>
      <w:r w:rsidRPr="000020F0">
        <w:rPr>
          <w:rFonts w:ascii="Arial" w:hAnsi="Arial" w:cs="Arial"/>
          <w:sz w:val="22"/>
          <w:szCs w:val="22"/>
          <w:vertAlign w:val="subscript"/>
          <w:lang w:eastAsia="en-US"/>
        </w:rPr>
        <w:t>2</w:t>
      </w:r>
      <w:r w:rsidRPr="000020F0">
        <w:rPr>
          <w:rFonts w:ascii="Arial" w:hAnsi="Arial" w:cs="Arial"/>
          <w:sz w:val="22"/>
          <w:szCs w:val="22"/>
          <w:lang w:eastAsia="en-US"/>
        </w:rPr>
        <w:t xml:space="preserve"> v ozračju, biotsko raznovrstnost in prihranek energije. </w:t>
      </w:r>
    </w:p>
    <w:p w14:paraId="6E3FF091" w14:textId="77777777" w:rsidR="00990AB7" w:rsidRPr="000020F0" w:rsidRDefault="00990AB7" w:rsidP="00990AB7">
      <w:pPr>
        <w:spacing w:after="120" w:line="276" w:lineRule="auto"/>
        <w:jc w:val="both"/>
        <w:rPr>
          <w:rFonts w:ascii="Arial" w:hAnsi="Arial" w:cs="Arial"/>
          <w:sz w:val="22"/>
          <w:szCs w:val="22"/>
          <w:lang w:eastAsia="en-US"/>
        </w:rPr>
      </w:pPr>
      <w:r w:rsidRPr="000020F0">
        <w:rPr>
          <w:rFonts w:ascii="Arial" w:hAnsi="Arial" w:cs="Arial"/>
          <w:sz w:val="22"/>
          <w:szCs w:val="22"/>
          <w:lang w:eastAsia="en-US"/>
        </w:rPr>
        <w:t>Cilj projekta je ureditev središča naselja tako, da postane kvaliteten prostor za srečevanje in aktivnosti prebivalcev.</w:t>
      </w:r>
    </w:p>
    <w:p w14:paraId="0A0213FE" w14:textId="4AC90C89" w:rsidR="00990AB7" w:rsidRPr="000020F0" w:rsidRDefault="00990AB7" w:rsidP="00990AB7">
      <w:pPr>
        <w:spacing w:after="120" w:line="276" w:lineRule="auto"/>
        <w:rPr>
          <w:rFonts w:ascii="Arial" w:hAnsi="Arial" w:cs="Arial"/>
          <w:b/>
          <w:bCs/>
          <w:color w:val="4F81BD"/>
          <w:sz w:val="22"/>
          <w:szCs w:val="22"/>
          <w:lang w:eastAsia="zh-TW"/>
        </w:rPr>
      </w:pPr>
      <w:bookmarkStart w:id="186" w:name="_Toc209029193"/>
      <w:bookmarkStart w:id="187" w:name="_Toc209277208"/>
      <w:bookmarkStart w:id="188" w:name="_Toc230882328"/>
      <w:r w:rsidRPr="000020F0">
        <w:rPr>
          <w:rFonts w:ascii="Arial" w:hAnsi="Arial" w:cs="Arial"/>
          <w:b/>
          <w:bCs/>
          <w:sz w:val="22"/>
          <w:szCs w:val="22"/>
        </w:rPr>
        <w:t xml:space="preserve">Slika </w:t>
      </w:r>
      <w:r w:rsidRPr="000020F0">
        <w:rPr>
          <w:rFonts w:ascii="Arial" w:hAnsi="Arial" w:cs="Arial"/>
          <w:b/>
          <w:bCs/>
          <w:sz w:val="22"/>
          <w:szCs w:val="22"/>
        </w:rPr>
        <w:fldChar w:fldCharType="begin"/>
      </w:r>
      <w:r w:rsidRPr="000020F0">
        <w:rPr>
          <w:rFonts w:ascii="Arial" w:hAnsi="Arial" w:cs="Arial"/>
          <w:b/>
          <w:bCs/>
          <w:sz w:val="22"/>
          <w:szCs w:val="22"/>
        </w:rPr>
        <w:instrText xml:space="preserve"> SEQ Slika \* ARABIC </w:instrText>
      </w:r>
      <w:r w:rsidRPr="000020F0">
        <w:rPr>
          <w:rFonts w:ascii="Arial" w:hAnsi="Arial" w:cs="Arial"/>
          <w:b/>
          <w:bCs/>
          <w:sz w:val="22"/>
          <w:szCs w:val="22"/>
        </w:rPr>
        <w:fldChar w:fldCharType="separate"/>
      </w:r>
      <w:r w:rsidR="00BB0C0C">
        <w:rPr>
          <w:rFonts w:ascii="Arial" w:hAnsi="Arial" w:cs="Arial"/>
          <w:b/>
          <w:bCs/>
          <w:noProof/>
          <w:sz w:val="22"/>
          <w:szCs w:val="22"/>
        </w:rPr>
        <w:t>14</w:t>
      </w:r>
      <w:r w:rsidRPr="000020F0">
        <w:rPr>
          <w:rFonts w:ascii="Arial" w:hAnsi="Arial" w:cs="Arial"/>
          <w:b/>
          <w:bCs/>
          <w:sz w:val="22"/>
          <w:szCs w:val="22"/>
        </w:rPr>
        <w:fldChar w:fldCharType="end"/>
      </w:r>
      <w:r w:rsidRPr="000020F0">
        <w:rPr>
          <w:rFonts w:ascii="Arial" w:hAnsi="Arial" w:cs="Arial"/>
          <w:b/>
          <w:bCs/>
          <w:sz w:val="22"/>
          <w:szCs w:val="22"/>
        </w:rPr>
        <w:t xml:space="preserve">: </w:t>
      </w:r>
      <w:r w:rsidRPr="000020F0">
        <w:rPr>
          <w:rFonts w:ascii="Arial" w:hAnsi="Arial" w:cs="Arial"/>
          <w:bCs/>
          <w:sz w:val="22"/>
          <w:szCs w:val="22"/>
        </w:rPr>
        <w:t>Register prostorskih enot</w:t>
      </w:r>
      <w:bookmarkEnd w:id="186"/>
      <w:bookmarkEnd w:id="187"/>
      <w:bookmarkEnd w:id="188"/>
    </w:p>
    <w:p w14:paraId="0CC5BE75" w14:textId="77777777" w:rsidR="00990AB7" w:rsidRPr="000020F0" w:rsidRDefault="00990AB7" w:rsidP="00990AB7">
      <w:pPr>
        <w:spacing w:after="120" w:line="276" w:lineRule="auto"/>
        <w:rPr>
          <w:rFonts w:ascii="Arial" w:hAnsi="Arial" w:cs="Arial"/>
          <w:sz w:val="22"/>
          <w:szCs w:val="22"/>
          <w:lang w:eastAsia="zh-TW"/>
        </w:rPr>
      </w:pPr>
      <w:r w:rsidRPr="000020F0">
        <w:rPr>
          <w:rFonts w:ascii="Arial" w:hAnsi="Arial" w:cs="Arial"/>
          <w:noProof/>
          <w:sz w:val="22"/>
          <w:szCs w:val="22"/>
        </w:rPr>
        <w:drawing>
          <wp:inline distT="0" distB="0" distL="0" distR="0" wp14:anchorId="46A8047B" wp14:editId="36C0C18C">
            <wp:extent cx="5759450" cy="4328160"/>
            <wp:effectExtent l="0" t="0" r="0" b="0"/>
            <wp:docPr id="1622855542" name="Picture 14" descr="A satellit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55542" name="Picture 14" descr="A satellite view of a city&#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9450" cy="4328160"/>
                    </a:xfrm>
                    <a:prstGeom prst="rect">
                      <a:avLst/>
                    </a:prstGeom>
                    <a:noFill/>
                    <a:ln>
                      <a:noFill/>
                    </a:ln>
                  </pic:spPr>
                </pic:pic>
              </a:graphicData>
            </a:graphic>
          </wp:inline>
        </w:drawing>
      </w:r>
    </w:p>
    <w:p w14:paraId="19285769"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Občina Ig predvideva serijo posegov v sklopu ureditve središča kraja, ki bodo znatno izboljšali prometno ureditev v smislu trajnostne mobilnosti.</w:t>
      </w:r>
    </w:p>
    <w:p w14:paraId="3BAE26DE"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Vsi predvideni posegi so usmerjeni v zmanjšanje površin za osebni motorni promet in obenem povečujejo kapacitete javnega potniškega prometa, talne ureditve pa dajejo prednost pešcem in kolesarjem. Predvideni so ukrepi za izboljšavo varnosti vseh uporabnikov s poudarkom na varnosti in vključenosti otrok, starejših ter gibalno oviranih (deljena prometna površina, kolesarski pasovi, pločnik pri coni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xml:space="preserve">« pred šolo, izravnava talnih ureditev, ustrezne haptične oznake površin itd.) ter umirjanja prometa, z izhodiščem, da se osebni motorni promet omeji na najnujnejše za nemoteno uporabo središča kraja, obenem pa je še vedno omogočeno udobje premikanja in </w:t>
      </w:r>
      <w:proofErr w:type="spellStart"/>
      <w:r w:rsidRPr="000020F0">
        <w:rPr>
          <w:rFonts w:ascii="Arial" w:hAnsi="Arial" w:cs="Arial"/>
          <w:sz w:val="22"/>
          <w:szCs w:val="22"/>
          <w:lang w:eastAsia="en-US"/>
        </w:rPr>
        <w:t>nediskriminatornost</w:t>
      </w:r>
      <w:proofErr w:type="spellEnd"/>
      <w:r w:rsidRPr="000020F0">
        <w:rPr>
          <w:rFonts w:ascii="Arial" w:hAnsi="Arial" w:cs="Arial"/>
          <w:sz w:val="22"/>
          <w:szCs w:val="22"/>
          <w:lang w:eastAsia="en-US"/>
        </w:rPr>
        <w:t xml:space="preserve"> (predvsem do ranljivih skupin). </w:t>
      </w:r>
    </w:p>
    <w:p w14:paraId="2315F6AE"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Celovita ureditev trga bo izvedena z dvema ločenima projektoma in sicer z ureditvijo zelene infrastrukture ter izvedbe ukrepov trajnostne mobilnosti, ki se skupaj dopolnjujeta in izvajata sočasno.</w:t>
      </w:r>
    </w:p>
    <w:p w14:paraId="1CA5377F"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lastRenderedPageBreak/>
        <w:t>Ravno zaradi skupne dopolnitve obeh projektov v dokumentu orišemo tudi projekt urejanja zelene infrastrukture, ki je teritorialno in vrednostno povsem ločen od ukrepov trajnostne mobilnosti, ki so predmet tega projekta.</w:t>
      </w:r>
    </w:p>
    <w:p w14:paraId="094EC527"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Cilj projekta je ureditev središča naselja tako, da postane kvaliteten prostor za srečevanje in aktivnosti prebivalcev in predvideva ureditve:</w:t>
      </w:r>
    </w:p>
    <w:p w14:paraId="2DEE1D9F" w14:textId="77777777"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189" w:name="_Toc209029147"/>
      <w:bookmarkStart w:id="190" w:name="_Toc209277143"/>
      <w:bookmarkStart w:id="191" w:name="_Toc230882206"/>
      <w:r w:rsidRPr="000020F0">
        <w:rPr>
          <w:rFonts w:asciiTheme="majorHAnsi" w:eastAsiaTheme="majorEastAsia" w:hAnsiTheme="majorHAnsi" w:cstheme="majorHAnsi"/>
          <w:color w:val="244061" w:themeColor="accent1" w:themeShade="80"/>
          <w:szCs w:val="22"/>
        </w:rPr>
        <w:t>Zelena infrastruktura</w:t>
      </w:r>
      <w:bookmarkEnd w:id="189"/>
      <w:bookmarkEnd w:id="190"/>
      <w:bookmarkEnd w:id="191"/>
    </w:p>
    <w:p w14:paraId="22F315EF"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Kot že predhodno navedeno ureditev zelene infrastrukture ni predmet tega projekta, vendar zaradi simbioze obeh projektov podajamo opis ukrepov.</w:t>
      </w:r>
    </w:p>
    <w:p w14:paraId="629D3C00"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Park</w:t>
      </w:r>
    </w:p>
    <w:p w14:paraId="4513C575"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Predvidena je ureditev parkovne poteze na mestu obstoječe stavbe vrtca. Površine se nahajajo na robu središča Iga in so namenjene za prebivanje kvalitetnega prostega časa v zelenem okolju.</w:t>
      </w:r>
    </w:p>
    <w:p w14:paraId="228B0434"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Širina poteze je min. 24 m ob minimalno 60% raščenega terena. Parkovna poteza je oddaljena 170 m od osrednjega trga naselja</w:t>
      </w:r>
    </w:p>
    <w:p w14:paraId="4A2D0B8B" w14:textId="55E0BEE0"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 xml:space="preserve">Zelene površine ob drugih javnih stavbah </w:t>
      </w:r>
    </w:p>
    <w:p w14:paraId="77F0E167" w14:textId="77777777" w:rsidR="0018014F" w:rsidRPr="000020F0" w:rsidRDefault="0018014F" w:rsidP="00C54E5E">
      <w:pPr>
        <w:jc w:val="both"/>
        <w:rPr>
          <w:rFonts w:ascii="Arial" w:hAnsi="Arial" w:cs="Arial"/>
          <w:sz w:val="22"/>
          <w:szCs w:val="22"/>
        </w:rPr>
      </w:pPr>
      <w:r w:rsidRPr="000020F0">
        <w:rPr>
          <w:rFonts w:ascii="Arial" w:hAnsi="Arial" w:cs="Arial"/>
          <w:sz w:val="22"/>
          <w:szCs w:val="22"/>
        </w:rPr>
        <w:t xml:space="preserve">Ureditev trga je predvidena na območju med občinsko stavbo in pošto ter na drugi strani Govekarjeve ceste pred stavbo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vključno z ureditvijo vrta okoli »Kaplanije«. Predvidena je ureditev dela drevoreda v zelenem pasu, zelene površine so predvidene tudi neposredno ob občinski stavbi in Pošti. Večja zelena površina se uredi na severni strani </w:t>
      </w:r>
      <w:proofErr w:type="spellStart"/>
      <w:r w:rsidRPr="000020F0">
        <w:rPr>
          <w:rFonts w:ascii="Arial" w:hAnsi="Arial" w:cs="Arial"/>
          <w:sz w:val="22"/>
          <w:szCs w:val="22"/>
        </w:rPr>
        <w:t>Morostriga</w:t>
      </w:r>
      <w:proofErr w:type="spellEnd"/>
      <w:r w:rsidRPr="000020F0">
        <w:rPr>
          <w:rFonts w:ascii="Arial" w:hAnsi="Arial" w:cs="Arial"/>
          <w:sz w:val="22"/>
          <w:szCs w:val="22"/>
        </w:rPr>
        <w:t xml:space="preserve"> ob cerkvenem kamnitem zidu. Ozeleni se tudi pas ob SZ fasadi telovadnice, ob novo tlakovanem hodniku za pešce, kot povezava centra Ig-a in novega parka. Obstoječa paralelna parkirna mesta, ki se nahajajo ob SZ fasadi telovadnice se v celoti ukinejo in se nadomestijo z zgoraj omenjenim zelenim pasom in drevoredom.</w:t>
      </w:r>
    </w:p>
    <w:p w14:paraId="2A950225" w14:textId="77777777" w:rsidR="00C54E5E" w:rsidRPr="000020F0" w:rsidRDefault="00C54E5E" w:rsidP="00990AB7">
      <w:pPr>
        <w:spacing w:after="200" w:line="276" w:lineRule="auto"/>
        <w:jc w:val="both"/>
        <w:rPr>
          <w:rFonts w:ascii="Arial" w:hAnsi="Arial" w:cs="Arial"/>
          <w:sz w:val="22"/>
          <w:szCs w:val="22"/>
          <w:u w:val="single"/>
          <w:lang w:eastAsia="en-US"/>
        </w:rPr>
      </w:pPr>
    </w:p>
    <w:p w14:paraId="289B39F1" w14:textId="78B09D71"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 xml:space="preserve">Zelena </w:t>
      </w:r>
      <w:proofErr w:type="spellStart"/>
      <w:r w:rsidRPr="000020F0">
        <w:rPr>
          <w:rFonts w:ascii="Arial" w:hAnsi="Arial" w:cs="Arial"/>
          <w:sz w:val="22"/>
          <w:szCs w:val="22"/>
          <w:u w:val="single"/>
          <w:lang w:eastAsia="en-US"/>
        </w:rPr>
        <w:t>členitvena</w:t>
      </w:r>
      <w:proofErr w:type="spellEnd"/>
      <w:r w:rsidRPr="000020F0">
        <w:rPr>
          <w:rFonts w:ascii="Arial" w:hAnsi="Arial" w:cs="Arial"/>
          <w:sz w:val="22"/>
          <w:szCs w:val="22"/>
          <w:u w:val="single"/>
          <w:lang w:eastAsia="en-US"/>
        </w:rPr>
        <w:t xml:space="preserve"> poteza</w:t>
      </w:r>
    </w:p>
    <w:p w14:paraId="2CF295E2" w14:textId="77780AF8" w:rsidR="0018014F" w:rsidRPr="000020F0" w:rsidRDefault="00990AB7" w:rsidP="00C54E5E">
      <w:pPr>
        <w:jc w:val="both"/>
        <w:rPr>
          <w:rFonts w:ascii="Arial" w:hAnsi="Arial" w:cs="Arial"/>
          <w:sz w:val="22"/>
          <w:szCs w:val="22"/>
        </w:rPr>
      </w:pPr>
      <w:r w:rsidRPr="000020F0">
        <w:rPr>
          <w:rFonts w:ascii="Arial" w:hAnsi="Arial" w:cs="Arial"/>
          <w:sz w:val="22"/>
          <w:szCs w:val="22"/>
          <w:lang w:eastAsia="en-US"/>
        </w:rPr>
        <w:t>Predviden je nov drevored ob Govekarjevi cesti, ki poteka skozi središče naselja. Obstoječi drevored se ohranja v največji možni meri. Ureditev ustvari nov profil ceste, ki poleg prijetnega ambienta, protihrupnega delovanja in senčenja ustvari novo linearno urbanistično potezo naselja. Deloma se drevored uredi na zahodnem delu Govekarjeve ceste, proti severu pa se prestavi na vzhodni del ob športni dvorani.</w:t>
      </w:r>
      <w:r w:rsidR="0018014F" w:rsidRPr="000020F0">
        <w:rPr>
          <w:rFonts w:ascii="Arial" w:hAnsi="Arial" w:cs="Arial"/>
          <w:sz w:val="22"/>
          <w:szCs w:val="22"/>
        </w:rPr>
        <w:t xml:space="preserve"> Zelena </w:t>
      </w:r>
      <w:proofErr w:type="spellStart"/>
      <w:r w:rsidR="0018014F" w:rsidRPr="000020F0">
        <w:rPr>
          <w:rFonts w:ascii="Arial" w:hAnsi="Arial" w:cs="Arial"/>
          <w:sz w:val="22"/>
          <w:szCs w:val="22"/>
        </w:rPr>
        <w:t>členitvena</w:t>
      </w:r>
      <w:proofErr w:type="spellEnd"/>
      <w:r w:rsidR="0018014F" w:rsidRPr="000020F0">
        <w:rPr>
          <w:rFonts w:ascii="Arial" w:hAnsi="Arial" w:cs="Arial"/>
          <w:sz w:val="22"/>
          <w:szCs w:val="22"/>
        </w:rPr>
        <w:t xml:space="preserve"> poteza se uredi tudi na severni strani novega dela parkirišča in omogoča udobnejšo povezavo z glavnim vhodom v OŠ.</w:t>
      </w:r>
    </w:p>
    <w:p w14:paraId="660AAB90" w14:textId="716CD6C4" w:rsidR="00990AB7" w:rsidRPr="000020F0" w:rsidRDefault="00990AB7" w:rsidP="00990AB7">
      <w:pPr>
        <w:spacing w:after="200" w:line="276" w:lineRule="auto"/>
        <w:jc w:val="both"/>
        <w:rPr>
          <w:rFonts w:ascii="Arial" w:hAnsi="Arial" w:cs="Arial"/>
          <w:sz w:val="22"/>
          <w:szCs w:val="22"/>
          <w:lang w:eastAsia="en-US"/>
        </w:rPr>
      </w:pPr>
    </w:p>
    <w:p w14:paraId="4264AB6C"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Javna igrišča za otroke in mladostnike</w:t>
      </w:r>
    </w:p>
    <w:p w14:paraId="2B112E98"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Predvideno je otroško igrišče v samem središču kraja, ki bo dopolnjevalo mešan program obstoječih javnih objektov in predvidenih novih zelenih površin. Velikost predvidenega igrišča je 200 m</w:t>
      </w:r>
      <w:r w:rsidRPr="000020F0">
        <w:rPr>
          <w:rFonts w:ascii="Arial" w:hAnsi="Arial" w:cs="Arial"/>
          <w:sz w:val="22"/>
          <w:szCs w:val="22"/>
          <w:vertAlign w:val="superscript"/>
          <w:lang w:eastAsia="en-US"/>
        </w:rPr>
        <w:t>2</w:t>
      </w:r>
      <w:r w:rsidRPr="000020F0">
        <w:rPr>
          <w:rFonts w:ascii="Arial" w:hAnsi="Arial" w:cs="Arial"/>
          <w:sz w:val="22"/>
          <w:szCs w:val="22"/>
          <w:lang w:eastAsia="en-US"/>
        </w:rPr>
        <w:t xml:space="preserve"> ob minimalnem deležu zelenih površin na raščenem terenu 30 % in zastrtost s košnjami vsaj 30 %. Igrišče se nahaja v samem središču naselja. </w:t>
      </w:r>
    </w:p>
    <w:p w14:paraId="0056BF76" w14:textId="77777777"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192" w:name="_Toc209029148"/>
      <w:bookmarkStart w:id="193" w:name="_Toc209277144"/>
      <w:bookmarkStart w:id="194" w:name="_Ref230593872"/>
      <w:bookmarkStart w:id="195" w:name="_Toc230882207"/>
      <w:r w:rsidRPr="000020F0">
        <w:rPr>
          <w:rFonts w:asciiTheme="majorHAnsi" w:eastAsiaTheme="majorEastAsia" w:hAnsiTheme="majorHAnsi" w:cstheme="majorHAnsi"/>
          <w:color w:val="244061" w:themeColor="accent1" w:themeShade="80"/>
          <w:szCs w:val="22"/>
        </w:rPr>
        <w:t>Trajnostna mobilnost</w:t>
      </w:r>
      <w:bookmarkEnd w:id="192"/>
      <w:bookmarkEnd w:id="193"/>
      <w:bookmarkEnd w:id="194"/>
      <w:bookmarkEnd w:id="195"/>
    </w:p>
    <w:p w14:paraId="448A1847"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Občina Ig predvideva serijo posegov v sklopu ureditve središča kraja, ki bodo znatno izboljšali prometno ureditev v smislu trajnostne mobilnosti.</w:t>
      </w:r>
    </w:p>
    <w:p w14:paraId="00D2272D"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lastRenderedPageBreak/>
        <w:t>Vsi predvideni posegi so usmerjeni v zmanjšanje površin za osebni motorni promet in obenem povečujejo kapacitete javnega potniškega prometa, talne ureditve pa dajejo prednost pešcem in kolesarjem. Predvideni so ukrepi za izboljšavo varnosti vseh uporabnikov s poudarkom na varnosti in vključenosti otrok, starejših ter gibalno oviranih (deljena prometna površina, skupni prometni prostor,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xml:space="preserve">« cona pred šolo, izravnava talnih ureditev, ustrezne haptične oznake površin itd.) ter umirjanja prometa, z izhodiščem, da se osebni motorni promet omeji na najnujnejše za nemoteno uporabo središča kraja, obenem pa je še vedno omogočeno udobje premikanja in </w:t>
      </w:r>
      <w:proofErr w:type="spellStart"/>
      <w:r w:rsidRPr="000020F0">
        <w:rPr>
          <w:rFonts w:ascii="Arial" w:hAnsi="Arial" w:cs="Arial"/>
          <w:sz w:val="22"/>
          <w:szCs w:val="22"/>
          <w:lang w:eastAsia="en-US"/>
        </w:rPr>
        <w:t>nediskriminatornost</w:t>
      </w:r>
      <w:proofErr w:type="spellEnd"/>
      <w:r w:rsidRPr="000020F0">
        <w:rPr>
          <w:rFonts w:ascii="Arial" w:hAnsi="Arial" w:cs="Arial"/>
          <w:sz w:val="22"/>
          <w:szCs w:val="22"/>
          <w:lang w:eastAsia="en-US"/>
        </w:rPr>
        <w:t xml:space="preserve"> (predvsem do starejših in gibalno oviranih oseb). </w:t>
      </w:r>
    </w:p>
    <w:p w14:paraId="1935927C"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96" w:name="_Toc209277145"/>
      <w:bookmarkStart w:id="197" w:name="_Toc230882208"/>
      <w:r w:rsidRPr="000020F0">
        <w:rPr>
          <w:rFonts w:asciiTheme="majorHAnsi" w:eastAsiaTheme="majorEastAsia" w:hAnsiTheme="majorHAnsi" w:cstheme="majorHAnsi"/>
          <w:color w:val="244061" w:themeColor="accent1" w:themeShade="80"/>
          <w:szCs w:val="22"/>
        </w:rPr>
        <w:t>Govekarjeva cesta</w:t>
      </w:r>
      <w:bookmarkEnd w:id="196"/>
      <w:bookmarkEnd w:id="197"/>
    </w:p>
    <w:p w14:paraId="642C6C21" w14:textId="7382995E" w:rsidR="00990AB7" w:rsidRPr="000020F0" w:rsidRDefault="00821D25"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Preureditev </w:t>
      </w:r>
      <w:r w:rsidR="00990AB7" w:rsidRPr="000020F0">
        <w:rPr>
          <w:rFonts w:ascii="Arial" w:hAnsi="Arial" w:cs="Arial"/>
          <w:sz w:val="22"/>
          <w:szCs w:val="22"/>
          <w:lang w:eastAsia="en-US"/>
        </w:rPr>
        <w:t xml:space="preserve">Govekarjeve ceste </w:t>
      </w:r>
      <w:r w:rsidRPr="000020F0">
        <w:rPr>
          <w:rFonts w:ascii="Arial" w:hAnsi="Arial" w:cs="Arial"/>
          <w:sz w:val="22"/>
          <w:szCs w:val="22"/>
          <w:lang w:eastAsia="en-US"/>
        </w:rPr>
        <w:t xml:space="preserve">in uvedba </w:t>
      </w:r>
      <w:r w:rsidR="00990AB7" w:rsidRPr="000020F0">
        <w:rPr>
          <w:rFonts w:ascii="Arial" w:hAnsi="Arial" w:cs="Arial"/>
          <w:sz w:val="22"/>
          <w:szCs w:val="22"/>
          <w:lang w:eastAsia="en-US"/>
        </w:rPr>
        <w:t>skupn</w:t>
      </w:r>
      <w:r w:rsidRPr="000020F0">
        <w:rPr>
          <w:rFonts w:ascii="Arial" w:hAnsi="Arial" w:cs="Arial"/>
          <w:sz w:val="22"/>
          <w:szCs w:val="22"/>
          <w:lang w:eastAsia="en-US"/>
        </w:rPr>
        <w:t>ega</w:t>
      </w:r>
      <w:r w:rsidR="00990AB7" w:rsidRPr="000020F0">
        <w:rPr>
          <w:rFonts w:ascii="Arial" w:hAnsi="Arial" w:cs="Arial"/>
          <w:sz w:val="22"/>
          <w:szCs w:val="22"/>
          <w:lang w:eastAsia="en-US"/>
        </w:rPr>
        <w:t xml:space="preserve"> prometn</w:t>
      </w:r>
      <w:r w:rsidRPr="000020F0">
        <w:rPr>
          <w:rFonts w:ascii="Arial" w:hAnsi="Arial" w:cs="Arial"/>
          <w:sz w:val="22"/>
          <w:szCs w:val="22"/>
          <w:lang w:eastAsia="en-US"/>
        </w:rPr>
        <w:t>ega</w:t>
      </w:r>
      <w:r w:rsidR="00990AB7" w:rsidRPr="000020F0">
        <w:rPr>
          <w:rFonts w:ascii="Arial" w:hAnsi="Arial" w:cs="Arial"/>
          <w:sz w:val="22"/>
          <w:szCs w:val="22"/>
          <w:lang w:eastAsia="en-US"/>
        </w:rPr>
        <w:t xml:space="preserve"> prostor</w:t>
      </w:r>
      <w:r w:rsidR="00DC3367" w:rsidRPr="000020F0">
        <w:rPr>
          <w:rFonts w:ascii="Arial" w:hAnsi="Arial" w:cs="Arial"/>
          <w:sz w:val="22"/>
          <w:szCs w:val="22"/>
          <w:lang w:eastAsia="en-US"/>
        </w:rPr>
        <w:t>a</w:t>
      </w:r>
      <w:r w:rsidR="00990AB7" w:rsidRPr="000020F0">
        <w:rPr>
          <w:rFonts w:ascii="Arial" w:hAnsi="Arial" w:cs="Arial"/>
          <w:sz w:val="22"/>
          <w:szCs w:val="22"/>
          <w:lang w:eastAsia="en-US"/>
        </w:rPr>
        <w:t xml:space="preserve"> po vzoru sodobnih urbanističnih načel v centrih naselij. Rekonstrukcija upošteva principe trajnostne mobilnosti – izboljšanje površin za pešce in kolesarje, zmanjšanje širine cestišča, stojno mesto za šolski avtobus na cestišču, višinska poravnava z nivojem pločnikov in tržnih površin. Obojestransko sta urejena razširjena pločnika, ki merita na najožjem delu 1,6 metra, ponekod pa sta razširjena v trg. Vzdolž ceste se uredi drevored z zelenimi pasovi in otoki, ki omogoča izdatno senčenje peš površin in klopi za počitek. Zelena krajinska ureditev se ureja v sklopu ureditve zelene infrastrukture. Ureditev vključuje več ukrepov za umirjanje prometa.</w:t>
      </w:r>
    </w:p>
    <w:p w14:paraId="173D23EE"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198" w:name="_Toc209277146"/>
      <w:bookmarkStart w:id="199" w:name="_Toc230882209"/>
      <w:r w:rsidRPr="000020F0">
        <w:rPr>
          <w:rFonts w:asciiTheme="majorHAnsi" w:eastAsiaTheme="majorEastAsia" w:hAnsiTheme="majorHAnsi" w:cstheme="majorHAnsi"/>
          <w:color w:val="244061" w:themeColor="accent1" w:themeShade="80"/>
          <w:szCs w:val="22"/>
        </w:rPr>
        <w:t>Troštova ulica</w:t>
      </w:r>
      <w:bookmarkEnd w:id="198"/>
      <w:bookmarkEnd w:id="199"/>
    </w:p>
    <w:p w14:paraId="27D85354"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Ureditev Troštove ulice kot skupni prometni prostor, prav tako kot ureditev Govekarjeve ceste vključuje sodobna urbanistična načela in principe trajnostne mobilnosti. Ukinitev paralelnih parkirnih mest na Troštovi ulici omogoči ureditev zelenega pasu za manjša drevesa in širšega pločnika za pešce, ki se ureja v sklopu ureditve zelene infrastrukture. Ureditev vključuje več ukrepov za umirjanje prometa.</w:t>
      </w:r>
    </w:p>
    <w:p w14:paraId="21697A27"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00" w:name="_Toc209277147"/>
      <w:bookmarkStart w:id="201" w:name="_Ref230594075"/>
      <w:bookmarkStart w:id="202" w:name="_Toc230882210"/>
      <w:r w:rsidRPr="000020F0">
        <w:rPr>
          <w:rFonts w:asciiTheme="majorHAnsi" w:eastAsiaTheme="majorEastAsia" w:hAnsiTheme="majorHAnsi" w:cstheme="majorHAnsi"/>
          <w:color w:val="244061" w:themeColor="accent1" w:themeShade="80"/>
          <w:szCs w:val="22"/>
        </w:rPr>
        <w:t>Avtobusno postajališče</w:t>
      </w:r>
      <w:bookmarkEnd w:id="200"/>
      <w:bookmarkEnd w:id="201"/>
      <w:bookmarkEnd w:id="202"/>
    </w:p>
    <w:p w14:paraId="53AE85DF" w14:textId="5727BA06" w:rsidR="00990AB7" w:rsidRPr="000020F0" w:rsidRDefault="005A3CDB"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Na mestu obstoječega postajališča je predvidena izvedba novega avtobusnega postajališča s tremi </w:t>
      </w:r>
      <w:proofErr w:type="spellStart"/>
      <w:r w:rsidRPr="000020F0">
        <w:rPr>
          <w:rFonts w:ascii="Arial" w:hAnsi="Arial" w:cs="Arial"/>
          <w:sz w:val="22"/>
          <w:szCs w:val="22"/>
          <w:lang w:eastAsia="en-US"/>
        </w:rPr>
        <w:t>nadkritimi</w:t>
      </w:r>
      <w:proofErr w:type="spellEnd"/>
      <w:r w:rsidRPr="000020F0">
        <w:rPr>
          <w:rFonts w:ascii="Arial" w:hAnsi="Arial" w:cs="Arial"/>
          <w:sz w:val="22"/>
          <w:szCs w:val="22"/>
          <w:lang w:eastAsia="en-US"/>
        </w:rPr>
        <w:t xml:space="preserve"> peroni. V projekt za pridobitev GD je vključena samo nadstrešnica nad AP in prestavitev plinovoda, ostala ureditev na nivoju cestišča se ureja pod vzdrževalnimi deli. Celotno območje (cca. 800 m2) je na robovih ozelenjeno, predvidena so stojna mesta koles za javno izposojo e-koles. Severni rob območja je proti sosednjim parcelam ograjen in </w:t>
      </w:r>
      <w:proofErr w:type="spellStart"/>
      <w:r w:rsidRPr="000020F0">
        <w:rPr>
          <w:rFonts w:ascii="Arial" w:hAnsi="Arial" w:cs="Arial"/>
          <w:sz w:val="22"/>
          <w:szCs w:val="22"/>
          <w:lang w:eastAsia="en-US"/>
        </w:rPr>
        <w:t>zazelenjen</w:t>
      </w:r>
      <w:proofErr w:type="spellEnd"/>
      <w:r w:rsidRPr="000020F0">
        <w:rPr>
          <w:rFonts w:ascii="Arial" w:hAnsi="Arial" w:cs="Arial"/>
          <w:sz w:val="22"/>
          <w:szCs w:val="22"/>
          <w:lang w:eastAsia="en-US"/>
        </w:rPr>
        <w:t>.</w:t>
      </w:r>
    </w:p>
    <w:p w14:paraId="1EE11B9C" w14:textId="6CE03215" w:rsidR="0007564A" w:rsidRPr="000020F0" w:rsidRDefault="00CB5363" w:rsidP="00990AB7">
      <w:pPr>
        <w:spacing w:after="200" w:line="276" w:lineRule="auto"/>
        <w:jc w:val="both"/>
        <w:rPr>
          <w:rFonts w:ascii="Arial" w:hAnsi="Arial" w:cs="Arial"/>
          <w:sz w:val="22"/>
          <w:szCs w:val="22"/>
          <w:lang w:eastAsia="en-US"/>
        </w:rPr>
      </w:pPr>
      <w:r w:rsidRPr="000020F0">
        <w:rPr>
          <w:rFonts w:ascii="Arial" w:hAnsi="Arial" w:cs="Arial"/>
          <w:sz w:val="22"/>
          <w:szCs w:val="22"/>
        </w:rPr>
        <w:t>V neposredni bližini, na občinskem trgu, v sklopu varne kolesarnice in nadstrešnice (ni del te operacije) se uredijo tudi javne sanitarije.</w:t>
      </w:r>
    </w:p>
    <w:p w14:paraId="1ED02EF1"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03" w:name="_Toc209277148"/>
      <w:bookmarkStart w:id="204" w:name="_Toc230882211"/>
      <w:r w:rsidRPr="000020F0">
        <w:rPr>
          <w:rFonts w:asciiTheme="majorHAnsi" w:eastAsiaTheme="majorEastAsia" w:hAnsiTheme="majorHAnsi" w:cstheme="majorHAnsi"/>
          <w:color w:val="244061" w:themeColor="accent1" w:themeShade="80"/>
          <w:szCs w:val="22"/>
        </w:rPr>
        <w:t>Mirujoči promet</w:t>
      </w:r>
      <w:bookmarkEnd w:id="203"/>
      <w:bookmarkEnd w:id="204"/>
    </w:p>
    <w:p w14:paraId="71311E17" w14:textId="0D5D90B4" w:rsidR="00990AB7" w:rsidRPr="000020F0" w:rsidRDefault="00A86824"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Mirujoči promet - obstoječe parkirne površine so zmanjšane na račun povečanja zelenih površin. Prometna ureditev omogoča boljšo pretočnost prometa in izogibanje zamaškom v jutranjih konicah (krožišče, krožna pot,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predvidena parkirna mesta so omejena z zelenjem. Vse parkirne kapacitete so iz Govekarjeve ceste, torej središčnega območja kraja, zagotovljene na parkirnih mestih pred osnovno šolo, sedanje centralno parkirišče pa je namenjeno novemu glavnemu trgu kraja. Parkirni režim spodbuja kratkotrajno parkiranje in stimulira aktivnosti v središču preko celega dneva.</w:t>
      </w:r>
    </w:p>
    <w:p w14:paraId="644E483F"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05" w:name="_Toc209277149"/>
      <w:bookmarkStart w:id="206" w:name="_Ref230594118"/>
      <w:bookmarkStart w:id="207" w:name="_Toc230882212"/>
      <w:r w:rsidRPr="000020F0">
        <w:rPr>
          <w:rFonts w:asciiTheme="majorHAnsi" w:eastAsiaTheme="majorEastAsia" w:hAnsiTheme="majorHAnsi" w:cstheme="majorHAnsi"/>
          <w:color w:val="244061" w:themeColor="accent1" w:themeShade="80"/>
          <w:szCs w:val="22"/>
        </w:rPr>
        <w:lastRenderedPageBreak/>
        <w:t>Kolesarska infrastruktura</w:t>
      </w:r>
      <w:bookmarkEnd w:id="205"/>
      <w:bookmarkEnd w:id="206"/>
      <w:bookmarkEnd w:id="207"/>
    </w:p>
    <w:p w14:paraId="294BBEFB" w14:textId="512F45C2" w:rsidR="006A5690" w:rsidRPr="000020F0" w:rsidRDefault="006A5690" w:rsidP="006A5690">
      <w:pPr>
        <w:spacing w:after="200" w:line="276" w:lineRule="auto"/>
        <w:jc w:val="both"/>
        <w:rPr>
          <w:rFonts w:ascii="Arial" w:hAnsi="Arial" w:cs="Arial"/>
          <w:sz w:val="22"/>
          <w:szCs w:val="22"/>
          <w:lang w:eastAsia="en-US"/>
        </w:rPr>
      </w:pPr>
      <w:r w:rsidRPr="000020F0">
        <w:rPr>
          <w:rFonts w:ascii="Arial" w:hAnsi="Arial" w:cs="Arial"/>
          <w:sz w:val="22"/>
          <w:szCs w:val="22"/>
          <w:lang w:eastAsia="en-US"/>
        </w:rPr>
        <w:t>Kolesa in elektr</w:t>
      </w:r>
      <w:r w:rsidR="00ED780D" w:rsidRPr="000020F0">
        <w:rPr>
          <w:rFonts w:ascii="Arial" w:hAnsi="Arial" w:cs="Arial"/>
          <w:sz w:val="22"/>
          <w:szCs w:val="22"/>
          <w:lang w:eastAsia="en-US"/>
        </w:rPr>
        <w:t>ična</w:t>
      </w:r>
      <w:r w:rsidRPr="000020F0">
        <w:rPr>
          <w:rFonts w:ascii="Arial" w:hAnsi="Arial" w:cs="Arial"/>
          <w:sz w:val="22"/>
          <w:szCs w:val="22"/>
          <w:lang w:eastAsia="en-US"/>
        </w:rPr>
        <w:t xml:space="preserve"> kolesa – Predvidenih je sedem lokacij s parkirnimi mesti za kolesa. Prometna ureditev kraja z deljenimi prometnimi površinami in kolesarskimi potmi spodbuja rabo koles in umirja osebni motorni promet. </w:t>
      </w:r>
    </w:p>
    <w:p w14:paraId="4B9AC56A" w14:textId="6B4722BB" w:rsidR="00990AB7" w:rsidRPr="000020F0" w:rsidRDefault="006A5690" w:rsidP="006A5690">
      <w:pPr>
        <w:spacing w:after="200" w:line="276" w:lineRule="auto"/>
        <w:jc w:val="both"/>
        <w:rPr>
          <w:rFonts w:ascii="Arial" w:hAnsi="Arial" w:cs="Arial"/>
          <w:sz w:val="22"/>
          <w:szCs w:val="22"/>
          <w:lang w:eastAsia="en-US"/>
        </w:rPr>
      </w:pPr>
      <w:r w:rsidRPr="000020F0">
        <w:rPr>
          <w:rFonts w:ascii="Arial" w:hAnsi="Arial" w:cs="Arial"/>
          <w:sz w:val="22"/>
          <w:szCs w:val="22"/>
          <w:lang w:eastAsia="en-US"/>
        </w:rPr>
        <w:t>RRA LUR je skupaj z 21 občinami, med njimi tudi Občino Ig, dne 22.10.2024, sklenila okvirni sporazum za vzpostavitev javnega sistema izposoje e-koles v LUR, z izvajalcem NOMAGO d.o.o. V okviru tega dogovora bo Občina Ig postavila v obravnavanem območju</w:t>
      </w:r>
      <w:r w:rsidR="00ED780D" w:rsidRPr="000020F0">
        <w:rPr>
          <w:rFonts w:ascii="Arial" w:hAnsi="Arial" w:cs="Arial"/>
          <w:sz w:val="22"/>
          <w:szCs w:val="22"/>
          <w:lang w:eastAsia="en-US"/>
        </w:rPr>
        <w:t xml:space="preserve"> dve</w:t>
      </w:r>
      <w:r w:rsidRPr="000020F0">
        <w:rPr>
          <w:rFonts w:ascii="Arial" w:hAnsi="Arial" w:cs="Arial"/>
          <w:sz w:val="22"/>
          <w:szCs w:val="22"/>
          <w:lang w:eastAsia="en-US"/>
        </w:rPr>
        <w:t xml:space="preserve"> postajališč</w:t>
      </w:r>
      <w:r w:rsidR="00ED780D" w:rsidRPr="000020F0">
        <w:rPr>
          <w:rFonts w:ascii="Arial" w:hAnsi="Arial" w:cs="Arial"/>
          <w:sz w:val="22"/>
          <w:szCs w:val="22"/>
          <w:lang w:eastAsia="en-US"/>
        </w:rPr>
        <w:t>i</w:t>
      </w:r>
      <w:r w:rsidR="00332887" w:rsidRPr="000020F0">
        <w:rPr>
          <w:rFonts w:ascii="Arial" w:hAnsi="Arial" w:cs="Arial"/>
          <w:sz w:val="22"/>
          <w:szCs w:val="22"/>
          <w:lang w:eastAsia="en-US"/>
        </w:rPr>
        <w:t xml:space="preserve"> – ob avtobusni postaji in ob pokopališču</w:t>
      </w:r>
      <w:r w:rsidRPr="000020F0">
        <w:rPr>
          <w:rFonts w:ascii="Arial" w:hAnsi="Arial" w:cs="Arial"/>
          <w:sz w:val="22"/>
          <w:szCs w:val="22"/>
          <w:lang w:eastAsia="en-US"/>
        </w:rPr>
        <w:t>.</w:t>
      </w:r>
    </w:p>
    <w:p w14:paraId="0B9458BD" w14:textId="481BC2E4"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208" w:name="_Toc209029149"/>
      <w:bookmarkStart w:id="209" w:name="_Toc209277150"/>
      <w:bookmarkStart w:id="210" w:name="_Toc230882213"/>
      <w:r w:rsidRPr="000020F0">
        <w:rPr>
          <w:rFonts w:asciiTheme="majorHAnsi" w:eastAsiaTheme="majorEastAsia" w:hAnsiTheme="majorHAnsi" w:cstheme="majorHAnsi"/>
          <w:color w:val="244061" w:themeColor="accent1" w:themeShade="80"/>
          <w:szCs w:val="22"/>
        </w:rPr>
        <w:t>NOVI EUROPSKI BAUHAUS</w:t>
      </w:r>
      <w:bookmarkEnd w:id="208"/>
      <w:bookmarkEnd w:id="209"/>
      <w:bookmarkEnd w:id="210"/>
    </w:p>
    <w:p w14:paraId="5695DC22" w14:textId="09B12DC0"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Avtomobilski promet je podrejen </w:t>
      </w:r>
      <w:proofErr w:type="spellStart"/>
      <w:r w:rsidRPr="000020F0">
        <w:rPr>
          <w:rFonts w:ascii="Arial" w:hAnsi="Arial" w:cs="Arial"/>
          <w:sz w:val="22"/>
          <w:szCs w:val="22"/>
          <w:lang w:eastAsia="en-US"/>
        </w:rPr>
        <w:t>peščem</w:t>
      </w:r>
      <w:proofErr w:type="spellEnd"/>
      <w:r w:rsidRPr="000020F0">
        <w:rPr>
          <w:rFonts w:ascii="Arial" w:hAnsi="Arial" w:cs="Arial"/>
          <w:sz w:val="22"/>
          <w:szCs w:val="22"/>
          <w:lang w:eastAsia="en-US"/>
        </w:rPr>
        <w:t xml:space="preserve"> in kolesarjem (Govekarjeva cesta in Troštova ulica postaneta skupni prometni prostor). Hkrati upošteva varnostna načela v prometu v smislu reduciranja sekanja različnih prometnih tokov. Kolesarski promet je podprt s kolesarnicami / </w:t>
      </w:r>
      <w:proofErr w:type="spellStart"/>
      <w:r w:rsidRPr="000020F0">
        <w:rPr>
          <w:rFonts w:ascii="Arial" w:hAnsi="Arial" w:cs="Arial"/>
          <w:sz w:val="22"/>
          <w:szCs w:val="22"/>
          <w:lang w:eastAsia="en-US"/>
        </w:rPr>
        <w:t>nadkritimi</w:t>
      </w:r>
      <w:proofErr w:type="spellEnd"/>
      <w:r w:rsidRPr="000020F0">
        <w:rPr>
          <w:rFonts w:ascii="Arial" w:hAnsi="Arial" w:cs="Arial"/>
          <w:sz w:val="22"/>
          <w:szCs w:val="22"/>
          <w:lang w:eastAsia="en-US"/>
        </w:rPr>
        <w:t xml:space="preserve"> stojali za kolesa in polnilnicami za električna kolesa</w:t>
      </w:r>
      <w:r w:rsidR="00DC3367" w:rsidRPr="000020F0">
        <w:rPr>
          <w:rFonts w:ascii="Arial" w:hAnsi="Arial" w:cs="Arial"/>
          <w:sz w:val="22"/>
          <w:szCs w:val="22"/>
          <w:lang w:eastAsia="en-US"/>
        </w:rPr>
        <w:t xml:space="preserve"> v sistemu izposoje e-koles</w:t>
      </w:r>
      <w:r w:rsidRPr="000020F0">
        <w:rPr>
          <w:rFonts w:ascii="Arial" w:hAnsi="Arial" w:cs="Arial"/>
          <w:sz w:val="22"/>
          <w:szCs w:val="22"/>
          <w:lang w:eastAsia="en-US"/>
        </w:rPr>
        <w:t>. Za slepe in slabovidne pešce se izdela taktilne oznake. Vse peš površine so predvidene v izvedbi nizkega profila, ki omogoča starejšim in gibalno oviranim lažjo dostopnost.</w:t>
      </w:r>
    </w:p>
    <w:p w14:paraId="4E2AE529" w14:textId="4B22FDAB"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Novi objekt pred občinsko stavbo – </w:t>
      </w:r>
      <w:r w:rsidR="00B60C24" w:rsidRPr="000020F0">
        <w:rPr>
          <w:rFonts w:ascii="Arial" w:hAnsi="Arial" w:cs="Arial"/>
          <w:sz w:val="22"/>
          <w:szCs w:val="22"/>
          <w:lang w:eastAsia="en-US"/>
        </w:rPr>
        <w:t xml:space="preserve">javne sanitarije, </w:t>
      </w:r>
      <w:r w:rsidRPr="000020F0">
        <w:rPr>
          <w:rFonts w:ascii="Arial" w:hAnsi="Arial" w:cs="Arial"/>
          <w:sz w:val="22"/>
          <w:szCs w:val="22"/>
          <w:lang w:eastAsia="en-US"/>
        </w:rPr>
        <w:t>kolesarnica in nadstrešnica AP predvidevajo uporabo lesa in naravnih materialov v čim večji meri. Za namen samozadostne oskrbe, je predviden zajem deževnice in sončna elektrarna. Objekti predvidevajo tudi ustrezno naravno prezračevanje in senčenje po konceptu trajnostne gradnje.</w:t>
      </w:r>
    </w:p>
    <w:p w14:paraId="5EA62372" w14:textId="77777777"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211" w:name="_Toc209029150"/>
      <w:bookmarkStart w:id="212" w:name="_Toc209277151"/>
      <w:bookmarkStart w:id="213" w:name="_Toc230882214"/>
      <w:r w:rsidRPr="000020F0">
        <w:rPr>
          <w:rFonts w:asciiTheme="majorHAnsi" w:eastAsiaTheme="majorEastAsia" w:hAnsiTheme="majorHAnsi" w:cstheme="majorHAnsi"/>
          <w:color w:val="244061" w:themeColor="accent1" w:themeShade="80"/>
          <w:szCs w:val="22"/>
        </w:rPr>
        <w:t>EU RAZPIS TRAJNOSTNA MOBILNOST</w:t>
      </w:r>
      <w:bookmarkEnd w:id="211"/>
      <w:bookmarkEnd w:id="212"/>
      <w:bookmarkEnd w:id="213"/>
    </w:p>
    <w:p w14:paraId="7BB5FD69" w14:textId="29A2D6C4"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V projekt so vključeni naslednji upravičeni nameni: </w:t>
      </w:r>
    </w:p>
    <w:p w14:paraId="0FC7A906"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14" w:name="_Toc209277152"/>
      <w:bookmarkStart w:id="215" w:name="_Ref230593918"/>
      <w:bookmarkStart w:id="216" w:name="_Toc230882215"/>
      <w:r w:rsidRPr="000020F0">
        <w:rPr>
          <w:rFonts w:asciiTheme="majorHAnsi" w:eastAsiaTheme="majorEastAsia" w:hAnsiTheme="majorHAnsi" w:cstheme="majorHAnsi"/>
          <w:color w:val="244061" w:themeColor="accent1" w:themeShade="80"/>
          <w:szCs w:val="22"/>
        </w:rPr>
        <w:t>Ukrep 1: Celovita preureditev ulic in cest skladno z načeli trajnostne mobilnosti</w:t>
      </w:r>
      <w:bookmarkEnd w:id="214"/>
      <w:bookmarkEnd w:id="215"/>
      <w:bookmarkEnd w:id="216"/>
    </w:p>
    <w:p w14:paraId="79ABF2AA"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w:t>
      </w:r>
      <w:proofErr w:type="spellStart"/>
      <w:r w:rsidRPr="000020F0">
        <w:rPr>
          <w:rFonts w:ascii="Arial" w:hAnsi="Arial" w:cs="Arial"/>
          <w:sz w:val="22"/>
          <w:szCs w:val="22"/>
          <w:u w:val="single"/>
          <w:lang w:eastAsia="en-US"/>
        </w:rPr>
        <w:t>podukrep</w:t>
      </w:r>
      <w:proofErr w:type="spellEnd"/>
      <w:r w:rsidRPr="000020F0">
        <w:rPr>
          <w:rFonts w:ascii="Arial" w:hAnsi="Arial" w:cs="Arial"/>
          <w:sz w:val="22"/>
          <w:szCs w:val="22"/>
          <w:u w:val="single"/>
          <w:lang w:eastAsia="en-US"/>
        </w:rPr>
        <w:t xml:space="preserve"> “območje skupnega prometnega prostora)</w:t>
      </w:r>
    </w:p>
    <w:p w14:paraId="54895965" w14:textId="7384C44F"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Govekarjeva cesta se rekonstruira in zoži na minimalno širino za dvopasovni dvosmerni promet – 5,5 m</w:t>
      </w:r>
      <w:r w:rsidR="00821D25" w:rsidRPr="000020F0">
        <w:rPr>
          <w:rFonts w:ascii="Arial" w:hAnsi="Arial" w:cs="Arial"/>
          <w:sz w:val="22"/>
          <w:szCs w:val="22"/>
          <w:lang w:eastAsia="en-US"/>
        </w:rPr>
        <w:t xml:space="preserve"> in uredi </w:t>
      </w:r>
      <w:r w:rsidRPr="000020F0">
        <w:rPr>
          <w:rFonts w:ascii="Arial" w:hAnsi="Arial" w:cs="Arial"/>
          <w:sz w:val="22"/>
          <w:szCs w:val="22"/>
          <w:lang w:eastAsia="en-US"/>
        </w:rPr>
        <w:t xml:space="preserve"> skupni prometni prostor z omejitvijo hitrosti na 20 km/h</w:t>
      </w:r>
      <w:r w:rsidR="00821D25" w:rsidRPr="000020F0">
        <w:rPr>
          <w:rFonts w:ascii="Arial" w:hAnsi="Arial" w:cs="Arial"/>
          <w:sz w:val="22"/>
          <w:szCs w:val="22"/>
          <w:lang w:eastAsia="en-US"/>
        </w:rPr>
        <w:t xml:space="preserve">. Višina ceste se poravna s pločniki in trgom, na katere meji. </w:t>
      </w:r>
      <w:r w:rsidRPr="000020F0">
        <w:rPr>
          <w:rFonts w:ascii="Arial" w:hAnsi="Arial" w:cs="Arial"/>
          <w:sz w:val="22"/>
          <w:szCs w:val="22"/>
          <w:lang w:eastAsia="en-US"/>
        </w:rPr>
        <w:t>Na obeh straneh območja je označeno, da gre za skupni prometni prostor (znak 2445 oz. 2445-1). Postavijo se merilec hitrosti, dva prikazovalnika in števec za kolesarje. Najmanj 10 % površine ni asfaltirane – kocke/beton. Vsa obstoječa parkirna mesta na zahodni strani Govekarjeve ceste se odstranijo in se nadomestijo z zelenim pasom z drevoredom, ki se ureja v sklopu projekta ureditve zelene infrastrukture. Urejenih je 6 PM za invalide.</w:t>
      </w:r>
    </w:p>
    <w:p w14:paraId="3437586D" w14:textId="0E6D9366"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Troštova ulica se rekonstruira z novim zelenim pasom, ki se ureja v sklopu projekta ureditve zelene infrastrukture, in se zoži na 4 m, kar pomeni, da je dovolj široka samo za eno vozilo, vendar ostane dvopasovna. Na obeh koncih zoženja se uredi mesto za čakanje vozila, ki omogoča dobro preglednost zoženega dela. Ko je pas prost lahko vozilo zapelje na zoženi del v nasprotnem primeru počaka. Najmanj 10 % površine ni asfaltirane – kocke/beton. </w:t>
      </w:r>
      <w:r w:rsidR="00436F00" w:rsidRPr="000020F0">
        <w:rPr>
          <w:rFonts w:ascii="Arial" w:hAnsi="Arial" w:cs="Arial"/>
          <w:sz w:val="22"/>
          <w:szCs w:val="22"/>
          <w:lang w:eastAsia="en-US"/>
        </w:rPr>
        <w:t>Ukinitev paralelnih parkirnih mest na Troštovi ulici omogoči ureditev zelenega pasu za manjša drevesa in širšega pločnika za pešce, ki se ureja v sklopu ureditve zelene infrastrukture.</w:t>
      </w:r>
    </w:p>
    <w:p w14:paraId="4A48142E"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17" w:name="_Toc209277153"/>
      <w:bookmarkStart w:id="218" w:name="_Ref230594192"/>
      <w:bookmarkStart w:id="219" w:name="_Toc230882216"/>
      <w:r w:rsidRPr="000020F0">
        <w:rPr>
          <w:rFonts w:asciiTheme="majorHAnsi" w:eastAsiaTheme="majorEastAsia" w:hAnsiTheme="majorHAnsi" w:cstheme="majorHAnsi"/>
          <w:color w:val="244061" w:themeColor="accent1" w:themeShade="80"/>
          <w:szCs w:val="22"/>
        </w:rPr>
        <w:lastRenderedPageBreak/>
        <w:t>Ukrep 2: Ureditev namenskih površin za JPP</w:t>
      </w:r>
      <w:bookmarkEnd w:id="217"/>
      <w:bookmarkEnd w:id="218"/>
      <w:bookmarkEnd w:id="219"/>
    </w:p>
    <w:p w14:paraId="314DD750" w14:textId="77777777" w:rsidR="004F49C5"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Avtobusno postajališče se bo uredilo na nivoju cestišča z nadstrešnico nad tremi peroni. Nadstrešnica bo imela sedišča za vsaj tri osebe in bo osvetljena. Imela bo tudi koš za smeti, talne oznake za slepe in slabovidne v skladu z 10. členom Pravilnika o univerzalni graditvi in uporabi objektov in vozni red. </w:t>
      </w:r>
    </w:p>
    <w:p w14:paraId="5578E5E9" w14:textId="3C876581"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Avtobusno postajališče izpolnjuje pogoje 8., 9., 10. člen Pravilnika o opremljenosti avtobusnih postaj, pomembnejših avtobusnih postajališč in avtobusnih postajališč ter načinu opravljanja storitev avtobusnih postaj (</w:t>
      </w:r>
      <w:proofErr w:type="spellStart"/>
      <w:r w:rsidRPr="000020F0">
        <w:rPr>
          <w:rFonts w:ascii="Arial" w:hAnsi="Arial" w:cs="Arial"/>
          <w:sz w:val="22"/>
          <w:szCs w:val="22"/>
          <w:lang w:eastAsia="en-US"/>
        </w:rPr>
        <w:t>Ur.l</w:t>
      </w:r>
      <w:proofErr w:type="spellEnd"/>
      <w:r w:rsidRPr="000020F0">
        <w:rPr>
          <w:rFonts w:ascii="Arial" w:hAnsi="Arial" w:cs="Arial"/>
          <w:sz w:val="22"/>
          <w:szCs w:val="22"/>
          <w:lang w:eastAsia="en-US"/>
        </w:rPr>
        <w:t>. RS, št. 86/04, 131/06-ZPCP-2).</w:t>
      </w:r>
    </w:p>
    <w:p w14:paraId="225117B1" w14:textId="2C559EA1" w:rsidR="00F30590" w:rsidRPr="000020F0" w:rsidRDefault="00F30590"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Severni rob območja je proti sosednjim parcelam ograjen in </w:t>
      </w:r>
      <w:proofErr w:type="spellStart"/>
      <w:r w:rsidRPr="000020F0">
        <w:rPr>
          <w:rFonts w:ascii="Arial" w:hAnsi="Arial" w:cs="Arial"/>
          <w:sz w:val="22"/>
          <w:szCs w:val="22"/>
          <w:lang w:eastAsia="en-US"/>
        </w:rPr>
        <w:t>zazelenjen</w:t>
      </w:r>
      <w:proofErr w:type="spellEnd"/>
      <w:r w:rsidRPr="000020F0">
        <w:rPr>
          <w:rFonts w:ascii="Arial" w:hAnsi="Arial" w:cs="Arial"/>
          <w:sz w:val="22"/>
          <w:szCs w:val="22"/>
          <w:lang w:eastAsia="en-US"/>
        </w:rPr>
        <w:t>.</w:t>
      </w:r>
    </w:p>
    <w:p w14:paraId="53DB5D3F" w14:textId="201A6A5E" w:rsidR="0007564A" w:rsidRPr="000020F0" w:rsidRDefault="0007564A" w:rsidP="00990AB7">
      <w:pPr>
        <w:spacing w:after="200" w:line="276" w:lineRule="auto"/>
        <w:jc w:val="both"/>
        <w:rPr>
          <w:rFonts w:ascii="Arial" w:hAnsi="Arial" w:cs="Arial"/>
          <w:sz w:val="22"/>
          <w:szCs w:val="22"/>
          <w:lang w:eastAsia="en-US"/>
        </w:rPr>
      </w:pPr>
      <w:r w:rsidRPr="000020F0">
        <w:rPr>
          <w:rFonts w:ascii="Arial" w:hAnsi="Arial" w:cs="Arial"/>
          <w:sz w:val="22"/>
          <w:szCs w:val="22"/>
        </w:rPr>
        <w:t>V neposredni bližini, na občinskem trgu, v sklopu varne kolesarnice in nadstrešnice (ni del te operacije) se uredijo tudi javne sanitarije.</w:t>
      </w:r>
    </w:p>
    <w:p w14:paraId="1A18FCAE"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20" w:name="_Toc209277154"/>
      <w:bookmarkStart w:id="221" w:name="_Ref230594108"/>
      <w:bookmarkStart w:id="222" w:name="_Toc230882217"/>
      <w:r w:rsidRPr="000020F0">
        <w:rPr>
          <w:rFonts w:asciiTheme="majorHAnsi" w:eastAsiaTheme="majorEastAsia" w:hAnsiTheme="majorHAnsi" w:cstheme="majorHAnsi"/>
          <w:color w:val="244061" w:themeColor="accent1" w:themeShade="80"/>
          <w:szCs w:val="22"/>
        </w:rPr>
        <w:t>Ukrep 4: Infrastruktura za kolesarje</w:t>
      </w:r>
      <w:bookmarkEnd w:id="220"/>
      <w:bookmarkEnd w:id="221"/>
      <w:bookmarkEnd w:id="222"/>
    </w:p>
    <w:p w14:paraId="4345EEC5" w14:textId="337C2E22" w:rsidR="0007564A" w:rsidRPr="000020F0" w:rsidRDefault="00990AB7" w:rsidP="00990AB7">
      <w:pPr>
        <w:spacing w:after="200" w:line="276" w:lineRule="auto"/>
        <w:jc w:val="both"/>
        <w:rPr>
          <w:rFonts w:ascii="Arial" w:hAnsi="Arial" w:cs="Arial"/>
          <w:sz w:val="22"/>
          <w:szCs w:val="22"/>
          <w:lang w:eastAsia="en-US"/>
        </w:rPr>
      </w:pPr>
      <w:r w:rsidRPr="000020F0">
        <w:rPr>
          <w:rFonts w:asciiTheme="majorHAnsi" w:hAnsiTheme="majorHAnsi" w:cstheme="majorHAnsi"/>
          <w:sz w:val="22"/>
          <w:szCs w:val="22"/>
          <w:lang w:eastAsia="en-US"/>
        </w:rPr>
        <w:t xml:space="preserve">Odprta nadkrita parkirišča za kolesa so predvidena na štirih lokacijah v centru Iga – ob vhodu v park, ob telovadnici, ob novem javnem otroškem igrišču in ob novem pomožnem objektu sanitarij. </w:t>
      </w:r>
      <w:r w:rsidRPr="000020F0">
        <w:rPr>
          <w:rFonts w:ascii="Arial" w:hAnsi="Arial" w:cs="Arial"/>
          <w:sz w:val="22"/>
          <w:szCs w:val="22"/>
          <w:lang w:eastAsia="en-US"/>
        </w:rPr>
        <w:t>Vsa štiri nadkrita parkirna mesta</w:t>
      </w:r>
      <w:r w:rsidR="00000822" w:rsidRPr="000020F0">
        <w:rPr>
          <w:rFonts w:ascii="Arial" w:hAnsi="Arial" w:cs="Arial"/>
          <w:sz w:val="22"/>
          <w:szCs w:val="22"/>
          <w:lang w:eastAsia="en-US"/>
        </w:rPr>
        <w:t xml:space="preserve"> za kolesa</w:t>
      </w:r>
      <w:r w:rsidRPr="000020F0">
        <w:rPr>
          <w:rFonts w:ascii="Arial" w:hAnsi="Arial" w:cs="Arial"/>
          <w:sz w:val="22"/>
          <w:szCs w:val="22"/>
          <w:lang w:eastAsia="en-US"/>
        </w:rPr>
        <w:t xml:space="preserve"> </w:t>
      </w:r>
      <w:r w:rsidR="0007564A" w:rsidRPr="000020F0">
        <w:rPr>
          <w:rFonts w:ascii="Arial" w:hAnsi="Arial" w:cs="Arial"/>
          <w:sz w:val="22"/>
          <w:szCs w:val="22"/>
          <w:lang w:eastAsia="en-US"/>
        </w:rPr>
        <w:t xml:space="preserve">imajo postavljenih pet stojk za kolesa, na razmaku 1 meter, kar omogoča </w:t>
      </w:r>
      <w:r w:rsidR="00000822" w:rsidRPr="000020F0">
        <w:rPr>
          <w:rFonts w:ascii="Arial" w:hAnsi="Arial" w:cs="Arial"/>
          <w:sz w:val="22"/>
          <w:szCs w:val="22"/>
          <w:lang w:eastAsia="en-US"/>
        </w:rPr>
        <w:t xml:space="preserve"> parkiranje</w:t>
      </w:r>
      <w:r w:rsidRPr="000020F0">
        <w:rPr>
          <w:rFonts w:ascii="Arial" w:hAnsi="Arial" w:cs="Arial"/>
          <w:sz w:val="22"/>
          <w:szCs w:val="22"/>
          <w:lang w:eastAsia="en-US"/>
        </w:rPr>
        <w:t xml:space="preserve"> 10 koles. </w:t>
      </w:r>
    </w:p>
    <w:p w14:paraId="09A03740" w14:textId="77777777" w:rsidR="009E479F" w:rsidRPr="000020F0" w:rsidRDefault="00990AB7" w:rsidP="00990AB7">
      <w:pPr>
        <w:spacing w:after="200" w:line="276" w:lineRule="auto"/>
        <w:jc w:val="both"/>
        <w:rPr>
          <w:rFonts w:ascii="Arial" w:hAnsi="Arial" w:cs="Arial"/>
          <w:sz w:val="22"/>
          <w:szCs w:val="22"/>
        </w:rPr>
      </w:pPr>
      <w:r w:rsidRPr="000020F0">
        <w:rPr>
          <w:rFonts w:ascii="Arial" w:hAnsi="Arial" w:cs="Arial"/>
          <w:sz w:val="22"/>
          <w:szCs w:val="22"/>
          <w:lang w:eastAsia="en-US"/>
        </w:rPr>
        <w:t>V enem od pomožnih objektov se predvidi tudi pokrita varna kolesarnica v velikost 25,0 m</w:t>
      </w:r>
      <w:r w:rsidRPr="000020F0">
        <w:rPr>
          <w:rFonts w:ascii="Arial" w:hAnsi="Arial" w:cs="Arial"/>
          <w:sz w:val="22"/>
          <w:szCs w:val="22"/>
          <w:vertAlign w:val="superscript"/>
          <w:lang w:eastAsia="en-US"/>
        </w:rPr>
        <w:t>2</w:t>
      </w:r>
      <w:r w:rsidRPr="000020F0">
        <w:rPr>
          <w:rFonts w:ascii="Arial" w:hAnsi="Arial" w:cs="Arial"/>
          <w:sz w:val="22"/>
          <w:szCs w:val="22"/>
          <w:lang w:eastAsia="en-US"/>
        </w:rPr>
        <w:t xml:space="preserve">. V pokriti varni kolesarnici je prostora za 10 koles. </w:t>
      </w:r>
      <w:r w:rsidR="008B3F49" w:rsidRPr="000020F0">
        <w:rPr>
          <w:rFonts w:ascii="Arial" w:hAnsi="Arial" w:cs="Arial"/>
          <w:sz w:val="22"/>
          <w:szCs w:val="22"/>
        </w:rPr>
        <w:t xml:space="preserve">Dostop do zaprte kolesarnice bo zagotovljen vsem uporabnikom pod enakimi, </w:t>
      </w:r>
      <w:proofErr w:type="spellStart"/>
      <w:r w:rsidR="008B3F49" w:rsidRPr="000020F0">
        <w:rPr>
          <w:rFonts w:ascii="Arial" w:hAnsi="Arial" w:cs="Arial"/>
          <w:sz w:val="22"/>
          <w:szCs w:val="22"/>
        </w:rPr>
        <w:t>nediskriminatornimi</w:t>
      </w:r>
      <w:proofErr w:type="spellEnd"/>
      <w:r w:rsidR="008B3F49" w:rsidRPr="000020F0">
        <w:rPr>
          <w:rFonts w:ascii="Arial" w:hAnsi="Arial" w:cs="Arial"/>
          <w:sz w:val="22"/>
          <w:szCs w:val="22"/>
        </w:rPr>
        <w:t xml:space="preserve"> pogoji, in sicer preko sistema izposoje ključa/kartice na več javno dostopnih lokacijah v neposredni bližini (Občina Ig, recepcija Športne dvorane Ig, </w:t>
      </w:r>
      <w:proofErr w:type="spellStart"/>
      <w:r w:rsidR="008B3F49" w:rsidRPr="000020F0">
        <w:rPr>
          <w:rFonts w:ascii="Arial" w:hAnsi="Arial" w:cs="Arial"/>
          <w:sz w:val="22"/>
          <w:szCs w:val="22"/>
        </w:rPr>
        <w:t>Morostig</w:t>
      </w:r>
      <w:proofErr w:type="spellEnd"/>
      <w:r w:rsidR="008B3F49" w:rsidRPr="000020F0">
        <w:rPr>
          <w:rFonts w:ascii="Arial" w:hAnsi="Arial" w:cs="Arial"/>
          <w:sz w:val="22"/>
          <w:szCs w:val="22"/>
        </w:rPr>
        <w:t xml:space="preserve">). Ključ/kartico bo mogoče prevzeti v poslovnem času posamezne lokacije ob evidentiranju izposoje. </w:t>
      </w:r>
    </w:p>
    <w:p w14:paraId="2330C531" w14:textId="2109A233" w:rsidR="009E479F" w:rsidRPr="000020F0" w:rsidRDefault="008B3F49" w:rsidP="00990AB7">
      <w:pPr>
        <w:spacing w:after="200" w:line="276" w:lineRule="auto"/>
        <w:jc w:val="both"/>
        <w:rPr>
          <w:rFonts w:ascii="Arial" w:hAnsi="Arial" w:cs="Arial"/>
          <w:sz w:val="22"/>
          <w:szCs w:val="22"/>
        </w:rPr>
      </w:pPr>
      <w:r w:rsidRPr="000020F0">
        <w:rPr>
          <w:rFonts w:ascii="Arial" w:hAnsi="Arial" w:cs="Arial"/>
          <w:sz w:val="22"/>
          <w:szCs w:val="22"/>
        </w:rPr>
        <w:t xml:space="preserve">Sistem izposoje ne omejuje dostopnosti, temveč zagotavlja nadzorovan, a enakopraven dostop za vse uporabnike, kar je pomembno tudi z vidika varovanja opreme v kolesarnici. Informacije o načinu dostopa in pogojih uporabe bodo javno objavljene na spletni strani občine ter na informativni tabli ob kolesarnici, s čimer bo zagotovljena transparentnost in enaka dostopnost za vse uporabnike. </w:t>
      </w:r>
    </w:p>
    <w:p w14:paraId="0A49A9B9" w14:textId="539200AD" w:rsidR="008B3F49" w:rsidRPr="000020F0" w:rsidRDefault="008B3F49" w:rsidP="00990AB7">
      <w:pPr>
        <w:spacing w:after="200" w:line="276" w:lineRule="auto"/>
        <w:jc w:val="both"/>
        <w:rPr>
          <w:rFonts w:ascii="Arial" w:hAnsi="Arial" w:cs="Arial"/>
          <w:sz w:val="22"/>
          <w:szCs w:val="22"/>
        </w:rPr>
      </w:pPr>
      <w:r w:rsidRPr="000020F0">
        <w:rPr>
          <w:rFonts w:ascii="Arial" w:hAnsi="Arial" w:cs="Arial"/>
          <w:sz w:val="22"/>
          <w:szCs w:val="22"/>
        </w:rPr>
        <w:t>V prihodnje načrtujemo uvedbo aplikacije za dostop do varne kolesarnice, ki bo sistem še dodatno poenostavila in uporabnikom omogočila sodobnejši način upravljanja dostopa</w:t>
      </w:r>
      <w:r w:rsidR="005419B7" w:rsidRPr="000020F0">
        <w:rPr>
          <w:rFonts w:ascii="Arial" w:hAnsi="Arial" w:cs="Arial"/>
          <w:sz w:val="22"/>
          <w:szCs w:val="22"/>
        </w:rPr>
        <w:t>.</w:t>
      </w:r>
    </w:p>
    <w:p w14:paraId="24868102" w14:textId="77777777" w:rsidR="009E479F" w:rsidRPr="000020F0" w:rsidRDefault="009E479F">
      <w:pPr>
        <w:spacing w:after="200" w:line="276" w:lineRule="auto"/>
        <w:rPr>
          <w:rFonts w:asciiTheme="majorHAnsi" w:hAnsiTheme="majorHAnsi" w:cstheme="majorHAnsi"/>
          <w:b/>
          <w:bCs/>
          <w:sz w:val="22"/>
          <w:szCs w:val="22"/>
          <w:lang w:eastAsia="en-US"/>
        </w:rPr>
      </w:pPr>
      <w:r w:rsidRPr="000020F0">
        <w:rPr>
          <w:rFonts w:asciiTheme="majorHAnsi" w:hAnsiTheme="majorHAnsi" w:cstheme="majorHAnsi"/>
          <w:b/>
          <w:bCs/>
          <w:sz w:val="22"/>
          <w:szCs w:val="22"/>
          <w:lang w:eastAsia="en-US"/>
        </w:rPr>
        <w:br w:type="page"/>
      </w:r>
    </w:p>
    <w:p w14:paraId="1B13CA5E" w14:textId="4E18630B" w:rsidR="001A1BA8" w:rsidRPr="000020F0" w:rsidRDefault="001A1BA8" w:rsidP="001A1BA8">
      <w:pPr>
        <w:spacing w:line="276" w:lineRule="auto"/>
        <w:rPr>
          <w:rFonts w:asciiTheme="majorHAnsi" w:hAnsiTheme="majorHAnsi" w:cstheme="majorHAnsi"/>
          <w:bCs/>
          <w:sz w:val="22"/>
          <w:szCs w:val="22"/>
          <w:lang w:eastAsia="en-US"/>
        </w:rPr>
      </w:pPr>
      <w:bookmarkStart w:id="223" w:name="_Toc230882329"/>
      <w:r w:rsidRPr="000020F0">
        <w:rPr>
          <w:rFonts w:asciiTheme="majorHAnsi" w:hAnsiTheme="majorHAnsi" w:cstheme="majorHAnsi"/>
          <w:b/>
          <w:bCs/>
          <w:sz w:val="22"/>
          <w:szCs w:val="22"/>
          <w:lang w:eastAsia="en-US"/>
        </w:rPr>
        <w:lastRenderedPageBreak/>
        <w:t xml:space="preserve">Slika </w:t>
      </w:r>
      <w:r w:rsidRPr="000020F0">
        <w:rPr>
          <w:rFonts w:asciiTheme="majorHAnsi" w:hAnsiTheme="majorHAnsi" w:cstheme="majorHAnsi"/>
          <w:b/>
          <w:bCs/>
          <w:sz w:val="22"/>
          <w:szCs w:val="22"/>
          <w:lang w:eastAsia="en-US"/>
        </w:rPr>
        <w:fldChar w:fldCharType="begin"/>
      </w:r>
      <w:r w:rsidRPr="000020F0">
        <w:rPr>
          <w:rFonts w:asciiTheme="majorHAnsi" w:hAnsiTheme="majorHAnsi" w:cstheme="majorHAnsi"/>
          <w:b/>
          <w:bCs/>
          <w:sz w:val="22"/>
          <w:szCs w:val="22"/>
          <w:lang w:eastAsia="en-US"/>
        </w:rPr>
        <w:instrText xml:space="preserve"> SEQ Slika \* ARABIC </w:instrText>
      </w:r>
      <w:r w:rsidRPr="000020F0">
        <w:rPr>
          <w:rFonts w:asciiTheme="majorHAnsi" w:hAnsiTheme="majorHAnsi" w:cstheme="majorHAnsi"/>
          <w:b/>
          <w:bCs/>
          <w:sz w:val="22"/>
          <w:szCs w:val="22"/>
          <w:lang w:eastAsia="en-US"/>
        </w:rPr>
        <w:fldChar w:fldCharType="separate"/>
      </w:r>
      <w:r w:rsidR="00BB0C0C">
        <w:rPr>
          <w:rFonts w:asciiTheme="majorHAnsi" w:hAnsiTheme="majorHAnsi" w:cstheme="majorHAnsi"/>
          <w:b/>
          <w:bCs/>
          <w:noProof/>
          <w:sz w:val="22"/>
          <w:szCs w:val="22"/>
          <w:lang w:eastAsia="en-US"/>
        </w:rPr>
        <w:t>15</w:t>
      </w:r>
      <w:r w:rsidRPr="000020F0">
        <w:rPr>
          <w:rFonts w:asciiTheme="majorHAnsi" w:hAnsiTheme="majorHAnsi" w:cstheme="majorHAnsi"/>
          <w:b/>
          <w:bCs/>
          <w:sz w:val="22"/>
          <w:szCs w:val="22"/>
          <w:lang w:eastAsia="en-US"/>
        </w:rPr>
        <w:fldChar w:fldCharType="end"/>
      </w:r>
      <w:r w:rsidRPr="000020F0">
        <w:rPr>
          <w:rFonts w:asciiTheme="majorHAnsi" w:hAnsiTheme="majorHAnsi" w:cstheme="majorHAnsi"/>
          <w:b/>
          <w:bCs/>
          <w:sz w:val="22"/>
          <w:szCs w:val="22"/>
          <w:lang w:eastAsia="en-US"/>
        </w:rPr>
        <w:t xml:space="preserve">: </w:t>
      </w:r>
      <w:r w:rsidRPr="000020F0">
        <w:rPr>
          <w:rFonts w:asciiTheme="majorHAnsi" w:hAnsiTheme="majorHAnsi" w:cstheme="majorHAnsi"/>
          <w:bCs/>
          <w:sz w:val="22"/>
          <w:szCs w:val="22"/>
          <w:lang w:eastAsia="en-US"/>
        </w:rPr>
        <w:t>Prikaz lokacije infrastrukture za javno izposojo e-koles</w:t>
      </w:r>
      <w:bookmarkEnd w:id="223"/>
    </w:p>
    <w:p w14:paraId="61472B79" w14:textId="77777777" w:rsidR="001A1BA8" w:rsidRPr="000020F0" w:rsidRDefault="001A1BA8" w:rsidP="001A1BA8">
      <w:pPr>
        <w:spacing w:after="200" w:line="276" w:lineRule="auto"/>
        <w:jc w:val="both"/>
        <w:rPr>
          <w:rFonts w:ascii="Arial" w:hAnsi="Arial" w:cs="Arial"/>
          <w:sz w:val="22"/>
          <w:szCs w:val="22"/>
          <w:lang w:eastAsia="en-US"/>
        </w:rPr>
      </w:pPr>
      <w:r w:rsidRPr="000020F0">
        <w:rPr>
          <w:rFonts w:ascii="Arial" w:hAnsi="Arial" w:cs="Arial"/>
          <w:noProof/>
          <w:sz w:val="22"/>
          <w:szCs w:val="22"/>
          <w:lang w:eastAsia="en-US"/>
        </w:rPr>
        <w:drawing>
          <wp:inline distT="0" distB="0" distL="0" distR="0" wp14:anchorId="025BAB0F" wp14:editId="468DF167">
            <wp:extent cx="5410200" cy="3899045"/>
            <wp:effectExtent l="0" t="0" r="0" b="6350"/>
            <wp:docPr id="1567982534" name="Slika 1" descr="A aerial view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82534" name="Slika 1" descr="A aerial view of a town&#10;&#10;AI-generated content may be incorrect."/>
                    <pic:cNvPicPr/>
                  </pic:nvPicPr>
                  <pic:blipFill>
                    <a:blip r:embed="rId67"/>
                    <a:stretch>
                      <a:fillRect/>
                    </a:stretch>
                  </pic:blipFill>
                  <pic:spPr>
                    <a:xfrm>
                      <a:off x="0" y="0"/>
                      <a:ext cx="5412562" cy="3900747"/>
                    </a:xfrm>
                    <a:prstGeom prst="rect">
                      <a:avLst/>
                    </a:prstGeom>
                  </pic:spPr>
                </pic:pic>
              </a:graphicData>
            </a:graphic>
          </wp:inline>
        </w:drawing>
      </w:r>
    </w:p>
    <w:p w14:paraId="3A44FA7D" w14:textId="0F0B833D" w:rsidR="00990AB7" w:rsidRPr="000020F0" w:rsidRDefault="00990AB7" w:rsidP="00990AB7">
      <w:pPr>
        <w:spacing w:after="200" w:line="276" w:lineRule="auto"/>
        <w:jc w:val="both"/>
        <w:rPr>
          <w:rFonts w:asciiTheme="majorHAnsi" w:hAnsiTheme="majorHAnsi" w:cstheme="majorHAnsi"/>
          <w:sz w:val="22"/>
          <w:szCs w:val="22"/>
          <w:lang w:eastAsia="en-US"/>
        </w:rPr>
      </w:pPr>
      <w:r w:rsidRPr="000020F0">
        <w:rPr>
          <w:rFonts w:asciiTheme="majorHAnsi" w:hAnsiTheme="majorHAnsi" w:cstheme="majorHAnsi"/>
          <w:sz w:val="22"/>
          <w:szCs w:val="22"/>
          <w:lang w:eastAsia="en-US"/>
        </w:rPr>
        <w:t xml:space="preserve">Ob avtobusnem postajališču se predvidi izposoja javnih e-koles z 10 priklopnimi mesti, na parkirišču ob Govekarjevi cesti pri pokopališču pa s 6 priklopnimi mesti. Predviden je nakup 8 e-koles. Med obema kolesarskima postajališčema </w:t>
      </w:r>
      <w:r w:rsidR="00DC3367" w:rsidRPr="000020F0">
        <w:rPr>
          <w:rFonts w:asciiTheme="majorHAnsi" w:hAnsiTheme="majorHAnsi" w:cstheme="majorHAnsi"/>
          <w:sz w:val="22"/>
          <w:szCs w:val="22"/>
          <w:lang w:eastAsia="en-US"/>
        </w:rPr>
        <w:t xml:space="preserve">je oz. </w:t>
      </w:r>
      <w:r w:rsidRPr="000020F0">
        <w:rPr>
          <w:rFonts w:asciiTheme="majorHAnsi" w:hAnsiTheme="majorHAnsi" w:cstheme="majorHAnsi"/>
          <w:sz w:val="22"/>
          <w:szCs w:val="22"/>
          <w:lang w:eastAsia="en-US"/>
        </w:rPr>
        <w:t xml:space="preserve">bo urejena kvalitetna kolesarska infrastruktura. Del Govekarjeve ceste, ki je predmet projekta, se ureja kot skupni prometni prostor, na delu Govekarjeve ceste, od križišča s Troštovo do pokopališča, pa je zarisan kolesarski pas. </w:t>
      </w:r>
      <w:r w:rsidR="00A8185D" w:rsidRPr="000020F0">
        <w:rPr>
          <w:rFonts w:ascii="Arial" w:hAnsi="Arial" w:cs="Arial"/>
          <w:sz w:val="22"/>
          <w:szCs w:val="22"/>
        </w:rPr>
        <w:t>Na obravnavanem odseku je bilo v obdobju od 1.9.2025 do 11.9.2025, merjeno v eno smer, povprečno 587 prevozov vozil na dan. Ob tej predpostavki</w:t>
      </w:r>
      <w:r w:rsidR="00155EB3" w:rsidRPr="000020F0">
        <w:rPr>
          <w:rFonts w:ascii="Arial" w:hAnsi="Arial" w:cs="Arial"/>
          <w:sz w:val="22"/>
          <w:szCs w:val="22"/>
        </w:rPr>
        <w:t>,</w:t>
      </w:r>
      <w:r w:rsidR="00A8185D" w:rsidRPr="000020F0">
        <w:rPr>
          <w:rFonts w:ascii="Arial" w:hAnsi="Arial" w:cs="Arial"/>
          <w:sz w:val="22"/>
          <w:szCs w:val="22"/>
        </w:rPr>
        <w:t xml:space="preserve"> </w:t>
      </w:r>
      <w:r w:rsidR="00155EB3" w:rsidRPr="000020F0">
        <w:rPr>
          <w:rFonts w:ascii="Arial" w:hAnsi="Arial" w:cs="Arial"/>
          <w:sz w:val="22"/>
          <w:szCs w:val="22"/>
        </w:rPr>
        <w:t xml:space="preserve">da je enako število vozil v nasprotni smeri ocenjujemo, </w:t>
      </w:r>
      <w:r w:rsidR="00A8185D" w:rsidRPr="000020F0">
        <w:rPr>
          <w:rFonts w:ascii="Arial" w:hAnsi="Arial" w:cs="Arial"/>
          <w:sz w:val="22"/>
          <w:szCs w:val="22"/>
        </w:rPr>
        <w:t>da je skupaj povprečno 1174</w:t>
      </w:r>
      <w:r w:rsidR="009E479F" w:rsidRPr="000020F0">
        <w:rPr>
          <w:rFonts w:ascii="Arial" w:hAnsi="Arial" w:cs="Arial"/>
          <w:sz w:val="22"/>
          <w:szCs w:val="22"/>
        </w:rPr>
        <w:t xml:space="preserve"> </w:t>
      </w:r>
      <w:r w:rsidR="00A8185D" w:rsidRPr="000020F0">
        <w:rPr>
          <w:rFonts w:ascii="Arial" w:hAnsi="Arial" w:cs="Arial"/>
          <w:sz w:val="22"/>
          <w:szCs w:val="22"/>
        </w:rPr>
        <w:t>prevozov vozil v obe smeri</w:t>
      </w:r>
      <w:r w:rsidR="00155EB3" w:rsidRPr="000020F0">
        <w:rPr>
          <w:rFonts w:asciiTheme="majorHAnsi" w:hAnsiTheme="majorHAnsi" w:cstheme="majorHAnsi"/>
          <w:sz w:val="22"/>
          <w:szCs w:val="22"/>
          <w:lang w:eastAsia="en-US"/>
        </w:rPr>
        <w:t>.</w:t>
      </w:r>
    </w:p>
    <w:p w14:paraId="034A605C" w14:textId="77777777"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224" w:name="_Toc257577296"/>
      <w:bookmarkStart w:id="225" w:name="_Toc11853122"/>
      <w:bookmarkStart w:id="226" w:name="_Toc209029151"/>
      <w:bookmarkStart w:id="227" w:name="_Toc209277155"/>
      <w:bookmarkStart w:id="228" w:name="_Toc230882218"/>
      <w:r w:rsidRPr="000020F0">
        <w:rPr>
          <w:rFonts w:asciiTheme="majorHAnsi" w:eastAsiaTheme="majorEastAsia" w:hAnsiTheme="majorHAnsi" w:cstheme="majorHAnsi"/>
          <w:color w:val="244061" w:themeColor="accent1" w:themeShade="80"/>
          <w:szCs w:val="22"/>
        </w:rPr>
        <w:t>Tehnične značilnosti predvidene gradnje</w:t>
      </w:r>
      <w:bookmarkEnd w:id="224"/>
      <w:bookmarkEnd w:id="225"/>
      <w:bookmarkEnd w:id="226"/>
      <w:bookmarkEnd w:id="227"/>
      <w:bookmarkEnd w:id="228"/>
      <w:r w:rsidRPr="000020F0">
        <w:rPr>
          <w:rFonts w:asciiTheme="majorHAnsi" w:eastAsiaTheme="majorEastAsia" w:hAnsiTheme="majorHAnsi" w:cstheme="majorHAnsi"/>
          <w:color w:val="244061" w:themeColor="accent1" w:themeShade="80"/>
          <w:szCs w:val="22"/>
        </w:rPr>
        <w:t xml:space="preserve"> </w:t>
      </w:r>
    </w:p>
    <w:p w14:paraId="575F5FD2"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29" w:name="_Toc209277156"/>
      <w:bookmarkStart w:id="230" w:name="_Ref230593930"/>
      <w:bookmarkStart w:id="231" w:name="_Toc230882219"/>
      <w:bookmarkStart w:id="232" w:name="_Toc257577297"/>
      <w:r w:rsidRPr="000020F0">
        <w:rPr>
          <w:rFonts w:asciiTheme="majorHAnsi" w:eastAsiaTheme="majorEastAsia" w:hAnsiTheme="majorHAnsi" w:cstheme="majorHAnsi"/>
          <w:color w:val="244061" w:themeColor="accent1" w:themeShade="80"/>
          <w:szCs w:val="22"/>
        </w:rPr>
        <w:t>Ceste/ulice</w:t>
      </w:r>
      <w:bookmarkEnd w:id="229"/>
      <w:bookmarkEnd w:id="230"/>
      <w:bookmarkEnd w:id="231"/>
    </w:p>
    <w:p w14:paraId="2A2499B2" w14:textId="77777777" w:rsidR="006832E1" w:rsidRPr="000020F0" w:rsidRDefault="006832E1" w:rsidP="006832E1">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Govekarjeva cesta in Troštova ulica se rekonstruirata po principu trajnostne mobilnosti – zmanjšanje širine cestišča na minimum, stojno mesto šolskih avtobusov na cestišču, višinska poravnana z nivojem pločnikov in tržnih površin. Delitev površin za udeležence v prometu je nakazana s spremembo v tlaku, potopljenimi robniki, točkastimi elementi (kovinske kroglice) in ne s talnimi označbami... Predvidena je skupna prometna površina po vzoru sodobnih urbanističnih načel v centrih naselij. V okviru ureditve zelene infrastrukture se, kjer prostor dopušča, ob prometnih površinah predvidijo drevoredi z zelenimi pasovi in otoki. Drevesa se v največji meri ohranijo, nekatera se prestavijo na nove pozicije. </w:t>
      </w:r>
    </w:p>
    <w:p w14:paraId="18DD37DE" w14:textId="47B6778D" w:rsidR="006832E1" w:rsidRPr="000020F0" w:rsidRDefault="006832E1" w:rsidP="006832E1">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Govekarjeva cesta je v celoti tlakovana s kamnitimi kockami v tekoči vezavi. Tlakovanje je vzporedno z geometrijo ceste, kar pomeni, da se smer tlakovanja na dveh mestih nekoliko zalomi, tako kot Govekarjeva cesta. Kamnite kocke so položene na tampon – betonsko ploščo – vezni sloj gotove malte. Govekarjeva cesta pada iz severa proti jugu v povprečju z 1,5% naklonom, kar </w:t>
      </w:r>
      <w:r w:rsidRPr="000020F0">
        <w:rPr>
          <w:rFonts w:ascii="Arial" w:hAnsi="Arial" w:cs="Arial"/>
          <w:sz w:val="22"/>
          <w:szCs w:val="22"/>
          <w:lang w:eastAsia="en-US"/>
        </w:rPr>
        <w:lastRenderedPageBreak/>
        <w:t xml:space="preserve">omogoča naravno odvodnjavanje v eni smeri. V drugo smer se odvodnjavanje izvede iz sredine cestišča proti vsaki strani z naklonom 2%. Na vsaki strani ceste je izvedena </w:t>
      </w:r>
      <w:proofErr w:type="spellStart"/>
      <w:r w:rsidRPr="000020F0">
        <w:rPr>
          <w:rFonts w:ascii="Arial" w:hAnsi="Arial" w:cs="Arial"/>
          <w:sz w:val="22"/>
          <w:szCs w:val="22"/>
          <w:lang w:eastAsia="en-US"/>
        </w:rPr>
        <w:t>mulda</w:t>
      </w:r>
      <w:proofErr w:type="spellEnd"/>
      <w:r w:rsidRPr="000020F0">
        <w:rPr>
          <w:rFonts w:ascii="Arial" w:hAnsi="Arial" w:cs="Arial"/>
          <w:sz w:val="22"/>
          <w:szCs w:val="22"/>
          <w:lang w:eastAsia="en-US"/>
        </w:rPr>
        <w:t xml:space="preserve"> širine 30 cm, prav tako iz kamnitih kock v tekoči vezavi. V </w:t>
      </w:r>
      <w:proofErr w:type="spellStart"/>
      <w:r w:rsidRPr="000020F0">
        <w:rPr>
          <w:rFonts w:ascii="Arial" w:hAnsi="Arial" w:cs="Arial"/>
          <w:sz w:val="22"/>
          <w:szCs w:val="22"/>
          <w:lang w:eastAsia="en-US"/>
        </w:rPr>
        <w:t>muldi</w:t>
      </w:r>
      <w:proofErr w:type="spellEnd"/>
      <w:r w:rsidRPr="000020F0">
        <w:rPr>
          <w:rFonts w:ascii="Arial" w:hAnsi="Arial" w:cs="Arial"/>
          <w:sz w:val="22"/>
          <w:szCs w:val="22"/>
          <w:lang w:eastAsia="en-US"/>
        </w:rPr>
        <w:t xml:space="preserve"> se na vsakih cca. 20 m izvede cestni požiralnik v </w:t>
      </w:r>
      <w:proofErr w:type="spellStart"/>
      <w:r w:rsidRPr="000020F0">
        <w:rPr>
          <w:rFonts w:ascii="Arial" w:hAnsi="Arial" w:cs="Arial"/>
          <w:sz w:val="22"/>
          <w:szCs w:val="22"/>
          <w:lang w:eastAsia="en-US"/>
        </w:rPr>
        <w:t>muldasti</w:t>
      </w:r>
      <w:proofErr w:type="spellEnd"/>
      <w:r w:rsidRPr="000020F0">
        <w:rPr>
          <w:rFonts w:ascii="Arial" w:hAnsi="Arial" w:cs="Arial"/>
          <w:sz w:val="22"/>
          <w:szCs w:val="22"/>
          <w:lang w:eastAsia="en-US"/>
        </w:rPr>
        <w:t xml:space="preserve"> izvedbi. Tip in obdelavo kamna in velikost kock določi arhitekt.</w:t>
      </w:r>
    </w:p>
    <w:p w14:paraId="2D6CE979" w14:textId="77777777" w:rsidR="006832E1" w:rsidRPr="000020F0" w:rsidRDefault="006832E1" w:rsidP="006832E1">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Troštova ulica je asfaltirana, s tremi hitrostnimi ovirami v tlaku kamnitih kock v obliki minimalne grbine dolžine 50 cm. Višina grbine je 10 cm, vizualno zaznavna kot konveksna oblika </w:t>
      </w:r>
      <w:proofErr w:type="spellStart"/>
      <w:r w:rsidRPr="000020F0">
        <w:rPr>
          <w:rFonts w:ascii="Arial" w:hAnsi="Arial" w:cs="Arial"/>
          <w:sz w:val="22"/>
          <w:szCs w:val="22"/>
          <w:lang w:eastAsia="en-US"/>
        </w:rPr>
        <w:t>mulde</w:t>
      </w:r>
      <w:proofErr w:type="spellEnd"/>
      <w:r w:rsidRPr="000020F0">
        <w:rPr>
          <w:rFonts w:ascii="Arial" w:hAnsi="Arial" w:cs="Arial"/>
          <w:sz w:val="22"/>
          <w:szCs w:val="22"/>
          <w:lang w:eastAsia="en-US"/>
        </w:rPr>
        <w:t xml:space="preserve">. Troštova ulica ima naraven padec od zahoda proti vzhodu v povprečnem naklonu 1,5%. Cesta je dodatno izvedena z naklonom 2% v prečni smeri Troštove ulice. Voda se tako steka v </w:t>
      </w:r>
      <w:proofErr w:type="spellStart"/>
      <w:r w:rsidRPr="000020F0">
        <w:rPr>
          <w:rFonts w:ascii="Arial" w:hAnsi="Arial" w:cs="Arial"/>
          <w:sz w:val="22"/>
          <w:szCs w:val="22"/>
          <w:lang w:eastAsia="en-US"/>
        </w:rPr>
        <w:t>muldo</w:t>
      </w:r>
      <w:proofErr w:type="spellEnd"/>
      <w:r w:rsidRPr="000020F0">
        <w:rPr>
          <w:rFonts w:ascii="Arial" w:hAnsi="Arial" w:cs="Arial"/>
          <w:sz w:val="22"/>
          <w:szCs w:val="22"/>
          <w:lang w:eastAsia="en-US"/>
        </w:rPr>
        <w:t xml:space="preserve"> širine 30 cm na južni strani Troštove ulice. Po dolžini ulice so predvideni trije cestni požiralniki v </w:t>
      </w:r>
      <w:proofErr w:type="spellStart"/>
      <w:r w:rsidRPr="000020F0">
        <w:rPr>
          <w:rFonts w:ascii="Arial" w:hAnsi="Arial" w:cs="Arial"/>
          <w:sz w:val="22"/>
          <w:szCs w:val="22"/>
          <w:lang w:eastAsia="en-US"/>
        </w:rPr>
        <w:t>muldasti</w:t>
      </w:r>
      <w:proofErr w:type="spellEnd"/>
      <w:r w:rsidRPr="000020F0">
        <w:rPr>
          <w:rFonts w:ascii="Arial" w:hAnsi="Arial" w:cs="Arial"/>
          <w:sz w:val="22"/>
          <w:szCs w:val="22"/>
          <w:lang w:eastAsia="en-US"/>
        </w:rPr>
        <w:t xml:space="preserve"> izvedbi. </w:t>
      </w:r>
    </w:p>
    <w:p w14:paraId="46458586" w14:textId="44C04D93" w:rsidR="006832E1" w:rsidRPr="000020F0" w:rsidRDefault="006832E1" w:rsidP="006832E1">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V območju prehoda v park se tlak izvede v pranem betonu in nakazuje vstop v park. Betonski tlak z dilatacijami nakazuje prehod za </w:t>
      </w:r>
      <w:r w:rsidR="008D4231" w:rsidRPr="000020F0">
        <w:rPr>
          <w:rFonts w:ascii="Arial" w:hAnsi="Arial" w:cs="Arial"/>
          <w:sz w:val="22"/>
          <w:szCs w:val="22"/>
          <w:lang w:eastAsia="en-US"/>
        </w:rPr>
        <w:t>pešce</w:t>
      </w:r>
      <w:r w:rsidRPr="000020F0">
        <w:rPr>
          <w:rFonts w:ascii="Arial" w:hAnsi="Arial" w:cs="Arial"/>
          <w:sz w:val="22"/>
          <w:szCs w:val="22"/>
          <w:lang w:eastAsia="en-US"/>
        </w:rPr>
        <w:t xml:space="preserve">. Pigment in natančno obdelavo betona določi arhitekt. </w:t>
      </w:r>
    </w:p>
    <w:p w14:paraId="5104E99E" w14:textId="3DF3D96B" w:rsidR="00990AB7" w:rsidRPr="000020F0" w:rsidRDefault="006832E1" w:rsidP="006832E1">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Ob asfaltnem delu Troštove ulice je predviden 2 m pas zelenje v katerem so zasajena manjša drevesa in postavljene ulične svetilke. Neposredno ob fasadi telovadnice OŠ </w:t>
      </w:r>
      <w:r w:rsidR="00436F00" w:rsidRPr="000020F0">
        <w:rPr>
          <w:rFonts w:ascii="Arial" w:hAnsi="Arial" w:cs="Arial"/>
          <w:sz w:val="22"/>
          <w:szCs w:val="22"/>
          <w:lang w:eastAsia="en-US"/>
        </w:rPr>
        <w:t>I</w:t>
      </w:r>
      <w:r w:rsidRPr="000020F0">
        <w:rPr>
          <w:rFonts w:ascii="Arial" w:hAnsi="Arial" w:cs="Arial"/>
          <w:sz w:val="22"/>
          <w:szCs w:val="22"/>
          <w:lang w:eastAsia="en-US"/>
        </w:rPr>
        <w:t>g se izvede tlak s kamnitimi kockami s polaganjem v vzorcu pahljače. Tip in obdelavo kamna in velikost kock določi arhitekt.</w:t>
      </w:r>
      <w:r w:rsidR="00990AB7" w:rsidRPr="000020F0">
        <w:rPr>
          <w:rFonts w:ascii="Arial" w:hAnsi="Arial" w:cs="Arial"/>
          <w:sz w:val="22"/>
          <w:szCs w:val="22"/>
          <w:lang w:eastAsia="en-US"/>
        </w:rPr>
        <w:t xml:space="preserve"> </w:t>
      </w:r>
      <w:r w:rsidR="00CB5363" w:rsidRPr="000020F0">
        <w:rPr>
          <w:rFonts w:ascii="Arial" w:hAnsi="Arial" w:cs="Arial"/>
          <w:sz w:val="22"/>
          <w:szCs w:val="22"/>
          <w:lang w:eastAsia="en-US"/>
        </w:rPr>
        <w:t>Ureditev se ureja v sklopu zelene infrastrukture.</w:t>
      </w:r>
    </w:p>
    <w:p w14:paraId="6434997B" w14:textId="6E267864" w:rsidR="006832E1" w:rsidRPr="000020F0" w:rsidRDefault="006832E1" w:rsidP="006832E1">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33" w:name="_Toc230882220"/>
      <w:r w:rsidRPr="000020F0">
        <w:rPr>
          <w:rFonts w:asciiTheme="majorHAnsi" w:eastAsiaTheme="majorEastAsia" w:hAnsiTheme="majorHAnsi" w:cstheme="majorHAnsi"/>
          <w:color w:val="244061" w:themeColor="accent1" w:themeShade="80"/>
          <w:szCs w:val="22"/>
        </w:rPr>
        <w:t>Parkirišče</w:t>
      </w:r>
      <w:bookmarkEnd w:id="233"/>
    </w:p>
    <w:p w14:paraId="025FE436" w14:textId="2E37BE95" w:rsidR="00015EAA" w:rsidRPr="000020F0" w:rsidRDefault="00015EAA" w:rsidP="00015EAA">
      <w:pPr>
        <w:spacing w:after="200" w:line="276" w:lineRule="auto"/>
        <w:jc w:val="both"/>
        <w:rPr>
          <w:rFonts w:ascii="Arial" w:hAnsi="Arial" w:cs="Arial"/>
          <w:sz w:val="22"/>
          <w:szCs w:val="22"/>
          <w:lang w:eastAsia="en-US"/>
        </w:rPr>
      </w:pPr>
      <w:r w:rsidRPr="000020F0">
        <w:rPr>
          <w:rFonts w:ascii="Arial" w:hAnsi="Arial" w:cs="Arial"/>
          <w:sz w:val="22"/>
          <w:szCs w:val="22"/>
          <w:lang w:eastAsia="en-US"/>
        </w:rPr>
        <w:t>Pred OŠ Ig se uredi obstoječe parkirišče. Površine parkirišča so prav tako višinsko poravnane s cesto in tržnimi površinami, kar omogoča drugačno rabo v prihodnosti. Pred glavnim vhodom v OŠ je zasnovana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cona za varen prihod šolarjev. Ob parkirnih mestih se predvidijo drevoredi z zelenimi pasovi ali otoki. Dimenzije parkirnih mest so 2,7 x 5,0 m. Parkirnih mest je 56, od tega 6 za invalide</w:t>
      </w:r>
      <w:r w:rsidR="00D12F5E" w:rsidRPr="000020F0">
        <w:rPr>
          <w:rFonts w:ascii="Arial" w:hAnsi="Arial" w:cs="Arial"/>
          <w:sz w:val="22"/>
          <w:szCs w:val="22"/>
          <w:lang w:eastAsia="en-US"/>
        </w:rPr>
        <w:t>, ki so del skupnega prometnega prostora ob Govekarjevi ulici. Ob parkirnih mestih se predvidijo drevoredi z zelenimi pasovi ali otoki.</w:t>
      </w:r>
    </w:p>
    <w:p w14:paraId="4CD9C7D5" w14:textId="77777777" w:rsidR="00015EAA" w:rsidRPr="000020F0" w:rsidRDefault="00015EAA" w:rsidP="00015EAA">
      <w:pPr>
        <w:spacing w:after="200" w:line="276" w:lineRule="auto"/>
        <w:jc w:val="both"/>
        <w:rPr>
          <w:rFonts w:ascii="Arial" w:hAnsi="Arial" w:cs="Arial"/>
          <w:sz w:val="22"/>
          <w:szCs w:val="22"/>
          <w:lang w:eastAsia="en-US"/>
        </w:rPr>
      </w:pPr>
      <w:r w:rsidRPr="000020F0">
        <w:rPr>
          <w:rFonts w:ascii="Arial" w:hAnsi="Arial" w:cs="Arial"/>
          <w:sz w:val="22"/>
          <w:szCs w:val="22"/>
          <w:lang w:eastAsia="en-US"/>
        </w:rPr>
        <w:t>Parkirišče pred OŠ Ig je asfaltirano.</w:t>
      </w:r>
    </w:p>
    <w:p w14:paraId="309BCDD8" w14:textId="4B431F38" w:rsidR="006832E1" w:rsidRPr="000020F0" w:rsidRDefault="00015EAA" w:rsidP="00015EAA">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Predprostor šole je izveden tlaku iz kamnitih kock in nakazuje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xml:space="preserve"> cono in predprostor loči od površin za promet. Proti telovadnici so izvedeni manjši zeleni otoki z drevesi, med njimi so predvidene kamnite kocke za sedenje. Tip in obdelavo kamna in velikost kock določi arhitekt.</w:t>
      </w:r>
    </w:p>
    <w:p w14:paraId="61CE6407" w14:textId="50C12F8C" w:rsidR="00253F0D" w:rsidRPr="000020F0" w:rsidRDefault="00253F0D" w:rsidP="00253F0D">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34" w:name="_Ref230594130"/>
      <w:bookmarkStart w:id="235" w:name="_Ref230594203"/>
      <w:bookmarkStart w:id="236" w:name="_Toc230882221"/>
      <w:r w:rsidRPr="000020F0">
        <w:rPr>
          <w:rFonts w:asciiTheme="majorHAnsi" w:eastAsiaTheme="majorEastAsia" w:hAnsiTheme="majorHAnsi" w:cstheme="majorHAnsi"/>
          <w:color w:val="244061" w:themeColor="accent1" w:themeShade="80"/>
          <w:szCs w:val="22"/>
        </w:rPr>
        <w:t>Odprte pokrite kolesarnice</w:t>
      </w:r>
      <w:bookmarkEnd w:id="234"/>
      <w:bookmarkEnd w:id="235"/>
      <w:bookmarkEnd w:id="236"/>
    </w:p>
    <w:p w14:paraId="79004E01" w14:textId="77777777" w:rsidR="00EC12AA" w:rsidRPr="000020F0" w:rsidRDefault="00EC12AA" w:rsidP="00EC12AA">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Odprte kolesarnice so pokrite z enostavno streho iz križno lepljenega lesa, ki je na kovinske stebre </w:t>
      </w:r>
      <w:proofErr w:type="spellStart"/>
      <w:r w:rsidRPr="000020F0">
        <w:rPr>
          <w:rFonts w:ascii="Arial" w:hAnsi="Arial" w:cs="Arial"/>
          <w:sz w:val="22"/>
          <w:szCs w:val="22"/>
          <w:lang w:eastAsia="en-US"/>
        </w:rPr>
        <w:t>okoglih</w:t>
      </w:r>
      <w:proofErr w:type="spellEnd"/>
      <w:r w:rsidRPr="000020F0">
        <w:rPr>
          <w:rFonts w:ascii="Arial" w:hAnsi="Arial" w:cs="Arial"/>
          <w:sz w:val="22"/>
          <w:szCs w:val="22"/>
          <w:lang w:eastAsia="en-US"/>
        </w:rPr>
        <w:t xml:space="preserve"> profilov postavljena pod minimalnim naklonom. Na plošči iz lepljenega lesa je izvedene pločevinasta streha. </w:t>
      </w:r>
    </w:p>
    <w:p w14:paraId="45E04C11" w14:textId="08D82058" w:rsidR="00253F0D" w:rsidRPr="000020F0" w:rsidRDefault="00EC12AA" w:rsidP="00EC12AA">
      <w:pPr>
        <w:spacing w:after="200" w:line="276" w:lineRule="auto"/>
        <w:jc w:val="both"/>
        <w:rPr>
          <w:rFonts w:ascii="Arial" w:hAnsi="Arial" w:cs="Arial"/>
          <w:sz w:val="22"/>
          <w:szCs w:val="22"/>
          <w:lang w:eastAsia="en-US"/>
        </w:rPr>
      </w:pPr>
      <w:r w:rsidRPr="000020F0">
        <w:rPr>
          <w:rFonts w:ascii="Arial" w:hAnsi="Arial" w:cs="Arial"/>
          <w:sz w:val="22"/>
          <w:szCs w:val="22"/>
          <w:lang w:eastAsia="en-US"/>
        </w:rPr>
        <w:t>Pod streho je na razmaku 1 m postavljenih pet stojk za kolesa, tri od teh stojk so montirane med stebre, ki nosijo streho. Stebri so vijačeni v betonsko ploščo pod tlakom iz kamnitih kock.</w:t>
      </w:r>
    </w:p>
    <w:p w14:paraId="44833A2D" w14:textId="26E07E81"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37" w:name="_Toc209277157"/>
      <w:bookmarkStart w:id="238" w:name="_Toc230882222"/>
      <w:r w:rsidRPr="000020F0">
        <w:rPr>
          <w:rFonts w:asciiTheme="majorHAnsi" w:eastAsiaTheme="majorEastAsia" w:hAnsiTheme="majorHAnsi" w:cstheme="majorHAnsi"/>
          <w:color w:val="244061" w:themeColor="accent1" w:themeShade="80"/>
          <w:szCs w:val="22"/>
        </w:rPr>
        <w:t>Večnamensk</w:t>
      </w:r>
      <w:r w:rsidR="00000822" w:rsidRPr="000020F0">
        <w:rPr>
          <w:rFonts w:asciiTheme="majorHAnsi" w:eastAsiaTheme="majorEastAsia" w:hAnsiTheme="majorHAnsi" w:cstheme="majorHAnsi"/>
          <w:color w:val="244061" w:themeColor="accent1" w:themeShade="80"/>
          <w:szCs w:val="22"/>
        </w:rPr>
        <w:t>a</w:t>
      </w:r>
      <w:r w:rsidRPr="000020F0">
        <w:rPr>
          <w:rFonts w:asciiTheme="majorHAnsi" w:eastAsiaTheme="majorEastAsia" w:hAnsiTheme="majorHAnsi" w:cstheme="majorHAnsi"/>
          <w:color w:val="244061" w:themeColor="accent1" w:themeShade="80"/>
          <w:szCs w:val="22"/>
        </w:rPr>
        <w:t xml:space="preserve"> objekt</w:t>
      </w:r>
      <w:r w:rsidR="00000822" w:rsidRPr="000020F0">
        <w:rPr>
          <w:rFonts w:asciiTheme="majorHAnsi" w:eastAsiaTheme="majorEastAsia" w:hAnsiTheme="majorHAnsi" w:cstheme="majorHAnsi"/>
          <w:color w:val="244061" w:themeColor="accent1" w:themeShade="80"/>
          <w:szCs w:val="22"/>
        </w:rPr>
        <w:t>a</w:t>
      </w:r>
      <w:r w:rsidRPr="000020F0">
        <w:rPr>
          <w:rFonts w:asciiTheme="majorHAnsi" w:eastAsiaTheme="majorEastAsia" w:hAnsiTheme="majorHAnsi" w:cstheme="majorHAnsi"/>
          <w:color w:val="244061" w:themeColor="accent1" w:themeShade="80"/>
          <w:szCs w:val="22"/>
        </w:rPr>
        <w:t xml:space="preserve"> – kolesarnica</w:t>
      </w:r>
      <w:bookmarkEnd w:id="237"/>
      <w:r w:rsidR="00000822" w:rsidRPr="000020F0">
        <w:rPr>
          <w:rFonts w:asciiTheme="majorHAnsi" w:eastAsiaTheme="majorEastAsia" w:hAnsiTheme="majorHAnsi" w:cstheme="majorHAnsi"/>
          <w:color w:val="244061" w:themeColor="accent1" w:themeShade="80"/>
          <w:szCs w:val="22"/>
        </w:rPr>
        <w:t xml:space="preserve"> in javne</w:t>
      </w:r>
      <w:r w:rsidR="00B30C6F" w:rsidRPr="000020F0">
        <w:rPr>
          <w:rFonts w:asciiTheme="majorHAnsi" w:eastAsiaTheme="majorEastAsia" w:hAnsiTheme="majorHAnsi" w:cstheme="majorHAnsi"/>
          <w:color w:val="244061" w:themeColor="accent1" w:themeShade="80"/>
          <w:szCs w:val="22"/>
        </w:rPr>
        <w:t xml:space="preserve"> sanitarije</w:t>
      </w:r>
      <w:bookmarkEnd w:id="238"/>
    </w:p>
    <w:bookmarkEnd w:id="232"/>
    <w:p w14:paraId="4A27416E" w14:textId="0A119336"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Konstrukcija stoji na AB plošči na katero so na jeklenih nosilcih postavljeni jekleni stebri okroglega prereza. V primeru kolesarnice in sanitarij</w:t>
      </w:r>
      <w:r w:rsidR="004B6F53" w:rsidRPr="000020F0">
        <w:rPr>
          <w:rFonts w:ascii="Arial" w:hAnsi="Arial" w:cs="Arial"/>
          <w:sz w:val="22"/>
          <w:szCs w:val="22"/>
          <w:lang w:eastAsia="en-US"/>
        </w:rPr>
        <w:t xml:space="preserve"> </w:t>
      </w:r>
      <w:r w:rsidRPr="000020F0">
        <w:rPr>
          <w:rFonts w:ascii="Arial" w:hAnsi="Arial" w:cs="Arial"/>
          <w:sz w:val="22"/>
          <w:szCs w:val="22"/>
          <w:lang w:eastAsia="en-US"/>
        </w:rPr>
        <w:t xml:space="preserve">stebre nadomešča montažna lesena stena na AB podstavku. Nad stebri in stenami so položene CLT plošče na katere so </w:t>
      </w:r>
      <w:r w:rsidR="00FE1022" w:rsidRPr="000020F0">
        <w:rPr>
          <w:rFonts w:ascii="Arial" w:hAnsi="Arial" w:cs="Arial"/>
          <w:sz w:val="22"/>
          <w:szCs w:val="22"/>
          <w:lang w:eastAsia="en-US"/>
        </w:rPr>
        <w:t xml:space="preserve">postavljeni </w:t>
      </w:r>
      <w:r w:rsidRPr="000020F0">
        <w:rPr>
          <w:rFonts w:ascii="Arial" w:hAnsi="Arial" w:cs="Arial"/>
          <w:sz w:val="22"/>
          <w:szCs w:val="22"/>
          <w:lang w:eastAsia="en-US"/>
        </w:rPr>
        <w:t xml:space="preserve">nosilci iz lepljenega lesa in strešina iz CLT plošče. </w:t>
      </w:r>
    </w:p>
    <w:p w14:paraId="5F060694"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lastRenderedPageBreak/>
        <w:t xml:space="preserve">Strehe vseh stavb so dvokapnice s poenotenim naklonom 40,0°. Strešine prekriva pločevinasta kritina v sivih tonih, izvedena s prezračevalnim kanalom. </w:t>
      </w:r>
    </w:p>
    <w:p w14:paraId="05375202"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Fasade stavb so lesene in se navezuje na obstoječo stavbo </w:t>
      </w:r>
      <w:proofErr w:type="spellStart"/>
      <w:r w:rsidRPr="000020F0">
        <w:rPr>
          <w:rFonts w:ascii="Arial" w:hAnsi="Arial" w:cs="Arial"/>
          <w:sz w:val="22"/>
          <w:szCs w:val="22"/>
          <w:lang w:eastAsia="en-US"/>
        </w:rPr>
        <w:t>Morostiga</w:t>
      </w:r>
      <w:proofErr w:type="spellEnd"/>
      <w:r w:rsidRPr="000020F0">
        <w:rPr>
          <w:rFonts w:ascii="Arial" w:hAnsi="Arial" w:cs="Arial"/>
          <w:sz w:val="22"/>
          <w:szCs w:val="22"/>
          <w:lang w:eastAsia="en-US"/>
        </w:rPr>
        <w:t xml:space="preserve">. Lesene letve so termično obdelane in </w:t>
      </w:r>
      <w:proofErr w:type="spellStart"/>
      <w:r w:rsidRPr="000020F0">
        <w:rPr>
          <w:rFonts w:ascii="Arial" w:hAnsi="Arial" w:cs="Arial"/>
          <w:sz w:val="22"/>
          <w:szCs w:val="22"/>
          <w:lang w:eastAsia="en-US"/>
        </w:rPr>
        <w:t>posivene</w:t>
      </w:r>
      <w:proofErr w:type="spellEnd"/>
      <w:r w:rsidRPr="000020F0">
        <w:rPr>
          <w:rFonts w:ascii="Arial" w:hAnsi="Arial" w:cs="Arial"/>
          <w:sz w:val="22"/>
          <w:szCs w:val="22"/>
          <w:lang w:eastAsia="en-US"/>
        </w:rPr>
        <w:t xml:space="preserve"> (posnemanje fasade </w:t>
      </w:r>
      <w:proofErr w:type="spellStart"/>
      <w:r w:rsidRPr="000020F0">
        <w:rPr>
          <w:rFonts w:ascii="Arial" w:hAnsi="Arial" w:cs="Arial"/>
          <w:sz w:val="22"/>
          <w:szCs w:val="22"/>
          <w:lang w:eastAsia="en-US"/>
        </w:rPr>
        <w:t>Morostiga</w:t>
      </w:r>
      <w:proofErr w:type="spellEnd"/>
      <w:r w:rsidRPr="000020F0">
        <w:rPr>
          <w:rFonts w:ascii="Arial" w:hAnsi="Arial" w:cs="Arial"/>
          <w:sz w:val="22"/>
          <w:szCs w:val="22"/>
          <w:lang w:eastAsia="en-US"/>
        </w:rPr>
        <w:t xml:space="preserve">). Fasada je izvedena s prezračevalnim slojem. </w:t>
      </w:r>
    </w:p>
    <w:p w14:paraId="3651BBF8"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Strop nad večnamenskimi objekti je CLT plošča vidne kvalitete s </w:t>
      </w:r>
      <w:proofErr w:type="spellStart"/>
      <w:r w:rsidRPr="000020F0">
        <w:rPr>
          <w:rFonts w:ascii="Arial" w:hAnsi="Arial" w:cs="Arial"/>
          <w:sz w:val="22"/>
          <w:szCs w:val="22"/>
          <w:lang w:eastAsia="en-US"/>
        </w:rPr>
        <w:t>predizrezanimi</w:t>
      </w:r>
      <w:proofErr w:type="spellEnd"/>
      <w:r w:rsidRPr="000020F0">
        <w:rPr>
          <w:rFonts w:ascii="Arial" w:hAnsi="Arial" w:cs="Arial"/>
          <w:sz w:val="22"/>
          <w:szCs w:val="22"/>
          <w:lang w:eastAsia="en-US"/>
        </w:rPr>
        <w:t xml:space="preserve"> odprtinami za svetila. </w:t>
      </w:r>
    </w:p>
    <w:p w14:paraId="78A4D722"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39" w:name="_Toc209277158"/>
      <w:bookmarkStart w:id="240" w:name="_Ref230594096"/>
      <w:bookmarkStart w:id="241" w:name="_Toc230882223"/>
      <w:r w:rsidRPr="000020F0">
        <w:rPr>
          <w:rFonts w:asciiTheme="majorHAnsi" w:eastAsiaTheme="majorEastAsia" w:hAnsiTheme="majorHAnsi" w:cstheme="majorHAnsi"/>
          <w:color w:val="244061" w:themeColor="accent1" w:themeShade="80"/>
          <w:szCs w:val="22"/>
        </w:rPr>
        <w:t>Nadstrešnica avtobusnega postajališča</w:t>
      </w:r>
      <w:bookmarkEnd w:id="239"/>
      <w:bookmarkEnd w:id="240"/>
      <w:bookmarkEnd w:id="241"/>
    </w:p>
    <w:p w14:paraId="71F7482A"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Nadstrešnica avtobusnega postajališča je zasnovana kot sodobna, trajna in estetsko skladna konstrukcija, ki združuje jeklo, beton in les v uravnotežen arhitekturni izraz. Temelji konstrukcije predstavljajo armiranobetonske plošče, na katere so postavljeni jekleni stebri okroglega prereza. Ti nosilni elementi so na armiranobetonsko ploščo pritrjeni preko jeklenih podložk, kar zagotavlja stabilnost in trajnost celotne konstrukcije.</w:t>
      </w:r>
    </w:p>
    <w:p w14:paraId="369856EA"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Na jeklene stebre so pritrjene CLT plošče, ki služijo kot podlaga za nosilce iz lepljenega lesa (kapne lege) ter za sleme, izvedeno iz masivnega lesa. Ta kombinacija materialov združuje visoko nosilnost jekla in betona s toplino in naravno estetiko lesa. Strešno konstrukcijo tvorijo CLT plošče, ki hkrati zagotavljajo togost in oblikovno čistost.</w:t>
      </w:r>
    </w:p>
    <w:p w14:paraId="0D4B18F7"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Streha nadstrešnice je oblikovana kot tri zaporedne dvokapnice z naklonom 40 stopinj. Posamezni segmenti so zamaknjeni po dolžini, kar ustvarja dinamično arhitekturno podobo in povečuje prepoznavnost objekta. Streha je prekrita s pločevinasto kritino v sivih tonih, izvedeno s prezračevalnim kanalom, kar zagotavlja trajnost, enostavno vzdrževanje ter skladnost z okolico.</w:t>
      </w:r>
    </w:p>
    <w:p w14:paraId="150979ED"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Fasade stavb so oblikovane v lesu in se navezujejo na arhitekturni izraz sosednje stavbe </w:t>
      </w:r>
      <w:proofErr w:type="spellStart"/>
      <w:r w:rsidRPr="000020F0">
        <w:rPr>
          <w:rFonts w:ascii="Arial" w:hAnsi="Arial" w:cs="Arial"/>
          <w:sz w:val="22"/>
          <w:szCs w:val="22"/>
          <w:lang w:eastAsia="en-US"/>
        </w:rPr>
        <w:t>Morostig</w:t>
      </w:r>
      <w:proofErr w:type="spellEnd"/>
      <w:r w:rsidRPr="000020F0">
        <w:rPr>
          <w:rFonts w:ascii="Arial" w:hAnsi="Arial" w:cs="Arial"/>
          <w:sz w:val="22"/>
          <w:szCs w:val="22"/>
          <w:lang w:eastAsia="en-US"/>
        </w:rPr>
        <w:t xml:space="preserve">. Lesene letve so termično obdelane in </w:t>
      </w:r>
      <w:proofErr w:type="spellStart"/>
      <w:r w:rsidRPr="000020F0">
        <w:rPr>
          <w:rFonts w:ascii="Arial" w:hAnsi="Arial" w:cs="Arial"/>
          <w:sz w:val="22"/>
          <w:szCs w:val="22"/>
          <w:lang w:eastAsia="en-US"/>
        </w:rPr>
        <w:t>posivene</w:t>
      </w:r>
      <w:proofErr w:type="spellEnd"/>
      <w:r w:rsidRPr="000020F0">
        <w:rPr>
          <w:rFonts w:ascii="Arial" w:hAnsi="Arial" w:cs="Arial"/>
          <w:sz w:val="22"/>
          <w:szCs w:val="22"/>
          <w:lang w:eastAsia="en-US"/>
        </w:rPr>
        <w:t xml:space="preserve">, kar ustvarja videz, ki posnema obstoječo fasado </w:t>
      </w:r>
      <w:proofErr w:type="spellStart"/>
      <w:r w:rsidRPr="000020F0">
        <w:rPr>
          <w:rFonts w:ascii="Arial" w:hAnsi="Arial" w:cs="Arial"/>
          <w:sz w:val="22"/>
          <w:szCs w:val="22"/>
          <w:lang w:eastAsia="en-US"/>
        </w:rPr>
        <w:t>Morostiga</w:t>
      </w:r>
      <w:proofErr w:type="spellEnd"/>
      <w:r w:rsidRPr="000020F0">
        <w:rPr>
          <w:rFonts w:ascii="Arial" w:hAnsi="Arial" w:cs="Arial"/>
          <w:sz w:val="22"/>
          <w:szCs w:val="22"/>
          <w:lang w:eastAsia="en-US"/>
        </w:rPr>
        <w:t>, hkrati pa zagotavlja odpornost proti vremenskim vplivom. Fasada je izvedena kot prezračevana, kar dodatno podaljšuje njeno življenjsko dobo in izboljšuje bivalno udobje.</w:t>
      </w:r>
    </w:p>
    <w:p w14:paraId="2797236F"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Strop nad avtobusnim postajališčem je izdelan iz CLT plošč vidne kvalitete, ki dajejo objektu estetsko vrednost in toplino lesa. Plošče imajo vnaprej pripravljene odprtine za vgradnjo svetil, kar omogoča enostavno integracijo razsvetljave in poudarja sodobno funkcionalnost objekta.</w:t>
      </w:r>
    </w:p>
    <w:p w14:paraId="40EB1490"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42" w:name="_Toc209277160"/>
      <w:bookmarkStart w:id="243" w:name="_Toc230882224"/>
      <w:r w:rsidRPr="000020F0">
        <w:rPr>
          <w:rFonts w:asciiTheme="majorHAnsi" w:eastAsiaTheme="majorEastAsia" w:hAnsiTheme="majorHAnsi" w:cstheme="majorHAnsi"/>
          <w:color w:val="244061" w:themeColor="accent1" w:themeShade="80"/>
          <w:szCs w:val="22"/>
        </w:rPr>
        <w:t>Tlakovanje</w:t>
      </w:r>
      <w:bookmarkEnd w:id="242"/>
      <w:bookmarkEnd w:id="243"/>
    </w:p>
    <w:p w14:paraId="05958FF7"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Pri prenovi prometnih in javnih površin v središču Iga je bila posebna pozornost namenjena izboru materialov, saj ti pomembno vplivajo na kakovost prostora, trajnostno rabo ter dolgoročno vzdrževanje. Uporabljeni bodo različni tipi tlakovanja, ki so prilagojeni funkciji posameznih površin, estetiki naselja in zahtevam trajnostne mobilnosti.</w:t>
      </w:r>
    </w:p>
    <w:p w14:paraId="55C0A137"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b/>
          <w:bCs/>
          <w:sz w:val="22"/>
          <w:szCs w:val="22"/>
          <w:lang w:eastAsia="en-US"/>
        </w:rPr>
        <w:t>Kamnite kocke</w:t>
      </w:r>
      <w:r w:rsidRPr="000020F0">
        <w:rPr>
          <w:rFonts w:ascii="Arial" w:hAnsi="Arial" w:cs="Arial"/>
          <w:sz w:val="22"/>
          <w:szCs w:val="22"/>
          <w:lang w:eastAsia="en-US"/>
        </w:rPr>
        <w:t xml:space="preserve"> se bodo uporabile v več različicah:</w:t>
      </w:r>
    </w:p>
    <w:p w14:paraId="59F59472" w14:textId="51F500FF" w:rsidR="00990AB7" w:rsidRPr="000020F0" w:rsidRDefault="00990AB7" w:rsidP="00990AB7">
      <w:pPr>
        <w:numPr>
          <w:ilvl w:val="0"/>
          <w:numId w:val="144"/>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V pahljačastem vzorcu bodo zagotavljale estetsko prepoznavnost in tradicionalen videz, ki povezuje prenovljeno območje s kulturno dediščino kraja. Tak vzorec obenem prispeva k vizualnemu umirjanju prometa.</w:t>
      </w:r>
    </w:p>
    <w:p w14:paraId="3D4CAE9C" w14:textId="3F341EF0" w:rsidR="00990AB7" w:rsidRPr="000020F0" w:rsidRDefault="00990AB7" w:rsidP="00990AB7">
      <w:pPr>
        <w:numPr>
          <w:ilvl w:val="0"/>
          <w:numId w:val="144"/>
        </w:numPr>
        <w:spacing w:after="200" w:line="276" w:lineRule="auto"/>
        <w:jc w:val="both"/>
        <w:rPr>
          <w:rFonts w:ascii="Arial" w:hAnsi="Arial" w:cs="Arial"/>
          <w:sz w:val="22"/>
          <w:szCs w:val="22"/>
          <w:lang w:eastAsia="en-US"/>
        </w:rPr>
      </w:pPr>
      <w:r w:rsidRPr="000020F0">
        <w:rPr>
          <w:rFonts w:ascii="Arial" w:hAnsi="Arial" w:cs="Arial"/>
          <w:sz w:val="22"/>
          <w:szCs w:val="22"/>
          <w:lang w:eastAsia="en-US"/>
        </w:rPr>
        <w:lastRenderedPageBreak/>
        <w:t>V tekoči vezavi bodo kocke ustvarile enovite, trajne in vizualno urejene površine, primerne za območja z večjo obremenitvijo pešcev.</w:t>
      </w:r>
    </w:p>
    <w:p w14:paraId="41D35E4E" w14:textId="35FB6390" w:rsidR="00990AB7" w:rsidRPr="000020F0" w:rsidRDefault="00990AB7" w:rsidP="00990AB7">
      <w:pPr>
        <w:numPr>
          <w:ilvl w:val="0"/>
          <w:numId w:val="144"/>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V obliki </w:t>
      </w:r>
      <w:proofErr w:type="spellStart"/>
      <w:r w:rsidRPr="000020F0">
        <w:rPr>
          <w:rFonts w:ascii="Arial" w:hAnsi="Arial" w:cs="Arial"/>
          <w:sz w:val="22"/>
          <w:szCs w:val="22"/>
          <w:lang w:eastAsia="en-US"/>
        </w:rPr>
        <w:t>mulde</w:t>
      </w:r>
      <w:proofErr w:type="spellEnd"/>
      <w:r w:rsidRPr="000020F0">
        <w:rPr>
          <w:rFonts w:ascii="Arial" w:hAnsi="Arial" w:cs="Arial"/>
          <w:sz w:val="22"/>
          <w:szCs w:val="22"/>
          <w:lang w:eastAsia="en-US"/>
        </w:rPr>
        <w:t xml:space="preserve"> bodo kamnite kocke omogočale odvodnjavanje padavinskih vod ter s tem izboljšale funkcionalnost površin tudi ob večjih nalivih.</w:t>
      </w:r>
    </w:p>
    <w:p w14:paraId="64D5A2B0" w14:textId="0827551F"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b/>
          <w:bCs/>
          <w:sz w:val="22"/>
          <w:szCs w:val="22"/>
          <w:lang w:eastAsia="en-US"/>
        </w:rPr>
        <w:t xml:space="preserve">Prani beton z dilatacijami </w:t>
      </w:r>
      <w:r w:rsidRPr="000020F0">
        <w:rPr>
          <w:rFonts w:ascii="Arial" w:hAnsi="Arial" w:cs="Arial"/>
          <w:sz w:val="22"/>
          <w:szCs w:val="22"/>
          <w:lang w:eastAsia="en-US"/>
        </w:rPr>
        <w:t xml:space="preserve">bo uporabljen na površinah, kjer je potrebna večja enotnost, gladkost in trajnost, hkrati pa se z dodanim </w:t>
      </w:r>
      <w:proofErr w:type="spellStart"/>
      <w:r w:rsidRPr="000020F0">
        <w:rPr>
          <w:rFonts w:ascii="Arial" w:hAnsi="Arial" w:cs="Arial"/>
          <w:sz w:val="22"/>
          <w:szCs w:val="22"/>
          <w:lang w:eastAsia="en-US"/>
        </w:rPr>
        <w:t>teksturnim</w:t>
      </w:r>
      <w:proofErr w:type="spellEnd"/>
      <w:r w:rsidRPr="000020F0">
        <w:rPr>
          <w:rFonts w:ascii="Arial" w:hAnsi="Arial" w:cs="Arial"/>
          <w:sz w:val="22"/>
          <w:szCs w:val="22"/>
          <w:lang w:eastAsia="en-US"/>
        </w:rPr>
        <w:t xml:space="preserve"> videzom doseže prijetna vizualna podoba, ki je skladna z urbanim okoljem.</w:t>
      </w:r>
    </w:p>
    <w:p w14:paraId="72CF174C" w14:textId="5EAD3EE4"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b/>
          <w:bCs/>
          <w:sz w:val="22"/>
          <w:szCs w:val="22"/>
          <w:lang w:eastAsia="en-US"/>
        </w:rPr>
        <w:t>Asfalt</w:t>
      </w:r>
      <w:r w:rsidRPr="000020F0">
        <w:rPr>
          <w:rFonts w:ascii="Arial" w:hAnsi="Arial" w:cs="Arial"/>
          <w:sz w:val="22"/>
          <w:szCs w:val="22"/>
          <w:lang w:eastAsia="en-US"/>
        </w:rPr>
        <w:t xml:space="preserve"> bo v uporabi na tistih delih, kjer je potreben trden in ekonomičen material, predvsem za </w:t>
      </w:r>
      <w:proofErr w:type="spellStart"/>
      <w:r w:rsidRPr="000020F0">
        <w:rPr>
          <w:rFonts w:ascii="Arial" w:hAnsi="Arial" w:cs="Arial"/>
          <w:sz w:val="22"/>
          <w:szCs w:val="22"/>
          <w:lang w:eastAsia="en-US"/>
        </w:rPr>
        <w:t>povozne</w:t>
      </w:r>
      <w:proofErr w:type="spellEnd"/>
      <w:r w:rsidRPr="000020F0">
        <w:rPr>
          <w:rFonts w:ascii="Arial" w:hAnsi="Arial" w:cs="Arial"/>
          <w:sz w:val="22"/>
          <w:szCs w:val="22"/>
          <w:lang w:eastAsia="en-US"/>
        </w:rPr>
        <w:t xml:space="preserve"> površine, ki so namenjene motornemu prometu.</w:t>
      </w:r>
    </w:p>
    <w:p w14:paraId="0DBDA4E4" w14:textId="3752A1F8"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b/>
          <w:bCs/>
          <w:sz w:val="22"/>
          <w:szCs w:val="22"/>
          <w:lang w:eastAsia="en-US"/>
        </w:rPr>
        <w:t xml:space="preserve">Netlakovane površine za zelenje </w:t>
      </w:r>
      <w:r w:rsidRPr="000020F0">
        <w:rPr>
          <w:rFonts w:ascii="Arial" w:hAnsi="Arial" w:cs="Arial"/>
          <w:sz w:val="22"/>
          <w:szCs w:val="22"/>
          <w:lang w:eastAsia="en-US"/>
        </w:rPr>
        <w:t>pa bodo omogočale zasaditve in ozelenitev. Te površine bodo dopolnjevale sistem zelene infrastrukture, prispevale k večji biotski raznovrstnosti ter zmanjšale učinke toplotnih otokov.</w:t>
      </w:r>
    </w:p>
    <w:p w14:paraId="3F6B700E"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Skupaj izbrani materiali omogočajo oblikovanje prostora, ki je trajnostno naravnan, estetsko usklajen ter funkcionalno raznolik. Poudarek na naravnih materialih, kot sta kamen in beton z dodatnimi obdelavami, prispeva k daljši življenjski dobi površin, zmanjšanju stroškov vzdrževanja ter izboljšanju uporabniške izkušnje.</w:t>
      </w:r>
    </w:p>
    <w:p w14:paraId="17B6AFE4"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44" w:name="_Toc209277161"/>
      <w:bookmarkStart w:id="245" w:name="_Toc230882225"/>
      <w:r w:rsidRPr="000020F0">
        <w:rPr>
          <w:rFonts w:asciiTheme="majorHAnsi" w:eastAsiaTheme="majorEastAsia" w:hAnsiTheme="majorHAnsi" w:cstheme="majorHAnsi"/>
          <w:color w:val="244061" w:themeColor="accent1" w:themeShade="80"/>
          <w:szCs w:val="22"/>
        </w:rPr>
        <w:t>Urbana oprema</w:t>
      </w:r>
      <w:bookmarkEnd w:id="244"/>
      <w:bookmarkEnd w:id="245"/>
    </w:p>
    <w:p w14:paraId="7FEC0109" w14:textId="77777777" w:rsidR="00990AB7" w:rsidRPr="000020F0" w:rsidRDefault="00990AB7" w:rsidP="00990AB7">
      <w:pPr>
        <w:spacing w:after="200" w:line="276" w:lineRule="auto"/>
        <w:jc w:val="both"/>
        <w:rPr>
          <w:rFonts w:ascii="Arial" w:hAnsi="Arial" w:cs="Arial"/>
          <w:bCs/>
          <w:sz w:val="22"/>
          <w:szCs w:val="22"/>
          <w:lang w:eastAsia="en-US"/>
        </w:rPr>
      </w:pPr>
      <w:r w:rsidRPr="000020F0">
        <w:rPr>
          <w:rFonts w:ascii="Arial" w:hAnsi="Arial" w:cs="Arial"/>
          <w:bCs/>
          <w:sz w:val="22"/>
          <w:szCs w:val="22"/>
          <w:lang w:eastAsia="en-US"/>
        </w:rPr>
        <w:t xml:space="preserve">Urbano opremo sestavljajo naslednji elementi: klop, kocke, </w:t>
      </w:r>
      <w:proofErr w:type="spellStart"/>
      <w:r w:rsidRPr="000020F0">
        <w:rPr>
          <w:rFonts w:ascii="Arial" w:hAnsi="Arial" w:cs="Arial"/>
          <w:bCs/>
          <w:sz w:val="22"/>
          <w:szCs w:val="22"/>
          <w:lang w:eastAsia="en-US"/>
        </w:rPr>
        <w:t>pitnik</w:t>
      </w:r>
      <w:proofErr w:type="spellEnd"/>
      <w:r w:rsidRPr="000020F0">
        <w:rPr>
          <w:rFonts w:ascii="Arial" w:hAnsi="Arial" w:cs="Arial"/>
          <w:bCs/>
          <w:sz w:val="22"/>
          <w:szCs w:val="22"/>
          <w:lang w:eastAsia="en-US"/>
        </w:rPr>
        <w:t xml:space="preserve">, stojala za kolesa, koši za smeti, </w:t>
      </w:r>
      <w:proofErr w:type="spellStart"/>
      <w:r w:rsidRPr="000020F0">
        <w:rPr>
          <w:rFonts w:ascii="Arial" w:hAnsi="Arial" w:cs="Arial"/>
          <w:bCs/>
          <w:sz w:val="22"/>
          <w:szCs w:val="22"/>
          <w:lang w:eastAsia="en-US"/>
        </w:rPr>
        <w:t>info</w:t>
      </w:r>
      <w:proofErr w:type="spellEnd"/>
      <w:r w:rsidRPr="000020F0">
        <w:rPr>
          <w:rFonts w:ascii="Arial" w:hAnsi="Arial" w:cs="Arial"/>
          <w:bCs/>
          <w:sz w:val="22"/>
          <w:szCs w:val="22"/>
          <w:lang w:eastAsia="en-US"/>
        </w:rPr>
        <w:t xml:space="preserve"> tabla, ulične svetilke.</w:t>
      </w:r>
    </w:p>
    <w:p w14:paraId="1BF0C54F" w14:textId="77777777" w:rsidR="00990AB7" w:rsidRPr="000020F0" w:rsidRDefault="00990AB7" w:rsidP="00990AB7">
      <w:pPr>
        <w:pStyle w:val="Naslov2"/>
        <w:numPr>
          <w:ilvl w:val="2"/>
          <w:numId w:val="1"/>
        </w:numPr>
        <w:spacing w:before="360" w:after="240"/>
        <w:rPr>
          <w:rFonts w:asciiTheme="majorHAnsi" w:eastAsiaTheme="majorEastAsia" w:hAnsiTheme="majorHAnsi" w:cstheme="majorHAnsi"/>
          <w:color w:val="244061" w:themeColor="accent1" w:themeShade="80"/>
          <w:szCs w:val="22"/>
        </w:rPr>
      </w:pPr>
      <w:bookmarkStart w:id="246" w:name="_Toc209277162"/>
      <w:bookmarkStart w:id="247" w:name="_Toc230882226"/>
      <w:bookmarkStart w:id="248" w:name="_Toc11853124"/>
      <w:bookmarkStart w:id="249" w:name="_Toc58921173"/>
      <w:r w:rsidRPr="000020F0">
        <w:rPr>
          <w:rFonts w:asciiTheme="majorHAnsi" w:eastAsiaTheme="majorEastAsia" w:hAnsiTheme="majorHAnsi" w:cstheme="majorHAnsi"/>
          <w:color w:val="244061" w:themeColor="accent1" w:themeShade="80"/>
          <w:szCs w:val="22"/>
        </w:rPr>
        <w:t>Ostalo</w:t>
      </w:r>
      <w:bookmarkEnd w:id="246"/>
      <w:bookmarkEnd w:id="247"/>
    </w:p>
    <w:p w14:paraId="484AED19"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Celovita ureditev centra Ig upošteva načela univerzalnega oblikovanja. To pomeni, da vse prostore, in objekte lahko kar najbolj učinkovito uporabljajo vsi ljudje, ne glede na to, kakšne so njihove psihofizične sposobnosti.</w:t>
      </w:r>
    </w:p>
    <w:p w14:paraId="7D76C600"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Načrtovane prostore in objekte centra Ig lahko enakovredno uporabljajo ljudje z različnimi sposobnostmi in zmožnostmi. Pri načrtovanju ni predvidenega ločevanja posameznih skupin uporabnikov. Vsem uporabnikom je prav tako zagotovljena enakovredna varnost.</w:t>
      </w:r>
    </w:p>
    <w:p w14:paraId="462C5605" w14:textId="6F2BC835" w:rsidR="00990AB7" w:rsidRPr="000020F0" w:rsidRDefault="00913C7D"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 </w:t>
      </w:r>
      <w:r w:rsidR="00990AB7" w:rsidRPr="000020F0">
        <w:rPr>
          <w:rFonts w:ascii="Arial" w:hAnsi="Arial" w:cs="Arial"/>
          <w:sz w:val="22"/>
          <w:szCs w:val="22"/>
          <w:lang w:eastAsia="en-US"/>
        </w:rPr>
        <w:t xml:space="preserve">Ureditev centra Ig upošteva jasno zasnovo prostorov, kjer je omogočena preprosta </w:t>
      </w:r>
      <w:proofErr w:type="spellStart"/>
      <w:r w:rsidR="00990AB7" w:rsidRPr="000020F0">
        <w:rPr>
          <w:rFonts w:ascii="Arial" w:hAnsi="Arial" w:cs="Arial"/>
          <w:sz w:val="22"/>
          <w:szCs w:val="22"/>
          <w:lang w:eastAsia="en-US"/>
        </w:rPr>
        <w:t>oriantacija</w:t>
      </w:r>
      <w:proofErr w:type="spellEnd"/>
      <w:r w:rsidR="00990AB7" w:rsidRPr="000020F0">
        <w:rPr>
          <w:rFonts w:ascii="Arial" w:hAnsi="Arial" w:cs="Arial"/>
          <w:sz w:val="22"/>
          <w:szCs w:val="22"/>
          <w:lang w:eastAsia="en-US"/>
        </w:rPr>
        <w:t xml:space="preserve"> v različnih pogojih. Zasnova ne predvideva vizualnih </w:t>
      </w:r>
      <w:proofErr w:type="spellStart"/>
      <w:r w:rsidR="00990AB7" w:rsidRPr="000020F0">
        <w:rPr>
          <w:rFonts w:ascii="Arial" w:hAnsi="Arial" w:cs="Arial"/>
          <w:sz w:val="22"/>
          <w:szCs w:val="22"/>
          <w:lang w:eastAsia="en-US"/>
        </w:rPr>
        <w:t>barrier</w:t>
      </w:r>
      <w:proofErr w:type="spellEnd"/>
      <w:r w:rsidR="00990AB7" w:rsidRPr="000020F0">
        <w:rPr>
          <w:rFonts w:ascii="Arial" w:hAnsi="Arial" w:cs="Arial"/>
          <w:sz w:val="22"/>
          <w:szCs w:val="22"/>
          <w:lang w:eastAsia="en-US"/>
        </w:rPr>
        <w:t xml:space="preserve">, ki bi onemogočale preglednost in orientacijo. Zunanji prostori so odprti in jasno povezani v smislu materialnosti in oblike (poenoten tlak Govekarjeve ceste in centra Ig, ki se izteče v Troštovo ulico in park). Prostori, objekti in urbana oprema bodo oblikovani dosledno, ter v skladu z uporabnikovimi pričakovanji in intuicijo. Prostori, objekti in urbana oprema bodo </w:t>
      </w:r>
      <w:proofErr w:type="spellStart"/>
      <w:r w:rsidR="00990AB7" w:rsidRPr="000020F0">
        <w:rPr>
          <w:rFonts w:ascii="Arial" w:hAnsi="Arial" w:cs="Arial"/>
          <w:sz w:val="22"/>
          <w:szCs w:val="22"/>
          <w:lang w:eastAsia="en-US"/>
        </w:rPr>
        <w:t>pozicionirani</w:t>
      </w:r>
      <w:proofErr w:type="spellEnd"/>
      <w:r w:rsidR="00990AB7" w:rsidRPr="000020F0">
        <w:rPr>
          <w:rFonts w:ascii="Arial" w:hAnsi="Arial" w:cs="Arial"/>
          <w:sz w:val="22"/>
          <w:szCs w:val="22"/>
          <w:lang w:eastAsia="en-US"/>
        </w:rPr>
        <w:t xml:space="preserve"> smiselno in opremljeni z jasno in poenoteno usmerjevalno grafično podobo, </w:t>
      </w:r>
      <w:proofErr w:type="spellStart"/>
      <w:r w:rsidR="00990AB7" w:rsidRPr="000020F0">
        <w:rPr>
          <w:rFonts w:ascii="Arial" w:hAnsi="Arial" w:cs="Arial"/>
          <w:sz w:val="22"/>
          <w:szCs w:val="22"/>
          <w:lang w:eastAsia="en-US"/>
        </w:rPr>
        <w:t>pozicionirano</w:t>
      </w:r>
      <w:proofErr w:type="spellEnd"/>
      <w:r w:rsidR="00990AB7" w:rsidRPr="000020F0">
        <w:rPr>
          <w:rFonts w:ascii="Arial" w:hAnsi="Arial" w:cs="Arial"/>
          <w:sz w:val="22"/>
          <w:szCs w:val="22"/>
          <w:lang w:eastAsia="en-US"/>
        </w:rPr>
        <w:t xml:space="preserve"> na značilnih mestih. Tam kjer je smiselno, bodo napise nadomeščali standardni </w:t>
      </w:r>
      <w:r w:rsidR="00E0349A" w:rsidRPr="000020F0">
        <w:rPr>
          <w:rFonts w:ascii="Arial" w:hAnsi="Arial" w:cs="Arial"/>
          <w:sz w:val="22"/>
          <w:szCs w:val="22"/>
          <w:lang w:eastAsia="en-US"/>
        </w:rPr>
        <w:t>slikovni</w:t>
      </w:r>
      <w:r w:rsidR="00990AB7" w:rsidRPr="000020F0">
        <w:rPr>
          <w:rFonts w:ascii="Arial" w:hAnsi="Arial" w:cs="Arial"/>
          <w:sz w:val="22"/>
          <w:szCs w:val="22"/>
          <w:lang w:eastAsia="en-US"/>
        </w:rPr>
        <w:t xml:space="preserve"> simboli, ki so razumljivi večini ljudi (npr. javno stranišče). Usmerjevalna znamenja bodo jasno ločena od oglasnih sporočil in drugih znamenj, kar omogoča boljšo zaznavnost.</w:t>
      </w:r>
    </w:p>
    <w:p w14:paraId="2DECCB4B"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Prostori in objekti centra Ig bodo imeli zagotovljen jasen prikaz pomembnih informacij (naziv stavb, ulic, objektov itn.). Zagotovljen bo dovolj močan vizualni kontrast in berljivost napisov. </w:t>
      </w:r>
    </w:p>
    <w:p w14:paraId="703FCF0A" w14:textId="5C90F513" w:rsidR="00990AB7" w:rsidRPr="000020F0" w:rsidRDefault="00990AB7" w:rsidP="008C6748">
      <w:pPr>
        <w:spacing w:after="200" w:line="276" w:lineRule="auto"/>
        <w:jc w:val="both"/>
        <w:rPr>
          <w:rFonts w:ascii="Arial" w:hAnsi="Arial" w:cs="Arial"/>
          <w:sz w:val="22"/>
          <w:szCs w:val="22"/>
          <w:lang w:eastAsia="en-US"/>
        </w:rPr>
      </w:pPr>
      <w:r w:rsidRPr="000020F0">
        <w:rPr>
          <w:rFonts w:ascii="Arial" w:hAnsi="Arial" w:cs="Arial"/>
          <w:sz w:val="22"/>
          <w:szCs w:val="22"/>
          <w:lang w:eastAsia="en-US"/>
        </w:rPr>
        <w:lastRenderedPageBreak/>
        <w:t>Zasnova zmanjšuje možnosti nevarnost</w:t>
      </w:r>
      <w:r w:rsidR="00913C7D" w:rsidRPr="000020F0">
        <w:rPr>
          <w:rFonts w:ascii="Arial" w:hAnsi="Arial" w:cs="Arial"/>
          <w:sz w:val="22"/>
          <w:szCs w:val="22"/>
          <w:lang w:eastAsia="en-US"/>
        </w:rPr>
        <w:t>i</w:t>
      </w:r>
      <w:r w:rsidRPr="000020F0">
        <w:rPr>
          <w:rFonts w:ascii="Arial" w:hAnsi="Arial" w:cs="Arial"/>
          <w:sz w:val="22"/>
          <w:szCs w:val="22"/>
          <w:lang w:eastAsia="en-US"/>
        </w:rPr>
        <w:t xml:space="preserve"> in nepravilno uporabo prostora. To se kaže v različni materialnosti prostora, npr. sprememba v </w:t>
      </w:r>
      <w:r w:rsidR="00913C7D" w:rsidRPr="000020F0">
        <w:rPr>
          <w:rFonts w:ascii="Arial" w:hAnsi="Arial" w:cs="Arial"/>
          <w:sz w:val="22"/>
          <w:szCs w:val="22"/>
          <w:lang w:eastAsia="en-US"/>
        </w:rPr>
        <w:t xml:space="preserve">tlaku </w:t>
      </w:r>
      <w:r w:rsidRPr="000020F0">
        <w:rPr>
          <w:rFonts w:ascii="Arial" w:hAnsi="Arial" w:cs="Arial"/>
          <w:sz w:val="22"/>
          <w:szCs w:val="22"/>
          <w:lang w:eastAsia="en-US"/>
        </w:rPr>
        <w:t xml:space="preserve">na Govekarjevi cesti, različna orientiranost tlakovanja ceste in pločnikov/tržnih površin in njihova minimalna višinska diferenca. Na Troštovi ulici je tlak povezave za </w:t>
      </w:r>
      <w:proofErr w:type="spellStart"/>
      <w:r w:rsidRPr="000020F0">
        <w:rPr>
          <w:rFonts w:ascii="Arial" w:hAnsi="Arial" w:cs="Arial"/>
          <w:sz w:val="22"/>
          <w:szCs w:val="22"/>
          <w:lang w:eastAsia="en-US"/>
        </w:rPr>
        <w:t>peščce</w:t>
      </w:r>
      <w:proofErr w:type="spellEnd"/>
      <w:r w:rsidRPr="000020F0">
        <w:rPr>
          <w:rFonts w:ascii="Arial" w:hAnsi="Arial" w:cs="Arial"/>
          <w:sz w:val="22"/>
          <w:szCs w:val="22"/>
          <w:lang w:eastAsia="en-US"/>
        </w:rPr>
        <w:t xml:space="preserve"> drugačen od cestišča. Med površinami za mirujoči promet in površinami za pešce so predvideni zeleni otoki, ki jasno definirajo prostor. Preko trga pred občino je speljana dostopna cesta za osebna vozila, katera ima jasno označeno vozišče. Pred šolo je predvidena </w:t>
      </w:r>
      <w:proofErr w:type="spellStart"/>
      <w:r w:rsidRPr="000020F0">
        <w:rPr>
          <w:rFonts w:ascii="Arial" w:hAnsi="Arial" w:cs="Arial"/>
          <w:sz w:val="22"/>
          <w:szCs w:val="22"/>
          <w:lang w:eastAsia="en-US"/>
        </w:rPr>
        <w:t>drop-off</w:t>
      </w:r>
      <w:proofErr w:type="spellEnd"/>
      <w:r w:rsidRPr="000020F0">
        <w:rPr>
          <w:rFonts w:ascii="Arial" w:hAnsi="Arial" w:cs="Arial"/>
          <w:sz w:val="22"/>
          <w:szCs w:val="22"/>
          <w:lang w:eastAsia="en-US"/>
        </w:rPr>
        <w:t xml:space="preserve"> cona, </w:t>
      </w:r>
      <w:r w:rsidR="008C6748" w:rsidRPr="000020F0">
        <w:rPr>
          <w:rFonts w:ascii="Arial" w:hAnsi="Arial" w:cs="Arial"/>
          <w:sz w:val="22"/>
          <w:szCs w:val="22"/>
          <w:lang w:eastAsia="en-US"/>
        </w:rPr>
        <w:t xml:space="preserve">ki </w:t>
      </w:r>
      <w:r w:rsidR="008C6748" w:rsidRPr="000020F0">
        <w:rPr>
          <w:rFonts w:ascii="Arial" w:hAnsi="Arial" w:cs="Arial"/>
          <w:sz w:val="22"/>
          <w:szCs w:val="22"/>
        </w:rPr>
        <w:t xml:space="preserve">je izvedena v tlaku iz kamnitih kock, </w:t>
      </w:r>
      <w:r w:rsidRPr="000020F0">
        <w:rPr>
          <w:rFonts w:ascii="Arial" w:hAnsi="Arial" w:cs="Arial"/>
          <w:sz w:val="22"/>
          <w:szCs w:val="22"/>
          <w:lang w:eastAsia="en-US"/>
        </w:rPr>
        <w:t>ki jasno ločujejo motorni promet in pešce.</w:t>
      </w:r>
    </w:p>
    <w:p w14:paraId="5AF6A7D2" w14:textId="0D284C06"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Objekti so oblikovani na način, da je njihova uporaba lahkotna in uporabnikom ne povzroča napora (uporaba vrat brez pnevmatskega zapiralnika, ustrezna višina kljuke)</w:t>
      </w:r>
      <w:r w:rsidR="00913C7D" w:rsidRPr="000020F0">
        <w:rPr>
          <w:rFonts w:ascii="Arial" w:hAnsi="Arial" w:cs="Arial"/>
          <w:sz w:val="22"/>
          <w:szCs w:val="22"/>
          <w:lang w:eastAsia="en-US"/>
        </w:rPr>
        <w:t>.</w:t>
      </w:r>
    </w:p>
    <w:p w14:paraId="4391006D" w14:textId="0761CCE1"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Pločniki, poti in pro</w:t>
      </w:r>
      <w:r w:rsidR="003100D8" w:rsidRPr="000020F0">
        <w:rPr>
          <w:rFonts w:ascii="Arial" w:hAnsi="Arial" w:cs="Arial"/>
          <w:sz w:val="22"/>
          <w:szCs w:val="22"/>
          <w:lang w:eastAsia="en-US"/>
        </w:rPr>
        <w:t>s</w:t>
      </w:r>
      <w:r w:rsidRPr="000020F0">
        <w:rPr>
          <w:rFonts w:ascii="Arial" w:hAnsi="Arial" w:cs="Arial"/>
          <w:sz w:val="22"/>
          <w:szCs w:val="22"/>
          <w:lang w:eastAsia="en-US"/>
        </w:rPr>
        <w:t>tori so ustrezno dimenzionirani. Posebna pozornost je namenjena javnemu stranišču za invalide, kjer je zagotovljena ustrezna dostopnost, nadstrešek, širina prehoda in velikost prostora.</w:t>
      </w:r>
    </w:p>
    <w:p w14:paraId="2CCA26F9"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Na obeh objektih je predvidena vgradnja </w:t>
      </w:r>
      <w:proofErr w:type="spellStart"/>
      <w:r w:rsidRPr="000020F0">
        <w:rPr>
          <w:rFonts w:ascii="Arial" w:hAnsi="Arial" w:cs="Arial"/>
          <w:sz w:val="22"/>
          <w:szCs w:val="22"/>
          <w:lang w:eastAsia="en-US"/>
        </w:rPr>
        <w:t>fotonapetostnih</w:t>
      </w:r>
      <w:proofErr w:type="spellEnd"/>
      <w:r w:rsidRPr="000020F0">
        <w:rPr>
          <w:rFonts w:ascii="Arial" w:hAnsi="Arial" w:cs="Arial"/>
          <w:sz w:val="22"/>
          <w:szCs w:val="22"/>
          <w:lang w:eastAsia="en-US"/>
        </w:rPr>
        <w:t xml:space="preserve"> (PV) sistemov za proizvodnjo električne energije iz sončnega sevanja. </w:t>
      </w:r>
      <w:proofErr w:type="spellStart"/>
      <w:r w:rsidRPr="000020F0">
        <w:rPr>
          <w:rFonts w:ascii="Arial" w:hAnsi="Arial" w:cs="Arial"/>
          <w:sz w:val="22"/>
          <w:szCs w:val="22"/>
          <w:lang w:eastAsia="en-US"/>
        </w:rPr>
        <w:t>Fotovoltaični</w:t>
      </w:r>
      <w:proofErr w:type="spellEnd"/>
      <w:r w:rsidRPr="000020F0">
        <w:rPr>
          <w:rFonts w:ascii="Arial" w:hAnsi="Arial" w:cs="Arial"/>
          <w:sz w:val="22"/>
          <w:szCs w:val="22"/>
          <w:lang w:eastAsia="en-US"/>
        </w:rPr>
        <w:t xml:space="preserve"> moduli bodo nameščeni na južno orientirane strešne površine, kar omogoča optimalno osončenje in maksimalni izkoristek. Električna povezava med PV moduli in razsmerniki bo izvedena preko enosmernega (DC) razvoda, z uporabo ustrezno dimenzioniranih kablov in zaščitnih elementov v skladu z veljavnimi standardi (SIST EN 62548, SIST HD 60364-7-712). Razsmerniki (DC/AC pretvorniki) bodo nameščeni v objektu nadstrešnice pod streho, v večnamenskem objektu pa v tehničnem prostoru za vzdrževalce. Na strani izmeničnega toka (AC) bo predvidena priključitev na interno elektroinštalacijo objekta oziroma na nizkonapetostno omrežje, v skladu z zahtevami operaterja distribucijskega omrežja (SODO). V tem načrtu so zajete cevne povezave med PV moduli in razsmerniki, medtem ko izvedba sončnih elektrarn, dobava opreme ter pridobitev subvencij niso predmet tega projekta in bodo izvedeni s strani pooblaščenega izvajalca.</w:t>
      </w:r>
    </w:p>
    <w:bookmarkEnd w:id="248"/>
    <w:bookmarkEnd w:id="249"/>
    <w:p w14:paraId="6245DBF9"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Kolesarnica in nadstrešnica se priključujeta na električno omrežje, njune meteorne vode pa se odtekajo v meteorno kanalizacijo. </w:t>
      </w:r>
    </w:p>
    <w:p w14:paraId="2D14BE2B"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Ukine se obstoječi nadzemni elektro vod ter trasa se </w:t>
      </w:r>
      <w:proofErr w:type="spellStart"/>
      <w:r w:rsidRPr="000020F0">
        <w:rPr>
          <w:rFonts w:ascii="Arial" w:hAnsi="Arial" w:cs="Arial"/>
          <w:sz w:val="22"/>
          <w:szCs w:val="22"/>
          <w:lang w:eastAsia="en-US"/>
        </w:rPr>
        <w:t>pokabli</w:t>
      </w:r>
      <w:proofErr w:type="spellEnd"/>
      <w:r w:rsidRPr="000020F0">
        <w:rPr>
          <w:rFonts w:ascii="Arial" w:hAnsi="Arial" w:cs="Arial"/>
          <w:sz w:val="22"/>
          <w:szCs w:val="22"/>
          <w:lang w:eastAsia="en-US"/>
        </w:rPr>
        <w:t>. Prestavi in dodajo se hidranti ob Govekarjevi cesti ter prestavi omrežje javne razsvetljave in obstoječega plinovoda.</w:t>
      </w:r>
    </w:p>
    <w:p w14:paraId="0FD041E1"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Priključevanje na gasilno vodo je zagotovljena preko hidranta ob Govekarjevi cesti, ki se premakne na zeleni otok na zahodno stran Govekarjeve ceste. Gasilske intervencijske površine so zagotovljene na trgu pred občinsko stavbo, na parkirišču pred OŠ in na Govekarjevi cesti. </w:t>
      </w:r>
    </w:p>
    <w:p w14:paraId="437C0870"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Del projekta je tudi vpis podatkov o infrastrukturi v bazo cestnih podatkov ter zagotovitev merjenja in poročanje hitrosti na ulicah s celovito prenovo z merilnikom, ki bo zagotavljal merjenje in poročanje V85 HITROSTI.</w:t>
      </w:r>
    </w:p>
    <w:p w14:paraId="572352F1" w14:textId="77777777" w:rsidR="00CF6961"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Po zaključeni investiciji in predaji objekta bo infrastruktura predana v upravljanje pristojnim službam Občine Ig. </w:t>
      </w:r>
    </w:p>
    <w:p w14:paraId="49FEE0C1"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Občina Ig se bo tudi med izvajanjem projekta in po zaključku vključila v ETM in seznanila občane o izvajanju operacije.</w:t>
      </w:r>
    </w:p>
    <w:p w14:paraId="52012667" w14:textId="77777777" w:rsidR="00990AB7" w:rsidRPr="000020F0" w:rsidRDefault="00990AB7" w:rsidP="00990AB7">
      <w:pPr>
        <w:pStyle w:val="Naslov2"/>
        <w:numPr>
          <w:ilvl w:val="1"/>
          <w:numId w:val="1"/>
        </w:numPr>
        <w:spacing w:before="360" w:after="240"/>
        <w:rPr>
          <w:rFonts w:asciiTheme="majorHAnsi" w:eastAsiaTheme="majorEastAsia" w:hAnsiTheme="majorHAnsi" w:cstheme="majorHAnsi"/>
          <w:color w:val="244061" w:themeColor="accent1" w:themeShade="80"/>
          <w:szCs w:val="22"/>
        </w:rPr>
      </w:pPr>
      <w:bookmarkStart w:id="250" w:name="_Toc209029152"/>
      <w:bookmarkStart w:id="251" w:name="_Toc209277163"/>
      <w:bookmarkStart w:id="252" w:name="_Ref230594338"/>
      <w:bookmarkStart w:id="253" w:name="_Toc230882227"/>
      <w:r w:rsidRPr="000020F0">
        <w:rPr>
          <w:rFonts w:asciiTheme="majorHAnsi" w:eastAsiaTheme="majorEastAsia" w:hAnsiTheme="majorHAnsi" w:cstheme="majorHAnsi"/>
          <w:color w:val="244061" w:themeColor="accent1" w:themeShade="80"/>
          <w:szCs w:val="22"/>
        </w:rPr>
        <w:lastRenderedPageBreak/>
        <w:t>Skladnost projekta s horizontalnimi načeli</w:t>
      </w:r>
      <w:bookmarkEnd w:id="250"/>
      <w:bookmarkEnd w:id="251"/>
      <w:bookmarkEnd w:id="252"/>
      <w:bookmarkEnd w:id="253"/>
    </w:p>
    <w:p w14:paraId="3C72F8CC"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Projekt CELOVITA UREDITEV CENTRA IG – ukrepi trajnostne mobilnosti je v vseh fazah – od načrtovanja, projektiranja, izvajanja do obratovanja – zasnovan in bo izveden ob spoštovanju horizontalnih načel, kot jih določa 6. člen Uredbe (EU) 2021/1060.</w:t>
      </w:r>
    </w:p>
    <w:p w14:paraId="21BF7A96"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1. Skladnost z načeli spoštovanja temeljnih pravic</w:t>
      </w:r>
    </w:p>
    <w:p w14:paraId="49CE831D" w14:textId="77777777" w:rsidR="00990AB7" w:rsidRPr="000020F0" w:rsidRDefault="00990AB7" w:rsidP="00990AB7">
      <w:pPr>
        <w:spacing w:line="276" w:lineRule="auto"/>
        <w:jc w:val="both"/>
        <w:rPr>
          <w:rFonts w:ascii="Arial" w:hAnsi="Arial" w:cs="Arial"/>
          <w:sz w:val="22"/>
          <w:szCs w:val="22"/>
          <w:lang w:eastAsia="en-US"/>
        </w:rPr>
      </w:pPr>
      <w:r w:rsidRPr="000020F0">
        <w:rPr>
          <w:rFonts w:ascii="Arial" w:hAnsi="Arial" w:cs="Arial"/>
          <w:sz w:val="22"/>
          <w:szCs w:val="22"/>
          <w:lang w:eastAsia="en-US"/>
        </w:rPr>
        <w:t>Projekt je pripravljen v skladu z Listino EU o temeljnih pravicah in Konvencijo Združenih narodov o pravicah invalidov.</w:t>
      </w:r>
    </w:p>
    <w:p w14:paraId="1288D956" w14:textId="77777777" w:rsidR="00990AB7" w:rsidRPr="000020F0" w:rsidRDefault="00990AB7" w:rsidP="00990AB7">
      <w:pPr>
        <w:numPr>
          <w:ilvl w:val="0"/>
          <w:numId w:val="139"/>
        </w:numPr>
        <w:spacing w:line="276" w:lineRule="auto"/>
        <w:jc w:val="both"/>
        <w:rPr>
          <w:rFonts w:ascii="Arial" w:hAnsi="Arial" w:cs="Arial"/>
          <w:sz w:val="22"/>
          <w:szCs w:val="22"/>
          <w:lang w:eastAsia="en-US"/>
        </w:rPr>
      </w:pPr>
      <w:r w:rsidRPr="000020F0">
        <w:rPr>
          <w:rFonts w:ascii="Arial" w:hAnsi="Arial" w:cs="Arial"/>
          <w:sz w:val="22"/>
          <w:szCs w:val="22"/>
          <w:lang w:eastAsia="en-US"/>
        </w:rPr>
        <w:t>Ureditev varnih šolskih poti, razširjeni pločniki in haptične oznake zagotavljajo varno in samostojno gibanje gibalno oviranih oseb, otrok in starejših.</w:t>
      </w:r>
    </w:p>
    <w:p w14:paraId="27067E01" w14:textId="77777777" w:rsidR="00990AB7" w:rsidRPr="000020F0" w:rsidRDefault="00990AB7" w:rsidP="00990AB7">
      <w:pPr>
        <w:numPr>
          <w:ilvl w:val="0"/>
          <w:numId w:val="139"/>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Javni prostor bo zasnovan kot vključujoč prostor za vse prebivalce, kar krepi družbeno kohezijo in enakovredno udeležbo v javnem življenju.</w:t>
      </w:r>
    </w:p>
    <w:p w14:paraId="3F1CA3F6"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2. Spodbujanje enakosti moških in žensk</w:t>
      </w:r>
    </w:p>
    <w:p w14:paraId="48CAE5AA" w14:textId="77777777" w:rsidR="00990AB7" w:rsidRPr="000020F0" w:rsidRDefault="00990AB7" w:rsidP="00990AB7">
      <w:pPr>
        <w:spacing w:line="276" w:lineRule="auto"/>
        <w:jc w:val="both"/>
        <w:rPr>
          <w:rFonts w:ascii="Arial" w:hAnsi="Arial" w:cs="Arial"/>
          <w:sz w:val="22"/>
          <w:szCs w:val="22"/>
          <w:lang w:eastAsia="en-US"/>
        </w:rPr>
      </w:pPr>
      <w:r w:rsidRPr="000020F0">
        <w:rPr>
          <w:rFonts w:ascii="Arial" w:hAnsi="Arial" w:cs="Arial"/>
          <w:sz w:val="22"/>
          <w:szCs w:val="22"/>
          <w:lang w:eastAsia="en-US"/>
        </w:rPr>
        <w:t>Projekt sledi načelu enakosti spolov in enakih možnosti:</w:t>
      </w:r>
    </w:p>
    <w:p w14:paraId="2AD987AC" w14:textId="77777777" w:rsidR="00990AB7" w:rsidRPr="000020F0" w:rsidRDefault="00990AB7" w:rsidP="00990AB7">
      <w:pPr>
        <w:numPr>
          <w:ilvl w:val="0"/>
          <w:numId w:val="140"/>
        </w:numPr>
        <w:spacing w:line="276" w:lineRule="auto"/>
        <w:jc w:val="both"/>
        <w:rPr>
          <w:rFonts w:ascii="Arial" w:hAnsi="Arial" w:cs="Arial"/>
          <w:sz w:val="22"/>
          <w:szCs w:val="22"/>
          <w:lang w:eastAsia="en-US"/>
        </w:rPr>
      </w:pPr>
      <w:r w:rsidRPr="000020F0">
        <w:rPr>
          <w:rFonts w:ascii="Arial" w:hAnsi="Arial" w:cs="Arial"/>
          <w:sz w:val="22"/>
          <w:szCs w:val="22"/>
          <w:lang w:eastAsia="en-US"/>
        </w:rPr>
        <w:t>Prometne ureditve in nova infrastruktura za hojo, kolesarjenje in javni potniški promet bodo dostopne in varne za vse, ne glede na spol.</w:t>
      </w:r>
    </w:p>
    <w:p w14:paraId="76368DF3" w14:textId="77777777" w:rsidR="00990AB7" w:rsidRPr="000020F0" w:rsidRDefault="00990AB7" w:rsidP="00990AB7">
      <w:pPr>
        <w:numPr>
          <w:ilvl w:val="0"/>
          <w:numId w:val="140"/>
        </w:numPr>
        <w:spacing w:line="276" w:lineRule="auto"/>
        <w:jc w:val="both"/>
        <w:rPr>
          <w:rFonts w:ascii="Arial" w:hAnsi="Arial" w:cs="Arial"/>
          <w:sz w:val="22"/>
          <w:szCs w:val="22"/>
          <w:lang w:eastAsia="en-US"/>
        </w:rPr>
      </w:pPr>
      <w:r w:rsidRPr="000020F0">
        <w:rPr>
          <w:rFonts w:ascii="Arial" w:hAnsi="Arial" w:cs="Arial"/>
          <w:sz w:val="22"/>
          <w:szCs w:val="22"/>
          <w:lang w:eastAsia="en-US"/>
        </w:rPr>
        <w:t>Posebna pozornost je namenjena povečanju varnosti otrok in staršev pri dostopu do šole, kar razbremenjuje zlasti ženske kot pogoste nosilke skrbi za družino.</w:t>
      </w:r>
    </w:p>
    <w:p w14:paraId="25F09386" w14:textId="77777777" w:rsidR="00990AB7" w:rsidRPr="000020F0" w:rsidRDefault="00990AB7" w:rsidP="00990AB7">
      <w:pPr>
        <w:numPr>
          <w:ilvl w:val="0"/>
          <w:numId w:val="140"/>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V postopkih načrtovanja in izvedbe se zagotavlja enakopravna udeležba žensk in moških pri odločanju in izvajanju projekta.</w:t>
      </w:r>
    </w:p>
    <w:p w14:paraId="1958330E"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3. Preprečevanje diskriminacije</w:t>
      </w:r>
    </w:p>
    <w:p w14:paraId="67AB5C7A" w14:textId="77777777" w:rsidR="00990AB7" w:rsidRPr="000020F0" w:rsidRDefault="00990AB7" w:rsidP="00990AB7">
      <w:pPr>
        <w:spacing w:line="276" w:lineRule="auto"/>
        <w:jc w:val="both"/>
        <w:rPr>
          <w:rFonts w:ascii="Arial" w:hAnsi="Arial" w:cs="Arial"/>
          <w:sz w:val="22"/>
          <w:szCs w:val="22"/>
          <w:lang w:eastAsia="en-US"/>
        </w:rPr>
      </w:pPr>
      <w:r w:rsidRPr="000020F0">
        <w:rPr>
          <w:rFonts w:ascii="Arial" w:hAnsi="Arial" w:cs="Arial"/>
          <w:sz w:val="22"/>
          <w:szCs w:val="22"/>
          <w:lang w:eastAsia="en-US"/>
        </w:rPr>
        <w:t>Projekt aktivno preprečuje diskriminacijo na podlagi spola, starosti, invalidnosti, etnične pripadnosti, vere ali spolne usmerjenosti:</w:t>
      </w:r>
    </w:p>
    <w:p w14:paraId="34079D98" w14:textId="77777777" w:rsidR="00990AB7" w:rsidRPr="000020F0" w:rsidRDefault="00990AB7" w:rsidP="00990AB7">
      <w:pPr>
        <w:numPr>
          <w:ilvl w:val="0"/>
          <w:numId w:val="141"/>
        </w:numPr>
        <w:spacing w:line="276" w:lineRule="auto"/>
        <w:jc w:val="both"/>
        <w:rPr>
          <w:rFonts w:ascii="Arial" w:hAnsi="Arial" w:cs="Arial"/>
          <w:sz w:val="22"/>
          <w:szCs w:val="22"/>
          <w:lang w:eastAsia="en-US"/>
        </w:rPr>
      </w:pPr>
      <w:r w:rsidRPr="000020F0">
        <w:rPr>
          <w:rFonts w:ascii="Arial" w:hAnsi="Arial" w:cs="Arial"/>
          <w:sz w:val="22"/>
          <w:szCs w:val="22"/>
          <w:lang w:eastAsia="en-US"/>
        </w:rPr>
        <w:t>Vsi prostori in površine bodo dostopni invalidom (ureditev parkirnih mest za invalide, dostopne poti, haptične oznake).</w:t>
      </w:r>
    </w:p>
    <w:p w14:paraId="2335B1ED" w14:textId="77777777" w:rsidR="00990AB7" w:rsidRPr="000020F0" w:rsidRDefault="00990AB7" w:rsidP="00990AB7">
      <w:pPr>
        <w:numPr>
          <w:ilvl w:val="0"/>
          <w:numId w:val="141"/>
        </w:numPr>
        <w:spacing w:line="276" w:lineRule="auto"/>
        <w:jc w:val="both"/>
        <w:rPr>
          <w:rFonts w:ascii="Arial" w:hAnsi="Arial" w:cs="Arial"/>
          <w:sz w:val="22"/>
          <w:szCs w:val="22"/>
          <w:lang w:eastAsia="en-US"/>
        </w:rPr>
      </w:pPr>
      <w:r w:rsidRPr="000020F0">
        <w:rPr>
          <w:rFonts w:ascii="Arial" w:hAnsi="Arial" w:cs="Arial"/>
          <w:sz w:val="22"/>
          <w:szCs w:val="22"/>
          <w:lang w:eastAsia="en-US"/>
        </w:rPr>
        <w:t>Skupni prometni prostori in zelene površine omogočajo enakovreden dostop ranljivim skupinam (otroci, starejši, gibalno ovirani).</w:t>
      </w:r>
    </w:p>
    <w:p w14:paraId="5DF7A58A" w14:textId="77777777" w:rsidR="00990AB7" w:rsidRPr="000020F0" w:rsidRDefault="00990AB7" w:rsidP="00990AB7">
      <w:pPr>
        <w:numPr>
          <w:ilvl w:val="0"/>
          <w:numId w:val="141"/>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Načrtovanje temelji na </w:t>
      </w:r>
      <w:proofErr w:type="spellStart"/>
      <w:r w:rsidRPr="000020F0">
        <w:rPr>
          <w:rFonts w:ascii="Arial" w:hAnsi="Arial" w:cs="Arial"/>
          <w:sz w:val="22"/>
          <w:szCs w:val="22"/>
          <w:lang w:eastAsia="en-US"/>
        </w:rPr>
        <w:t>nediskriminatornem</w:t>
      </w:r>
      <w:proofErr w:type="spellEnd"/>
      <w:r w:rsidRPr="000020F0">
        <w:rPr>
          <w:rFonts w:ascii="Arial" w:hAnsi="Arial" w:cs="Arial"/>
          <w:sz w:val="22"/>
          <w:szCs w:val="22"/>
          <w:lang w:eastAsia="en-US"/>
        </w:rPr>
        <w:t xml:space="preserve"> pristopu, ki zagotavlja vključevanje vseh prebivalcev in obiskovalcev.</w:t>
      </w:r>
    </w:p>
    <w:p w14:paraId="0096942D" w14:textId="77777777" w:rsidR="00990AB7" w:rsidRPr="000020F0" w:rsidRDefault="00990AB7" w:rsidP="00990AB7">
      <w:pPr>
        <w:spacing w:after="200" w:line="276" w:lineRule="auto"/>
        <w:jc w:val="both"/>
        <w:rPr>
          <w:rFonts w:ascii="Arial" w:hAnsi="Arial" w:cs="Arial"/>
          <w:sz w:val="22"/>
          <w:szCs w:val="22"/>
          <w:u w:val="single"/>
          <w:lang w:eastAsia="en-US"/>
        </w:rPr>
      </w:pPr>
      <w:r w:rsidRPr="000020F0">
        <w:rPr>
          <w:rFonts w:ascii="Arial" w:hAnsi="Arial" w:cs="Arial"/>
          <w:sz w:val="22"/>
          <w:szCs w:val="22"/>
          <w:u w:val="single"/>
          <w:lang w:eastAsia="en-US"/>
        </w:rPr>
        <w:t>4. Spodbujanje trajnostnega razvoja</w:t>
      </w:r>
    </w:p>
    <w:p w14:paraId="2BBF2B2F" w14:textId="77777777" w:rsidR="00990AB7" w:rsidRPr="000020F0" w:rsidRDefault="00990AB7" w:rsidP="00990AB7">
      <w:pPr>
        <w:spacing w:line="276" w:lineRule="auto"/>
        <w:jc w:val="both"/>
        <w:rPr>
          <w:rFonts w:ascii="Arial" w:hAnsi="Arial" w:cs="Arial"/>
          <w:sz w:val="22"/>
          <w:szCs w:val="22"/>
          <w:lang w:eastAsia="en-US"/>
        </w:rPr>
      </w:pPr>
      <w:r w:rsidRPr="000020F0">
        <w:rPr>
          <w:rFonts w:ascii="Arial" w:hAnsi="Arial" w:cs="Arial"/>
          <w:sz w:val="22"/>
          <w:szCs w:val="22"/>
          <w:lang w:eastAsia="en-US"/>
        </w:rPr>
        <w:t>Projekt pomembno prispeva k ciljem trajnostnega razvoja, Pariškega sporazuma in načelu »ne škoduj bistveno«:</w:t>
      </w:r>
    </w:p>
    <w:p w14:paraId="5FE883B0" w14:textId="77777777" w:rsidR="00990AB7" w:rsidRPr="000020F0" w:rsidRDefault="00990AB7" w:rsidP="00990AB7">
      <w:pPr>
        <w:numPr>
          <w:ilvl w:val="0"/>
          <w:numId w:val="142"/>
        </w:numPr>
        <w:spacing w:line="276" w:lineRule="auto"/>
        <w:jc w:val="both"/>
        <w:rPr>
          <w:rFonts w:ascii="Arial" w:hAnsi="Arial" w:cs="Arial"/>
          <w:sz w:val="22"/>
          <w:szCs w:val="22"/>
          <w:lang w:eastAsia="en-US"/>
        </w:rPr>
      </w:pPr>
      <w:r w:rsidRPr="000020F0">
        <w:rPr>
          <w:rFonts w:ascii="Arial" w:hAnsi="Arial" w:cs="Arial"/>
          <w:sz w:val="22"/>
          <w:szCs w:val="22"/>
          <w:lang w:eastAsia="en-US"/>
        </w:rPr>
        <w:t>zmanjšanje emisij toplogrednih plinov in hrupa z zmanjšanjem motornega prometa,</w:t>
      </w:r>
    </w:p>
    <w:p w14:paraId="7610E591" w14:textId="77777777" w:rsidR="00990AB7" w:rsidRPr="000020F0" w:rsidRDefault="00990AB7" w:rsidP="00990AB7">
      <w:pPr>
        <w:numPr>
          <w:ilvl w:val="0"/>
          <w:numId w:val="142"/>
        </w:numPr>
        <w:spacing w:line="276" w:lineRule="auto"/>
        <w:jc w:val="both"/>
        <w:rPr>
          <w:rFonts w:ascii="Arial" w:hAnsi="Arial" w:cs="Arial"/>
          <w:sz w:val="22"/>
          <w:szCs w:val="22"/>
          <w:lang w:eastAsia="en-US"/>
        </w:rPr>
      </w:pPr>
      <w:r w:rsidRPr="000020F0">
        <w:rPr>
          <w:rFonts w:ascii="Arial" w:hAnsi="Arial" w:cs="Arial"/>
          <w:sz w:val="22"/>
          <w:szCs w:val="22"/>
          <w:lang w:eastAsia="en-US"/>
        </w:rPr>
        <w:t>izboljšanje kakovosti zraka in vode,</w:t>
      </w:r>
    </w:p>
    <w:p w14:paraId="0143E01E" w14:textId="77777777" w:rsidR="00990AB7" w:rsidRPr="000020F0" w:rsidRDefault="00990AB7" w:rsidP="00990AB7">
      <w:pPr>
        <w:numPr>
          <w:ilvl w:val="0"/>
          <w:numId w:val="142"/>
        </w:numPr>
        <w:spacing w:line="276" w:lineRule="auto"/>
        <w:jc w:val="both"/>
        <w:rPr>
          <w:rFonts w:ascii="Arial" w:hAnsi="Arial" w:cs="Arial"/>
          <w:sz w:val="22"/>
          <w:szCs w:val="22"/>
          <w:lang w:eastAsia="en-US"/>
        </w:rPr>
      </w:pPr>
      <w:r w:rsidRPr="000020F0">
        <w:rPr>
          <w:rFonts w:ascii="Arial" w:hAnsi="Arial" w:cs="Arial"/>
          <w:sz w:val="22"/>
          <w:szCs w:val="22"/>
          <w:lang w:eastAsia="en-US"/>
        </w:rPr>
        <w:t>blaženje učinkov toplotnih otokov z zasaditvami in prepustnimi površinami,</w:t>
      </w:r>
    </w:p>
    <w:p w14:paraId="23F99CDE" w14:textId="77777777" w:rsidR="00990AB7" w:rsidRPr="000020F0" w:rsidRDefault="00990AB7" w:rsidP="00990AB7">
      <w:pPr>
        <w:numPr>
          <w:ilvl w:val="0"/>
          <w:numId w:val="142"/>
        </w:numPr>
        <w:spacing w:after="200" w:line="276" w:lineRule="auto"/>
        <w:jc w:val="both"/>
        <w:rPr>
          <w:rFonts w:ascii="Arial" w:hAnsi="Arial" w:cs="Arial"/>
          <w:sz w:val="22"/>
          <w:szCs w:val="22"/>
          <w:lang w:eastAsia="en-US"/>
        </w:rPr>
      </w:pPr>
      <w:r w:rsidRPr="000020F0">
        <w:rPr>
          <w:rFonts w:ascii="Arial" w:hAnsi="Arial" w:cs="Arial"/>
          <w:sz w:val="22"/>
          <w:szCs w:val="22"/>
          <w:lang w:eastAsia="en-US"/>
        </w:rPr>
        <w:t>ponovna uporaba padavinskih voda in krepitev zelene infrastrukture.</w:t>
      </w:r>
    </w:p>
    <w:p w14:paraId="3A03AC71"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 xml:space="preserve">Projekt je usklajen s cilji Agende ZN 2030 in z nacionalnimi ter evropskimi strateškimi dokumenti, ki spodbujajo </w:t>
      </w:r>
      <w:proofErr w:type="spellStart"/>
      <w:r w:rsidRPr="000020F0">
        <w:rPr>
          <w:rFonts w:ascii="Arial" w:hAnsi="Arial" w:cs="Arial"/>
          <w:sz w:val="22"/>
          <w:szCs w:val="22"/>
          <w:lang w:eastAsia="en-US"/>
        </w:rPr>
        <w:t>nizkoogljično</w:t>
      </w:r>
      <w:proofErr w:type="spellEnd"/>
      <w:r w:rsidRPr="000020F0">
        <w:rPr>
          <w:rFonts w:ascii="Arial" w:hAnsi="Arial" w:cs="Arial"/>
          <w:sz w:val="22"/>
          <w:szCs w:val="22"/>
          <w:lang w:eastAsia="en-US"/>
        </w:rPr>
        <w:t xml:space="preserve"> družbo, odpornost na podnebne spremembe in trajnostno mobilnost.</w:t>
      </w:r>
    </w:p>
    <w:p w14:paraId="39FB4E72" w14:textId="77777777" w:rsidR="00990AB7" w:rsidRPr="000020F0" w:rsidRDefault="00990AB7" w:rsidP="00990AB7">
      <w:pPr>
        <w:spacing w:after="200" w:line="276" w:lineRule="auto"/>
        <w:jc w:val="both"/>
        <w:rPr>
          <w:rFonts w:ascii="Arial" w:hAnsi="Arial" w:cs="Arial"/>
          <w:sz w:val="22"/>
          <w:szCs w:val="22"/>
          <w:lang w:eastAsia="en-US"/>
        </w:rPr>
      </w:pPr>
      <w:r w:rsidRPr="000020F0">
        <w:rPr>
          <w:rFonts w:ascii="Arial" w:hAnsi="Arial" w:cs="Arial"/>
          <w:sz w:val="22"/>
          <w:szCs w:val="22"/>
          <w:lang w:eastAsia="en-US"/>
        </w:rPr>
        <w:t>Z izvedbo ukrepov projekt v celoti izpolnjuje zahteve glede zagotavljanja skladnosti s horizontalnimi načeli iz 6. člena Uredbe (EU) 2021/1060. To bo potrjeno tudi s podpisano Izjavo o strinjanju in sprejemanju pogojev javnega razpisa.</w:t>
      </w:r>
    </w:p>
    <w:p w14:paraId="242924E3" w14:textId="4593EB6C" w:rsidR="00990AB7" w:rsidRDefault="00990AB7" w:rsidP="00990AB7">
      <w:pPr>
        <w:spacing w:line="276" w:lineRule="auto"/>
        <w:rPr>
          <w:rFonts w:ascii="Arial" w:hAnsi="Arial" w:cs="Arial"/>
          <w:bCs/>
          <w:lang w:eastAsia="en-US"/>
        </w:rPr>
      </w:pPr>
      <w:bookmarkStart w:id="254" w:name="_Toc1955835"/>
      <w:bookmarkStart w:id="255" w:name="_Toc209029194"/>
      <w:bookmarkStart w:id="256" w:name="_Toc209277209"/>
      <w:bookmarkStart w:id="257" w:name="_Toc230882330"/>
      <w:r w:rsidRPr="000020F0">
        <w:rPr>
          <w:rFonts w:ascii="Arial" w:hAnsi="Arial" w:cs="Arial"/>
          <w:b/>
          <w:bCs/>
          <w:lang w:eastAsia="en-US"/>
        </w:rPr>
        <w:lastRenderedPageBreak/>
        <w:t xml:space="preserve">Slika </w:t>
      </w:r>
      <w:r w:rsidRPr="000020F0">
        <w:rPr>
          <w:rFonts w:ascii="Arial" w:hAnsi="Arial" w:cs="Arial"/>
          <w:b/>
          <w:bCs/>
          <w:lang w:eastAsia="en-US"/>
        </w:rPr>
        <w:fldChar w:fldCharType="begin"/>
      </w:r>
      <w:r w:rsidRPr="000020F0">
        <w:rPr>
          <w:rFonts w:ascii="Arial" w:hAnsi="Arial" w:cs="Arial"/>
          <w:b/>
          <w:bCs/>
          <w:lang w:eastAsia="en-US"/>
        </w:rPr>
        <w:instrText xml:space="preserve"> SEQ Slika \* ARABIC </w:instrText>
      </w:r>
      <w:r w:rsidRPr="000020F0">
        <w:rPr>
          <w:rFonts w:ascii="Arial" w:hAnsi="Arial" w:cs="Arial"/>
          <w:b/>
          <w:bCs/>
          <w:lang w:eastAsia="en-US"/>
        </w:rPr>
        <w:fldChar w:fldCharType="separate"/>
      </w:r>
      <w:r w:rsidR="00BB0C0C">
        <w:rPr>
          <w:rFonts w:ascii="Arial" w:hAnsi="Arial" w:cs="Arial"/>
          <w:b/>
          <w:bCs/>
          <w:noProof/>
          <w:lang w:eastAsia="en-US"/>
        </w:rPr>
        <w:t>16</w:t>
      </w:r>
      <w:r w:rsidRPr="000020F0">
        <w:rPr>
          <w:rFonts w:ascii="Arial" w:hAnsi="Arial" w:cs="Arial"/>
          <w:b/>
          <w:bCs/>
          <w:lang w:eastAsia="en-US"/>
        </w:rPr>
        <w:fldChar w:fldCharType="end"/>
      </w:r>
      <w:r w:rsidRPr="000020F0">
        <w:rPr>
          <w:rFonts w:ascii="Arial" w:hAnsi="Arial" w:cs="Arial"/>
          <w:b/>
          <w:bCs/>
          <w:lang w:eastAsia="en-US"/>
        </w:rPr>
        <w:t xml:space="preserve">: </w:t>
      </w:r>
      <w:r w:rsidRPr="000020F0">
        <w:rPr>
          <w:rFonts w:ascii="Arial" w:hAnsi="Arial" w:cs="Arial"/>
          <w:bCs/>
          <w:lang w:eastAsia="en-US"/>
        </w:rPr>
        <w:t>Prikaz lokacije nameravane investicije</w:t>
      </w:r>
      <w:bookmarkEnd w:id="254"/>
      <w:bookmarkEnd w:id="255"/>
      <w:bookmarkEnd w:id="256"/>
      <w:bookmarkEnd w:id="257"/>
    </w:p>
    <w:p w14:paraId="39567370" w14:textId="77777777" w:rsidR="00F8293C" w:rsidRDefault="00F8293C" w:rsidP="00990AB7">
      <w:pPr>
        <w:spacing w:line="276" w:lineRule="auto"/>
        <w:rPr>
          <w:rFonts w:ascii="Arial" w:hAnsi="Arial" w:cs="Arial"/>
          <w:bCs/>
          <w:lang w:eastAsia="en-US"/>
        </w:rPr>
      </w:pPr>
    </w:p>
    <w:p w14:paraId="7CDE128F" w14:textId="77777777" w:rsidR="00F8293C" w:rsidRDefault="00F8293C" w:rsidP="00990AB7">
      <w:pPr>
        <w:spacing w:line="276" w:lineRule="auto"/>
        <w:rPr>
          <w:rFonts w:ascii="Arial" w:hAnsi="Arial" w:cs="Arial"/>
          <w:bCs/>
          <w:lang w:eastAsia="en-US"/>
        </w:rPr>
      </w:pPr>
    </w:p>
    <w:p w14:paraId="00212FD0" w14:textId="77777777" w:rsidR="00F8293C" w:rsidRPr="000020F0" w:rsidRDefault="00F8293C" w:rsidP="00990AB7">
      <w:pPr>
        <w:spacing w:line="276" w:lineRule="auto"/>
        <w:rPr>
          <w:rFonts w:ascii="Arial" w:hAnsi="Arial" w:cs="Arial"/>
          <w:bCs/>
          <w:lang w:eastAsia="en-US"/>
        </w:rPr>
      </w:pPr>
    </w:p>
    <w:p w14:paraId="5978DAED" w14:textId="77777777" w:rsidR="00990AB7" w:rsidRPr="000020F0" w:rsidRDefault="00990AB7" w:rsidP="00990AB7">
      <w:pPr>
        <w:spacing w:line="276" w:lineRule="auto"/>
        <w:rPr>
          <w:rFonts w:ascii="Arial" w:hAnsi="Arial" w:cs="Arial"/>
        </w:rPr>
      </w:pPr>
    </w:p>
    <w:p w14:paraId="0C73945C" w14:textId="6D7C1FCA" w:rsidR="00990AB7" w:rsidRPr="000020F0" w:rsidRDefault="00990AB7" w:rsidP="00990AB7">
      <w:pPr>
        <w:spacing w:line="276" w:lineRule="auto"/>
        <w:ind w:left="-567"/>
        <w:rPr>
          <w:rFonts w:ascii="Arial" w:hAnsi="Arial" w:cs="Arial"/>
          <w:b/>
          <w:bCs/>
          <w:lang w:eastAsia="en-US"/>
        </w:rPr>
      </w:pPr>
    </w:p>
    <w:p w14:paraId="490F543B" w14:textId="03D8D169" w:rsidR="00990AB7" w:rsidRPr="000020F0" w:rsidRDefault="00F46384" w:rsidP="00990AB7">
      <w:pPr>
        <w:spacing w:line="276" w:lineRule="auto"/>
        <w:rPr>
          <w:rFonts w:ascii="Arial" w:hAnsi="Arial" w:cs="Arial"/>
          <w:b/>
          <w:bCs/>
          <w:lang w:eastAsia="en-US"/>
        </w:rPr>
      </w:pPr>
      <w:r w:rsidRPr="00F46384">
        <w:rPr>
          <w:noProof/>
        </w:rPr>
        <w:drawing>
          <wp:inline distT="0" distB="0" distL="0" distR="0" wp14:anchorId="7704A807" wp14:editId="7393B021">
            <wp:extent cx="5940425" cy="4976495"/>
            <wp:effectExtent l="0" t="0" r="3175" b="0"/>
            <wp:docPr id="1441666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66765" name=""/>
                    <pic:cNvPicPr/>
                  </pic:nvPicPr>
                  <pic:blipFill>
                    <a:blip r:embed="rId68"/>
                    <a:stretch>
                      <a:fillRect/>
                    </a:stretch>
                  </pic:blipFill>
                  <pic:spPr>
                    <a:xfrm>
                      <a:off x="0" y="0"/>
                      <a:ext cx="5940425" cy="4976495"/>
                    </a:xfrm>
                    <a:prstGeom prst="rect">
                      <a:avLst/>
                    </a:prstGeom>
                  </pic:spPr>
                </pic:pic>
              </a:graphicData>
            </a:graphic>
          </wp:inline>
        </w:drawing>
      </w:r>
    </w:p>
    <w:p w14:paraId="117E4B1D" w14:textId="582A64B2" w:rsidR="0097393F" w:rsidRPr="000020F0" w:rsidRDefault="0097393F" w:rsidP="00B31475">
      <w:pPr>
        <w:spacing w:after="200" w:line="276" w:lineRule="auto"/>
        <w:jc w:val="both"/>
        <w:rPr>
          <w:rFonts w:asciiTheme="majorHAnsi" w:eastAsia="Arial" w:hAnsiTheme="majorHAnsi" w:cstheme="majorHAnsi"/>
          <w:b/>
          <w:sz w:val="22"/>
          <w:szCs w:val="22"/>
        </w:rPr>
      </w:pPr>
      <w:bookmarkStart w:id="258" w:name="_Toc131231626"/>
    </w:p>
    <w:bookmarkEnd w:id="258"/>
    <w:p w14:paraId="7870AD8A" w14:textId="2448F3CD" w:rsidR="00715B9C" w:rsidRPr="000020F0" w:rsidRDefault="00715B9C">
      <w:pPr>
        <w:spacing w:after="200" w:line="276" w:lineRule="auto"/>
        <w:rPr>
          <w:rFonts w:asciiTheme="majorHAnsi" w:eastAsiaTheme="majorEastAsia" w:hAnsiTheme="majorHAnsi" w:cstheme="majorHAnsi"/>
          <w:b/>
          <w:bCs/>
          <w:color w:val="365F91" w:themeColor="accent1" w:themeShade="BF"/>
          <w:sz w:val="28"/>
          <w:szCs w:val="28"/>
        </w:rPr>
      </w:pPr>
    </w:p>
    <w:p w14:paraId="72CC4A47" w14:textId="77777777" w:rsidR="009D33F8" w:rsidRPr="000020F0" w:rsidRDefault="009D33F8">
      <w:pPr>
        <w:spacing w:after="200" w:line="276" w:lineRule="auto"/>
        <w:rPr>
          <w:rFonts w:asciiTheme="majorHAnsi" w:eastAsiaTheme="majorEastAsia" w:hAnsiTheme="majorHAnsi" w:cstheme="majorHAnsi"/>
          <w:b/>
          <w:bCs/>
          <w:color w:val="365F91" w:themeColor="accent1" w:themeShade="BF"/>
          <w:sz w:val="28"/>
          <w:szCs w:val="28"/>
        </w:rPr>
      </w:pPr>
      <w:r w:rsidRPr="000020F0">
        <w:rPr>
          <w:rFonts w:cstheme="majorHAnsi"/>
        </w:rPr>
        <w:br w:type="page"/>
      </w:r>
    </w:p>
    <w:p w14:paraId="35144997" w14:textId="415847EE" w:rsidR="00D1347D" w:rsidRPr="000020F0" w:rsidRDefault="00D1347D" w:rsidP="00BD1D20">
      <w:pPr>
        <w:pStyle w:val="Naslov1"/>
        <w:numPr>
          <w:ilvl w:val="0"/>
          <w:numId w:val="3"/>
        </w:numPr>
        <w:rPr>
          <w:rFonts w:cstheme="majorHAnsi"/>
        </w:rPr>
      </w:pPr>
      <w:bookmarkStart w:id="259" w:name="_Toc230882228"/>
      <w:r w:rsidRPr="000020F0">
        <w:rPr>
          <w:rFonts w:cstheme="majorHAnsi"/>
        </w:rPr>
        <w:lastRenderedPageBreak/>
        <w:t>ANALIZA ZAPOSLENIH</w:t>
      </w:r>
      <w:bookmarkEnd w:id="259"/>
      <w:r w:rsidRPr="000020F0">
        <w:rPr>
          <w:rFonts w:cstheme="majorHAnsi"/>
        </w:rPr>
        <w:t xml:space="preserve"> </w:t>
      </w:r>
    </w:p>
    <w:p w14:paraId="6657E638" w14:textId="77777777" w:rsidR="00D1347D" w:rsidRPr="000020F0" w:rsidRDefault="00D1347D" w:rsidP="00BD1D20">
      <w:pPr>
        <w:spacing w:after="120" w:line="276" w:lineRule="auto"/>
        <w:jc w:val="both"/>
        <w:rPr>
          <w:rFonts w:asciiTheme="majorHAnsi" w:hAnsiTheme="majorHAnsi" w:cstheme="majorHAnsi"/>
        </w:rPr>
      </w:pPr>
    </w:p>
    <w:p w14:paraId="3F32C042" w14:textId="7D3CB6F0" w:rsidR="00A223F5" w:rsidRPr="000020F0" w:rsidRDefault="00A223F5" w:rsidP="00A223F5">
      <w:pPr>
        <w:spacing w:line="276" w:lineRule="auto"/>
        <w:jc w:val="both"/>
        <w:rPr>
          <w:rFonts w:ascii="Arial" w:eastAsia="Arial" w:hAnsi="Arial" w:cs="Arial"/>
          <w:sz w:val="22"/>
          <w:szCs w:val="22"/>
        </w:rPr>
      </w:pPr>
      <w:r w:rsidRPr="000020F0">
        <w:rPr>
          <w:rFonts w:ascii="Arial" w:eastAsia="Arial" w:hAnsi="Arial" w:cs="Arial"/>
          <w:sz w:val="22"/>
          <w:szCs w:val="22"/>
        </w:rPr>
        <w:t>Analiza vpliva na zaposlenost kaže, da projekt neposredno ne bo ustvarjal novih delovnih mest v občinski upravi ali javnih službah. Občina zaradi izvedbe investicije ne načrtuje dodatnih zaposlitev.</w:t>
      </w:r>
    </w:p>
    <w:p w14:paraId="19067640" w14:textId="77777777" w:rsidR="00A223F5" w:rsidRPr="000020F0" w:rsidRDefault="00A223F5" w:rsidP="00A223F5">
      <w:pPr>
        <w:spacing w:line="276" w:lineRule="auto"/>
        <w:jc w:val="both"/>
        <w:rPr>
          <w:rFonts w:ascii="Arial" w:eastAsia="Arial" w:hAnsi="Arial" w:cs="Arial"/>
          <w:sz w:val="22"/>
          <w:szCs w:val="22"/>
        </w:rPr>
      </w:pPr>
    </w:p>
    <w:p w14:paraId="27F339A9" w14:textId="77777777" w:rsidR="00A223F5" w:rsidRPr="000020F0" w:rsidRDefault="00A223F5" w:rsidP="00A223F5">
      <w:pPr>
        <w:spacing w:line="276" w:lineRule="auto"/>
        <w:jc w:val="both"/>
        <w:rPr>
          <w:rFonts w:ascii="Arial" w:eastAsia="Arial" w:hAnsi="Arial" w:cs="Arial"/>
          <w:sz w:val="22"/>
          <w:szCs w:val="22"/>
        </w:rPr>
      </w:pPr>
      <w:r w:rsidRPr="000020F0">
        <w:rPr>
          <w:rFonts w:ascii="Arial" w:eastAsia="Arial" w:hAnsi="Arial" w:cs="Arial"/>
          <w:sz w:val="22"/>
          <w:szCs w:val="22"/>
        </w:rPr>
        <w:t>Posredni vplivi na zaposlenost se lahko pokažejo v času izvajanja gradbenih del, ko bodo izvajalci za potrebe projekta vključili določeno število delavcev. Gre za začasna delovna mesta, ki bodo omejena na obdobje gradnje. Po zaključku del se nova stalna delovna mesta ne predvidevajo, razen v okviru obstoječih struktur javnih služb, ki bodo zagotavljale obratovanje in vzdrževanje infrastrukture.</w:t>
      </w:r>
    </w:p>
    <w:p w14:paraId="38F7DC04" w14:textId="77777777" w:rsidR="00A223F5" w:rsidRPr="000020F0" w:rsidRDefault="00A223F5" w:rsidP="00A223F5">
      <w:pPr>
        <w:spacing w:line="276" w:lineRule="auto"/>
        <w:jc w:val="both"/>
        <w:rPr>
          <w:rFonts w:ascii="Arial" w:eastAsia="Arial" w:hAnsi="Arial" w:cs="Arial"/>
          <w:sz w:val="22"/>
          <w:szCs w:val="22"/>
        </w:rPr>
      </w:pPr>
    </w:p>
    <w:p w14:paraId="17C05435" w14:textId="77777777" w:rsidR="00A223F5" w:rsidRPr="000020F0" w:rsidRDefault="00A223F5" w:rsidP="00A223F5">
      <w:pPr>
        <w:spacing w:line="276" w:lineRule="auto"/>
        <w:jc w:val="both"/>
        <w:rPr>
          <w:rFonts w:ascii="Arial" w:eastAsia="Arial" w:hAnsi="Arial" w:cs="Arial"/>
          <w:sz w:val="22"/>
          <w:szCs w:val="22"/>
        </w:rPr>
      </w:pPr>
      <w:r w:rsidRPr="000020F0">
        <w:rPr>
          <w:rFonts w:ascii="Arial" w:eastAsia="Arial" w:hAnsi="Arial" w:cs="Arial"/>
          <w:sz w:val="22"/>
          <w:szCs w:val="22"/>
        </w:rPr>
        <w:t>Projekt pa ima lahko dolgoročne posredne učinke na zaposlenost in ekonomsko strukturo družbe, zlasti preko izboljšane prometne dostopnosti, večje privlačnosti kraja ter povečane kakovosti bivanja, kar lahko posredno spodbuja lokalno gospodarsko dejavnost in s tem ustvarja priložnosti za nova delovna mesta v zasebnem sektorju (storitve, trgovina, turizem).</w:t>
      </w:r>
    </w:p>
    <w:p w14:paraId="3FF5CF04" w14:textId="77777777" w:rsidR="00214406" w:rsidRPr="000020F0" w:rsidRDefault="00214406" w:rsidP="00BD1D20">
      <w:pPr>
        <w:spacing w:after="120" w:line="276" w:lineRule="auto"/>
        <w:rPr>
          <w:rFonts w:asciiTheme="majorHAnsi" w:hAnsiTheme="majorHAnsi" w:cstheme="majorHAnsi"/>
        </w:rPr>
      </w:pPr>
    </w:p>
    <w:p w14:paraId="1060E29D" w14:textId="77777777" w:rsidR="00214406" w:rsidRPr="000020F0" w:rsidRDefault="00214406" w:rsidP="00BD1D20">
      <w:pPr>
        <w:spacing w:after="120" w:line="276" w:lineRule="auto"/>
        <w:rPr>
          <w:rFonts w:asciiTheme="majorHAnsi" w:hAnsiTheme="majorHAnsi" w:cstheme="majorHAnsi"/>
        </w:rPr>
      </w:pPr>
    </w:p>
    <w:p w14:paraId="72FC16CE" w14:textId="5413A2FF" w:rsidR="00D1347D" w:rsidRPr="000020F0" w:rsidRDefault="00D1347D" w:rsidP="00BD1D20">
      <w:pPr>
        <w:spacing w:after="120" w:line="276" w:lineRule="auto"/>
        <w:rPr>
          <w:rFonts w:asciiTheme="majorHAnsi" w:hAnsiTheme="majorHAnsi" w:cstheme="majorHAnsi"/>
        </w:rPr>
      </w:pPr>
      <w:r w:rsidRPr="000020F0">
        <w:rPr>
          <w:rFonts w:asciiTheme="majorHAnsi" w:hAnsiTheme="majorHAnsi" w:cstheme="majorHAnsi"/>
        </w:rPr>
        <w:br w:type="page"/>
      </w:r>
    </w:p>
    <w:p w14:paraId="4C03C523" w14:textId="77777777" w:rsidR="00D1347D" w:rsidRPr="000020F0" w:rsidRDefault="00D1347D" w:rsidP="00BD1D20">
      <w:pPr>
        <w:pStyle w:val="Naslov1"/>
        <w:numPr>
          <w:ilvl w:val="0"/>
          <w:numId w:val="3"/>
        </w:numPr>
        <w:jc w:val="both"/>
        <w:rPr>
          <w:rFonts w:cstheme="majorHAnsi"/>
        </w:rPr>
      </w:pPr>
      <w:bookmarkStart w:id="260" w:name="_Toc3698272"/>
      <w:bookmarkStart w:id="261" w:name="_Ref230594263"/>
      <w:bookmarkStart w:id="262" w:name="_Toc230882229"/>
      <w:r w:rsidRPr="000020F0">
        <w:rPr>
          <w:rFonts w:cstheme="majorHAnsi"/>
        </w:rPr>
        <w:lastRenderedPageBreak/>
        <w:t>OCENA VREDNOSTI PROJEKTA PO STALNIH IN TEKOČIH CENAH</w:t>
      </w:r>
      <w:bookmarkEnd w:id="260"/>
      <w:bookmarkEnd w:id="261"/>
      <w:bookmarkEnd w:id="262"/>
    </w:p>
    <w:p w14:paraId="47AEA38F" w14:textId="77777777" w:rsidR="00D1347D" w:rsidRPr="000020F0" w:rsidRDefault="00D1347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263" w:name="_Toc3698273"/>
      <w:bookmarkStart w:id="264" w:name="_Toc230882230"/>
      <w:r w:rsidRPr="000020F0">
        <w:rPr>
          <w:rFonts w:asciiTheme="majorHAnsi" w:eastAsiaTheme="majorEastAsia" w:hAnsiTheme="majorHAnsi" w:cstheme="majorHAnsi"/>
          <w:color w:val="244061" w:themeColor="accent1" w:themeShade="80"/>
        </w:rPr>
        <w:t>Vrednost investicije po stalnih cenah</w:t>
      </w:r>
      <w:bookmarkEnd w:id="263"/>
      <w:bookmarkEnd w:id="264"/>
    </w:p>
    <w:p w14:paraId="1B7873FE" w14:textId="79EC3F92" w:rsidR="00DB2AE0" w:rsidRPr="000020F0" w:rsidRDefault="00DB2AE0" w:rsidP="00F91EE9">
      <w:pPr>
        <w:jc w:val="both"/>
        <w:rPr>
          <w:rFonts w:ascii="Arial" w:hAnsi="Arial" w:cs="Arial"/>
          <w:sz w:val="22"/>
          <w:szCs w:val="22"/>
        </w:rPr>
      </w:pPr>
      <w:r w:rsidRPr="000020F0">
        <w:rPr>
          <w:rFonts w:ascii="Arial" w:hAnsi="Arial" w:cs="Arial"/>
          <w:sz w:val="22"/>
          <w:szCs w:val="22"/>
        </w:rPr>
        <w:t xml:space="preserve">Celotna vrednost projekta je ocenjena na </w:t>
      </w:r>
      <w:r w:rsidR="00F91EE9" w:rsidRPr="000020F0">
        <w:rPr>
          <w:rFonts w:ascii="Arial" w:hAnsi="Arial" w:cs="Arial"/>
          <w:color w:val="000000"/>
          <w:sz w:val="22"/>
          <w:szCs w:val="22"/>
        </w:rPr>
        <w:t xml:space="preserve">2.736.881,76 </w:t>
      </w:r>
      <w:r w:rsidRPr="000020F0">
        <w:rPr>
          <w:rFonts w:ascii="Arial" w:hAnsi="Arial" w:cs="Arial"/>
          <w:sz w:val="22"/>
          <w:szCs w:val="22"/>
        </w:rPr>
        <w:t xml:space="preserve">EUR brez DDV oziroma </w:t>
      </w:r>
      <w:r w:rsidR="006D5F56" w:rsidRPr="000020F0">
        <w:rPr>
          <w:rFonts w:ascii="Arial" w:hAnsi="Arial" w:cs="Arial"/>
          <w:color w:val="000000"/>
          <w:sz w:val="22"/>
          <w:szCs w:val="22"/>
        </w:rPr>
        <w:t xml:space="preserve">3.277.156,77 </w:t>
      </w:r>
      <w:r w:rsidRPr="000020F0">
        <w:rPr>
          <w:rFonts w:ascii="Arial" w:hAnsi="Arial" w:cs="Arial"/>
          <w:sz w:val="22"/>
          <w:szCs w:val="22"/>
        </w:rPr>
        <w:t xml:space="preserve">EUR po stalnih cenah ter </w:t>
      </w:r>
      <w:r w:rsidR="006D5F56" w:rsidRPr="000020F0">
        <w:rPr>
          <w:rFonts w:ascii="Arial" w:hAnsi="Arial" w:cs="Arial"/>
          <w:sz w:val="22"/>
          <w:szCs w:val="22"/>
        </w:rPr>
        <w:t xml:space="preserve">2.826.142,46 </w:t>
      </w:r>
      <w:r w:rsidRPr="000020F0">
        <w:rPr>
          <w:rFonts w:ascii="Arial" w:hAnsi="Arial" w:cs="Arial"/>
          <w:sz w:val="22"/>
          <w:szCs w:val="22"/>
        </w:rPr>
        <w:t xml:space="preserve">EUR brez DDV oziroma </w:t>
      </w:r>
      <w:r w:rsidR="006D5F56" w:rsidRPr="000020F0">
        <w:rPr>
          <w:rFonts w:ascii="Arial" w:hAnsi="Arial" w:cs="Arial"/>
          <w:sz w:val="22"/>
          <w:szCs w:val="22"/>
        </w:rPr>
        <w:t>3.386.054,8</w:t>
      </w:r>
      <w:r w:rsidR="00823B2B" w:rsidRPr="000020F0">
        <w:rPr>
          <w:rFonts w:ascii="Arial" w:hAnsi="Arial" w:cs="Arial"/>
          <w:sz w:val="22"/>
          <w:szCs w:val="22"/>
        </w:rPr>
        <w:t>3</w:t>
      </w:r>
      <w:r w:rsidR="006D5F56" w:rsidRPr="000020F0">
        <w:rPr>
          <w:rFonts w:ascii="Arial" w:hAnsi="Arial" w:cs="Arial"/>
          <w:sz w:val="22"/>
          <w:szCs w:val="22"/>
        </w:rPr>
        <w:t xml:space="preserve"> </w:t>
      </w:r>
      <w:r w:rsidRPr="000020F0">
        <w:rPr>
          <w:rFonts w:ascii="Arial" w:hAnsi="Arial" w:cs="Arial"/>
          <w:sz w:val="22"/>
          <w:szCs w:val="22"/>
        </w:rPr>
        <w:t>EUR z DDV v tekočih cenah.</w:t>
      </w:r>
    </w:p>
    <w:p w14:paraId="5787DA53" w14:textId="77777777" w:rsidR="006D5F56" w:rsidRPr="000020F0" w:rsidRDefault="006D5F56" w:rsidP="00F91EE9">
      <w:pPr>
        <w:jc w:val="both"/>
        <w:rPr>
          <w:rFonts w:ascii="Arial" w:hAnsi="Arial" w:cs="Arial"/>
          <w:b/>
          <w:bCs/>
          <w:color w:val="000000"/>
          <w:sz w:val="22"/>
          <w:szCs w:val="22"/>
        </w:rPr>
      </w:pPr>
    </w:p>
    <w:p w14:paraId="23E7FEE0" w14:textId="3ACF5AF2" w:rsidR="007B5687" w:rsidRPr="000020F0" w:rsidRDefault="00C1622D"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Investicija v vrednosti </w:t>
      </w:r>
      <w:r w:rsidR="00C635AC" w:rsidRPr="000020F0">
        <w:rPr>
          <w:rFonts w:asciiTheme="majorHAnsi" w:hAnsiTheme="majorHAnsi" w:cstheme="majorHAnsi"/>
          <w:sz w:val="22"/>
          <w:szCs w:val="22"/>
        </w:rPr>
        <w:t>344.721,95</w:t>
      </w:r>
      <w:r w:rsidR="00DB2AE0" w:rsidRPr="000020F0">
        <w:rPr>
          <w:rFonts w:asciiTheme="majorHAnsi" w:hAnsiTheme="majorHAnsi" w:cstheme="majorHAnsi"/>
          <w:sz w:val="22"/>
          <w:szCs w:val="22"/>
        </w:rPr>
        <w:t xml:space="preserve"> </w:t>
      </w:r>
      <w:r w:rsidRPr="000020F0">
        <w:rPr>
          <w:rFonts w:asciiTheme="majorHAnsi" w:hAnsiTheme="majorHAnsi" w:cstheme="majorHAnsi"/>
          <w:sz w:val="22"/>
          <w:szCs w:val="22"/>
        </w:rPr>
        <w:t xml:space="preserve">EUR brez DDV </w:t>
      </w:r>
      <w:r w:rsidR="00600DB6" w:rsidRPr="000020F0">
        <w:rPr>
          <w:rFonts w:asciiTheme="majorHAnsi" w:hAnsiTheme="majorHAnsi" w:cstheme="majorHAnsi"/>
          <w:sz w:val="22"/>
          <w:szCs w:val="22"/>
        </w:rPr>
        <w:t xml:space="preserve">oziroma </w:t>
      </w:r>
      <w:r w:rsidR="00CF690E" w:rsidRPr="000020F0">
        <w:rPr>
          <w:rFonts w:asciiTheme="majorHAnsi" w:hAnsiTheme="majorHAnsi" w:cstheme="majorHAnsi"/>
          <w:sz w:val="22"/>
          <w:szCs w:val="22"/>
        </w:rPr>
        <w:t>420.560,78</w:t>
      </w:r>
      <w:r w:rsidR="00600DB6" w:rsidRPr="000020F0">
        <w:rPr>
          <w:rFonts w:asciiTheme="majorHAnsi" w:hAnsiTheme="majorHAnsi" w:cstheme="majorHAnsi"/>
          <w:sz w:val="22"/>
          <w:szCs w:val="22"/>
        </w:rPr>
        <w:t xml:space="preserve"> EUR</w:t>
      </w:r>
      <w:r w:rsidR="00DB2AE0" w:rsidRPr="000020F0">
        <w:rPr>
          <w:rFonts w:asciiTheme="majorHAnsi" w:hAnsiTheme="majorHAnsi" w:cstheme="majorHAnsi"/>
          <w:sz w:val="22"/>
          <w:szCs w:val="22"/>
        </w:rPr>
        <w:t xml:space="preserve"> z DDV</w:t>
      </w:r>
      <w:r w:rsidR="00600DB6" w:rsidRPr="000020F0">
        <w:rPr>
          <w:rFonts w:asciiTheme="majorHAnsi" w:hAnsiTheme="majorHAnsi" w:cstheme="majorHAnsi"/>
          <w:sz w:val="22"/>
          <w:szCs w:val="22"/>
        </w:rPr>
        <w:t xml:space="preserve"> </w:t>
      </w:r>
      <w:r w:rsidRPr="000020F0">
        <w:rPr>
          <w:rFonts w:asciiTheme="majorHAnsi" w:hAnsiTheme="majorHAnsi" w:cstheme="majorHAnsi"/>
          <w:sz w:val="22"/>
          <w:szCs w:val="22"/>
        </w:rPr>
        <w:t>v stal</w:t>
      </w:r>
      <w:r w:rsidR="00600DB6" w:rsidRPr="000020F0">
        <w:rPr>
          <w:rFonts w:asciiTheme="majorHAnsi" w:hAnsiTheme="majorHAnsi" w:cstheme="majorHAnsi"/>
          <w:sz w:val="22"/>
          <w:szCs w:val="22"/>
        </w:rPr>
        <w:t xml:space="preserve">nih cenah predstavlja komunalno opremljanje, kjer gre za povračljiv davek na dodano vrednost v višini </w:t>
      </w:r>
      <w:r w:rsidR="00CF690E" w:rsidRPr="000020F0">
        <w:rPr>
          <w:rFonts w:asciiTheme="majorHAnsi" w:hAnsiTheme="majorHAnsi" w:cstheme="majorHAnsi"/>
          <w:sz w:val="22"/>
          <w:szCs w:val="22"/>
        </w:rPr>
        <w:t>21.362,57</w:t>
      </w:r>
      <w:r w:rsidR="00240C29" w:rsidRPr="000020F0">
        <w:rPr>
          <w:rFonts w:asciiTheme="majorHAnsi" w:hAnsiTheme="majorHAnsi" w:cstheme="majorHAnsi"/>
          <w:sz w:val="22"/>
          <w:szCs w:val="22"/>
        </w:rPr>
        <w:t xml:space="preserve"> EUR.</w:t>
      </w:r>
    </w:p>
    <w:p w14:paraId="2775F73F" w14:textId="77777777" w:rsidR="00354FAC" w:rsidRPr="000020F0" w:rsidRDefault="00354FAC" w:rsidP="00BD1D20">
      <w:pPr>
        <w:spacing w:line="276" w:lineRule="auto"/>
        <w:rPr>
          <w:rFonts w:asciiTheme="majorHAnsi" w:eastAsia="Arial" w:hAnsiTheme="majorHAnsi" w:cstheme="majorHAnsi"/>
          <w:sz w:val="22"/>
          <w:szCs w:val="22"/>
        </w:rPr>
      </w:pPr>
      <w:r w:rsidRPr="000020F0">
        <w:rPr>
          <w:rFonts w:asciiTheme="majorHAnsi" w:eastAsia="Arial" w:hAnsiTheme="majorHAnsi" w:cstheme="majorHAnsi"/>
          <w:b/>
          <w:sz w:val="22"/>
          <w:szCs w:val="22"/>
        </w:rPr>
        <w:t>Ocena vrednosti</w:t>
      </w:r>
      <w:r w:rsidRPr="000020F0">
        <w:rPr>
          <w:rFonts w:asciiTheme="majorHAnsi" w:eastAsia="Arial" w:hAnsiTheme="majorHAnsi" w:cstheme="majorHAnsi"/>
          <w:sz w:val="22"/>
          <w:szCs w:val="22"/>
        </w:rPr>
        <w:t xml:space="preserve"> investicijskega projekta temelji na sledečih predpostavkah:</w:t>
      </w:r>
    </w:p>
    <w:p w14:paraId="739AE44E" w14:textId="1B58BE62" w:rsidR="00354FAC" w:rsidRPr="000020F0" w:rsidRDefault="00713679" w:rsidP="00BD1D20">
      <w:pPr>
        <w:numPr>
          <w:ilvl w:val="0"/>
          <w:numId w:val="85"/>
        </w:numPr>
        <w:spacing w:after="120" w:line="276" w:lineRule="auto"/>
        <w:contextualSpacing/>
        <w:jc w:val="both"/>
        <w:rPr>
          <w:rFonts w:ascii="Arial" w:eastAsia="Arial" w:hAnsi="Arial" w:cs="Arial"/>
          <w:bCs/>
          <w:sz w:val="22"/>
          <w:szCs w:val="22"/>
        </w:rPr>
      </w:pPr>
      <w:r w:rsidRPr="000020F0">
        <w:rPr>
          <w:rFonts w:ascii="Arial" w:eastAsia="Arial" w:hAnsi="Arial" w:cs="Arial"/>
          <w:bCs/>
          <w:sz w:val="22"/>
          <w:szCs w:val="22"/>
          <w:lang w:eastAsia="en-US"/>
        </w:rPr>
        <w:t xml:space="preserve">Stroški </w:t>
      </w:r>
      <w:r w:rsidR="00FF6AF0" w:rsidRPr="000020F0">
        <w:rPr>
          <w:rFonts w:ascii="Arial" w:eastAsia="Arial" w:hAnsi="Arial" w:cs="Arial"/>
          <w:bCs/>
          <w:sz w:val="22"/>
          <w:szCs w:val="22"/>
        </w:rPr>
        <w:t>gradbeno obrtniških in inš</w:t>
      </w:r>
      <w:r w:rsidR="00354FAC" w:rsidRPr="000020F0">
        <w:rPr>
          <w:rFonts w:ascii="Arial" w:eastAsia="Arial" w:hAnsi="Arial" w:cs="Arial"/>
          <w:bCs/>
          <w:sz w:val="22"/>
          <w:szCs w:val="22"/>
        </w:rPr>
        <w:t>talacijskih del so dobljeni na podlagi okvirne projektantske ocene ter analize primerljivih projektov</w:t>
      </w:r>
      <w:r w:rsidRPr="000020F0">
        <w:rPr>
          <w:rFonts w:ascii="Arial" w:eastAsia="Arial" w:hAnsi="Arial" w:cs="Arial"/>
          <w:bCs/>
          <w:sz w:val="22"/>
          <w:szCs w:val="22"/>
        </w:rPr>
        <w:t>.</w:t>
      </w:r>
    </w:p>
    <w:p w14:paraId="18357BED" w14:textId="0A4145B2" w:rsidR="00354FAC" w:rsidRPr="000020F0" w:rsidRDefault="00713679" w:rsidP="00BD1D20">
      <w:pPr>
        <w:numPr>
          <w:ilvl w:val="0"/>
          <w:numId w:val="85"/>
        </w:numPr>
        <w:spacing w:after="120" w:line="276" w:lineRule="auto"/>
        <w:contextualSpacing/>
        <w:jc w:val="both"/>
        <w:rPr>
          <w:rFonts w:ascii="Arial" w:eastAsia="Arial" w:hAnsi="Arial" w:cs="Arial"/>
          <w:bCs/>
          <w:sz w:val="22"/>
          <w:szCs w:val="22"/>
        </w:rPr>
      </w:pPr>
      <w:r w:rsidRPr="000020F0">
        <w:rPr>
          <w:rFonts w:ascii="Arial" w:eastAsia="Arial" w:hAnsi="Arial" w:cs="Arial"/>
          <w:bCs/>
          <w:sz w:val="22"/>
          <w:szCs w:val="22"/>
        </w:rPr>
        <w:t xml:space="preserve">Stroški </w:t>
      </w:r>
      <w:r w:rsidR="00354FAC" w:rsidRPr="000020F0">
        <w:rPr>
          <w:rFonts w:ascii="Arial" w:eastAsia="Arial" w:hAnsi="Arial" w:cs="Arial"/>
          <w:bCs/>
          <w:sz w:val="22"/>
          <w:szCs w:val="22"/>
        </w:rPr>
        <w:t>nabave, dobave in montaže opreme so dobljeni na podlagi okvirne projektantske ocene</w:t>
      </w:r>
      <w:r w:rsidRPr="000020F0">
        <w:rPr>
          <w:rFonts w:ascii="Arial" w:eastAsia="Arial" w:hAnsi="Arial" w:cs="Arial"/>
          <w:bCs/>
          <w:sz w:val="22"/>
          <w:szCs w:val="22"/>
        </w:rPr>
        <w:t>.</w:t>
      </w:r>
    </w:p>
    <w:p w14:paraId="56DFE2AD" w14:textId="1C14B957" w:rsidR="00354FAC" w:rsidRPr="000020F0" w:rsidRDefault="00713679" w:rsidP="00BD1D20">
      <w:pPr>
        <w:numPr>
          <w:ilvl w:val="0"/>
          <w:numId w:val="85"/>
        </w:numPr>
        <w:spacing w:after="120" w:line="276" w:lineRule="auto"/>
        <w:contextualSpacing/>
        <w:jc w:val="both"/>
        <w:rPr>
          <w:rFonts w:ascii="Arial" w:eastAsia="Arial" w:hAnsi="Arial" w:cs="Arial"/>
          <w:bCs/>
          <w:sz w:val="22"/>
          <w:szCs w:val="22"/>
        </w:rPr>
      </w:pPr>
      <w:bookmarkStart w:id="265" w:name="_heading=h.4iylrwe" w:colFirst="0" w:colLast="0"/>
      <w:bookmarkEnd w:id="265"/>
      <w:r w:rsidRPr="000020F0">
        <w:rPr>
          <w:rFonts w:ascii="Arial" w:eastAsia="Arial" w:hAnsi="Arial" w:cs="Arial"/>
          <w:bCs/>
          <w:sz w:val="22"/>
          <w:szCs w:val="22"/>
        </w:rPr>
        <w:t xml:space="preserve">Stroški </w:t>
      </w:r>
      <w:r w:rsidR="00354FAC" w:rsidRPr="000020F0">
        <w:rPr>
          <w:rFonts w:ascii="Arial" w:eastAsia="Arial" w:hAnsi="Arial" w:cs="Arial"/>
          <w:bCs/>
          <w:sz w:val="22"/>
          <w:szCs w:val="22"/>
        </w:rPr>
        <w:t>strokovnega nadzora gradnje so ocenjeni izkustveno</w:t>
      </w:r>
      <w:r w:rsidRPr="000020F0">
        <w:rPr>
          <w:rFonts w:ascii="Arial" w:eastAsia="Arial" w:hAnsi="Arial" w:cs="Arial"/>
          <w:bCs/>
          <w:sz w:val="22"/>
          <w:szCs w:val="22"/>
        </w:rPr>
        <w:t>.</w:t>
      </w:r>
    </w:p>
    <w:p w14:paraId="6607EDCC" w14:textId="2BF8B450" w:rsidR="00354FAC" w:rsidRPr="000020F0" w:rsidRDefault="0044190F" w:rsidP="00200F02">
      <w:pPr>
        <w:numPr>
          <w:ilvl w:val="0"/>
          <w:numId w:val="85"/>
        </w:numPr>
        <w:spacing w:after="120" w:line="276" w:lineRule="auto"/>
        <w:contextualSpacing/>
        <w:rPr>
          <w:rFonts w:ascii="Arial" w:eastAsia="Arial" w:hAnsi="Arial" w:cs="Arial"/>
          <w:bCs/>
          <w:sz w:val="22"/>
          <w:szCs w:val="22"/>
        </w:rPr>
      </w:pPr>
      <w:r w:rsidRPr="000020F0">
        <w:rPr>
          <w:rFonts w:ascii="Arial" w:eastAsia="Arial" w:hAnsi="Arial" w:cs="Arial"/>
          <w:bCs/>
          <w:sz w:val="22"/>
          <w:szCs w:val="22"/>
        </w:rPr>
        <w:t>V</w:t>
      </w:r>
      <w:r w:rsidR="00354FAC" w:rsidRPr="000020F0">
        <w:rPr>
          <w:rFonts w:ascii="Arial" w:eastAsia="Arial" w:hAnsi="Arial" w:cs="Arial"/>
          <w:bCs/>
          <w:sz w:val="22"/>
          <w:szCs w:val="22"/>
        </w:rPr>
        <w:t xml:space="preserve"> izračunu je upoštevan in posebej prikazan 22,0% DDV za vsa ostala dela v okviru</w:t>
      </w:r>
      <w:r w:rsidR="00200F02" w:rsidRPr="000020F0">
        <w:rPr>
          <w:rFonts w:ascii="Arial" w:eastAsia="Arial" w:hAnsi="Arial" w:cs="Arial"/>
          <w:bCs/>
          <w:sz w:val="22"/>
          <w:szCs w:val="22"/>
        </w:rPr>
        <w:t>.</w:t>
      </w:r>
      <w:r w:rsidR="00354FAC" w:rsidRPr="000020F0">
        <w:rPr>
          <w:rFonts w:ascii="Arial" w:eastAsia="Arial" w:hAnsi="Arial" w:cs="Arial"/>
          <w:bCs/>
          <w:sz w:val="22"/>
          <w:szCs w:val="22"/>
        </w:rPr>
        <w:t xml:space="preserve"> projekta, ki so predmet obdavčitve v skladu z Zakonom o davku na dodano vrednost (ZDDV-1)(Uradni</w:t>
      </w:r>
      <w:r w:rsidR="00200F02" w:rsidRPr="000020F0">
        <w:rPr>
          <w:rFonts w:ascii="Arial" w:eastAsia="Arial" w:hAnsi="Arial" w:cs="Arial"/>
          <w:bCs/>
          <w:sz w:val="22"/>
          <w:szCs w:val="22"/>
        </w:rPr>
        <w:t xml:space="preserve"> </w:t>
      </w:r>
      <w:r w:rsidR="00354FAC" w:rsidRPr="000020F0">
        <w:rPr>
          <w:rFonts w:ascii="Arial" w:eastAsia="Arial" w:hAnsi="Arial" w:cs="Arial"/>
          <w:bCs/>
          <w:sz w:val="22"/>
          <w:szCs w:val="22"/>
        </w:rPr>
        <w:t>list RS, št.</w:t>
      </w:r>
      <w:r w:rsidR="00C04977" w:rsidRPr="000020F0">
        <w:rPr>
          <w:rFonts w:ascii="Arial" w:eastAsia="Arial" w:hAnsi="Arial" w:cs="Arial"/>
          <w:bCs/>
          <w:sz w:val="22"/>
          <w:szCs w:val="22"/>
        </w:rPr>
        <w:t xml:space="preserve"> </w:t>
      </w:r>
      <w:hyperlink r:id="rId69" w:history="1">
        <w:r w:rsidR="00C04977" w:rsidRPr="000020F0">
          <w:rPr>
            <w:rFonts w:ascii="Arial" w:hAnsi="Arial" w:cs="Arial"/>
            <w:sz w:val="22"/>
            <w:szCs w:val="22"/>
          </w:rPr>
          <w:t>13/11</w:t>
        </w:r>
      </w:hyperlink>
      <w:r w:rsidR="00C04977" w:rsidRPr="000020F0">
        <w:rPr>
          <w:rFonts w:ascii="Arial" w:eastAsia="Arial" w:hAnsi="Arial" w:cs="Arial"/>
          <w:bCs/>
          <w:sz w:val="22"/>
          <w:szCs w:val="22"/>
        </w:rPr>
        <w:t> – uradno prečiščeno</w:t>
      </w:r>
      <w:r w:rsidR="00200F02" w:rsidRPr="000020F0">
        <w:rPr>
          <w:rFonts w:ascii="Arial" w:eastAsia="Arial" w:hAnsi="Arial" w:cs="Arial"/>
          <w:bCs/>
          <w:sz w:val="22"/>
          <w:szCs w:val="22"/>
        </w:rPr>
        <w:t xml:space="preserve"> </w:t>
      </w:r>
      <w:r w:rsidR="00C04977" w:rsidRPr="000020F0">
        <w:rPr>
          <w:rFonts w:ascii="Arial" w:eastAsia="Arial" w:hAnsi="Arial" w:cs="Arial"/>
          <w:bCs/>
          <w:sz w:val="22"/>
          <w:szCs w:val="22"/>
        </w:rPr>
        <w:t>besedilo, </w:t>
      </w:r>
      <w:hyperlink r:id="rId70" w:history="1">
        <w:r w:rsidR="00C04977" w:rsidRPr="000020F0">
          <w:rPr>
            <w:rFonts w:ascii="Arial" w:hAnsi="Arial" w:cs="Arial"/>
            <w:sz w:val="22"/>
            <w:szCs w:val="22"/>
          </w:rPr>
          <w:t>18/11</w:t>
        </w:r>
      </w:hyperlink>
      <w:r w:rsidR="00C04977" w:rsidRPr="000020F0">
        <w:rPr>
          <w:rFonts w:ascii="Arial" w:eastAsia="Arial" w:hAnsi="Arial" w:cs="Arial"/>
          <w:bCs/>
          <w:sz w:val="22"/>
          <w:szCs w:val="22"/>
        </w:rPr>
        <w:t>, </w:t>
      </w:r>
      <w:hyperlink r:id="rId71" w:history="1">
        <w:r w:rsidR="00C04977" w:rsidRPr="000020F0">
          <w:rPr>
            <w:rFonts w:ascii="Arial" w:hAnsi="Arial" w:cs="Arial"/>
            <w:sz w:val="22"/>
            <w:szCs w:val="22"/>
          </w:rPr>
          <w:t>78/11</w:t>
        </w:r>
      </w:hyperlink>
      <w:r w:rsidR="00C04977" w:rsidRPr="000020F0">
        <w:rPr>
          <w:rFonts w:ascii="Arial" w:eastAsia="Arial" w:hAnsi="Arial" w:cs="Arial"/>
          <w:bCs/>
          <w:sz w:val="22"/>
          <w:szCs w:val="22"/>
        </w:rPr>
        <w:t>, </w:t>
      </w:r>
      <w:hyperlink r:id="rId72" w:history="1">
        <w:r w:rsidR="00C04977" w:rsidRPr="000020F0">
          <w:rPr>
            <w:rFonts w:ascii="Arial" w:hAnsi="Arial" w:cs="Arial"/>
            <w:sz w:val="22"/>
            <w:szCs w:val="22"/>
          </w:rPr>
          <w:t>38/12</w:t>
        </w:r>
      </w:hyperlink>
      <w:r w:rsidR="00C04977" w:rsidRPr="000020F0">
        <w:rPr>
          <w:rFonts w:ascii="Arial" w:eastAsia="Arial" w:hAnsi="Arial" w:cs="Arial"/>
          <w:bCs/>
          <w:sz w:val="22"/>
          <w:szCs w:val="22"/>
        </w:rPr>
        <w:t>, </w:t>
      </w:r>
      <w:hyperlink r:id="rId73" w:history="1">
        <w:r w:rsidR="00C04977" w:rsidRPr="000020F0">
          <w:rPr>
            <w:rFonts w:ascii="Arial" w:hAnsi="Arial" w:cs="Arial"/>
            <w:sz w:val="22"/>
            <w:szCs w:val="22"/>
          </w:rPr>
          <w:t>83/12</w:t>
        </w:r>
      </w:hyperlink>
      <w:r w:rsidR="00C04977" w:rsidRPr="000020F0">
        <w:rPr>
          <w:rFonts w:ascii="Arial" w:eastAsia="Arial" w:hAnsi="Arial" w:cs="Arial"/>
          <w:bCs/>
          <w:sz w:val="22"/>
          <w:szCs w:val="22"/>
        </w:rPr>
        <w:t>, </w:t>
      </w:r>
      <w:hyperlink r:id="rId74" w:history="1">
        <w:r w:rsidR="00C04977" w:rsidRPr="000020F0">
          <w:rPr>
            <w:rFonts w:ascii="Arial" w:hAnsi="Arial" w:cs="Arial"/>
            <w:sz w:val="22"/>
            <w:szCs w:val="22"/>
          </w:rPr>
          <w:t>86/14</w:t>
        </w:r>
      </w:hyperlink>
      <w:r w:rsidR="00C04977" w:rsidRPr="000020F0">
        <w:rPr>
          <w:rFonts w:ascii="Arial" w:eastAsia="Arial" w:hAnsi="Arial" w:cs="Arial"/>
          <w:bCs/>
          <w:sz w:val="22"/>
          <w:szCs w:val="22"/>
        </w:rPr>
        <w:t>, </w:t>
      </w:r>
      <w:hyperlink r:id="rId75" w:history="1">
        <w:r w:rsidR="00C04977" w:rsidRPr="000020F0">
          <w:rPr>
            <w:rFonts w:ascii="Arial" w:hAnsi="Arial" w:cs="Arial"/>
            <w:sz w:val="22"/>
            <w:szCs w:val="22"/>
          </w:rPr>
          <w:t>90/15</w:t>
        </w:r>
      </w:hyperlink>
      <w:r w:rsidR="00C04977" w:rsidRPr="000020F0">
        <w:rPr>
          <w:rFonts w:ascii="Arial" w:eastAsia="Arial" w:hAnsi="Arial" w:cs="Arial"/>
          <w:bCs/>
          <w:sz w:val="22"/>
          <w:szCs w:val="22"/>
        </w:rPr>
        <w:t>, </w:t>
      </w:r>
      <w:hyperlink r:id="rId76" w:history="1">
        <w:r w:rsidR="00C04977" w:rsidRPr="000020F0">
          <w:rPr>
            <w:rFonts w:ascii="Arial" w:hAnsi="Arial" w:cs="Arial"/>
            <w:sz w:val="22"/>
            <w:szCs w:val="22"/>
          </w:rPr>
          <w:t>77/18</w:t>
        </w:r>
      </w:hyperlink>
      <w:r w:rsidR="00C04977" w:rsidRPr="000020F0">
        <w:rPr>
          <w:rFonts w:ascii="Arial" w:eastAsia="Arial" w:hAnsi="Arial" w:cs="Arial"/>
          <w:bCs/>
          <w:sz w:val="22"/>
          <w:szCs w:val="22"/>
        </w:rPr>
        <w:t>, </w:t>
      </w:r>
      <w:hyperlink r:id="rId77" w:history="1">
        <w:r w:rsidR="00C04977" w:rsidRPr="000020F0">
          <w:rPr>
            <w:rFonts w:ascii="Arial" w:hAnsi="Arial" w:cs="Arial"/>
            <w:sz w:val="22"/>
            <w:szCs w:val="22"/>
          </w:rPr>
          <w:t>59/19</w:t>
        </w:r>
      </w:hyperlink>
      <w:r w:rsidR="00C04977" w:rsidRPr="000020F0">
        <w:rPr>
          <w:rFonts w:ascii="Arial" w:eastAsia="Arial" w:hAnsi="Arial" w:cs="Arial"/>
          <w:bCs/>
          <w:sz w:val="22"/>
          <w:szCs w:val="22"/>
        </w:rPr>
        <w:t>, </w:t>
      </w:r>
      <w:hyperlink r:id="rId78" w:history="1">
        <w:r w:rsidR="00C04977" w:rsidRPr="000020F0">
          <w:rPr>
            <w:rFonts w:ascii="Arial" w:hAnsi="Arial" w:cs="Arial"/>
            <w:sz w:val="22"/>
            <w:szCs w:val="22"/>
          </w:rPr>
          <w:t>72/19</w:t>
        </w:r>
      </w:hyperlink>
      <w:r w:rsidR="00C04977" w:rsidRPr="000020F0">
        <w:rPr>
          <w:rFonts w:ascii="Arial" w:eastAsia="Arial" w:hAnsi="Arial" w:cs="Arial"/>
          <w:bCs/>
          <w:sz w:val="22"/>
          <w:szCs w:val="22"/>
        </w:rPr>
        <w:t>, </w:t>
      </w:r>
      <w:hyperlink r:id="rId79" w:history="1">
        <w:r w:rsidR="00C04977" w:rsidRPr="000020F0">
          <w:rPr>
            <w:rFonts w:ascii="Arial" w:hAnsi="Arial" w:cs="Arial"/>
            <w:sz w:val="22"/>
            <w:szCs w:val="22"/>
          </w:rPr>
          <w:t>196/21</w:t>
        </w:r>
      </w:hyperlink>
      <w:r w:rsidR="00C04977" w:rsidRPr="000020F0">
        <w:rPr>
          <w:rFonts w:ascii="Arial" w:eastAsia="Arial" w:hAnsi="Arial" w:cs="Arial"/>
          <w:bCs/>
          <w:sz w:val="22"/>
          <w:szCs w:val="22"/>
        </w:rPr>
        <w:t xml:space="preserve"> – </w:t>
      </w:r>
      <w:proofErr w:type="spellStart"/>
      <w:r w:rsidR="00C04977" w:rsidRPr="000020F0">
        <w:rPr>
          <w:rFonts w:ascii="Arial" w:eastAsia="Arial" w:hAnsi="Arial" w:cs="Arial"/>
          <w:bCs/>
          <w:sz w:val="22"/>
          <w:szCs w:val="22"/>
        </w:rPr>
        <w:t>ZDOsk</w:t>
      </w:r>
      <w:proofErr w:type="spellEnd"/>
      <w:r w:rsidR="00C04977" w:rsidRPr="000020F0">
        <w:rPr>
          <w:rFonts w:ascii="Arial" w:eastAsia="Arial" w:hAnsi="Arial" w:cs="Arial"/>
          <w:bCs/>
          <w:sz w:val="22"/>
          <w:szCs w:val="22"/>
        </w:rPr>
        <w:t>, </w:t>
      </w:r>
      <w:hyperlink r:id="rId80" w:history="1">
        <w:r w:rsidR="00C04977" w:rsidRPr="000020F0">
          <w:rPr>
            <w:rFonts w:ascii="Arial" w:hAnsi="Arial" w:cs="Arial"/>
            <w:sz w:val="22"/>
            <w:szCs w:val="22"/>
          </w:rPr>
          <w:t>3/22</w:t>
        </w:r>
      </w:hyperlink>
      <w:r w:rsidR="00C04977" w:rsidRPr="000020F0">
        <w:rPr>
          <w:rFonts w:ascii="Arial" w:eastAsia="Arial" w:hAnsi="Arial" w:cs="Arial"/>
          <w:bCs/>
          <w:sz w:val="22"/>
          <w:szCs w:val="22"/>
        </w:rPr>
        <w:t>, </w:t>
      </w:r>
      <w:hyperlink r:id="rId81" w:history="1">
        <w:r w:rsidR="00C04977" w:rsidRPr="000020F0">
          <w:rPr>
            <w:rFonts w:ascii="Arial" w:hAnsi="Arial" w:cs="Arial"/>
            <w:sz w:val="22"/>
            <w:szCs w:val="22"/>
          </w:rPr>
          <w:t>29/22</w:t>
        </w:r>
      </w:hyperlink>
      <w:r w:rsidR="00C04977" w:rsidRPr="000020F0">
        <w:rPr>
          <w:rFonts w:ascii="Arial" w:eastAsia="Arial" w:hAnsi="Arial" w:cs="Arial"/>
          <w:bCs/>
          <w:sz w:val="22"/>
          <w:szCs w:val="22"/>
        </w:rPr>
        <w:t> – ZUOPDCE, </w:t>
      </w:r>
      <w:hyperlink r:id="rId82" w:history="1">
        <w:r w:rsidR="00C04977" w:rsidRPr="000020F0">
          <w:rPr>
            <w:rFonts w:ascii="Arial" w:hAnsi="Arial" w:cs="Arial"/>
            <w:sz w:val="22"/>
            <w:szCs w:val="22"/>
          </w:rPr>
          <w:t>40/23</w:t>
        </w:r>
      </w:hyperlink>
      <w:r w:rsidR="00C04977" w:rsidRPr="000020F0">
        <w:rPr>
          <w:rFonts w:ascii="Arial" w:eastAsia="Arial" w:hAnsi="Arial" w:cs="Arial"/>
          <w:bCs/>
          <w:sz w:val="22"/>
          <w:szCs w:val="22"/>
        </w:rPr>
        <w:t xml:space="preserve"> – </w:t>
      </w:r>
      <w:proofErr w:type="spellStart"/>
      <w:r w:rsidR="00C04977" w:rsidRPr="000020F0">
        <w:rPr>
          <w:rFonts w:ascii="Arial" w:eastAsia="Arial" w:hAnsi="Arial" w:cs="Arial"/>
          <w:bCs/>
          <w:sz w:val="22"/>
          <w:szCs w:val="22"/>
        </w:rPr>
        <w:t>ZDavPR</w:t>
      </w:r>
      <w:proofErr w:type="spellEnd"/>
      <w:r w:rsidR="00C04977" w:rsidRPr="000020F0">
        <w:rPr>
          <w:rFonts w:ascii="Arial" w:eastAsia="Arial" w:hAnsi="Arial" w:cs="Arial"/>
          <w:bCs/>
          <w:sz w:val="22"/>
          <w:szCs w:val="22"/>
        </w:rPr>
        <w:t>-B, </w:t>
      </w:r>
      <w:hyperlink r:id="rId83" w:history="1">
        <w:r w:rsidR="00C04977" w:rsidRPr="000020F0">
          <w:rPr>
            <w:rFonts w:ascii="Arial" w:hAnsi="Arial" w:cs="Arial"/>
            <w:sz w:val="22"/>
            <w:szCs w:val="22"/>
          </w:rPr>
          <w:t>122/23</w:t>
        </w:r>
      </w:hyperlink>
      <w:r w:rsidR="00C04977" w:rsidRPr="000020F0">
        <w:rPr>
          <w:rFonts w:ascii="Arial" w:eastAsia="Arial" w:hAnsi="Arial" w:cs="Arial"/>
          <w:bCs/>
          <w:sz w:val="22"/>
          <w:szCs w:val="22"/>
        </w:rPr>
        <w:t> in </w:t>
      </w:r>
      <w:hyperlink r:id="rId84" w:history="1">
        <w:r w:rsidR="00C04977" w:rsidRPr="000020F0">
          <w:rPr>
            <w:rFonts w:ascii="Arial" w:hAnsi="Arial" w:cs="Arial"/>
            <w:sz w:val="22"/>
            <w:szCs w:val="22"/>
          </w:rPr>
          <w:t>104/24</w:t>
        </w:r>
      </w:hyperlink>
      <w:r w:rsidR="00354FAC" w:rsidRPr="000020F0">
        <w:rPr>
          <w:rFonts w:ascii="Arial" w:eastAsia="Arial" w:hAnsi="Arial" w:cs="Arial"/>
          <w:bCs/>
          <w:sz w:val="22"/>
          <w:szCs w:val="22"/>
        </w:rPr>
        <w:t>)</w:t>
      </w:r>
      <w:r w:rsidR="00713679" w:rsidRPr="000020F0">
        <w:rPr>
          <w:rFonts w:ascii="Arial" w:eastAsia="Arial" w:hAnsi="Arial" w:cs="Arial"/>
          <w:bCs/>
          <w:sz w:val="22"/>
          <w:szCs w:val="22"/>
        </w:rPr>
        <w:t>.</w:t>
      </w:r>
    </w:p>
    <w:p w14:paraId="593A9AFA" w14:textId="6AAAD2CD" w:rsidR="00354FAC" w:rsidRPr="000020F0" w:rsidRDefault="0044190F" w:rsidP="00BD1D20">
      <w:pPr>
        <w:numPr>
          <w:ilvl w:val="0"/>
          <w:numId w:val="85"/>
        </w:numPr>
        <w:spacing w:after="120" w:line="276" w:lineRule="auto"/>
        <w:contextualSpacing/>
        <w:jc w:val="both"/>
        <w:rPr>
          <w:rFonts w:ascii="Arial" w:eastAsia="Arial" w:hAnsi="Arial" w:cs="Arial"/>
          <w:bCs/>
          <w:sz w:val="22"/>
          <w:szCs w:val="22"/>
        </w:rPr>
      </w:pPr>
      <w:r w:rsidRPr="000020F0">
        <w:rPr>
          <w:rFonts w:ascii="Arial" w:eastAsia="Arial" w:hAnsi="Arial" w:cs="Arial"/>
          <w:bCs/>
          <w:sz w:val="22"/>
          <w:szCs w:val="22"/>
        </w:rPr>
        <w:t xml:space="preserve">Dinamika </w:t>
      </w:r>
      <w:r w:rsidR="00354FAC" w:rsidRPr="000020F0">
        <w:rPr>
          <w:rFonts w:ascii="Arial" w:eastAsia="Arial" w:hAnsi="Arial" w:cs="Arial"/>
          <w:bCs/>
          <w:sz w:val="22"/>
          <w:szCs w:val="22"/>
        </w:rPr>
        <w:t>investicijskih vlaganj oziroma nastajanja investicijskih stroškov je oblikovana na osnovi časovnega načrta izvedbe investicijskega projekta</w:t>
      </w:r>
      <w:r w:rsidR="00713679" w:rsidRPr="000020F0">
        <w:rPr>
          <w:rFonts w:ascii="Arial" w:eastAsia="Arial" w:hAnsi="Arial" w:cs="Arial"/>
          <w:bCs/>
          <w:sz w:val="22"/>
          <w:szCs w:val="22"/>
        </w:rPr>
        <w:t>.</w:t>
      </w:r>
    </w:p>
    <w:p w14:paraId="62E96A6A" w14:textId="77777777" w:rsidR="00727EAD" w:rsidRPr="000020F0" w:rsidRDefault="00727EAD" w:rsidP="00BD1D20">
      <w:pPr>
        <w:spacing w:line="276" w:lineRule="auto"/>
        <w:jc w:val="both"/>
        <w:rPr>
          <w:rFonts w:asciiTheme="majorHAnsi" w:hAnsiTheme="majorHAnsi" w:cstheme="majorHAnsi"/>
          <w:sz w:val="22"/>
          <w:szCs w:val="22"/>
        </w:rPr>
      </w:pPr>
    </w:p>
    <w:p w14:paraId="012FF493" w14:textId="3BB67D15" w:rsidR="00354FAC" w:rsidRPr="000020F0" w:rsidRDefault="00354FAC" w:rsidP="00BD1D20">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Vse ocenjene vrednosti so izračunane in podane v EUR in so prikazane brez DDV in z DDV (22 %). </w:t>
      </w:r>
    </w:p>
    <w:p w14:paraId="73CB212A" w14:textId="77777777" w:rsidR="00354FAC" w:rsidRPr="000020F0" w:rsidRDefault="00354FAC" w:rsidP="00BD1D20">
      <w:pPr>
        <w:spacing w:line="276" w:lineRule="auto"/>
        <w:jc w:val="both"/>
        <w:rPr>
          <w:rFonts w:asciiTheme="majorHAnsi" w:hAnsiTheme="majorHAnsi" w:cstheme="majorHAnsi"/>
          <w:sz w:val="22"/>
          <w:szCs w:val="22"/>
        </w:rPr>
      </w:pPr>
    </w:p>
    <w:p w14:paraId="5B34957E" w14:textId="6FD9CD8D" w:rsidR="00D1347D" w:rsidRPr="000020F0" w:rsidRDefault="00D1347D" w:rsidP="00BD1D20">
      <w:pPr>
        <w:pStyle w:val="Napis"/>
        <w:keepNext/>
        <w:spacing w:after="120" w:line="276" w:lineRule="auto"/>
        <w:ind w:left="1410" w:hanging="1410"/>
        <w:jc w:val="both"/>
        <w:rPr>
          <w:rFonts w:asciiTheme="majorHAnsi" w:hAnsiTheme="majorHAnsi" w:cstheme="majorHAnsi"/>
          <w:b w:val="0"/>
          <w:color w:val="auto"/>
          <w:sz w:val="22"/>
          <w:szCs w:val="22"/>
        </w:rPr>
      </w:pPr>
      <w:bookmarkStart w:id="266" w:name="_Toc230882289"/>
      <w:r w:rsidRPr="000020F0">
        <w:rPr>
          <w:rFonts w:asciiTheme="majorHAnsi" w:hAnsiTheme="majorHAnsi" w:cstheme="majorHAnsi"/>
          <w:color w:val="auto"/>
          <w:sz w:val="22"/>
          <w:szCs w:val="22"/>
        </w:rPr>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9</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color w:val="auto"/>
          <w:sz w:val="22"/>
          <w:szCs w:val="22"/>
        </w:rPr>
        <w:t xml:space="preserve"> Prikaz stroškov projekta v stalnih cenah brez in z DDV (v EUR)</w:t>
      </w:r>
      <w:bookmarkEnd w:id="266"/>
    </w:p>
    <w:tbl>
      <w:tblPr>
        <w:tblW w:w="5155" w:type="pct"/>
        <w:tblLayout w:type="fixed"/>
        <w:tblCellMar>
          <w:left w:w="70" w:type="dxa"/>
          <w:right w:w="70" w:type="dxa"/>
        </w:tblCellMar>
        <w:tblLook w:val="04A0" w:firstRow="1" w:lastRow="0" w:firstColumn="1" w:lastColumn="0" w:noHBand="0" w:noVBand="1"/>
      </w:tblPr>
      <w:tblGrid>
        <w:gridCol w:w="4248"/>
        <w:gridCol w:w="1702"/>
        <w:gridCol w:w="989"/>
        <w:gridCol w:w="1280"/>
        <w:gridCol w:w="1416"/>
      </w:tblGrid>
      <w:tr w:rsidR="00FA3044" w:rsidRPr="000020F0" w14:paraId="4F4E4751" w14:textId="77777777" w:rsidTr="0059048C">
        <w:trPr>
          <w:trHeight w:val="300"/>
          <w:tblHeader/>
        </w:trPr>
        <w:tc>
          <w:tcPr>
            <w:tcW w:w="2204" w:type="pct"/>
            <w:tcBorders>
              <w:top w:val="single" w:sz="4" w:space="0" w:color="auto"/>
              <w:left w:val="single" w:sz="4" w:space="0" w:color="auto"/>
              <w:bottom w:val="single" w:sz="4" w:space="0" w:color="auto"/>
              <w:right w:val="single" w:sz="4" w:space="0" w:color="auto"/>
            </w:tcBorders>
            <w:shd w:val="clear" w:color="000000" w:fill="153D64"/>
            <w:noWrap/>
            <w:tcMar>
              <w:left w:w="28" w:type="dxa"/>
              <w:right w:w="28" w:type="dxa"/>
            </w:tcMar>
            <w:vAlign w:val="bottom"/>
            <w:hideMark/>
          </w:tcPr>
          <w:p w14:paraId="3C8B21D8" w14:textId="77777777" w:rsidR="00FA3044" w:rsidRPr="000020F0" w:rsidRDefault="00FA3044" w:rsidP="00472C0E">
            <w:pPr>
              <w:rPr>
                <w:rFonts w:ascii="Arial" w:hAnsi="Arial" w:cs="Arial"/>
                <w:b/>
                <w:bCs/>
                <w:color w:val="FFFFFF"/>
                <w:sz w:val="20"/>
                <w:szCs w:val="20"/>
              </w:rPr>
            </w:pPr>
            <w:r w:rsidRPr="000020F0">
              <w:rPr>
                <w:rFonts w:ascii="Arial" w:hAnsi="Arial" w:cs="Arial"/>
                <w:b/>
                <w:bCs/>
                <w:color w:val="FFFFFF"/>
                <w:sz w:val="20"/>
                <w:szCs w:val="20"/>
              </w:rPr>
              <w:t>Postavka</w:t>
            </w:r>
          </w:p>
        </w:tc>
        <w:tc>
          <w:tcPr>
            <w:tcW w:w="883"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409E335C" w14:textId="77777777" w:rsidR="00FA3044" w:rsidRPr="000020F0" w:rsidRDefault="00FA3044" w:rsidP="00472C0E">
            <w:pPr>
              <w:rPr>
                <w:rFonts w:ascii="Arial" w:hAnsi="Arial" w:cs="Arial"/>
                <w:b/>
                <w:bCs/>
                <w:color w:val="FFFFFF"/>
                <w:sz w:val="20"/>
                <w:szCs w:val="20"/>
              </w:rPr>
            </w:pPr>
            <w:r w:rsidRPr="000020F0">
              <w:rPr>
                <w:rFonts w:ascii="Arial" w:hAnsi="Arial" w:cs="Arial"/>
                <w:b/>
                <w:bCs/>
                <w:color w:val="FFFFFF"/>
                <w:sz w:val="20"/>
                <w:szCs w:val="20"/>
              </w:rPr>
              <w:t>Vrednost</w:t>
            </w:r>
          </w:p>
        </w:tc>
        <w:tc>
          <w:tcPr>
            <w:tcW w:w="513"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10252CBD" w14:textId="77777777" w:rsidR="00FA3044" w:rsidRPr="000020F0" w:rsidRDefault="00FA3044" w:rsidP="00472C0E">
            <w:pPr>
              <w:rPr>
                <w:rFonts w:ascii="Arial" w:hAnsi="Arial" w:cs="Arial"/>
                <w:b/>
                <w:bCs/>
                <w:color w:val="FFFFFF"/>
                <w:sz w:val="20"/>
                <w:szCs w:val="20"/>
              </w:rPr>
            </w:pPr>
            <w:r w:rsidRPr="000020F0">
              <w:rPr>
                <w:rFonts w:ascii="Arial" w:hAnsi="Arial" w:cs="Arial"/>
                <w:b/>
                <w:bCs/>
                <w:color w:val="FFFFFF"/>
                <w:sz w:val="20"/>
                <w:szCs w:val="20"/>
              </w:rPr>
              <w:t>Delež</w:t>
            </w:r>
          </w:p>
        </w:tc>
        <w:tc>
          <w:tcPr>
            <w:tcW w:w="664"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7D31F9BE" w14:textId="77777777" w:rsidR="00FA3044" w:rsidRPr="000020F0" w:rsidRDefault="00FA3044" w:rsidP="00472C0E">
            <w:pPr>
              <w:rPr>
                <w:rFonts w:ascii="Arial" w:hAnsi="Arial" w:cs="Arial"/>
                <w:b/>
                <w:bCs/>
                <w:color w:val="FFFFFF"/>
                <w:sz w:val="20"/>
                <w:szCs w:val="20"/>
              </w:rPr>
            </w:pPr>
            <w:r w:rsidRPr="000020F0">
              <w:rPr>
                <w:rFonts w:ascii="Arial" w:hAnsi="Arial" w:cs="Arial"/>
                <w:b/>
                <w:bCs/>
                <w:color w:val="FFFFFF"/>
                <w:sz w:val="20"/>
                <w:szCs w:val="20"/>
              </w:rPr>
              <w:t>DDV</w:t>
            </w:r>
          </w:p>
        </w:tc>
        <w:tc>
          <w:tcPr>
            <w:tcW w:w="735"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0146D8E0" w14:textId="77777777" w:rsidR="00FA3044" w:rsidRPr="000020F0" w:rsidRDefault="00FA3044" w:rsidP="00472C0E">
            <w:pPr>
              <w:rPr>
                <w:rFonts w:ascii="Arial" w:hAnsi="Arial" w:cs="Arial"/>
                <w:b/>
                <w:bCs/>
                <w:color w:val="FFFFFF"/>
                <w:sz w:val="20"/>
                <w:szCs w:val="20"/>
              </w:rPr>
            </w:pPr>
            <w:r w:rsidRPr="000020F0">
              <w:rPr>
                <w:rFonts w:ascii="Arial" w:hAnsi="Arial" w:cs="Arial"/>
                <w:b/>
                <w:bCs/>
                <w:color w:val="FFFFFF"/>
                <w:sz w:val="20"/>
                <w:szCs w:val="20"/>
              </w:rPr>
              <w:t>Vrednost z DDV</w:t>
            </w:r>
          </w:p>
        </w:tc>
      </w:tr>
      <w:tr w:rsidR="0059048C" w:rsidRPr="000020F0" w14:paraId="735C9842" w14:textId="77777777" w:rsidTr="0059048C">
        <w:trPr>
          <w:trHeight w:val="285"/>
        </w:trPr>
        <w:tc>
          <w:tcPr>
            <w:tcW w:w="2204" w:type="pct"/>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0912C83B" w14:textId="5FADFE77"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Govekarjeva cesta</w:t>
            </w:r>
          </w:p>
        </w:tc>
        <w:tc>
          <w:tcPr>
            <w:tcW w:w="883" w:type="pct"/>
            <w:tcBorders>
              <w:top w:val="single" w:sz="4" w:space="0" w:color="auto"/>
              <w:left w:val="nil"/>
              <w:bottom w:val="single" w:sz="4" w:space="0" w:color="auto"/>
              <w:right w:val="single" w:sz="4" w:space="0" w:color="auto"/>
            </w:tcBorders>
            <w:shd w:val="clear" w:color="000000" w:fill="FFFFFF"/>
            <w:noWrap/>
            <w:tcMar>
              <w:left w:w="28" w:type="dxa"/>
              <w:right w:w="28" w:type="dxa"/>
            </w:tcMar>
            <w:vAlign w:val="bottom"/>
            <w:hideMark/>
          </w:tcPr>
          <w:p w14:paraId="30983A7A" w14:textId="1BB009E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856.955,69</w:t>
            </w:r>
          </w:p>
        </w:tc>
        <w:tc>
          <w:tcPr>
            <w:tcW w:w="513" w:type="pct"/>
            <w:tcBorders>
              <w:top w:val="single" w:sz="4" w:space="0" w:color="auto"/>
              <w:left w:val="nil"/>
              <w:bottom w:val="single" w:sz="4" w:space="0" w:color="auto"/>
              <w:right w:val="single" w:sz="4" w:space="0" w:color="auto"/>
            </w:tcBorders>
            <w:shd w:val="clear" w:color="000000" w:fill="FFFFFF"/>
            <w:noWrap/>
            <w:tcMar>
              <w:left w:w="28" w:type="dxa"/>
              <w:right w:w="28" w:type="dxa"/>
            </w:tcMar>
            <w:vAlign w:val="bottom"/>
            <w:hideMark/>
          </w:tcPr>
          <w:p w14:paraId="5B083941" w14:textId="10872FB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26,15%</w:t>
            </w:r>
          </w:p>
        </w:tc>
        <w:tc>
          <w:tcPr>
            <w:tcW w:w="664" w:type="pct"/>
            <w:tcBorders>
              <w:top w:val="single" w:sz="4" w:space="0" w:color="auto"/>
              <w:left w:val="nil"/>
              <w:bottom w:val="single" w:sz="4" w:space="0" w:color="auto"/>
              <w:right w:val="single" w:sz="4" w:space="0" w:color="auto"/>
            </w:tcBorders>
            <w:shd w:val="clear" w:color="000000" w:fill="FFFFFF"/>
            <w:noWrap/>
            <w:tcMar>
              <w:left w:w="28" w:type="dxa"/>
              <w:right w:w="28" w:type="dxa"/>
            </w:tcMar>
            <w:vAlign w:val="bottom"/>
            <w:hideMark/>
          </w:tcPr>
          <w:p w14:paraId="658951C5" w14:textId="6A3833E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188.530,25</w:t>
            </w:r>
          </w:p>
        </w:tc>
        <w:tc>
          <w:tcPr>
            <w:tcW w:w="735" w:type="pct"/>
            <w:tcBorders>
              <w:top w:val="single" w:sz="4" w:space="0" w:color="auto"/>
              <w:left w:val="nil"/>
              <w:bottom w:val="single" w:sz="4" w:space="0" w:color="auto"/>
              <w:right w:val="single" w:sz="4" w:space="0" w:color="auto"/>
            </w:tcBorders>
            <w:shd w:val="clear" w:color="000000" w:fill="FFFFFF"/>
            <w:noWrap/>
            <w:tcMar>
              <w:left w:w="28" w:type="dxa"/>
              <w:right w:w="28" w:type="dxa"/>
            </w:tcMar>
            <w:vAlign w:val="bottom"/>
            <w:hideMark/>
          </w:tcPr>
          <w:p w14:paraId="6012E6A1" w14:textId="1D235CA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1.045.485,94</w:t>
            </w:r>
          </w:p>
        </w:tc>
      </w:tr>
      <w:tr w:rsidR="0059048C" w:rsidRPr="000020F0" w14:paraId="04B6618F"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424A209A" w14:textId="3DF336C7"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Troštova ulica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0D17AE7" w14:textId="4AA61AC4"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48.950,81</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F64CA47" w14:textId="62D08726"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1,49%</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8B1083F" w14:textId="7478C325"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10.769,18</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A961582" w14:textId="4718BF0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59.719,99</w:t>
            </w:r>
          </w:p>
        </w:tc>
      </w:tr>
      <w:tr w:rsidR="0059048C" w:rsidRPr="000020F0" w14:paraId="0A380817"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63C95A27" w14:textId="248712F9"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E9474A4" w14:textId="40CB1177"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60.000,00</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04B95B0" w14:textId="7D9F6B0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1,83%</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EBA602C" w14:textId="37EF2023"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13.200,00</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5F084CA7" w14:textId="7676C7D0"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73.200,00</w:t>
            </w:r>
          </w:p>
        </w:tc>
      </w:tr>
      <w:tr w:rsidR="0059048C" w:rsidRPr="000020F0" w14:paraId="38D673E7"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229B0EBC" w14:textId="369F851F"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190F480" w14:textId="6CBEE6BA"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41.574,32</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2100A0CD" w14:textId="73E28CB7"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1,27%</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025AB32" w14:textId="276B5DBE"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9.146,35</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0256506" w14:textId="31E50667"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50.720,67</w:t>
            </w:r>
          </w:p>
        </w:tc>
      </w:tr>
      <w:tr w:rsidR="0059048C" w:rsidRPr="000020F0" w14:paraId="67CD5610"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162925F5" w14:textId="6205E112"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3A1F4F5" w14:textId="6EE45623"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13.464,91</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73F2363" w14:textId="70B6A3FC"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0,41%</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C3D5247" w14:textId="782F8ABC"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2.962,28</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278A21F2" w14:textId="7DE72374"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16.427,19</w:t>
            </w:r>
          </w:p>
        </w:tc>
      </w:tr>
      <w:tr w:rsidR="0059048C" w:rsidRPr="000020F0" w14:paraId="697EF60C"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4B6B9BEC" w14:textId="13184145"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7A498D17" w14:textId="4351EDA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9.540,90</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72B69BD2" w14:textId="646E8ECA"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0,29%</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284B9DA" w14:textId="4CE0332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2.099,00</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18DAD60F" w14:textId="34551C1F"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11.639,90</w:t>
            </w:r>
          </w:p>
        </w:tc>
      </w:tr>
      <w:tr w:rsidR="0059048C" w:rsidRPr="000020F0" w14:paraId="1A5AE8F6"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46B2119C" w14:textId="79EF2ADA"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85A730D" w14:textId="126B85DB"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9.540,90</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0FC8A5A" w14:textId="526FE0B8"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0,29%</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73543CE3" w14:textId="6E6AE0D5"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2.099,00</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1B0D864" w14:textId="5F1BFF63"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11.639,90</w:t>
            </w:r>
          </w:p>
        </w:tc>
      </w:tr>
      <w:tr w:rsidR="0059048C" w:rsidRPr="000020F0" w14:paraId="323B7194"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2CA7F611" w14:textId="2DA86A03"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297B5B4" w14:textId="2C1845AA"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68.411,77</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512297D3" w14:textId="28D4E7A2"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2,09%</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72766E6" w14:textId="0E2FD87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15.050,59</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7DA358F2" w14:textId="25E0998B"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83.462,36</w:t>
            </w:r>
          </w:p>
        </w:tc>
      </w:tr>
      <w:tr w:rsidR="0059048C" w:rsidRPr="000020F0" w14:paraId="18DCF044"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2D810F36" w14:textId="5FFED478"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 xml:space="preserve">Parkirišča za kolesa </w:t>
            </w:r>
            <w:r w:rsidR="00E0349A" w:rsidRPr="000020F0">
              <w:rPr>
                <w:rFonts w:ascii="Arial" w:hAnsi="Arial" w:cs="Arial"/>
                <w:color w:val="000000"/>
                <w:sz w:val="20"/>
                <w:szCs w:val="20"/>
              </w:rPr>
              <w:t>–</w:t>
            </w:r>
            <w:r w:rsidRPr="000020F0">
              <w:rPr>
                <w:rFonts w:ascii="Arial" w:hAnsi="Arial" w:cs="Arial"/>
                <w:color w:val="000000"/>
                <w:sz w:val="20"/>
                <w:szCs w:val="20"/>
              </w:rPr>
              <w:t xml:space="preserve"> </w:t>
            </w:r>
            <w:r w:rsidR="00E0349A" w:rsidRPr="000020F0">
              <w:rPr>
                <w:rFonts w:ascii="Arial" w:hAnsi="Arial" w:cs="Arial"/>
                <w:color w:val="000000"/>
                <w:sz w:val="20"/>
                <w:szCs w:val="20"/>
              </w:rPr>
              <w:t>športna dvorana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B31594B" w14:textId="6983CED7"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9.540,91</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F3B6172" w14:textId="073B42F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0,29%</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4162C07" w14:textId="164A9D44"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2.099,00</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1A3EBAC" w14:textId="11B0BFD7"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11.639,91</w:t>
            </w:r>
          </w:p>
        </w:tc>
      </w:tr>
      <w:tr w:rsidR="0059048C" w:rsidRPr="000020F0" w14:paraId="445BF0D9" w14:textId="77777777" w:rsidTr="0059048C">
        <w:trPr>
          <w:trHeight w:val="285"/>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6EFA10A8" w14:textId="065924BA"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Parkirišča za kolesa - park</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A5DE077" w14:textId="287C8E85"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12.180,49</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E78EA34" w14:textId="041C1868"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0,37%</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FBDB6D8" w14:textId="05E8FEF0"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2.679,71</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7C1C29CC" w14:textId="5FA20EA0"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14.860,20</w:t>
            </w:r>
          </w:p>
        </w:tc>
      </w:tr>
      <w:tr w:rsidR="0059048C" w:rsidRPr="000020F0" w14:paraId="6ED7EEEE"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16338AB4" w14:textId="1D7FC2FF"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Avtobusno postajališče - nivo ceste</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525CD502" w14:textId="47F77A20"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310.725,31</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E64A1B7" w14:textId="4B8040B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9,48%</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59CCA37" w14:textId="4CB1BA9F"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68.359,57</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B066690" w14:textId="1B471C8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379.084,88</w:t>
            </w:r>
          </w:p>
        </w:tc>
      </w:tr>
      <w:tr w:rsidR="0059048C" w:rsidRPr="000020F0" w14:paraId="39A8A142"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6CF60889" w14:textId="36798A62"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Sanitarije</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5B25526" w14:textId="7F70AEFB" w:rsidR="0059048C" w:rsidRPr="000020F0" w:rsidRDefault="0059048C" w:rsidP="0059048C">
            <w:pPr>
              <w:jc w:val="right"/>
              <w:rPr>
                <w:rFonts w:ascii="Arial" w:hAnsi="Arial" w:cs="Arial"/>
                <w:color w:val="000000"/>
                <w:sz w:val="20"/>
                <w:szCs w:val="20"/>
              </w:rPr>
            </w:pPr>
            <w:r w:rsidRPr="000020F0">
              <w:rPr>
                <w:rFonts w:ascii="Arial" w:hAnsi="Arial" w:cs="Arial"/>
                <w:i/>
                <w:iCs/>
                <w:color w:val="000000"/>
                <w:sz w:val="20"/>
                <w:szCs w:val="20"/>
              </w:rPr>
              <w:t>92.284,99</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15796381" w14:textId="0FCCE4F5" w:rsidR="0059048C" w:rsidRPr="000020F0" w:rsidRDefault="0059048C" w:rsidP="0059048C">
            <w:pPr>
              <w:jc w:val="right"/>
              <w:rPr>
                <w:rFonts w:ascii="Arial" w:hAnsi="Arial" w:cs="Arial"/>
                <w:color w:val="000000"/>
                <w:sz w:val="20"/>
                <w:szCs w:val="20"/>
              </w:rPr>
            </w:pPr>
            <w:r w:rsidRPr="000020F0">
              <w:rPr>
                <w:rFonts w:ascii="Arial" w:hAnsi="Arial" w:cs="Arial"/>
                <w:i/>
                <w:iCs/>
                <w:color w:val="000000"/>
                <w:sz w:val="20"/>
                <w:szCs w:val="20"/>
              </w:rPr>
              <w:t>2,82%</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6CEB1763" w14:textId="1DB93B8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20.302,70</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11ED34C4" w14:textId="1A633F1F"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112.587,69</w:t>
            </w:r>
          </w:p>
        </w:tc>
      </w:tr>
      <w:tr w:rsidR="0059048C" w:rsidRPr="000020F0" w14:paraId="25CD1B4B"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hideMark/>
          </w:tcPr>
          <w:p w14:paraId="153F3D11" w14:textId="0362A2E9"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Avtobusno postajališče - nadstrešnica</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361671B8" w14:textId="66DCB7E9"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271.249,66</w:t>
            </w:r>
          </w:p>
        </w:tc>
        <w:tc>
          <w:tcPr>
            <w:tcW w:w="513"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161570B2" w14:textId="56F4904C"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8,28%</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4F910FC4" w14:textId="51FE730D"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59.674,93</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hideMark/>
          </w:tcPr>
          <w:p w14:paraId="0B16A766" w14:textId="29C1D543"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330.924,59</w:t>
            </w:r>
          </w:p>
        </w:tc>
      </w:tr>
      <w:tr w:rsidR="0059048C" w:rsidRPr="000020F0" w14:paraId="0A4E670E"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bottom"/>
          </w:tcPr>
          <w:p w14:paraId="449BC86C" w14:textId="0C1F3FF0" w:rsidR="0059048C" w:rsidRPr="000020F0" w:rsidRDefault="0059048C" w:rsidP="0059048C">
            <w:pPr>
              <w:rPr>
                <w:rFonts w:ascii="Arial" w:hAnsi="Arial" w:cs="Arial"/>
                <w:color w:val="000000"/>
                <w:sz w:val="20"/>
                <w:szCs w:val="20"/>
              </w:rPr>
            </w:pPr>
            <w:r w:rsidRPr="000020F0">
              <w:rPr>
                <w:rFonts w:ascii="Arial" w:hAnsi="Arial" w:cs="Arial"/>
                <w:color w:val="000000"/>
                <w:sz w:val="20"/>
                <w:szCs w:val="20"/>
              </w:rPr>
              <w:t>Parkirišče z vhodom v šolo</w:t>
            </w:r>
          </w:p>
        </w:tc>
        <w:tc>
          <w:tcPr>
            <w:tcW w:w="883" w:type="pct"/>
            <w:tcBorders>
              <w:top w:val="nil"/>
              <w:left w:val="nil"/>
              <w:bottom w:val="single" w:sz="4" w:space="0" w:color="auto"/>
              <w:right w:val="single" w:sz="4" w:space="0" w:color="auto"/>
            </w:tcBorders>
            <w:shd w:val="clear" w:color="000000" w:fill="FFFFFF"/>
            <w:noWrap/>
            <w:tcMar>
              <w:left w:w="28" w:type="dxa"/>
              <w:right w:w="28" w:type="dxa"/>
            </w:tcMar>
            <w:vAlign w:val="bottom"/>
          </w:tcPr>
          <w:p w14:paraId="2764A370" w14:textId="25E49070"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397.454,42</w:t>
            </w:r>
          </w:p>
        </w:tc>
        <w:tc>
          <w:tcPr>
            <w:tcW w:w="513" w:type="pct"/>
            <w:tcBorders>
              <w:top w:val="nil"/>
              <w:left w:val="nil"/>
              <w:bottom w:val="single" w:sz="4" w:space="0" w:color="auto"/>
              <w:right w:val="single" w:sz="4" w:space="0" w:color="auto"/>
            </w:tcBorders>
            <w:noWrap/>
            <w:tcMar>
              <w:left w:w="28" w:type="dxa"/>
              <w:right w:w="28" w:type="dxa"/>
            </w:tcMar>
            <w:vAlign w:val="bottom"/>
          </w:tcPr>
          <w:p w14:paraId="5ADECF1C" w14:textId="4C85DFA5"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12,13%</w:t>
            </w:r>
          </w:p>
        </w:tc>
        <w:tc>
          <w:tcPr>
            <w:tcW w:w="664" w:type="pct"/>
            <w:tcBorders>
              <w:top w:val="nil"/>
              <w:left w:val="nil"/>
              <w:bottom w:val="single" w:sz="4" w:space="0" w:color="auto"/>
              <w:right w:val="single" w:sz="4" w:space="0" w:color="auto"/>
            </w:tcBorders>
            <w:shd w:val="clear" w:color="000000" w:fill="FFFFFF"/>
            <w:noWrap/>
            <w:tcMar>
              <w:left w:w="28" w:type="dxa"/>
              <w:right w:w="28" w:type="dxa"/>
            </w:tcMar>
            <w:vAlign w:val="bottom"/>
          </w:tcPr>
          <w:p w14:paraId="30BC53B1" w14:textId="46E1974E"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87.439,97</w:t>
            </w:r>
          </w:p>
        </w:tc>
        <w:tc>
          <w:tcPr>
            <w:tcW w:w="735" w:type="pct"/>
            <w:tcBorders>
              <w:top w:val="nil"/>
              <w:left w:val="nil"/>
              <w:bottom w:val="single" w:sz="4" w:space="0" w:color="auto"/>
              <w:right w:val="single" w:sz="4" w:space="0" w:color="auto"/>
            </w:tcBorders>
            <w:shd w:val="clear" w:color="000000" w:fill="FFFFFF"/>
            <w:noWrap/>
            <w:tcMar>
              <w:left w:w="28" w:type="dxa"/>
              <w:right w:w="28" w:type="dxa"/>
            </w:tcMar>
            <w:vAlign w:val="bottom"/>
          </w:tcPr>
          <w:p w14:paraId="43E38411" w14:textId="5776676C" w:rsidR="0059048C" w:rsidRPr="000020F0" w:rsidRDefault="0059048C" w:rsidP="0059048C">
            <w:pPr>
              <w:jc w:val="right"/>
              <w:rPr>
                <w:rFonts w:ascii="Arial" w:hAnsi="Arial" w:cs="Arial"/>
                <w:color w:val="000000"/>
                <w:sz w:val="20"/>
                <w:szCs w:val="20"/>
              </w:rPr>
            </w:pPr>
            <w:r w:rsidRPr="000020F0">
              <w:rPr>
                <w:rFonts w:ascii="Arial" w:hAnsi="Arial" w:cs="Arial"/>
                <w:color w:val="000000"/>
                <w:sz w:val="20"/>
                <w:szCs w:val="20"/>
              </w:rPr>
              <w:t>484.894,39</w:t>
            </w:r>
          </w:p>
        </w:tc>
      </w:tr>
      <w:tr w:rsidR="002778FD" w:rsidRPr="000020F0" w14:paraId="39E918BA" w14:textId="77777777" w:rsidTr="000671DF">
        <w:trPr>
          <w:trHeight w:val="285"/>
        </w:trPr>
        <w:tc>
          <w:tcPr>
            <w:tcW w:w="2204" w:type="pct"/>
            <w:tcBorders>
              <w:top w:val="single" w:sz="4" w:space="0" w:color="auto"/>
              <w:left w:val="single" w:sz="4" w:space="0" w:color="auto"/>
              <w:bottom w:val="single" w:sz="4" w:space="0" w:color="auto"/>
              <w:right w:val="single" w:sz="4" w:space="0" w:color="auto"/>
            </w:tcBorders>
            <w:shd w:val="clear" w:color="000000" w:fill="DAE9F8"/>
            <w:noWrap/>
            <w:tcMar>
              <w:left w:w="28" w:type="dxa"/>
              <w:right w:w="28" w:type="dxa"/>
            </w:tcMar>
            <w:vAlign w:val="bottom"/>
            <w:hideMark/>
          </w:tcPr>
          <w:p w14:paraId="489CC351" w14:textId="5D66EC3D" w:rsidR="002778FD" w:rsidRPr="000020F0" w:rsidRDefault="002778FD" w:rsidP="002778FD">
            <w:pPr>
              <w:rPr>
                <w:rFonts w:ascii="Arial" w:hAnsi="Arial" w:cs="Arial"/>
                <w:i/>
                <w:iCs/>
                <w:color w:val="000000"/>
                <w:sz w:val="20"/>
                <w:szCs w:val="20"/>
              </w:rPr>
            </w:pPr>
            <w:r w:rsidRPr="000020F0">
              <w:rPr>
                <w:rFonts w:ascii="Arial" w:hAnsi="Arial" w:cs="Arial"/>
                <w:b/>
                <w:bCs/>
                <w:i/>
                <w:iCs/>
                <w:color w:val="000000"/>
                <w:sz w:val="20"/>
                <w:szCs w:val="20"/>
              </w:rPr>
              <w:t>Skupaj GOI dela</w:t>
            </w:r>
          </w:p>
        </w:tc>
        <w:tc>
          <w:tcPr>
            <w:tcW w:w="883" w:type="pct"/>
            <w:tcBorders>
              <w:top w:val="single" w:sz="4" w:space="0" w:color="auto"/>
              <w:left w:val="nil"/>
              <w:bottom w:val="single" w:sz="4" w:space="0" w:color="auto"/>
              <w:right w:val="single" w:sz="4" w:space="0" w:color="auto"/>
            </w:tcBorders>
            <w:shd w:val="clear" w:color="000000" w:fill="DAE9F8"/>
            <w:noWrap/>
            <w:tcMar>
              <w:left w:w="28" w:type="dxa"/>
              <w:right w:w="28" w:type="dxa"/>
            </w:tcMar>
            <w:vAlign w:val="bottom"/>
            <w:hideMark/>
          </w:tcPr>
          <w:p w14:paraId="40FDE7AC" w14:textId="1E0569F0" w:rsidR="002778FD" w:rsidRPr="000020F0" w:rsidRDefault="002778FD" w:rsidP="002778FD">
            <w:pPr>
              <w:jc w:val="right"/>
              <w:rPr>
                <w:rFonts w:ascii="Arial" w:hAnsi="Arial" w:cs="Arial"/>
                <w:i/>
                <w:iCs/>
                <w:color w:val="000000"/>
                <w:sz w:val="20"/>
                <w:szCs w:val="20"/>
              </w:rPr>
            </w:pPr>
            <w:r w:rsidRPr="000020F0">
              <w:rPr>
                <w:rFonts w:ascii="Arial" w:hAnsi="Arial" w:cs="Arial"/>
                <w:b/>
                <w:bCs/>
                <w:i/>
                <w:iCs/>
                <w:color w:val="000000"/>
                <w:sz w:val="20"/>
                <w:szCs w:val="20"/>
              </w:rPr>
              <w:t>2.201.875,08</w:t>
            </w:r>
          </w:p>
        </w:tc>
        <w:tc>
          <w:tcPr>
            <w:tcW w:w="513" w:type="pct"/>
            <w:tcBorders>
              <w:top w:val="single" w:sz="4" w:space="0" w:color="auto"/>
              <w:left w:val="nil"/>
              <w:bottom w:val="single" w:sz="4" w:space="0" w:color="auto"/>
              <w:right w:val="single" w:sz="4" w:space="0" w:color="auto"/>
            </w:tcBorders>
            <w:shd w:val="clear" w:color="000000" w:fill="DAE9F8"/>
            <w:noWrap/>
            <w:tcMar>
              <w:left w:w="28" w:type="dxa"/>
              <w:right w:w="28" w:type="dxa"/>
            </w:tcMar>
            <w:vAlign w:val="bottom"/>
            <w:hideMark/>
          </w:tcPr>
          <w:p w14:paraId="67AD84E1" w14:textId="205835F4" w:rsidR="002778FD" w:rsidRPr="000020F0" w:rsidRDefault="002778FD" w:rsidP="002778FD">
            <w:pPr>
              <w:jc w:val="right"/>
              <w:rPr>
                <w:rFonts w:ascii="Arial" w:hAnsi="Arial" w:cs="Arial"/>
                <w:i/>
                <w:iCs/>
                <w:color w:val="000000"/>
                <w:sz w:val="20"/>
                <w:szCs w:val="20"/>
              </w:rPr>
            </w:pPr>
            <w:r w:rsidRPr="000020F0">
              <w:rPr>
                <w:rFonts w:ascii="Arial" w:hAnsi="Arial" w:cs="Arial"/>
                <w:b/>
                <w:bCs/>
                <w:i/>
                <w:iCs/>
                <w:color w:val="000000"/>
                <w:sz w:val="20"/>
                <w:szCs w:val="20"/>
              </w:rPr>
              <w:t>67,19%</w:t>
            </w:r>
          </w:p>
        </w:tc>
        <w:tc>
          <w:tcPr>
            <w:tcW w:w="664" w:type="pct"/>
            <w:tcBorders>
              <w:top w:val="single" w:sz="4" w:space="0" w:color="auto"/>
              <w:left w:val="nil"/>
              <w:bottom w:val="single" w:sz="4" w:space="0" w:color="auto"/>
              <w:right w:val="single" w:sz="4" w:space="0" w:color="auto"/>
            </w:tcBorders>
            <w:shd w:val="clear" w:color="000000" w:fill="DAE9F8"/>
            <w:noWrap/>
            <w:tcMar>
              <w:left w:w="28" w:type="dxa"/>
              <w:right w:w="28" w:type="dxa"/>
            </w:tcMar>
            <w:vAlign w:val="bottom"/>
            <w:hideMark/>
          </w:tcPr>
          <w:p w14:paraId="06CF8BF3" w14:textId="5D8B2963" w:rsidR="002778FD" w:rsidRPr="000020F0" w:rsidRDefault="002778FD" w:rsidP="002778FD">
            <w:pPr>
              <w:jc w:val="right"/>
              <w:rPr>
                <w:rFonts w:ascii="Arial" w:hAnsi="Arial" w:cs="Arial"/>
                <w:i/>
                <w:iCs/>
                <w:color w:val="000000"/>
                <w:sz w:val="20"/>
                <w:szCs w:val="20"/>
              </w:rPr>
            </w:pPr>
            <w:r w:rsidRPr="000020F0">
              <w:rPr>
                <w:rFonts w:ascii="Arial" w:hAnsi="Arial" w:cs="Arial"/>
                <w:b/>
                <w:bCs/>
                <w:i/>
                <w:iCs/>
                <w:color w:val="000000"/>
                <w:sz w:val="20"/>
                <w:szCs w:val="20"/>
              </w:rPr>
              <w:t>484.412,53</w:t>
            </w:r>
          </w:p>
        </w:tc>
        <w:tc>
          <w:tcPr>
            <w:tcW w:w="735" w:type="pct"/>
            <w:tcBorders>
              <w:top w:val="single" w:sz="4" w:space="0" w:color="auto"/>
              <w:left w:val="nil"/>
              <w:bottom w:val="single" w:sz="4" w:space="0" w:color="auto"/>
              <w:right w:val="single" w:sz="4" w:space="0" w:color="auto"/>
            </w:tcBorders>
            <w:shd w:val="clear" w:color="000000" w:fill="DAE9F8"/>
            <w:noWrap/>
            <w:tcMar>
              <w:left w:w="28" w:type="dxa"/>
              <w:right w:w="28" w:type="dxa"/>
            </w:tcMar>
            <w:vAlign w:val="bottom"/>
            <w:hideMark/>
          </w:tcPr>
          <w:p w14:paraId="6338A571" w14:textId="562CBAF9" w:rsidR="002778FD" w:rsidRPr="000020F0" w:rsidRDefault="002778FD" w:rsidP="002778FD">
            <w:pPr>
              <w:jc w:val="right"/>
              <w:rPr>
                <w:rFonts w:ascii="Arial" w:hAnsi="Arial" w:cs="Arial"/>
                <w:i/>
                <w:iCs/>
                <w:color w:val="000000"/>
                <w:sz w:val="20"/>
                <w:szCs w:val="20"/>
              </w:rPr>
            </w:pPr>
            <w:r w:rsidRPr="000020F0">
              <w:rPr>
                <w:rFonts w:ascii="Arial" w:hAnsi="Arial" w:cs="Arial"/>
                <w:b/>
                <w:bCs/>
                <w:i/>
                <w:iCs/>
                <w:color w:val="000000"/>
                <w:sz w:val="20"/>
                <w:szCs w:val="20"/>
              </w:rPr>
              <w:t>2.686.287,61</w:t>
            </w:r>
          </w:p>
        </w:tc>
      </w:tr>
      <w:tr w:rsidR="002778FD" w:rsidRPr="000020F0" w14:paraId="4A11BE78"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E666AE4" w14:textId="650E697C"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Strokovni nadzor</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7A1F8611" w14:textId="740AEE64"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66.056,25</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266720D4" w14:textId="5A832E3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2,02%</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5D633929" w14:textId="5CB6C76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14.532,38</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4294B30F" w14:textId="3E83148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80.588,63</w:t>
            </w:r>
          </w:p>
        </w:tc>
      </w:tr>
      <w:tr w:rsidR="002778FD" w:rsidRPr="000020F0" w14:paraId="1ACB8732"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5C4CC73" w14:textId="7E257111"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lastRenderedPageBreak/>
              <w:t>Projektna dokumentacija</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09E41CDD" w14:textId="3C64BB1C"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105.095,33</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0F340FE6" w14:textId="42C85AD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3,21%</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5B529437" w14:textId="0AD0DD6D"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23.120,97</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0A0CDB86" w14:textId="5A239D0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128.216,30</w:t>
            </w:r>
          </w:p>
        </w:tc>
      </w:tr>
      <w:tr w:rsidR="002778FD" w:rsidRPr="000020F0" w14:paraId="4199C8B8"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D0E55E5" w14:textId="412EB2E0"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Svetovalni inženiring</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7A01E5AA" w14:textId="537A759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22.018,75</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35D4A2CB" w14:textId="5796B5F8"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0,67%</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39761F49" w14:textId="7D750E7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4.844,13</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039B0FAF" w14:textId="748F38E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26.862,88</w:t>
            </w:r>
          </w:p>
        </w:tc>
      </w:tr>
      <w:tr w:rsidR="002778FD" w:rsidRPr="000020F0" w14:paraId="6C543D7C" w14:textId="77777777" w:rsidTr="0059048C">
        <w:trPr>
          <w:trHeight w:val="300"/>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43B614AF" w14:textId="21D16882"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Obveščanje javnosti</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3B444F3F" w14:textId="7F3AA264"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4.098,36</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46A0FD47" w14:textId="279939B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0,13%</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29215B05" w14:textId="09C168C5"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901,64</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7FAD9A91" w14:textId="46C60874"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5.000,00</w:t>
            </w:r>
          </w:p>
        </w:tc>
      </w:tr>
      <w:tr w:rsidR="002778FD" w:rsidRPr="000020F0" w14:paraId="1F67FC5C"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6C7A080" w14:textId="31C3E9CB"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6365426A" w14:textId="7116038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21.650,00</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3EB1B659" w14:textId="02854F14"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0,66%</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42AD4601" w14:textId="1A050A2F"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4.763,00</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0C636DC2" w14:textId="7F6809E5"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26.413,00</w:t>
            </w:r>
          </w:p>
        </w:tc>
      </w:tr>
      <w:tr w:rsidR="002778FD" w:rsidRPr="000020F0" w14:paraId="6AD2F074"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3492165" w14:textId="0F4796C9"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Stroški varnosti pri delu</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579326F0" w14:textId="173490AA"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6.979,18</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434999C8" w14:textId="1D226B56"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0,21%</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799D6A44" w14:textId="6099E48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1.535,42</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2702A006" w14:textId="003F2BE7"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8.514,60</w:t>
            </w:r>
          </w:p>
        </w:tc>
      </w:tr>
      <w:tr w:rsidR="002778FD" w:rsidRPr="000020F0" w14:paraId="6F0750DB"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95F70ED" w14:textId="6BF4B57D"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Arheologija</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1D7C0566" w14:textId="233E0C3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15.011,81</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39E7D09A" w14:textId="57E2D3F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0,46%</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0D3A86C7" w14:textId="705E695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3.302,60</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19514A2D" w14:textId="3AF23EDD"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18.314,41</w:t>
            </w:r>
          </w:p>
        </w:tc>
      </w:tr>
      <w:tr w:rsidR="002778FD" w:rsidRPr="000020F0" w14:paraId="55D6A8EC"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6B5D314" w14:textId="2E796FB7"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086F60F0" w14:textId="646A5E8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3.280,00</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33E69348" w14:textId="3929C205"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0,10%</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2FACFE8F" w14:textId="63DC133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721,60</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1AAE7FC7" w14:textId="322B9682"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4.001,60</w:t>
            </w:r>
          </w:p>
        </w:tc>
      </w:tr>
      <w:tr w:rsidR="002778FD" w:rsidRPr="000020F0" w14:paraId="11292369"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71B3AA1" w14:textId="3E128878"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Nakup nepremičnine</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5AA5049C" w14:textId="6BDDDD4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280.000,00</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07AEB183" w14:textId="2E43867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8,54%</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53DCA416" w14:textId="01E03CD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0,00</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528FD45B" w14:textId="7AC0D5E7"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280.000,00</w:t>
            </w:r>
          </w:p>
        </w:tc>
      </w:tr>
      <w:tr w:rsidR="002778FD" w:rsidRPr="000020F0" w14:paraId="3BD0C45F" w14:textId="77777777" w:rsidTr="0059048C">
        <w:trPr>
          <w:trHeight w:val="300"/>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2402C9D" w14:textId="37B92BBB"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Druga dela ob rušenju objekta (neobdavčeno)</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22FC6917" w14:textId="10F5097F"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776,00</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48585A1E" w14:textId="1D1F9A0F"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0,02%</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008604AC" w14:textId="431726B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0,00</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306DF0CF" w14:textId="1C23C32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776,00</w:t>
            </w:r>
          </w:p>
        </w:tc>
      </w:tr>
      <w:tr w:rsidR="002778FD" w:rsidRPr="000020F0" w14:paraId="017AFE41" w14:textId="77777777" w:rsidTr="0059048C">
        <w:trPr>
          <w:trHeight w:val="300"/>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530A3542" w14:textId="5A25C40F"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Druga dela ob rušenju objekta (9,5% DDV)</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49AA04BC" w14:textId="15092603"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545,96</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1A847F62" w14:textId="026B291C"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0,02%</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68179955" w14:textId="0C86D5CB"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51,87</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6C623DB3" w14:textId="2CFEF64D"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597,83</w:t>
            </w:r>
          </w:p>
        </w:tc>
      </w:tr>
      <w:tr w:rsidR="002778FD" w:rsidRPr="000020F0" w14:paraId="313AB0EC" w14:textId="77777777" w:rsidTr="0059048C">
        <w:trPr>
          <w:trHeight w:val="300"/>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6678C699" w14:textId="2B2DFE3F"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Druga dela ob rušenju objekta</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4267C442" w14:textId="1AF4CE6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5.483,07</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21E0F3C4" w14:textId="1A010878"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0,17%</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4DF46D3C" w14:textId="2CC052DB"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1.206,28</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350F7821" w14:textId="0AB1B48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6.689,35</w:t>
            </w:r>
          </w:p>
        </w:tc>
      </w:tr>
      <w:tr w:rsidR="002778FD" w:rsidRPr="000020F0" w14:paraId="663E9C36"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3A21B10" w14:textId="1B2EAD95"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Vpis v kataster</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6CF4F9AB" w14:textId="09E1D083"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930,55</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0D1B128E" w14:textId="69D5BF87"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0,03%</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62A387C2" w14:textId="4BDD92C6"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204,72</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369C03D4" w14:textId="5FD6CACF"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1.135,27</w:t>
            </w:r>
          </w:p>
        </w:tc>
      </w:tr>
      <w:tr w:rsidR="002778FD" w:rsidRPr="000020F0" w14:paraId="0410E73B"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695859B" w14:textId="0AF513B9"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Geodetski načrt</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513353B1" w14:textId="31313CA6"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2.261,75</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391E7E1D" w14:textId="4EA1C7C0"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0,07%</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61D8E15F" w14:textId="4DEBE798"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497,59</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584AD440" w14:textId="73141CD3"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2.759,34</w:t>
            </w:r>
          </w:p>
        </w:tc>
      </w:tr>
      <w:tr w:rsidR="002778FD" w:rsidRPr="000020F0" w14:paraId="7716F737"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7836ECB" w14:textId="2E282985"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Baza cestnih podatkov</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283E299B" w14:textId="4A25FAF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819,67</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73CEDA33" w14:textId="54AC3F51"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0,03%</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6195CDE3" w14:textId="4F54040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180,33</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4B0864F1" w14:textId="75AE8A29"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1.000,00</w:t>
            </w:r>
          </w:p>
        </w:tc>
      </w:tr>
      <w:tr w:rsidR="002778FD" w:rsidRPr="000020F0" w14:paraId="6CF12A19"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4716E507" w14:textId="7ED16E73" w:rsidR="002778FD" w:rsidRPr="000020F0" w:rsidRDefault="002778FD" w:rsidP="002778FD">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88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45D14AF" w14:textId="328173EF"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2.736.881,76</w:t>
            </w:r>
          </w:p>
        </w:tc>
        <w:tc>
          <w:tcPr>
            <w:tcW w:w="51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1EF60EF" w14:textId="37252BC6"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83,51%</w:t>
            </w:r>
          </w:p>
        </w:tc>
        <w:tc>
          <w:tcPr>
            <w:tcW w:w="664"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7665EC2" w14:textId="192EE36D"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540.275,06</w:t>
            </w:r>
          </w:p>
        </w:tc>
        <w:tc>
          <w:tcPr>
            <w:tcW w:w="735"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D4DF938" w14:textId="04C94589"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3.277.156,82</w:t>
            </w:r>
          </w:p>
        </w:tc>
      </w:tr>
      <w:tr w:rsidR="002778FD" w:rsidRPr="000020F0" w14:paraId="49BEE53D"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AE8EB41" w14:textId="38BACBE1"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Davek na dodano vrednost</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5496054A" w14:textId="4C69ABF2"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540.275,01</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1A55B849" w14:textId="5E09C3D6"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16,49%</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658B782C" w14:textId="2D3C9CB3"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540.275,06</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328E1DE8" w14:textId="007DF562"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 </w:t>
            </w:r>
          </w:p>
        </w:tc>
      </w:tr>
      <w:tr w:rsidR="002778FD" w:rsidRPr="000020F0" w14:paraId="02B9781E" w14:textId="77777777" w:rsidTr="0059048C">
        <w:trPr>
          <w:trHeight w:val="285"/>
        </w:trPr>
        <w:tc>
          <w:tcPr>
            <w:tcW w:w="2204"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B6D3B10" w14:textId="2D33CAB4"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883" w:type="pct"/>
            <w:tcBorders>
              <w:top w:val="nil"/>
              <w:left w:val="nil"/>
              <w:bottom w:val="single" w:sz="4" w:space="0" w:color="auto"/>
              <w:right w:val="single" w:sz="4" w:space="0" w:color="auto"/>
            </w:tcBorders>
            <w:noWrap/>
            <w:tcMar>
              <w:left w:w="28" w:type="dxa"/>
              <w:right w:w="28" w:type="dxa"/>
            </w:tcMar>
            <w:vAlign w:val="bottom"/>
            <w:hideMark/>
          </w:tcPr>
          <w:p w14:paraId="687FAFD9" w14:textId="4FB100DE"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21.362,57</w:t>
            </w:r>
          </w:p>
        </w:tc>
        <w:tc>
          <w:tcPr>
            <w:tcW w:w="513" w:type="pct"/>
            <w:tcBorders>
              <w:top w:val="nil"/>
              <w:left w:val="nil"/>
              <w:bottom w:val="single" w:sz="4" w:space="0" w:color="auto"/>
              <w:right w:val="single" w:sz="4" w:space="0" w:color="auto"/>
            </w:tcBorders>
            <w:noWrap/>
            <w:tcMar>
              <w:left w:w="28" w:type="dxa"/>
              <w:right w:w="28" w:type="dxa"/>
            </w:tcMar>
            <w:vAlign w:val="bottom"/>
            <w:hideMark/>
          </w:tcPr>
          <w:p w14:paraId="058A0C46" w14:textId="11B23A12" w:rsidR="002778FD" w:rsidRPr="000020F0" w:rsidRDefault="002778FD" w:rsidP="002778FD">
            <w:pPr>
              <w:jc w:val="right"/>
              <w:rPr>
                <w:rFonts w:ascii="Arial" w:hAnsi="Arial" w:cs="Arial"/>
                <w:color w:val="000000"/>
                <w:sz w:val="20"/>
                <w:szCs w:val="20"/>
              </w:rPr>
            </w:pPr>
            <w:r w:rsidRPr="000020F0">
              <w:rPr>
                <w:rFonts w:ascii="Arial" w:hAnsi="Arial" w:cs="Arial"/>
                <w:color w:val="000000"/>
                <w:sz w:val="20"/>
                <w:szCs w:val="20"/>
              </w:rPr>
              <w:t>0,65%</w:t>
            </w:r>
          </w:p>
        </w:tc>
        <w:tc>
          <w:tcPr>
            <w:tcW w:w="664" w:type="pct"/>
            <w:tcBorders>
              <w:top w:val="nil"/>
              <w:left w:val="nil"/>
              <w:bottom w:val="single" w:sz="4" w:space="0" w:color="auto"/>
              <w:right w:val="single" w:sz="4" w:space="0" w:color="auto"/>
            </w:tcBorders>
            <w:noWrap/>
            <w:tcMar>
              <w:left w:w="28" w:type="dxa"/>
              <w:right w:w="28" w:type="dxa"/>
            </w:tcMar>
            <w:vAlign w:val="bottom"/>
            <w:hideMark/>
          </w:tcPr>
          <w:p w14:paraId="1C059740" w14:textId="77549117"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 </w:t>
            </w:r>
          </w:p>
        </w:tc>
        <w:tc>
          <w:tcPr>
            <w:tcW w:w="735" w:type="pct"/>
            <w:tcBorders>
              <w:top w:val="nil"/>
              <w:left w:val="nil"/>
              <w:bottom w:val="single" w:sz="4" w:space="0" w:color="auto"/>
              <w:right w:val="single" w:sz="4" w:space="0" w:color="auto"/>
            </w:tcBorders>
            <w:noWrap/>
            <w:tcMar>
              <w:left w:w="28" w:type="dxa"/>
              <w:right w:w="28" w:type="dxa"/>
            </w:tcMar>
            <w:vAlign w:val="bottom"/>
            <w:hideMark/>
          </w:tcPr>
          <w:p w14:paraId="1D88201C" w14:textId="2E249D99" w:rsidR="002778FD" w:rsidRPr="000020F0" w:rsidRDefault="002778FD" w:rsidP="002778FD">
            <w:pPr>
              <w:rPr>
                <w:rFonts w:ascii="Arial" w:hAnsi="Arial" w:cs="Arial"/>
                <w:color w:val="000000"/>
                <w:sz w:val="20"/>
                <w:szCs w:val="20"/>
              </w:rPr>
            </w:pPr>
            <w:r w:rsidRPr="000020F0">
              <w:rPr>
                <w:rFonts w:ascii="Arial" w:hAnsi="Arial" w:cs="Arial"/>
                <w:color w:val="000000"/>
                <w:sz w:val="20"/>
                <w:szCs w:val="20"/>
              </w:rPr>
              <w:t> </w:t>
            </w:r>
          </w:p>
        </w:tc>
      </w:tr>
      <w:tr w:rsidR="002778FD" w:rsidRPr="000020F0" w14:paraId="35FA8F1F"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2041C907" w14:textId="2982E81D" w:rsidR="002778FD" w:rsidRPr="000020F0" w:rsidRDefault="002778FD" w:rsidP="002778FD">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88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6C9D8E1" w14:textId="4FF6A7A7"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51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891F738" w14:textId="14E56B92"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664"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72C6041F" w14:textId="368BD7D5"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540.275,06</w:t>
            </w:r>
          </w:p>
        </w:tc>
        <w:tc>
          <w:tcPr>
            <w:tcW w:w="735"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3198FEDE" w14:textId="184BEAF8"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3.277.156,82</w:t>
            </w:r>
          </w:p>
        </w:tc>
      </w:tr>
      <w:tr w:rsidR="002778FD" w:rsidRPr="000020F0" w14:paraId="438EDF03" w14:textId="77777777" w:rsidTr="0059048C">
        <w:trPr>
          <w:trHeight w:val="300"/>
        </w:trPr>
        <w:tc>
          <w:tcPr>
            <w:tcW w:w="2204"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68517AF1" w14:textId="1AA99BD9" w:rsidR="002778FD" w:rsidRPr="000020F0" w:rsidRDefault="002778FD" w:rsidP="002778FD">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88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8E651DC" w14:textId="7F555200"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3.255.794,20</w:t>
            </w:r>
          </w:p>
        </w:tc>
        <w:tc>
          <w:tcPr>
            <w:tcW w:w="513"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6DF2463" w14:textId="03E76C89"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99,35%</w:t>
            </w:r>
          </w:p>
        </w:tc>
        <w:tc>
          <w:tcPr>
            <w:tcW w:w="664"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4983BE09" w14:textId="651B14E4"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735"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E1E3177" w14:textId="4665C56A" w:rsidR="002778FD" w:rsidRPr="000020F0" w:rsidRDefault="002778FD" w:rsidP="002778FD">
            <w:pPr>
              <w:jc w:val="right"/>
              <w:rPr>
                <w:rFonts w:ascii="Arial" w:hAnsi="Arial" w:cs="Arial"/>
                <w:b/>
                <w:bCs/>
                <w:color w:val="000000"/>
                <w:sz w:val="20"/>
                <w:szCs w:val="20"/>
              </w:rPr>
            </w:pPr>
            <w:r w:rsidRPr="000020F0">
              <w:rPr>
                <w:rFonts w:ascii="Arial" w:hAnsi="Arial" w:cs="Arial"/>
                <w:b/>
                <w:bCs/>
                <w:color w:val="000000"/>
                <w:sz w:val="20"/>
                <w:szCs w:val="20"/>
              </w:rPr>
              <w:t>3.255.794,20</w:t>
            </w:r>
          </w:p>
        </w:tc>
      </w:tr>
    </w:tbl>
    <w:p w14:paraId="3B35831E" w14:textId="77777777" w:rsidR="00D1347D" w:rsidRPr="000020F0" w:rsidRDefault="00D1347D" w:rsidP="00BD1D20">
      <w:pPr>
        <w:spacing w:after="120" w:line="276" w:lineRule="auto"/>
        <w:jc w:val="both"/>
        <w:rPr>
          <w:rFonts w:asciiTheme="majorHAnsi" w:hAnsiTheme="majorHAnsi" w:cstheme="majorHAnsi"/>
          <w:sz w:val="22"/>
          <w:szCs w:val="22"/>
        </w:rPr>
      </w:pPr>
    </w:p>
    <w:p w14:paraId="5C36221C" w14:textId="2625DA51" w:rsidR="00421286" w:rsidRPr="000020F0" w:rsidRDefault="00421286" w:rsidP="00421286">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267" w:name="_Toc230882231"/>
      <w:r w:rsidRPr="000020F0">
        <w:rPr>
          <w:rFonts w:asciiTheme="majorHAnsi" w:eastAsiaTheme="majorEastAsia" w:hAnsiTheme="majorHAnsi" w:cstheme="majorHAnsi"/>
          <w:color w:val="244061" w:themeColor="accent1" w:themeShade="80"/>
        </w:rPr>
        <w:t>Vrednost investicije po tekočih cenah</w:t>
      </w:r>
      <w:bookmarkEnd w:id="267"/>
    </w:p>
    <w:p w14:paraId="7195FAD5" w14:textId="54ED2CE6" w:rsidR="00421286" w:rsidRPr="000020F0" w:rsidRDefault="00421286" w:rsidP="00421286">
      <w:pPr>
        <w:spacing w:line="276" w:lineRule="auto"/>
        <w:jc w:val="both"/>
        <w:rPr>
          <w:rFonts w:ascii="Arial" w:hAnsi="Arial" w:cs="Arial"/>
          <w:sz w:val="22"/>
          <w:szCs w:val="22"/>
        </w:rPr>
      </w:pPr>
      <w:r w:rsidRPr="000020F0">
        <w:rPr>
          <w:rFonts w:ascii="Arial" w:hAnsi="Arial" w:cs="Arial"/>
          <w:sz w:val="22"/>
          <w:szCs w:val="22"/>
        </w:rPr>
        <w:t>Ker se planira izvedba investicije v roku daljšem od enega leta je izveden preračun iz stalnih v tekoče cene ob upoštevanju povprečne napovedi inflacije povzete po Pomladanski napovedi UMAR-ja, ki znaša za:</w:t>
      </w:r>
    </w:p>
    <w:p w14:paraId="1162490F" w14:textId="31CA0B7A" w:rsidR="00421286" w:rsidRPr="000020F0" w:rsidRDefault="00421286" w:rsidP="00421286">
      <w:pPr>
        <w:numPr>
          <w:ilvl w:val="1"/>
          <w:numId w:val="85"/>
        </w:numPr>
        <w:spacing w:line="276" w:lineRule="auto"/>
        <w:ind w:left="567"/>
        <w:jc w:val="both"/>
        <w:rPr>
          <w:rFonts w:ascii="Arial" w:hAnsi="Arial" w:cs="Arial"/>
          <w:sz w:val="22"/>
          <w:szCs w:val="22"/>
        </w:rPr>
      </w:pPr>
      <w:r w:rsidRPr="000020F0">
        <w:rPr>
          <w:rFonts w:ascii="Arial" w:hAnsi="Arial" w:cs="Arial"/>
          <w:sz w:val="22"/>
          <w:szCs w:val="22"/>
        </w:rPr>
        <w:t>leto 2027 2,</w:t>
      </w:r>
      <w:r w:rsidR="00852FD3" w:rsidRPr="000020F0">
        <w:rPr>
          <w:rFonts w:ascii="Arial" w:hAnsi="Arial" w:cs="Arial"/>
          <w:sz w:val="22"/>
          <w:szCs w:val="22"/>
        </w:rPr>
        <w:t>2</w:t>
      </w:r>
      <w:r w:rsidRPr="000020F0">
        <w:rPr>
          <w:rFonts w:ascii="Arial" w:hAnsi="Arial" w:cs="Arial"/>
          <w:sz w:val="22"/>
          <w:szCs w:val="22"/>
        </w:rPr>
        <w:t xml:space="preserve"> %</w:t>
      </w:r>
    </w:p>
    <w:p w14:paraId="35430C88" w14:textId="1CBF39C0" w:rsidR="008D4231" w:rsidRPr="000020F0" w:rsidRDefault="008D4231" w:rsidP="00421286">
      <w:pPr>
        <w:numPr>
          <w:ilvl w:val="1"/>
          <w:numId w:val="85"/>
        </w:numPr>
        <w:spacing w:line="276" w:lineRule="auto"/>
        <w:ind w:left="567"/>
        <w:jc w:val="both"/>
        <w:rPr>
          <w:rFonts w:ascii="Arial" w:hAnsi="Arial" w:cs="Arial"/>
          <w:sz w:val="22"/>
          <w:szCs w:val="22"/>
        </w:rPr>
      </w:pPr>
      <w:r w:rsidRPr="000020F0">
        <w:rPr>
          <w:rFonts w:ascii="Arial" w:hAnsi="Arial" w:cs="Arial"/>
          <w:sz w:val="22"/>
          <w:szCs w:val="22"/>
        </w:rPr>
        <w:t>leto 2028 2,1 %</w:t>
      </w:r>
    </w:p>
    <w:p w14:paraId="02997010" w14:textId="018469A5" w:rsidR="00421286" w:rsidRPr="000020F0" w:rsidRDefault="00421286" w:rsidP="00421286">
      <w:pPr>
        <w:numPr>
          <w:ilvl w:val="1"/>
          <w:numId w:val="85"/>
        </w:numPr>
        <w:spacing w:line="276" w:lineRule="auto"/>
        <w:ind w:left="567"/>
        <w:jc w:val="both"/>
        <w:rPr>
          <w:rFonts w:ascii="Arial" w:hAnsi="Arial" w:cs="Arial"/>
          <w:sz w:val="22"/>
          <w:szCs w:val="22"/>
        </w:rPr>
      </w:pPr>
      <w:r w:rsidRPr="000020F0">
        <w:rPr>
          <w:rFonts w:ascii="Arial" w:hAnsi="Arial" w:cs="Arial"/>
          <w:sz w:val="22"/>
          <w:szCs w:val="22"/>
        </w:rPr>
        <w:t xml:space="preserve">ker za </w:t>
      </w:r>
      <w:r w:rsidR="008D4231" w:rsidRPr="000020F0">
        <w:rPr>
          <w:rFonts w:ascii="Arial" w:hAnsi="Arial" w:cs="Arial"/>
          <w:sz w:val="22"/>
          <w:szCs w:val="22"/>
        </w:rPr>
        <w:t>leto</w:t>
      </w:r>
      <w:r w:rsidRPr="000020F0">
        <w:rPr>
          <w:rFonts w:ascii="Arial" w:hAnsi="Arial" w:cs="Arial"/>
          <w:sz w:val="22"/>
          <w:szCs w:val="22"/>
        </w:rPr>
        <w:t xml:space="preserve"> 2029 še ni podane ocene povprečne letne inflacije, smo pri preračunu upoštevali napoved za leto </w:t>
      </w:r>
      <w:r w:rsidR="008D4231" w:rsidRPr="000020F0">
        <w:rPr>
          <w:rFonts w:ascii="Arial" w:hAnsi="Arial" w:cs="Arial"/>
          <w:sz w:val="22"/>
          <w:szCs w:val="22"/>
        </w:rPr>
        <w:t>2028</w:t>
      </w:r>
      <w:r w:rsidRPr="000020F0">
        <w:rPr>
          <w:rFonts w:ascii="Arial" w:hAnsi="Arial" w:cs="Arial"/>
          <w:sz w:val="22"/>
          <w:szCs w:val="22"/>
        </w:rPr>
        <w:t>, tj. 2,1 %.</w:t>
      </w:r>
    </w:p>
    <w:p w14:paraId="1025282F" w14:textId="77777777" w:rsidR="00B63D68" w:rsidRPr="000020F0" w:rsidRDefault="00B63D68" w:rsidP="00B63D68">
      <w:pPr>
        <w:spacing w:line="276" w:lineRule="auto"/>
        <w:jc w:val="both"/>
        <w:rPr>
          <w:rFonts w:ascii="Arial" w:hAnsi="Arial" w:cs="Arial"/>
          <w:sz w:val="22"/>
          <w:szCs w:val="22"/>
        </w:rPr>
      </w:pPr>
    </w:p>
    <w:p w14:paraId="0EF3FBCE" w14:textId="7F518B76" w:rsidR="009C0F06" w:rsidRPr="000020F0" w:rsidRDefault="009C0F06" w:rsidP="00BD1D20">
      <w:pPr>
        <w:pStyle w:val="Napis"/>
        <w:keepNext/>
        <w:spacing w:after="120" w:line="276" w:lineRule="auto"/>
        <w:ind w:left="1410" w:hanging="1410"/>
        <w:jc w:val="both"/>
        <w:rPr>
          <w:rFonts w:asciiTheme="majorHAnsi" w:hAnsiTheme="majorHAnsi" w:cstheme="majorHAnsi"/>
          <w:b w:val="0"/>
          <w:color w:val="auto"/>
          <w:sz w:val="22"/>
          <w:szCs w:val="22"/>
        </w:rPr>
      </w:pPr>
      <w:bookmarkStart w:id="268" w:name="_Toc230882290"/>
      <w:r w:rsidRPr="000020F0">
        <w:rPr>
          <w:rFonts w:asciiTheme="majorHAnsi" w:hAnsiTheme="majorHAnsi" w:cstheme="majorHAnsi"/>
          <w:color w:val="auto"/>
          <w:sz w:val="22"/>
          <w:szCs w:val="22"/>
        </w:rPr>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10</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color w:val="auto"/>
          <w:sz w:val="22"/>
          <w:szCs w:val="22"/>
        </w:rPr>
        <w:t xml:space="preserve"> Prikaz stroškov projekta v </w:t>
      </w:r>
      <w:r w:rsidR="00056C33" w:rsidRPr="000020F0">
        <w:rPr>
          <w:rFonts w:asciiTheme="majorHAnsi" w:hAnsiTheme="majorHAnsi" w:cstheme="majorHAnsi"/>
          <w:b w:val="0"/>
          <w:color w:val="auto"/>
          <w:sz w:val="22"/>
          <w:szCs w:val="22"/>
        </w:rPr>
        <w:t>tekočih</w:t>
      </w:r>
      <w:r w:rsidRPr="000020F0">
        <w:rPr>
          <w:rFonts w:asciiTheme="majorHAnsi" w:hAnsiTheme="majorHAnsi" w:cstheme="majorHAnsi"/>
          <w:b w:val="0"/>
          <w:color w:val="auto"/>
          <w:sz w:val="22"/>
          <w:szCs w:val="22"/>
        </w:rPr>
        <w:t xml:space="preserve"> cenah brez in z DDV (v EUR)</w:t>
      </w:r>
      <w:bookmarkEnd w:id="268"/>
    </w:p>
    <w:tbl>
      <w:tblPr>
        <w:tblW w:w="5185" w:type="pct"/>
        <w:tblCellMar>
          <w:left w:w="70" w:type="dxa"/>
          <w:right w:w="70" w:type="dxa"/>
        </w:tblCellMar>
        <w:tblLook w:val="04A0" w:firstRow="1" w:lastRow="0" w:firstColumn="1" w:lastColumn="0" w:noHBand="0" w:noVBand="1"/>
      </w:tblPr>
      <w:tblGrid>
        <w:gridCol w:w="3964"/>
        <w:gridCol w:w="1417"/>
        <w:gridCol w:w="930"/>
        <w:gridCol w:w="1142"/>
        <w:gridCol w:w="1308"/>
        <w:gridCol w:w="930"/>
      </w:tblGrid>
      <w:tr w:rsidR="00B56649" w:rsidRPr="000020F0" w14:paraId="7ABCD092" w14:textId="77777777" w:rsidTr="00E24775">
        <w:trPr>
          <w:trHeight w:val="284"/>
          <w:tblHeader/>
        </w:trPr>
        <w:tc>
          <w:tcPr>
            <w:tcW w:w="2045" w:type="pct"/>
            <w:tcBorders>
              <w:top w:val="single" w:sz="4" w:space="0" w:color="auto"/>
              <w:left w:val="single" w:sz="4" w:space="0" w:color="auto"/>
              <w:bottom w:val="single" w:sz="4" w:space="0" w:color="auto"/>
              <w:right w:val="single" w:sz="4" w:space="0" w:color="auto"/>
            </w:tcBorders>
            <w:shd w:val="clear" w:color="000000" w:fill="153D64"/>
            <w:vAlign w:val="bottom"/>
            <w:hideMark/>
          </w:tcPr>
          <w:p w14:paraId="0F3E6739"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Postavka</w:t>
            </w:r>
          </w:p>
        </w:tc>
        <w:tc>
          <w:tcPr>
            <w:tcW w:w="731" w:type="pct"/>
            <w:tcBorders>
              <w:top w:val="single" w:sz="4" w:space="0" w:color="auto"/>
              <w:left w:val="nil"/>
              <w:bottom w:val="single" w:sz="4" w:space="0" w:color="auto"/>
              <w:right w:val="single" w:sz="4" w:space="0" w:color="auto"/>
            </w:tcBorders>
            <w:shd w:val="clear" w:color="000000" w:fill="153D64"/>
            <w:noWrap/>
            <w:vAlign w:val="bottom"/>
            <w:hideMark/>
          </w:tcPr>
          <w:p w14:paraId="680AB266"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Vrednost</w:t>
            </w:r>
          </w:p>
        </w:tc>
        <w:tc>
          <w:tcPr>
            <w:tcW w:w="480" w:type="pct"/>
            <w:tcBorders>
              <w:top w:val="single" w:sz="4" w:space="0" w:color="auto"/>
              <w:left w:val="nil"/>
              <w:bottom w:val="single" w:sz="4" w:space="0" w:color="auto"/>
              <w:right w:val="single" w:sz="4" w:space="0" w:color="auto"/>
            </w:tcBorders>
            <w:shd w:val="clear" w:color="000000" w:fill="153D64"/>
            <w:noWrap/>
            <w:vAlign w:val="bottom"/>
            <w:hideMark/>
          </w:tcPr>
          <w:p w14:paraId="7D6AD1D6"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Delež</w:t>
            </w:r>
          </w:p>
        </w:tc>
        <w:tc>
          <w:tcPr>
            <w:tcW w:w="589" w:type="pct"/>
            <w:tcBorders>
              <w:top w:val="single" w:sz="4" w:space="0" w:color="auto"/>
              <w:left w:val="nil"/>
              <w:bottom w:val="single" w:sz="4" w:space="0" w:color="auto"/>
              <w:right w:val="single" w:sz="4" w:space="0" w:color="auto"/>
            </w:tcBorders>
            <w:shd w:val="clear" w:color="000000" w:fill="153D64"/>
            <w:noWrap/>
            <w:vAlign w:val="bottom"/>
            <w:hideMark/>
          </w:tcPr>
          <w:p w14:paraId="0600F655"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DDV</w:t>
            </w:r>
          </w:p>
        </w:tc>
        <w:tc>
          <w:tcPr>
            <w:tcW w:w="675" w:type="pct"/>
            <w:tcBorders>
              <w:top w:val="single" w:sz="4" w:space="0" w:color="auto"/>
              <w:left w:val="nil"/>
              <w:bottom w:val="single" w:sz="4" w:space="0" w:color="auto"/>
              <w:right w:val="single" w:sz="4" w:space="0" w:color="auto"/>
            </w:tcBorders>
            <w:shd w:val="clear" w:color="000000" w:fill="153D64"/>
            <w:noWrap/>
            <w:vAlign w:val="bottom"/>
            <w:hideMark/>
          </w:tcPr>
          <w:p w14:paraId="6DF6CA75"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 xml:space="preserve">Vrednost </w:t>
            </w:r>
          </w:p>
          <w:p w14:paraId="2FC1D175"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z DDV</w:t>
            </w:r>
          </w:p>
        </w:tc>
        <w:tc>
          <w:tcPr>
            <w:tcW w:w="480" w:type="pct"/>
            <w:tcBorders>
              <w:top w:val="single" w:sz="4" w:space="0" w:color="auto"/>
              <w:left w:val="nil"/>
              <w:bottom w:val="single" w:sz="4" w:space="0" w:color="auto"/>
              <w:right w:val="single" w:sz="4" w:space="0" w:color="auto"/>
            </w:tcBorders>
            <w:shd w:val="clear" w:color="000000" w:fill="153D64"/>
            <w:noWrap/>
            <w:vAlign w:val="bottom"/>
            <w:hideMark/>
          </w:tcPr>
          <w:p w14:paraId="398D3F29" w14:textId="77777777" w:rsidR="00B56649" w:rsidRPr="000020F0" w:rsidRDefault="00B56649" w:rsidP="00E24775">
            <w:pPr>
              <w:rPr>
                <w:rFonts w:ascii="Arial" w:hAnsi="Arial" w:cs="Arial"/>
                <w:b/>
                <w:bCs/>
                <w:color w:val="FFFFFF"/>
                <w:sz w:val="20"/>
                <w:szCs w:val="20"/>
              </w:rPr>
            </w:pPr>
            <w:r w:rsidRPr="000020F0">
              <w:rPr>
                <w:rFonts w:ascii="Arial" w:hAnsi="Arial" w:cs="Arial"/>
                <w:b/>
                <w:bCs/>
                <w:color w:val="FFFFFF"/>
                <w:sz w:val="20"/>
                <w:szCs w:val="20"/>
              </w:rPr>
              <w:t>Delež</w:t>
            </w:r>
          </w:p>
        </w:tc>
      </w:tr>
      <w:tr w:rsidR="006A6145" w:rsidRPr="000020F0" w14:paraId="52784958"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389A7896" w14:textId="23E6A2C9"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Govekarjeva cesta</w:t>
            </w:r>
          </w:p>
        </w:tc>
        <w:tc>
          <w:tcPr>
            <w:tcW w:w="731" w:type="pct"/>
            <w:tcBorders>
              <w:top w:val="nil"/>
              <w:left w:val="nil"/>
              <w:bottom w:val="single" w:sz="4" w:space="0" w:color="auto"/>
              <w:right w:val="single" w:sz="4" w:space="0" w:color="auto"/>
            </w:tcBorders>
            <w:noWrap/>
            <w:vAlign w:val="bottom"/>
            <w:hideMark/>
          </w:tcPr>
          <w:p w14:paraId="1910DC99" w14:textId="6CC1CB6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895.239,34</w:t>
            </w:r>
          </w:p>
        </w:tc>
        <w:tc>
          <w:tcPr>
            <w:tcW w:w="480" w:type="pct"/>
            <w:tcBorders>
              <w:top w:val="nil"/>
              <w:left w:val="nil"/>
              <w:bottom w:val="single" w:sz="4" w:space="0" w:color="auto"/>
              <w:right w:val="single" w:sz="4" w:space="0" w:color="auto"/>
            </w:tcBorders>
            <w:noWrap/>
            <w:vAlign w:val="bottom"/>
            <w:hideMark/>
          </w:tcPr>
          <w:p w14:paraId="36EBA5B6" w14:textId="128B45B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26,44%</w:t>
            </w:r>
          </w:p>
        </w:tc>
        <w:tc>
          <w:tcPr>
            <w:tcW w:w="589" w:type="pct"/>
            <w:tcBorders>
              <w:top w:val="nil"/>
              <w:left w:val="nil"/>
              <w:bottom w:val="single" w:sz="4" w:space="0" w:color="auto"/>
              <w:right w:val="single" w:sz="4" w:space="0" w:color="auto"/>
            </w:tcBorders>
            <w:noWrap/>
            <w:vAlign w:val="bottom"/>
            <w:hideMark/>
          </w:tcPr>
          <w:p w14:paraId="0940FF94" w14:textId="269DAC4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196.952,65</w:t>
            </w:r>
          </w:p>
        </w:tc>
        <w:tc>
          <w:tcPr>
            <w:tcW w:w="675" w:type="pct"/>
            <w:tcBorders>
              <w:top w:val="nil"/>
              <w:left w:val="nil"/>
              <w:bottom w:val="single" w:sz="4" w:space="0" w:color="auto"/>
              <w:right w:val="single" w:sz="4" w:space="0" w:color="auto"/>
            </w:tcBorders>
            <w:noWrap/>
            <w:vAlign w:val="bottom"/>
            <w:hideMark/>
          </w:tcPr>
          <w:p w14:paraId="1D9976AF" w14:textId="20F4CF8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1.092.191,99</w:t>
            </w:r>
          </w:p>
        </w:tc>
        <w:tc>
          <w:tcPr>
            <w:tcW w:w="480" w:type="pct"/>
            <w:tcBorders>
              <w:top w:val="nil"/>
              <w:left w:val="nil"/>
              <w:bottom w:val="single" w:sz="4" w:space="0" w:color="auto"/>
              <w:right w:val="single" w:sz="4" w:space="0" w:color="auto"/>
            </w:tcBorders>
            <w:noWrap/>
            <w:vAlign w:val="bottom"/>
            <w:hideMark/>
          </w:tcPr>
          <w:p w14:paraId="236AC79B" w14:textId="107384D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32,26%</w:t>
            </w:r>
          </w:p>
        </w:tc>
      </w:tr>
      <w:tr w:rsidR="006A6145" w:rsidRPr="000020F0" w14:paraId="0329A793"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6BA28C1C" w14:textId="24299C16"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Troštova ulica</w:t>
            </w:r>
          </w:p>
        </w:tc>
        <w:tc>
          <w:tcPr>
            <w:tcW w:w="731" w:type="pct"/>
            <w:tcBorders>
              <w:top w:val="nil"/>
              <w:left w:val="nil"/>
              <w:bottom w:val="single" w:sz="4" w:space="0" w:color="auto"/>
              <w:right w:val="single" w:sz="4" w:space="0" w:color="auto"/>
            </w:tcBorders>
            <w:noWrap/>
            <w:vAlign w:val="bottom"/>
            <w:hideMark/>
          </w:tcPr>
          <w:p w14:paraId="55E5F187" w14:textId="3C4D7F5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51.078,31</w:t>
            </w:r>
          </w:p>
        </w:tc>
        <w:tc>
          <w:tcPr>
            <w:tcW w:w="480" w:type="pct"/>
            <w:tcBorders>
              <w:top w:val="nil"/>
              <w:left w:val="nil"/>
              <w:bottom w:val="single" w:sz="4" w:space="0" w:color="auto"/>
              <w:right w:val="single" w:sz="4" w:space="0" w:color="auto"/>
            </w:tcBorders>
            <w:noWrap/>
            <w:vAlign w:val="bottom"/>
            <w:hideMark/>
          </w:tcPr>
          <w:p w14:paraId="716F9C7C" w14:textId="46392CC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1,51%</w:t>
            </w:r>
          </w:p>
        </w:tc>
        <w:tc>
          <w:tcPr>
            <w:tcW w:w="589" w:type="pct"/>
            <w:tcBorders>
              <w:top w:val="nil"/>
              <w:left w:val="nil"/>
              <w:bottom w:val="single" w:sz="4" w:space="0" w:color="auto"/>
              <w:right w:val="single" w:sz="4" w:space="0" w:color="auto"/>
            </w:tcBorders>
            <w:noWrap/>
            <w:vAlign w:val="bottom"/>
            <w:hideMark/>
          </w:tcPr>
          <w:p w14:paraId="61D33615" w14:textId="5552697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11.237,23</w:t>
            </w:r>
          </w:p>
        </w:tc>
        <w:tc>
          <w:tcPr>
            <w:tcW w:w="675" w:type="pct"/>
            <w:tcBorders>
              <w:top w:val="nil"/>
              <w:left w:val="nil"/>
              <w:bottom w:val="single" w:sz="4" w:space="0" w:color="auto"/>
              <w:right w:val="single" w:sz="4" w:space="0" w:color="auto"/>
            </w:tcBorders>
            <w:noWrap/>
            <w:vAlign w:val="bottom"/>
            <w:hideMark/>
          </w:tcPr>
          <w:p w14:paraId="7ECEB956" w14:textId="3AF3834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62.315,54</w:t>
            </w:r>
          </w:p>
        </w:tc>
        <w:tc>
          <w:tcPr>
            <w:tcW w:w="480" w:type="pct"/>
            <w:tcBorders>
              <w:top w:val="nil"/>
              <w:left w:val="nil"/>
              <w:bottom w:val="single" w:sz="4" w:space="0" w:color="auto"/>
              <w:right w:val="single" w:sz="4" w:space="0" w:color="auto"/>
            </w:tcBorders>
            <w:noWrap/>
            <w:vAlign w:val="bottom"/>
            <w:hideMark/>
          </w:tcPr>
          <w:p w14:paraId="5BA92628" w14:textId="295B806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1,84%</w:t>
            </w:r>
          </w:p>
        </w:tc>
      </w:tr>
      <w:tr w:rsidR="006A6145" w:rsidRPr="000020F0" w14:paraId="045B897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700E5A1D" w14:textId="64E316B0"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731" w:type="pct"/>
            <w:tcBorders>
              <w:top w:val="nil"/>
              <w:left w:val="nil"/>
              <w:bottom w:val="single" w:sz="4" w:space="0" w:color="auto"/>
              <w:right w:val="single" w:sz="4" w:space="0" w:color="auto"/>
            </w:tcBorders>
            <w:noWrap/>
            <w:vAlign w:val="bottom"/>
            <w:hideMark/>
          </w:tcPr>
          <w:p w14:paraId="71A3EEB7" w14:textId="23922D7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62.607,72</w:t>
            </w:r>
          </w:p>
        </w:tc>
        <w:tc>
          <w:tcPr>
            <w:tcW w:w="480" w:type="pct"/>
            <w:tcBorders>
              <w:top w:val="nil"/>
              <w:left w:val="nil"/>
              <w:bottom w:val="single" w:sz="4" w:space="0" w:color="auto"/>
              <w:right w:val="single" w:sz="4" w:space="0" w:color="auto"/>
            </w:tcBorders>
            <w:noWrap/>
            <w:vAlign w:val="bottom"/>
            <w:hideMark/>
          </w:tcPr>
          <w:p w14:paraId="3909CDB4" w14:textId="13D985D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1,85%</w:t>
            </w:r>
          </w:p>
        </w:tc>
        <w:tc>
          <w:tcPr>
            <w:tcW w:w="589" w:type="pct"/>
            <w:tcBorders>
              <w:top w:val="nil"/>
              <w:left w:val="nil"/>
              <w:bottom w:val="single" w:sz="4" w:space="0" w:color="auto"/>
              <w:right w:val="single" w:sz="4" w:space="0" w:color="auto"/>
            </w:tcBorders>
            <w:noWrap/>
            <w:vAlign w:val="bottom"/>
            <w:hideMark/>
          </w:tcPr>
          <w:p w14:paraId="48254988" w14:textId="086BAA3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13.773,70</w:t>
            </w:r>
          </w:p>
        </w:tc>
        <w:tc>
          <w:tcPr>
            <w:tcW w:w="675" w:type="pct"/>
            <w:tcBorders>
              <w:top w:val="nil"/>
              <w:left w:val="nil"/>
              <w:bottom w:val="single" w:sz="4" w:space="0" w:color="auto"/>
              <w:right w:val="single" w:sz="4" w:space="0" w:color="auto"/>
            </w:tcBorders>
            <w:noWrap/>
            <w:vAlign w:val="bottom"/>
            <w:hideMark/>
          </w:tcPr>
          <w:p w14:paraId="5982C9C3" w14:textId="59093A1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76.381,42</w:t>
            </w:r>
          </w:p>
        </w:tc>
        <w:tc>
          <w:tcPr>
            <w:tcW w:w="480" w:type="pct"/>
            <w:tcBorders>
              <w:top w:val="nil"/>
              <w:left w:val="nil"/>
              <w:bottom w:val="single" w:sz="4" w:space="0" w:color="auto"/>
              <w:right w:val="single" w:sz="4" w:space="0" w:color="auto"/>
            </w:tcBorders>
            <w:noWrap/>
            <w:vAlign w:val="bottom"/>
            <w:hideMark/>
          </w:tcPr>
          <w:p w14:paraId="09831223" w14:textId="6E5D83B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2,26%</w:t>
            </w:r>
          </w:p>
        </w:tc>
      </w:tr>
      <w:tr w:rsidR="006A6145" w:rsidRPr="000020F0" w14:paraId="481B0BF7"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46B4FE95" w14:textId="34A200B6"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731" w:type="pct"/>
            <w:tcBorders>
              <w:top w:val="nil"/>
              <w:left w:val="nil"/>
              <w:bottom w:val="single" w:sz="4" w:space="0" w:color="auto"/>
              <w:right w:val="single" w:sz="4" w:space="0" w:color="auto"/>
            </w:tcBorders>
            <w:noWrap/>
            <w:vAlign w:val="bottom"/>
            <w:hideMark/>
          </w:tcPr>
          <w:p w14:paraId="289772FF" w14:textId="03249E3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43.381,22</w:t>
            </w:r>
          </w:p>
        </w:tc>
        <w:tc>
          <w:tcPr>
            <w:tcW w:w="480" w:type="pct"/>
            <w:tcBorders>
              <w:top w:val="nil"/>
              <w:left w:val="nil"/>
              <w:bottom w:val="single" w:sz="4" w:space="0" w:color="auto"/>
              <w:right w:val="single" w:sz="4" w:space="0" w:color="auto"/>
            </w:tcBorders>
            <w:noWrap/>
            <w:vAlign w:val="bottom"/>
            <w:hideMark/>
          </w:tcPr>
          <w:p w14:paraId="55236472" w14:textId="0C798C0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1,28%</w:t>
            </w:r>
          </w:p>
        </w:tc>
        <w:tc>
          <w:tcPr>
            <w:tcW w:w="589" w:type="pct"/>
            <w:tcBorders>
              <w:top w:val="nil"/>
              <w:left w:val="nil"/>
              <w:bottom w:val="single" w:sz="4" w:space="0" w:color="auto"/>
              <w:right w:val="single" w:sz="4" w:space="0" w:color="auto"/>
            </w:tcBorders>
            <w:noWrap/>
            <w:vAlign w:val="bottom"/>
            <w:hideMark/>
          </w:tcPr>
          <w:p w14:paraId="49D15204" w14:textId="133B253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9.543,87</w:t>
            </w:r>
          </w:p>
        </w:tc>
        <w:tc>
          <w:tcPr>
            <w:tcW w:w="675" w:type="pct"/>
            <w:tcBorders>
              <w:top w:val="nil"/>
              <w:left w:val="nil"/>
              <w:bottom w:val="single" w:sz="4" w:space="0" w:color="auto"/>
              <w:right w:val="single" w:sz="4" w:space="0" w:color="auto"/>
            </w:tcBorders>
            <w:noWrap/>
            <w:vAlign w:val="bottom"/>
            <w:hideMark/>
          </w:tcPr>
          <w:p w14:paraId="7E442CCE" w14:textId="7DAE2B7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52.925,09</w:t>
            </w:r>
          </w:p>
        </w:tc>
        <w:tc>
          <w:tcPr>
            <w:tcW w:w="480" w:type="pct"/>
            <w:tcBorders>
              <w:top w:val="nil"/>
              <w:left w:val="nil"/>
              <w:bottom w:val="single" w:sz="4" w:space="0" w:color="auto"/>
              <w:right w:val="single" w:sz="4" w:space="0" w:color="auto"/>
            </w:tcBorders>
            <w:noWrap/>
            <w:vAlign w:val="bottom"/>
            <w:hideMark/>
          </w:tcPr>
          <w:p w14:paraId="1877D45F" w14:textId="577ACAA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1,56%</w:t>
            </w:r>
          </w:p>
        </w:tc>
      </w:tr>
      <w:tr w:rsidR="006A6145" w:rsidRPr="000020F0" w14:paraId="6C896BA0"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0A6D932" w14:textId="7121F320"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731" w:type="pct"/>
            <w:tcBorders>
              <w:top w:val="nil"/>
              <w:left w:val="nil"/>
              <w:bottom w:val="single" w:sz="4" w:space="0" w:color="auto"/>
              <w:right w:val="single" w:sz="4" w:space="0" w:color="auto"/>
            </w:tcBorders>
            <w:noWrap/>
            <w:vAlign w:val="bottom"/>
            <w:hideMark/>
          </w:tcPr>
          <w:p w14:paraId="2BE74488" w14:textId="25AA100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14.050,12</w:t>
            </w:r>
          </w:p>
        </w:tc>
        <w:tc>
          <w:tcPr>
            <w:tcW w:w="480" w:type="pct"/>
            <w:tcBorders>
              <w:top w:val="nil"/>
              <w:left w:val="nil"/>
              <w:bottom w:val="single" w:sz="4" w:space="0" w:color="auto"/>
              <w:right w:val="single" w:sz="4" w:space="0" w:color="auto"/>
            </w:tcBorders>
            <w:noWrap/>
            <w:vAlign w:val="bottom"/>
            <w:hideMark/>
          </w:tcPr>
          <w:p w14:paraId="623CE86D" w14:textId="72BE8C0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0,41%</w:t>
            </w:r>
          </w:p>
        </w:tc>
        <w:tc>
          <w:tcPr>
            <w:tcW w:w="589" w:type="pct"/>
            <w:tcBorders>
              <w:top w:val="nil"/>
              <w:left w:val="nil"/>
              <w:bottom w:val="single" w:sz="4" w:space="0" w:color="auto"/>
              <w:right w:val="single" w:sz="4" w:space="0" w:color="auto"/>
            </w:tcBorders>
            <w:noWrap/>
            <w:vAlign w:val="bottom"/>
            <w:hideMark/>
          </w:tcPr>
          <w:p w14:paraId="55AD8154" w14:textId="3A7A41C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3.091,03</w:t>
            </w:r>
          </w:p>
        </w:tc>
        <w:tc>
          <w:tcPr>
            <w:tcW w:w="675" w:type="pct"/>
            <w:tcBorders>
              <w:top w:val="nil"/>
              <w:left w:val="nil"/>
              <w:bottom w:val="single" w:sz="4" w:space="0" w:color="auto"/>
              <w:right w:val="single" w:sz="4" w:space="0" w:color="auto"/>
            </w:tcBorders>
            <w:noWrap/>
            <w:vAlign w:val="bottom"/>
            <w:hideMark/>
          </w:tcPr>
          <w:p w14:paraId="7C474449" w14:textId="15D34F7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17.141,15</w:t>
            </w:r>
          </w:p>
        </w:tc>
        <w:tc>
          <w:tcPr>
            <w:tcW w:w="480" w:type="pct"/>
            <w:tcBorders>
              <w:top w:val="nil"/>
              <w:left w:val="nil"/>
              <w:bottom w:val="single" w:sz="4" w:space="0" w:color="auto"/>
              <w:right w:val="single" w:sz="4" w:space="0" w:color="auto"/>
            </w:tcBorders>
            <w:noWrap/>
            <w:vAlign w:val="bottom"/>
            <w:hideMark/>
          </w:tcPr>
          <w:p w14:paraId="55139D61" w14:textId="10163E2D"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0,51%</w:t>
            </w:r>
          </w:p>
        </w:tc>
      </w:tr>
      <w:tr w:rsidR="006A6145" w:rsidRPr="000020F0" w14:paraId="2F1F511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6EF2CDB6" w14:textId="111CE153"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731" w:type="pct"/>
            <w:tcBorders>
              <w:top w:val="nil"/>
              <w:left w:val="nil"/>
              <w:bottom w:val="single" w:sz="4" w:space="0" w:color="auto"/>
              <w:right w:val="single" w:sz="4" w:space="0" w:color="auto"/>
            </w:tcBorders>
            <w:noWrap/>
            <w:vAlign w:val="bottom"/>
            <w:hideMark/>
          </w:tcPr>
          <w:p w14:paraId="73CAB13B" w14:textId="217EBF8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9.955,57</w:t>
            </w:r>
          </w:p>
        </w:tc>
        <w:tc>
          <w:tcPr>
            <w:tcW w:w="480" w:type="pct"/>
            <w:tcBorders>
              <w:top w:val="nil"/>
              <w:left w:val="nil"/>
              <w:bottom w:val="single" w:sz="4" w:space="0" w:color="auto"/>
              <w:right w:val="single" w:sz="4" w:space="0" w:color="auto"/>
            </w:tcBorders>
            <w:noWrap/>
            <w:vAlign w:val="bottom"/>
            <w:hideMark/>
          </w:tcPr>
          <w:p w14:paraId="41FE16D9" w14:textId="15FE0B1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0,29%</w:t>
            </w:r>
          </w:p>
        </w:tc>
        <w:tc>
          <w:tcPr>
            <w:tcW w:w="589" w:type="pct"/>
            <w:tcBorders>
              <w:top w:val="nil"/>
              <w:left w:val="nil"/>
              <w:bottom w:val="single" w:sz="4" w:space="0" w:color="auto"/>
              <w:right w:val="single" w:sz="4" w:space="0" w:color="auto"/>
            </w:tcBorders>
            <w:noWrap/>
            <w:vAlign w:val="bottom"/>
            <w:hideMark/>
          </w:tcPr>
          <w:p w14:paraId="4BBF6AC2" w14:textId="629891F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2.190,22</w:t>
            </w:r>
          </w:p>
        </w:tc>
        <w:tc>
          <w:tcPr>
            <w:tcW w:w="675" w:type="pct"/>
            <w:tcBorders>
              <w:top w:val="nil"/>
              <w:left w:val="nil"/>
              <w:bottom w:val="single" w:sz="4" w:space="0" w:color="auto"/>
              <w:right w:val="single" w:sz="4" w:space="0" w:color="auto"/>
            </w:tcBorders>
            <w:noWrap/>
            <w:vAlign w:val="bottom"/>
            <w:hideMark/>
          </w:tcPr>
          <w:p w14:paraId="096F6BD9" w14:textId="79E83EB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12.145,79</w:t>
            </w:r>
          </w:p>
        </w:tc>
        <w:tc>
          <w:tcPr>
            <w:tcW w:w="480" w:type="pct"/>
            <w:tcBorders>
              <w:top w:val="nil"/>
              <w:left w:val="nil"/>
              <w:bottom w:val="single" w:sz="4" w:space="0" w:color="auto"/>
              <w:right w:val="single" w:sz="4" w:space="0" w:color="auto"/>
            </w:tcBorders>
            <w:noWrap/>
            <w:vAlign w:val="bottom"/>
            <w:hideMark/>
          </w:tcPr>
          <w:p w14:paraId="12890F5E" w14:textId="5B8C049D"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0,36%</w:t>
            </w:r>
          </w:p>
        </w:tc>
      </w:tr>
      <w:tr w:rsidR="006A6145" w:rsidRPr="000020F0" w14:paraId="56ECEEB0"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F76547D" w14:textId="5645A1E7"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xml:space="preserve">Parkirišča za kolesa - </w:t>
            </w:r>
            <w:proofErr w:type="spellStart"/>
            <w:r w:rsidR="00E0349A" w:rsidRPr="000020F0">
              <w:rPr>
                <w:rFonts w:ascii="Arial" w:hAnsi="Arial" w:cs="Arial"/>
                <w:color w:val="000000"/>
                <w:sz w:val="20"/>
                <w:szCs w:val="20"/>
              </w:rPr>
              <w:t>kaplanijakaplanija</w:t>
            </w:r>
            <w:proofErr w:type="spellEnd"/>
          </w:p>
        </w:tc>
        <w:tc>
          <w:tcPr>
            <w:tcW w:w="731" w:type="pct"/>
            <w:tcBorders>
              <w:top w:val="nil"/>
              <w:left w:val="nil"/>
              <w:bottom w:val="single" w:sz="4" w:space="0" w:color="auto"/>
              <w:right w:val="single" w:sz="4" w:space="0" w:color="auto"/>
            </w:tcBorders>
            <w:noWrap/>
            <w:vAlign w:val="bottom"/>
            <w:hideMark/>
          </w:tcPr>
          <w:p w14:paraId="599432A6" w14:textId="1AA4FA3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9.955,57</w:t>
            </w:r>
          </w:p>
        </w:tc>
        <w:tc>
          <w:tcPr>
            <w:tcW w:w="480" w:type="pct"/>
            <w:tcBorders>
              <w:top w:val="nil"/>
              <w:left w:val="nil"/>
              <w:bottom w:val="single" w:sz="4" w:space="0" w:color="auto"/>
              <w:right w:val="single" w:sz="4" w:space="0" w:color="auto"/>
            </w:tcBorders>
            <w:noWrap/>
            <w:vAlign w:val="bottom"/>
            <w:hideMark/>
          </w:tcPr>
          <w:p w14:paraId="2567F215" w14:textId="7BA0680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0,29%</w:t>
            </w:r>
          </w:p>
        </w:tc>
        <w:tc>
          <w:tcPr>
            <w:tcW w:w="589" w:type="pct"/>
            <w:tcBorders>
              <w:top w:val="nil"/>
              <w:left w:val="nil"/>
              <w:bottom w:val="single" w:sz="4" w:space="0" w:color="auto"/>
              <w:right w:val="single" w:sz="4" w:space="0" w:color="auto"/>
            </w:tcBorders>
            <w:noWrap/>
            <w:vAlign w:val="bottom"/>
            <w:hideMark/>
          </w:tcPr>
          <w:p w14:paraId="1FBED910" w14:textId="34E6684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2.190,22</w:t>
            </w:r>
          </w:p>
        </w:tc>
        <w:tc>
          <w:tcPr>
            <w:tcW w:w="675" w:type="pct"/>
            <w:tcBorders>
              <w:top w:val="nil"/>
              <w:left w:val="nil"/>
              <w:bottom w:val="single" w:sz="4" w:space="0" w:color="auto"/>
              <w:right w:val="single" w:sz="4" w:space="0" w:color="auto"/>
            </w:tcBorders>
            <w:noWrap/>
            <w:vAlign w:val="bottom"/>
            <w:hideMark/>
          </w:tcPr>
          <w:p w14:paraId="7799EE96" w14:textId="1BDC76F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12.145,79</w:t>
            </w:r>
          </w:p>
        </w:tc>
        <w:tc>
          <w:tcPr>
            <w:tcW w:w="480" w:type="pct"/>
            <w:tcBorders>
              <w:top w:val="nil"/>
              <w:left w:val="nil"/>
              <w:bottom w:val="single" w:sz="4" w:space="0" w:color="auto"/>
              <w:right w:val="single" w:sz="4" w:space="0" w:color="auto"/>
            </w:tcBorders>
            <w:noWrap/>
            <w:vAlign w:val="bottom"/>
            <w:hideMark/>
          </w:tcPr>
          <w:p w14:paraId="6762DE09" w14:textId="798207D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0,36%</w:t>
            </w:r>
          </w:p>
        </w:tc>
      </w:tr>
      <w:tr w:rsidR="006A6145" w:rsidRPr="000020F0" w14:paraId="0E002A8F"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A8DB399" w14:textId="4C64371B"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731" w:type="pct"/>
            <w:tcBorders>
              <w:top w:val="nil"/>
              <w:left w:val="nil"/>
              <w:bottom w:val="single" w:sz="4" w:space="0" w:color="auto"/>
              <w:right w:val="single" w:sz="4" w:space="0" w:color="auto"/>
            </w:tcBorders>
            <w:noWrap/>
            <w:vAlign w:val="bottom"/>
            <w:hideMark/>
          </w:tcPr>
          <w:p w14:paraId="092FD05F" w14:textId="5FD0CA6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71.385,08</w:t>
            </w:r>
          </w:p>
        </w:tc>
        <w:tc>
          <w:tcPr>
            <w:tcW w:w="480" w:type="pct"/>
            <w:tcBorders>
              <w:top w:val="nil"/>
              <w:left w:val="nil"/>
              <w:bottom w:val="single" w:sz="4" w:space="0" w:color="auto"/>
              <w:right w:val="single" w:sz="4" w:space="0" w:color="auto"/>
            </w:tcBorders>
            <w:noWrap/>
            <w:vAlign w:val="bottom"/>
            <w:hideMark/>
          </w:tcPr>
          <w:p w14:paraId="0A59938C" w14:textId="2ABFC9E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2,11%</w:t>
            </w:r>
          </w:p>
        </w:tc>
        <w:tc>
          <w:tcPr>
            <w:tcW w:w="589" w:type="pct"/>
            <w:tcBorders>
              <w:top w:val="nil"/>
              <w:left w:val="nil"/>
              <w:bottom w:val="single" w:sz="4" w:space="0" w:color="auto"/>
              <w:right w:val="single" w:sz="4" w:space="0" w:color="auto"/>
            </w:tcBorders>
            <w:noWrap/>
            <w:vAlign w:val="bottom"/>
            <w:hideMark/>
          </w:tcPr>
          <w:p w14:paraId="297E1CD4" w14:textId="2C86858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15.704,72</w:t>
            </w:r>
          </w:p>
        </w:tc>
        <w:tc>
          <w:tcPr>
            <w:tcW w:w="675" w:type="pct"/>
            <w:tcBorders>
              <w:top w:val="nil"/>
              <w:left w:val="nil"/>
              <w:bottom w:val="single" w:sz="4" w:space="0" w:color="auto"/>
              <w:right w:val="single" w:sz="4" w:space="0" w:color="auto"/>
            </w:tcBorders>
            <w:noWrap/>
            <w:vAlign w:val="bottom"/>
            <w:hideMark/>
          </w:tcPr>
          <w:p w14:paraId="6624C8FB" w14:textId="6003006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87.089,80</w:t>
            </w:r>
          </w:p>
        </w:tc>
        <w:tc>
          <w:tcPr>
            <w:tcW w:w="480" w:type="pct"/>
            <w:tcBorders>
              <w:top w:val="nil"/>
              <w:left w:val="nil"/>
              <w:bottom w:val="single" w:sz="4" w:space="0" w:color="auto"/>
              <w:right w:val="single" w:sz="4" w:space="0" w:color="auto"/>
            </w:tcBorders>
            <w:noWrap/>
            <w:vAlign w:val="bottom"/>
            <w:hideMark/>
          </w:tcPr>
          <w:p w14:paraId="2C3F2877" w14:textId="27A3B9A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2,57%</w:t>
            </w:r>
          </w:p>
        </w:tc>
      </w:tr>
      <w:tr w:rsidR="006A6145" w:rsidRPr="000020F0" w14:paraId="0805C1EE"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376D74CF" w14:textId="3801A132"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xml:space="preserve">Parkirišča za kolesa </w:t>
            </w:r>
            <w:r w:rsidR="00E0349A" w:rsidRPr="000020F0">
              <w:rPr>
                <w:rFonts w:ascii="Arial" w:hAnsi="Arial" w:cs="Arial"/>
                <w:color w:val="000000"/>
                <w:sz w:val="20"/>
                <w:szCs w:val="20"/>
              </w:rPr>
              <w:t xml:space="preserve">–športna </w:t>
            </w:r>
            <w:proofErr w:type="spellStart"/>
            <w:r w:rsidR="00E0349A" w:rsidRPr="000020F0">
              <w:rPr>
                <w:rFonts w:ascii="Arial" w:hAnsi="Arial" w:cs="Arial"/>
                <w:color w:val="000000"/>
                <w:sz w:val="20"/>
                <w:szCs w:val="20"/>
              </w:rPr>
              <w:t>dvoranašportna</w:t>
            </w:r>
            <w:proofErr w:type="spellEnd"/>
            <w:r w:rsidR="00E0349A" w:rsidRPr="000020F0">
              <w:rPr>
                <w:rFonts w:ascii="Arial" w:hAnsi="Arial" w:cs="Arial"/>
                <w:color w:val="000000"/>
                <w:sz w:val="20"/>
                <w:szCs w:val="20"/>
              </w:rPr>
              <w:t xml:space="preserve"> dvorana</w:t>
            </w:r>
          </w:p>
        </w:tc>
        <w:tc>
          <w:tcPr>
            <w:tcW w:w="731" w:type="pct"/>
            <w:tcBorders>
              <w:top w:val="nil"/>
              <w:left w:val="nil"/>
              <w:bottom w:val="single" w:sz="4" w:space="0" w:color="auto"/>
              <w:right w:val="single" w:sz="4" w:space="0" w:color="auto"/>
            </w:tcBorders>
            <w:noWrap/>
            <w:vAlign w:val="bottom"/>
            <w:hideMark/>
          </w:tcPr>
          <w:p w14:paraId="7D270043" w14:textId="7156E7D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9.955,58</w:t>
            </w:r>
          </w:p>
        </w:tc>
        <w:tc>
          <w:tcPr>
            <w:tcW w:w="480" w:type="pct"/>
            <w:tcBorders>
              <w:top w:val="nil"/>
              <w:left w:val="nil"/>
              <w:bottom w:val="single" w:sz="4" w:space="0" w:color="auto"/>
              <w:right w:val="single" w:sz="4" w:space="0" w:color="auto"/>
            </w:tcBorders>
            <w:noWrap/>
            <w:vAlign w:val="bottom"/>
            <w:hideMark/>
          </w:tcPr>
          <w:p w14:paraId="5C420D17" w14:textId="0E659DF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0,29%</w:t>
            </w:r>
          </w:p>
        </w:tc>
        <w:tc>
          <w:tcPr>
            <w:tcW w:w="589" w:type="pct"/>
            <w:tcBorders>
              <w:top w:val="nil"/>
              <w:left w:val="nil"/>
              <w:bottom w:val="single" w:sz="4" w:space="0" w:color="auto"/>
              <w:right w:val="single" w:sz="4" w:space="0" w:color="auto"/>
            </w:tcBorders>
            <w:noWrap/>
            <w:vAlign w:val="bottom"/>
            <w:hideMark/>
          </w:tcPr>
          <w:p w14:paraId="6CFD03D8" w14:textId="008D564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2.190,23</w:t>
            </w:r>
          </w:p>
        </w:tc>
        <w:tc>
          <w:tcPr>
            <w:tcW w:w="675" w:type="pct"/>
            <w:tcBorders>
              <w:top w:val="nil"/>
              <w:left w:val="nil"/>
              <w:bottom w:val="single" w:sz="4" w:space="0" w:color="auto"/>
              <w:right w:val="single" w:sz="4" w:space="0" w:color="auto"/>
            </w:tcBorders>
            <w:noWrap/>
            <w:vAlign w:val="bottom"/>
            <w:hideMark/>
          </w:tcPr>
          <w:p w14:paraId="4189632A" w14:textId="397C4B2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12.145,81</w:t>
            </w:r>
          </w:p>
        </w:tc>
        <w:tc>
          <w:tcPr>
            <w:tcW w:w="480" w:type="pct"/>
            <w:tcBorders>
              <w:top w:val="nil"/>
              <w:left w:val="nil"/>
              <w:bottom w:val="single" w:sz="4" w:space="0" w:color="auto"/>
              <w:right w:val="single" w:sz="4" w:space="0" w:color="auto"/>
            </w:tcBorders>
            <w:noWrap/>
            <w:vAlign w:val="bottom"/>
            <w:hideMark/>
          </w:tcPr>
          <w:p w14:paraId="4EAE1919" w14:textId="720E3DE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0,36%</w:t>
            </w:r>
          </w:p>
        </w:tc>
      </w:tr>
      <w:tr w:rsidR="006A6145" w:rsidRPr="000020F0" w14:paraId="4E6CA03C"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FED85E0" w14:textId="462183E8"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Parkirišča za kolesa - park</w:t>
            </w:r>
          </w:p>
        </w:tc>
        <w:tc>
          <w:tcPr>
            <w:tcW w:w="731" w:type="pct"/>
            <w:tcBorders>
              <w:top w:val="nil"/>
              <w:left w:val="nil"/>
              <w:bottom w:val="single" w:sz="4" w:space="0" w:color="auto"/>
              <w:right w:val="single" w:sz="4" w:space="0" w:color="auto"/>
            </w:tcBorders>
            <w:noWrap/>
            <w:vAlign w:val="bottom"/>
            <w:hideMark/>
          </w:tcPr>
          <w:p w14:paraId="3635C7FB" w14:textId="2FDDCBA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12.709,88</w:t>
            </w:r>
          </w:p>
        </w:tc>
        <w:tc>
          <w:tcPr>
            <w:tcW w:w="480" w:type="pct"/>
            <w:tcBorders>
              <w:top w:val="nil"/>
              <w:left w:val="nil"/>
              <w:bottom w:val="single" w:sz="4" w:space="0" w:color="auto"/>
              <w:right w:val="single" w:sz="4" w:space="0" w:color="auto"/>
            </w:tcBorders>
            <w:noWrap/>
            <w:vAlign w:val="bottom"/>
            <w:hideMark/>
          </w:tcPr>
          <w:p w14:paraId="4845A759" w14:textId="69F37EF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0,38%</w:t>
            </w:r>
          </w:p>
        </w:tc>
        <w:tc>
          <w:tcPr>
            <w:tcW w:w="589" w:type="pct"/>
            <w:tcBorders>
              <w:top w:val="nil"/>
              <w:left w:val="nil"/>
              <w:bottom w:val="single" w:sz="4" w:space="0" w:color="auto"/>
              <w:right w:val="single" w:sz="4" w:space="0" w:color="auto"/>
            </w:tcBorders>
            <w:noWrap/>
            <w:vAlign w:val="bottom"/>
            <w:hideMark/>
          </w:tcPr>
          <w:p w14:paraId="3331DFE5" w14:textId="08764A0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2.796,17</w:t>
            </w:r>
          </w:p>
        </w:tc>
        <w:tc>
          <w:tcPr>
            <w:tcW w:w="675" w:type="pct"/>
            <w:tcBorders>
              <w:top w:val="nil"/>
              <w:left w:val="nil"/>
              <w:bottom w:val="single" w:sz="4" w:space="0" w:color="auto"/>
              <w:right w:val="single" w:sz="4" w:space="0" w:color="auto"/>
            </w:tcBorders>
            <w:noWrap/>
            <w:vAlign w:val="bottom"/>
            <w:hideMark/>
          </w:tcPr>
          <w:p w14:paraId="1B671083" w14:textId="2B4791E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15.506,05</w:t>
            </w:r>
          </w:p>
        </w:tc>
        <w:tc>
          <w:tcPr>
            <w:tcW w:w="480" w:type="pct"/>
            <w:tcBorders>
              <w:top w:val="nil"/>
              <w:left w:val="nil"/>
              <w:bottom w:val="single" w:sz="4" w:space="0" w:color="auto"/>
              <w:right w:val="single" w:sz="4" w:space="0" w:color="auto"/>
            </w:tcBorders>
            <w:noWrap/>
            <w:vAlign w:val="bottom"/>
            <w:hideMark/>
          </w:tcPr>
          <w:p w14:paraId="5BF12D88" w14:textId="68F355D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0,46%</w:t>
            </w:r>
          </w:p>
        </w:tc>
      </w:tr>
      <w:tr w:rsidR="006A6145" w:rsidRPr="000020F0" w14:paraId="6AE3DB4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384BF1DE" w14:textId="2FEDB8DA"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lastRenderedPageBreak/>
              <w:t>Avtobusno postajališče - nivo ceste</w:t>
            </w:r>
          </w:p>
        </w:tc>
        <w:tc>
          <w:tcPr>
            <w:tcW w:w="731" w:type="pct"/>
            <w:tcBorders>
              <w:top w:val="nil"/>
              <w:left w:val="nil"/>
              <w:bottom w:val="single" w:sz="4" w:space="0" w:color="auto"/>
              <w:right w:val="single" w:sz="4" w:space="0" w:color="auto"/>
            </w:tcBorders>
            <w:noWrap/>
            <w:vAlign w:val="bottom"/>
            <w:hideMark/>
          </w:tcPr>
          <w:p w14:paraId="548AA3D8" w14:textId="2B4B1ED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317.561,27</w:t>
            </w:r>
          </w:p>
        </w:tc>
        <w:tc>
          <w:tcPr>
            <w:tcW w:w="480" w:type="pct"/>
            <w:tcBorders>
              <w:top w:val="nil"/>
              <w:left w:val="nil"/>
              <w:bottom w:val="single" w:sz="4" w:space="0" w:color="auto"/>
              <w:right w:val="single" w:sz="4" w:space="0" w:color="auto"/>
            </w:tcBorders>
            <w:noWrap/>
            <w:vAlign w:val="bottom"/>
            <w:hideMark/>
          </w:tcPr>
          <w:p w14:paraId="65BC7945" w14:textId="0F5F620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9,38%</w:t>
            </w:r>
          </w:p>
        </w:tc>
        <w:tc>
          <w:tcPr>
            <w:tcW w:w="589" w:type="pct"/>
            <w:tcBorders>
              <w:top w:val="nil"/>
              <w:left w:val="nil"/>
              <w:bottom w:val="single" w:sz="4" w:space="0" w:color="auto"/>
              <w:right w:val="single" w:sz="4" w:space="0" w:color="auto"/>
            </w:tcBorders>
            <w:noWrap/>
            <w:vAlign w:val="bottom"/>
            <w:hideMark/>
          </w:tcPr>
          <w:p w14:paraId="0A854A2D" w14:textId="6C5E150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69.863,48</w:t>
            </w:r>
          </w:p>
        </w:tc>
        <w:tc>
          <w:tcPr>
            <w:tcW w:w="675" w:type="pct"/>
            <w:tcBorders>
              <w:top w:val="nil"/>
              <w:left w:val="nil"/>
              <w:bottom w:val="single" w:sz="4" w:space="0" w:color="auto"/>
              <w:right w:val="single" w:sz="4" w:space="0" w:color="auto"/>
            </w:tcBorders>
            <w:noWrap/>
            <w:vAlign w:val="bottom"/>
            <w:hideMark/>
          </w:tcPr>
          <w:p w14:paraId="367B485C" w14:textId="67BA0BD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387.424,75</w:t>
            </w:r>
          </w:p>
        </w:tc>
        <w:tc>
          <w:tcPr>
            <w:tcW w:w="480" w:type="pct"/>
            <w:tcBorders>
              <w:top w:val="nil"/>
              <w:left w:val="nil"/>
              <w:bottom w:val="single" w:sz="4" w:space="0" w:color="auto"/>
              <w:right w:val="single" w:sz="4" w:space="0" w:color="auto"/>
            </w:tcBorders>
            <w:noWrap/>
            <w:vAlign w:val="bottom"/>
            <w:hideMark/>
          </w:tcPr>
          <w:p w14:paraId="3293CB1D" w14:textId="04AD623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11,44%</w:t>
            </w:r>
          </w:p>
        </w:tc>
      </w:tr>
      <w:tr w:rsidR="006A6145" w:rsidRPr="000020F0" w14:paraId="4DF5EA76" w14:textId="77777777" w:rsidTr="00E24775">
        <w:trPr>
          <w:trHeight w:val="284"/>
        </w:trPr>
        <w:tc>
          <w:tcPr>
            <w:tcW w:w="2045" w:type="pct"/>
            <w:tcBorders>
              <w:top w:val="nil"/>
              <w:left w:val="single" w:sz="4" w:space="0" w:color="auto"/>
              <w:bottom w:val="single" w:sz="4" w:space="0" w:color="auto"/>
              <w:right w:val="single" w:sz="4" w:space="0" w:color="auto"/>
            </w:tcBorders>
            <w:vAlign w:val="bottom"/>
          </w:tcPr>
          <w:p w14:paraId="48002374" w14:textId="3C8C3E52"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Sanitarije</w:t>
            </w:r>
          </w:p>
        </w:tc>
        <w:tc>
          <w:tcPr>
            <w:tcW w:w="731" w:type="pct"/>
            <w:tcBorders>
              <w:top w:val="nil"/>
              <w:left w:val="nil"/>
              <w:bottom w:val="single" w:sz="4" w:space="0" w:color="auto"/>
              <w:right w:val="single" w:sz="4" w:space="0" w:color="auto"/>
            </w:tcBorders>
            <w:noWrap/>
            <w:vAlign w:val="bottom"/>
          </w:tcPr>
          <w:p w14:paraId="485CE3B2" w14:textId="54FC873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96.295,88</w:t>
            </w:r>
          </w:p>
        </w:tc>
        <w:tc>
          <w:tcPr>
            <w:tcW w:w="480" w:type="pct"/>
            <w:tcBorders>
              <w:top w:val="nil"/>
              <w:left w:val="nil"/>
              <w:bottom w:val="single" w:sz="4" w:space="0" w:color="auto"/>
              <w:right w:val="single" w:sz="4" w:space="0" w:color="auto"/>
            </w:tcBorders>
            <w:noWrap/>
            <w:vAlign w:val="bottom"/>
          </w:tcPr>
          <w:p w14:paraId="2E97F33D" w14:textId="7783D4B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2,84%</w:t>
            </w:r>
          </w:p>
        </w:tc>
        <w:tc>
          <w:tcPr>
            <w:tcW w:w="589" w:type="pct"/>
            <w:tcBorders>
              <w:top w:val="nil"/>
              <w:left w:val="nil"/>
              <w:bottom w:val="single" w:sz="4" w:space="0" w:color="auto"/>
              <w:right w:val="single" w:sz="4" w:space="0" w:color="auto"/>
            </w:tcBorders>
            <w:noWrap/>
            <w:vAlign w:val="bottom"/>
          </w:tcPr>
          <w:p w14:paraId="165B4141" w14:textId="33F0F1B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21.185,09</w:t>
            </w:r>
          </w:p>
        </w:tc>
        <w:tc>
          <w:tcPr>
            <w:tcW w:w="675" w:type="pct"/>
            <w:tcBorders>
              <w:top w:val="nil"/>
              <w:left w:val="nil"/>
              <w:bottom w:val="single" w:sz="4" w:space="0" w:color="auto"/>
              <w:right w:val="single" w:sz="4" w:space="0" w:color="auto"/>
            </w:tcBorders>
            <w:noWrap/>
            <w:vAlign w:val="bottom"/>
          </w:tcPr>
          <w:p w14:paraId="45E32923" w14:textId="5ADFAA4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117.480,97</w:t>
            </w:r>
          </w:p>
        </w:tc>
        <w:tc>
          <w:tcPr>
            <w:tcW w:w="480" w:type="pct"/>
            <w:tcBorders>
              <w:top w:val="nil"/>
              <w:left w:val="nil"/>
              <w:bottom w:val="single" w:sz="4" w:space="0" w:color="auto"/>
              <w:right w:val="single" w:sz="4" w:space="0" w:color="auto"/>
            </w:tcBorders>
            <w:noWrap/>
            <w:vAlign w:val="bottom"/>
          </w:tcPr>
          <w:p w14:paraId="36AE0B57" w14:textId="339862E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3,47%</w:t>
            </w:r>
          </w:p>
        </w:tc>
      </w:tr>
      <w:tr w:rsidR="006A6145" w:rsidRPr="000020F0" w14:paraId="560E3947"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425FC7B3" w14:textId="3FE24516"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Avtobusno postajališče - nadstrešnica</w:t>
            </w:r>
          </w:p>
        </w:tc>
        <w:tc>
          <w:tcPr>
            <w:tcW w:w="731" w:type="pct"/>
            <w:tcBorders>
              <w:top w:val="nil"/>
              <w:left w:val="nil"/>
              <w:bottom w:val="single" w:sz="4" w:space="0" w:color="auto"/>
              <w:right w:val="single" w:sz="4" w:space="0" w:color="auto"/>
            </w:tcBorders>
            <w:noWrap/>
            <w:vAlign w:val="bottom"/>
            <w:hideMark/>
          </w:tcPr>
          <w:p w14:paraId="6F7CEB93" w14:textId="4D33057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277.217,15</w:t>
            </w:r>
          </w:p>
        </w:tc>
        <w:tc>
          <w:tcPr>
            <w:tcW w:w="480" w:type="pct"/>
            <w:tcBorders>
              <w:top w:val="nil"/>
              <w:left w:val="nil"/>
              <w:bottom w:val="single" w:sz="4" w:space="0" w:color="auto"/>
              <w:right w:val="single" w:sz="4" w:space="0" w:color="auto"/>
            </w:tcBorders>
            <w:noWrap/>
            <w:vAlign w:val="bottom"/>
            <w:hideMark/>
          </w:tcPr>
          <w:p w14:paraId="26666688" w14:textId="0A3912D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8,19%</w:t>
            </w:r>
          </w:p>
        </w:tc>
        <w:tc>
          <w:tcPr>
            <w:tcW w:w="589" w:type="pct"/>
            <w:tcBorders>
              <w:top w:val="nil"/>
              <w:left w:val="nil"/>
              <w:bottom w:val="single" w:sz="4" w:space="0" w:color="auto"/>
              <w:right w:val="single" w:sz="4" w:space="0" w:color="auto"/>
            </w:tcBorders>
            <w:noWrap/>
            <w:vAlign w:val="bottom"/>
            <w:hideMark/>
          </w:tcPr>
          <w:p w14:paraId="41783A43" w14:textId="13EC796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60.987,77</w:t>
            </w:r>
          </w:p>
        </w:tc>
        <w:tc>
          <w:tcPr>
            <w:tcW w:w="675" w:type="pct"/>
            <w:tcBorders>
              <w:top w:val="nil"/>
              <w:left w:val="nil"/>
              <w:bottom w:val="single" w:sz="4" w:space="0" w:color="auto"/>
              <w:right w:val="single" w:sz="4" w:space="0" w:color="auto"/>
            </w:tcBorders>
            <w:noWrap/>
            <w:vAlign w:val="bottom"/>
            <w:hideMark/>
          </w:tcPr>
          <w:p w14:paraId="3C5FE16D" w14:textId="313493E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338.204,92</w:t>
            </w:r>
          </w:p>
        </w:tc>
        <w:tc>
          <w:tcPr>
            <w:tcW w:w="480" w:type="pct"/>
            <w:tcBorders>
              <w:top w:val="nil"/>
              <w:left w:val="nil"/>
              <w:bottom w:val="single" w:sz="4" w:space="0" w:color="auto"/>
              <w:right w:val="single" w:sz="4" w:space="0" w:color="auto"/>
            </w:tcBorders>
            <w:noWrap/>
            <w:vAlign w:val="bottom"/>
            <w:hideMark/>
          </w:tcPr>
          <w:p w14:paraId="4557D835" w14:textId="4E2D458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9,99%</w:t>
            </w:r>
          </w:p>
        </w:tc>
      </w:tr>
      <w:tr w:rsidR="006A6145" w:rsidRPr="000020F0" w14:paraId="580C482F"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7AB83254" w14:textId="4A93C965"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Parkirišče z vhodom v šolo</w:t>
            </w:r>
          </w:p>
        </w:tc>
        <w:tc>
          <w:tcPr>
            <w:tcW w:w="731" w:type="pct"/>
            <w:tcBorders>
              <w:top w:val="nil"/>
              <w:left w:val="nil"/>
              <w:bottom w:val="single" w:sz="4" w:space="0" w:color="auto"/>
              <w:right w:val="single" w:sz="4" w:space="0" w:color="auto"/>
            </w:tcBorders>
            <w:noWrap/>
            <w:vAlign w:val="bottom"/>
            <w:hideMark/>
          </w:tcPr>
          <w:p w14:paraId="076FC30B" w14:textId="0AF9AB1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414.728,58</w:t>
            </w:r>
          </w:p>
        </w:tc>
        <w:tc>
          <w:tcPr>
            <w:tcW w:w="480" w:type="pct"/>
            <w:tcBorders>
              <w:top w:val="nil"/>
              <w:left w:val="nil"/>
              <w:bottom w:val="single" w:sz="4" w:space="0" w:color="auto"/>
              <w:right w:val="single" w:sz="4" w:space="0" w:color="auto"/>
            </w:tcBorders>
            <w:noWrap/>
            <w:vAlign w:val="bottom"/>
            <w:hideMark/>
          </w:tcPr>
          <w:p w14:paraId="659A40A8" w14:textId="46C9632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12,25%</w:t>
            </w:r>
          </w:p>
        </w:tc>
        <w:tc>
          <w:tcPr>
            <w:tcW w:w="589" w:type="pct"/>
            <w:tcBorders>
              <w:top w:val="nil"/>
              <w:left w:val="nil"/>
              <w:bottom w:val="single" w:sz="4" w:space="0" w:color="auto"/>
              <w:right w:val="single" w:sz="4" w:space="0" w:color="auto"/>
            </w:tcBorders>
            <w:noWrap/>
            <w:vAlign w:val="bottom"/>
            <w:hideMark/>
          </w:tcPr>
          <w:p w14:paraId="69AF47B1" w14:textId="5132802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91.240,29</w:t>
            </w:r>
          </w:p>
        </w:tc>
        <w:tc>
          <w:tcPr>
            <w:tcW w:w="675" w:type="pct"/>
            <w:tcBorders>
              <w:top w:val="nil"/>
              <w:left w:val="nil"/>
              <w:bottom w:val="single" w:sz="4" w:space="0" w:color="auto"/>
              <w:right w:val="single" w:sz="4" w:space="0" w:color="auto"/>
            </w:tcBorders>
            <w:noWrap/>
            <w:vAlign w:val="bottom"/>
            <w:hideMark/>
          </w:tcPr>
          <w:p w14:paraId="045E4944" w14:textId="6B65D95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505.968,87</w:t>
            </w:r>
          </w:p>
        </w:tc>
        <w:tc>
          <w:tcPr>
            <w:tcW w:w="480" w:type="pct"/>
            <w:tcBorders>
              <w:top w:val="nil"/>
              <w:left w:val="nil"/>
              <w:bottom w:val="single" w:sz="4" w:space="0" w:color="auto"/>
              <w:right w:val="single" w:sz="4" w:space="0" w:color="auto"/>
            </w:tcBorders>
            <w:noWrap/>
            <w:vAlign w:val="bottom"/>
            <w:hideMark/>
          </w:tcPr>
          <w:p w14:paraId="302D61C3" w14:textId="351C0DE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14,94%</w:t>
            </w:r>
          </w:p>
        </w:tc>
      </w:tr>
      <w:tr w:rsidR="006A6145" w:rsidRPr="000020F0" w14:paraId="426F9C2F" w14:textId="77777777" w:rsidTr="00E24775">
        <w:trPr>
          <w:trHeight w:val="284"/>
        </w:trPr>
        <w:tc>
          <w:tcPr>
            <w:tcW w:w="2045" w:type="pct"/>
            <w:tcBorders>
              <w:top w:val="nil"/>
              <w:left w:val="single" w:sz="4" w:space="0" w:color="auto"/>
              <w:bottom w:val="single" w:sz="4" w:space="0" w:color="auto"/>
              <w:right w:val="single" w:sz="4" w:space="0" w:color="auto"/>
            </w:tcBorders>
            <w:shd w:val="clear" w:color="000000" w:fill="D9D9D9"/>
            <w:vAlign w:val="bottom"/>
            <w:hideMark/>
          </w:tcPr>
          <w:p w14:paraId="6A3A24D0" w14:textId="73BE21EF" w:rsidR="006A6145" w:rsidRPr="000020F0" w:rsidRDefault="006A6145" w:rsidP="006A6145">
            <w:pPr>
              <w:rPr>
                <w:rFonts w:ascii="Arial" w:hAnsi="Arial" w:cs="Arial"/>
                <w:i/>
                <w:iCs/>
                <w:color w:val="000000"/>
                <w:sz w:val="20"/>
                <w:szCs w:val="20"/>
              </w:rPr>
            </w:pPr>
            <w:r w:rsidRPr="000020F0">
              <w:rPr>
                <w:rFonts w:ascii="Arial" w:hAnsi="Arial" w:cs="Arial"/>
                <w:i/>
                <w:iCs/>
                <w:color w:val="000000"/>
                <w:sz w:val="20"/>
                <w:szCs w:val="20"/>
              </w:rPr>
              <w:t>Skupaj GOI dela</w:t>
            </w:r>
          </w:p>
        </w:tc>
        <w:tc>
          <w:tcPr>
            <w:tcW w:w="731" w:type="pct"/>
            <w:tcBorders>
              <w:top w:val="nil"/>
              <w:left w:val="nil"/>
              <w:bottom w:val="single" w:sz="4" w:space="0" w:color="auto"/>
              <w:right w:val="single" w:sz="4" w:space="0" w:color="auto"/>
            </w:tcBorders>
            <w:shd w:val="clear" w:color="000000" w:fill="D9D9D9"/>
            <w:noWrap/>
            <w:vAlign w:val="bottom"/>
            <w:hideMark/>
          </w:tcPr>
          <w:p w14:paraId="53A3356C" w14:textId="2515989B" w:rsidR="006A6145" w:rsidRPr="000020F0" w:rsidRDefault="006A6145" w:rsidP="006A6145">
            <w:pPr>
              <w:jc w:val="right"/>
              <w:rPr>
                <w:rFonts w:ascii="Arial" w:hAnsi="Arial" w:cs="Arial"/>
                <w:i/>
                <w:iCs/>
                <w:color w:val="000000"/>
                <w:sz w:val="20"/>
                <w:szCs w:val="20"/>
              </w:rPr>
            </w:pPr>
            <w:r w:rsidRPr="000020F0">
              <w:rPr>
                <w:rFonts w:ascii="Arial" w:hAnsi="Arial" w:cs="Arial"/>
                <w:i/>
                <w:iCs/>
                <w:color w:val="000000"/>
                <w:sz w:val="20"/>
                <w:szCs w:val="20"/>
              </w:rPr>
              <w:t>2.286.121,27</w:t>
            </w:r>
          </w:p>
        </w:tc>
        <w:tc>
          <w:tcPr>
            <w:tcW w:w="480" w:type="pct"/>
            <w:tcBorders>
              <w:top w:val="nil"/>
              <w:left w:val="nil"/>
              <w:bottom w:val="single" w:sz="4" w:space="0" w:color="auto"/>
              <w:right w:val="single" w:sz="4" w:space="0" w:color="auto"/>
            </w:tcBorders>
            <w:shd w:val="clear" w:color="000000" w:fill="D9D9D9"/>
            <w:noWrap/>
            <w:vAlign w:val="bottom"/>
            <w:hideMark/>
          </w:tcPr>
          <w:p w14:paraId="374565B9" w14:textId="44307A94" w:rsidR="006A6145" w:rsidRPr="000020F0" w:rsidRDefault="006A6145" w:rsidP="006A6145">
            <w:pPr>
              <w:jc w:val="right"/>
              <w:rPr>
                <w:rFonts w:ascii="Arial" w:hAnsi="Arial" w:cs="Arial"/>
                <w:i/>
                <w:iCs/>
                <w:color w:val="000000"/>
                <w:sz w:val="20"/>
                <w:szCs w:val="20"/>
              </w:rPr>
            </w:pPr>
            <w:r w:rsidRPr="000020F0">
              <w:rPr>
                <w:rFonts w:ascii="Arial" w:hAnsi="Arial" w:cs="Arial"/>
                <w:i/>
                <w:iCs/>
                <w:color w:val="000000"/>
                <w:sz w:val="20"/>
                <w:szCs w:val="20"/>
              </w:rPr>
              <w:t>67,52%</w:t>
            </w:r>
          </w:p>
        </w:tc>
        <w:tc>
          <w:tcPr>
            <w:tcW w:w="589" w:type="pct"/>
            <w:tcBorders>
              <w:top w:val="nil"/>
              <w:left w:val="nil"/>
              <w:bottom w:val="single" w:sz="4" w:space="0" w:color="auto"/>
              <w:right w:val="single" w:sz="4" w:space="0" w:color="auto"/>
            </w:tcBorders>
            <w:shd w:val="clear" w:color="000000" w:fill="D9D9D9"/>
            <w:noWrap/>
            <w:vAlign w:val="bottom"/>
            <w:hideMark/>
          </w:tcPr>
          <w:p w14:paraId="7C5C3CD9" w14:textId="047F3BAF" w:rsidR="006A6145" w:rsidRPr="000020F0" w:rsidRDefault="006A6145" w:rsidP="006A6145">
            <w:pPr>
              <w:jc w:val="right"/>
              <w:rPr>
                <w:rFonts w:ascii="Arial" w:hAnsi="Arial" w:cs="Arial"/>
                <w:i/>
                <w:iCs/>
                <w:color w:val="000000"/>
                <w:sz w:val="20"/>
                <w:szCs w:val="20"/>
              </w:rPr>
            </w:pPr>
            <w:r w:rsidRPr="000020F0">
              <w:rPr>
                <w:rFonts w:ascii="Arial" w:hAnsi="Arial" w:cs="Arial"/>
                <w:i/>
                <w:iCs/>
                <w:color w:val="000000"/>
                <w:sz w:val="20"/>
                <w:szCs w:val="20"/>
              </w:rPr>
              <w:t>502.946,67</w:t>
            </w:r>
          </w:p>
        </w:tc>
        <w:tc>
          <w:tcPr>
            <w:tcW w:w="675" w:type="pct"/>
            <w:tcBorders>
              <w:top w:val="nil"/>
              <w:left w:val="nil"/>
              <w:bottom w:val="single" w:sz="4" w:space="0" w:color="auto"/>
              <w:right w:val="single" w:sz="4" w:space="0" w:color="auto"/>
            </w:tcBorders>
            <w:shd w:val="clear" w:color="000000" w:fill="D9D9D9"/>
            <w:noWrap/>
            <w:vAlign w:val="bottom"/>
            <w:hideMark/>
          </w:tcPr>
          <w:p w14:paraId="79975E71" w14:textId="3870EBF1" w:rsidR="006A6145" w:rsidRPr="000020F0" w:rsidRDefault="006A6145" w:rsidP="006A6145">
            <w:pPr>
              <w:jc w:val="right"/>
              <w:rPr>
                <w:rFonts w:ascii="Arial" w:hAnsi="Arial" w:cs="Arial"/>
                <w:i/>
                <w:iCs/>
                <w:color w:val="000000"/>
                <w:sz w:val="20"/>
                <w:szCs w:val="20"/>
              </w:rPr>
            </w:pPr>
            <w:r w:rsidRPr="000020F0">
              <w:rPr>
                <w:rFonts w:ascii="Arial" w:hAnsi="Arial" w:cs="Arial"/>
                <w:i/>
                <w:iCs/>
                <w:color w:val="000000"/>
                <w:sz w:val="20"/>
                <w:szCs w:val="20"/>
              </w:rPr>
              <w:t>2.283.099,06</w:t>
            </w:r>
          </w:p>
        </w:tc>
        <w:tc>
          <w:tcPr>
            <w:tcW w:w="480" w:type="pct"/>
            <w:tcBorders>
              <w:top w:val="nil"/>
              <w:left w:val="nil"/>
              <w:bottom w:val="single" w:sz="4" w:space="0" w:color="auto"/>
              <w:right w:val="single" w:sz="4" w:space="0" w:color="auto"/>
            </w:tcBorders>
            <w:shd w:val="clear" w:color="000000" w:fill="D9D9D9"/>
            <w:noWrap/>
            <w:vAlign w:val="bottom"/>
            <w:hideMark/>
          </w:tcPr>
          <w:p w14:paraId="3F0F20F1" w14:textId="42F674AA" w:rsidR="006A6145" w:rsidRPr="000020F0" w:rsidRDefault="006A6145" w:rsidP="006A6145">
            <w:pPr>
              <w:jc w:val="right"/>
              <w:rPr>
                <w:rFonts w:ascii="Arial" w:hAnsi="Arial" w:cs="Arial"/>
                <w:i/>
                <w:iCs/>
                <w:color w:val="000000"/>
                <w:sz w:val="20"/>
                <w:szCs w:val="20"/>
              </w:rPr>
            </w:pPr>
            <w:r w:rsidRPr="000020F0">
              <w:rPr>
                <w:rFonts w:ascii="Arial" w:hAnsi="Arial" w:cs="Arial"/>
                <w:i/>
                <w:iCs/>
                <w:color w:val="000000"/>
                <w:sz w:val="20"/>
                <w:szCs w:val="20"/>
              </w:rPr>
              <w:t>67,43%</w:t>
            </w:r>
          </w:p>
        </w:tc>
      </w:tr>
      <w:tr w:rsidR="006A6145" w:rsidRPr="000020F0" w14:paraId="36BAAFB0"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4EC7A0B9" w14:textId="4D610C7B"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Strokovni nadzor</w:t>
            </w:r>
          </w:p>
        </w:tc>
        <w:tc>
          <w:tcPr>
            <w:tcW w:w="731" w:type="pct"/>
            <w:tcBorders>
              <w:top w:val="nil"/>
              <w:left w:val="nil"/>
              <w:bottom w:val="single" w:sz="4" w:space="0" w:color="auto"/>
              <w:right w:val="single" w:sz="4" w:space="0" w:color="auto"/>
            </w:tcBorders>
            <w:noWrap/>
            <w:vAlign w:val="bottom"/>
            <w:hideMark/>
          </w:tcPr>
          <w:p w14:paraId="5B6DB764" w14:textId="3C980DF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68.583,64</w:t>
            </w:r>
          </w:p>
        </w:tc>
        <w:tc>
          <w:tcPr>
            <w:tcW w:w="480" w:type="pct"/>
            <w:tcBorders>
              <w:top w:val="nil"/>
              <w:left w:val="nil"/>
              <w:bottom w:val="single" w:sz="4" w:space="0" w:color="auto"/>
              <w:right w:val="single" w:sz="4" w:space="0" w:color="auto"/>
            </w:tcBorders>
            <w:noWrap/>
            <w:vAlign w:val="bottom"/>
            <w:hideMark/>
          </w:tcPr>
          <w:p w14:paraId="1B215D88" w14:textId="6F89DCD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2,03%</w:t>
            </w:r>
          </w:p>
        </w:tc>
        <w:tc>
          <w:tcPr>
            <w:tcW w:w="589" w:type="pct"/>
            <w:tcBorders>
              <w:top w:val="nil"/>
              <w:left w:val="nil"/>
              <w:bottom w:val="single" w:sz="4" w:space="0" w:color="auto"/>
              <w:right w:val="single" w:sz="4" w:space="0" w:color="auto"/>
            </w:tcBorders>
            <w:noWrap/>
            <w:vAlign w:val="bottom"/>
            <w:hideMark/>
          </w:tcPr>
          <w:p w14:paraId="6A0DFAF4" w14:textId="3A7DDDE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15.088,40</w:t>
            </w:r>
          </w:p>
        </w:tc>
        <w:tc>
          <w:tcPr>
            <w:tcW w:w="675" w:type="pct"/>
            <w:tcBorders>
              <w:top w:val="nil"/>
              <w:left w:val="nil"/>
              <w:bottom w:val="single" w:sz="4" w:space="0" w:color="auto"/>
              <w:right w:val="single" w:sz="4" w:space="0" w:color="auto"/>
            </w:tcBorders>
            <w:noWrap/>
            <w:vAlign w:val="bottom"/>
            <w:hideMark/>
          </w:tcPr>
          <w:p w14:paraId="35614699" w14:textId="4F9E336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83.672,04</w:t>
            </w:r>
          </w:p>
        </w:tc>
        <w:tc>
          <w:tcPr>
            <w:tcW w:w="480" w:type="pct"/>
            <w:tcBorders>
              <w:top w:val="nil"/>
              <w:left w:val="nil"/>
              <w:bottom w:val="single" w:sz="4" w:space="0" w:color="auto"/>
              <w:right w:val="single" w:sz="4" w:space="0" w:color="auto"/>
            </w:tcBorders>
            <w:noWrap/>
            <w:vAlign w:val="bottom"/>
            <w:hideMark/>
          </w:tcPr>
          <w:p w14:paraId="6FDE1AE5" w14:textId="2FCF224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2,47%</w:t>
            </w:r>
          </w:p>
        </w:tc>
      </w:tr>
      <w:tr w:rsidR="006A6145" w:rsidRPr="000020F0" w14:paraId="3BF3B8EA"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32F2CD61" w14:textId="101962FC"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Projektna dokumentacija</w:t>
            </w:r>
          </w:p>
        </w:tc>
        <w:tc>
          <w:tcPr>
            <w:tcW w:w="731" w:type="pct"/>
            <w:tcBorders>
              <w:top w:val="nil"/>
              <w:left w:val="nil"/>
              <w:bottom w:val="single" w:sz="4" w:space="0" w:color="auto"/>
              <w:right w:val="single" w:sz="4" w:space="0" w:color="auto"/>
            </w:tcBorders>
            <w:noWrap/>
            <w:vAlign w:val="bottom"/>
            <w:hideMark/>
          </w:tcPr>
          <w:p w14:paraId="27BDBEEF" w14:textId="4DF56BE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105.425,37</w:t>
            </w:r>
          </w:p>
        </w:tc>
        <w:tc>
          <w:tcPr>
            <w:tcW w:w="480" w:type="pct"/>
            <w:tcBorders>
              <w:top w:val="nil"/>
              <w:left w:val="nil"/>
              <w:bottom w:val="single" w:sz="4" w:space="0" w:color="auto"/>
              <w:right w:val="single" w:sz="4" w:space="0" w:color="auto"/>
            </w:tcBorders>
            <w:noWrap/>
            <w:vAlign w:val="bottom"/>
            <w:hideMark/>
          </w:tcPr>
          <w:p w14:paraId="35528F3F" w14:textId="565FB4B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3,11%</w:t>
            </w:r>
          </w:p>
        </w:tc>
        <w:tc>
          <w:tcPr>
            <w:tcW w:w="589" w:type="pct"/>
            <w:tcBorders>
              <w:top w:val="nil"/>
              <w:left w:val="nil"/>
              <w:bottom w:val="single" w:sz="4" w:space="0" w:color="auto"/>
              <w:right w:val="single" w:sz="4" w:space="0" w:color="auto"/>
            </w:tcBorders>
            <w:noWrap/>
            <w:vAlign w:val="bottom"/>
            <w:hideMark/>
          </w:tcPr>
          <w:p w14:paraId="3B4E351C" w14:textId="2B48B1A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23.193,58</w:t>
            </w:r>
          </w:p>
        </w:tc>
        <w:tc>
          <w:tcPr>
            <w:tcW w:w="675" w:type="pct"/>
            <w:tcBorders>
              <w:top w:val="nil"/>
              <w:left w:val="nil"/>
              <w:bottom w:val="single" w:sz="4" w:space="0" w:color="auto"/>
              <w:right w:val="single" w:sz="4" w:space="0" w:color="auto"/>
            </w:tcBorders>
            <w:noWrap/>
            <w:vAlign w:val="bottom"/>
            <w:hideMark/>
          </w:tcPr>
          <w:p w14:paraId="4258491D" w14:textId="646B96D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128.618,95</w:t>
            </w:r>
          </w:p>
        </w:tc>
        <w:tc>
          <w:tcPr>
            <w:tcW w:w="480" w:type="pct"/>
            <w:tcBorders>
              <w:top w:val="nil"/>
              <w:left w:val="nil"/>
              <w:bottom w:val="single" w:sz="4" w:space="0" w:color="auto"/>
              <w:right w:val="single" w:sz="4" w:space="0" w:color="auto"/>
            </w:tcBorders>
            <w:noWrap/>
            <w:vAlign w:val="bottom"/>
            <w:hideMark/>
          </w:tcPr>
          <w:p w14:paraId="4FF9C47C" w14:textId="4ED6582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3,80%</w:t>
            </w:r>
          </w:p>
        </w:tc>
      </w:tr>
      <w:tr w:rsidR="006A6145" w:rsidRPr="000020F0" w14:paraId="74B12E6B"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1009CA1E" w14:textId="60EFB41D"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Svetovalni inženiring</w:t>
            </w:r>
          </w:p>
        </w:tc>
        <w:tc>
          <w:tcPr>
            <w:tcW w:w="731" w:type="pct"/>
            <w:tcBorders>
              <w:top w:val="nil"/>
              <w:left w:val="nil"/>
              <w:bottom w:val="single" w:sz="4" w:space="0" w:color="auto"/>
              <w:right w:val="single" w:sz="4" w:space="0" w:color="auto"/>
            </w:tcBorders>
            <w:noWrap/>
            <w:vAlign w:val="bottom"/>
            <w:hideMark/>
          </w:tcPr>
          <w:p w14:paraId="629BA3F5" w14:textId="6ED55A4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22.861,21</w:t>
            </w:r>
          </w:p>
        </w:tc>
        <w:tc>
          <w:tcPr>
            <w:tcW w:w="480" w:type="pct"/>
            <w:tcBorders>
              <w:top w:val="nil"/>
              <w:left w:val="nil"/>
              <w:bottom w:val="single" w:sz="4" w:space="0" w:color="auto"/>
              <w:right w:val="single" w:sz="4" w:space="0" w:color="auto"/>
            </w:tcBorders>
            <w:noWrap/>
            <w:vAlign w:val="bottom"/>
            <w:hideMark/>
          </w:tcPr>
          <w:p w14:paraId="07EDDDA7" w14:textId="7EBAD5F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0,68%</w:t>
            </w:r>
          </w:p>
        </w:tc>
        <w:tc>
          <w:tcPr>
            <w:tcW w:w="589" w:type="pct"/>
            <w:tcBorders>
              <w:top w:val="nil"/>
              <w:left w:val="nil"/>
              <w:bottom w:val="single" w:sz="4" w:space="0" w:color="auto"/>
              <w:right w:val="single" w:sz="4" w:space="0" w:color="auto"/>
            </w:tcBorders>
            <w:noWrap/>
            <w:vAlign w:val="bottom"/>
            <w:hideMark/>
          </w:tcPr>
          <w:p w14:paraId="4B5CF582" w14:textId="44B44B8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5.029,46</w:t>
            </w:r>
          </w:p>
        </w:tc>
        <w:tc>
          <w:tcPr>
            <w:tcW w:w="675" w:type="pct"/>
            <w:tcBorders>
              <w:top w:val="nil"/>
              <w:left w:val="nil"/>
              <w:bottom w:val="single" w:sz="4" w:space="0" w:color="auto"/>
              <w:right w:val="single" w:sz="4" w:space="0" w:color="auto"/>
            </w:tcBorders>
            <w:noWrap/>
            <w:vAlign w:val="bottom"/>
            <w:hideMark/>
          </w:tcPr>
          <w:p w14:paraId="48434BA6" w14:textId="3DC88D8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27.890,67</w:t>
            </w:r>
          </w:p>
        </w:tc>
        <w:tc>
          <w:tcPr>
            <w:tcW w:w="480" w:type="pct"/>
            <w:tcBorders>
              <w:top w:val="nil"/>
              <w:left w:val="nil"/>
              <w:bottom w:val="single" w:sz="4" w:space="0" w:color="auto"/>
              <w:right w:val="single" w:sz="4" w:space="0" w:color="auto"/>
            </w:tcBorders>
            <w:noWrap/>
            <w:vAlign w:val="bottom"/>
            <w:hideMark/>
          </w:tcPr>
          <w:p w14:paraId="58BA0DD3" w14:textId="0142215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0,82%</w:t>
            </w:r>
          </w:p>
        </w:tc>
      </w:tr>
      <w:tr w:rsidR="006A6145" w:rsidRPr="000020F0" w14:paraId="7F721ACE"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4C4EA5BF" w14:textId="04B4268E"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Obveščanje javnosti</w:t>
            </w:r>
          </w:p>
        </w:tc>
        <w:tc>
          <w:tcPr>
            <w:tcW w:w="731" w:type="pct"/>
            <w:tcBorders>
              <w:top w:val="nil"/>
              <w:left w:val="nil"/>
              <w:bottom w:val="single" w:sz="4" w:space="0" w:color="auto"/>
              <w:right w:val="single" w:sz="4" w:space="0" w:color="auto"/>
            </w:tcBorders>
            <w:noWrap/>
            <w:vAlign w:val="bottom"/>
            <w:hideMark/>
          </w:tcPr>
          <w:p w14:paraId="0039795E" w14:textId="132DA07B"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4.268,43</w:t>
            </w:r>
          </w:p>
        </w:tc>
        <w:tc>
          <w:tcPr>
            <w:tcW w:w="480" w:type="pct"/>
            <w:tcBorders>
              <w:top w:val="nil"/>
              <w:left w:val="nil"/>
              <w:bottom w:val="single" w:sz="4" w:space="0" w:color="auto"/>
              <w:right w:val="single" w:sz="4" w:space="0" w:color="auto"/>
            </w:tcBorders>
            <w:noWrap/>
            <w:vAlign w:val="bottom"/>
            <w:hideMark/>
          </w:tcPr>
          <w:p w14:paraId="37F1AA9F" w14:textId="31E8360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0,13%</w:t>
            </w:r>
          </w:p>
        </w:tc>
        <w:tc>
          <w:tcPr>
            <w:tcW w:w="589" w:type="pct"/>
            <w:tcBorders>
              <w:top w:val="nil"/>
              <w:left w:val="nil"/>
              <w:bottom w:val="single" w:sz="4" w:space="0" w:color="auto"/>
              <w:right w:val="single" w:sz="4" w:space="0" w:color="auto"/>
            </w:tcBorders>
            <w:noWrap/>
            <w:vAlign w:val="bottom"/>
            <w:hideMark/>
          </w:tcPr>
          <w:p w14:paraId="4D2B5454" w14:textId="3D5E65E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939,05</w:t>
            </w:r>
          </w:p>
        </w:tc>
        <w:tc>
          <w:tcPr>
            <w:tcW w:w="675" w:type="pct"/>
            <w:tcBorders>
              <w:top w:val="nil"/>
              <w:left w:val="nil"/>
              <w:bottom w:val="single" w:sz="4" w:space="0" w:color="auto"/>
              <w:right w:val="single" w:sz="4" w:space="0" w:color="auto"/>
            </w:tcBorders>
            <w:noWrap/>
            <w:vAlign w:val="bottom"/>
            <w:hideMark/>
          </w:tcPr>
          <w:p w14:paraId="124EF615" w14:textId="27D056E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5.207,48</w:t>
            </w:r>
          </w:p>
        </w:tc>
        <w:tc>
          <w:tcPr>
            <w:tcW w:w="480" w:type="pct"/>
            <w:tcBorders>
              <w:top w:val="nil"/>
              <w:left w:val="nil"/>
              <w:bottom w:val="single" w:sz="4" w:space="0" w:color="auto"/>
              <w:right w:val="single" w:sz="4" w:space="0" w:color="auto"/>
            </w:tcBorders>
            <w:noWrap/>
            <w:vAlign w:val="bottom"/>
            <w:hideMark/>
          </w:tcPr>
          <w:p w14:paraId="7A4335C1" w14:textId="32A7E30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0,15%</w:t>
            </w:r>
          </w:p>
        </w:tc>
      </w:tr>
      <w:tr w:rsidR="006A6145" w:rsidRPr="000020F0" w14:paraId="7656B8D7"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77B4E0A" w14:textId="33063BDD"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731" w:type="pct"/>
            <w:tcBorders>
              <w:top w:val="nil"/>
              <w:left w:val="nil"/>
              <w:bottom w:val="single" w:sz="4" w:space="0" w:color="auto"/>
              <w:right w:val="single" w:sz="4" w:space="0" w:color="auto"/>
            </w:tcBorders>
            <w:noWrap/>
            <w:vAlign w:val="bottom"/>
            <w:hideMark/>
          </w:tcPr>
          <w:p w14:paraId="306DC38E" w14:textId="6AAA2E7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21.650,00</w:t>
            </w:r>
          </w:p>
        </w:tc>
        <w:tc>
          <w:tcPr>
            <w:tcW w:w="480" w:type="pct"/>
            <w:tcBorders>
              <w:top w:val="nil"/>
              <w:left w:val="nil"/>
              <w:bottom w:val="single" w:sz="4" w:space="0" w:color="auto"/>
              <w:right w:val="single" w:sz="4" w:space="0" w:color="auto"/>
            </w:tcBorders>
            <w:noWrap/>
            <w:vAlign w:val="bottom"/>
            <w:hideMark/>
          </w:tcPr>
          <w:p w14:paraId="7DF3E3F7" w14:textId="3F8B671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0,64%</w:t>
            </w:r>
          </w:p>
        </w:tc>
        <w:tc>
          <w:tcPr>
            <w:tcW w:w="589" w:type="pct"/>
            <w:tcBorders>
              <w:top w:val="nil"/>
              <w:left w:val="nil"/>
              <w:bottom w:val="single" w:sz="4" w:space="0" w:color="auto"/>
              <w:right w:val="single" w:sz="4" w:space="0" w:color="auto"/>
            </w:tcBorders>
            <w:noWrap/>
            <w:vAlign w:val="bottom"/>
            <w:hideMark/>
          </w:tcPr>
          <w:p w14:paraId="107D8294" w14:textId="0FE17F6D"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4.763,00</w:t>
            </w:r>
          </w:p>
        </w:tc>
        <w:tc>
          <w:tcPr>
            <w:tcW w:w="675" w:type="pct"/>
            <w:tcBorders>
              <w:top w:val="nil"/>
              <w:left w:val="nil"/>
              <w:bottom w:val="single" w:sz="4" w:space="0" w:color="auto"/>
              <w:right w:val="single" w:sz="4" w:space="0" w:color="auto"/>
            </w:tcBorders>
            <w:noWrap/>
            <w:vAlign w:val="bottom"/>
            <w:hideMark/>
          </w:tcPr>
          <w:p w14:paraId="3A072761" w14:textId="78D59A2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26.413,00</w:t>
            </w:r>
          </w:p>
        </w:tc>
        <w:tc>
          <w:tcPr>
            <w:tcW w:w="480" w:type="pct"/>
            <w:tcBorders>
              <w:top w:val="nil"/>
              <w:left w:val="nil"/>
              <w:bottom w:val="single" w:sz="4" w:space="0" w:color="auto"/>
              <w:right w:val="single" w:sz="4" w:space="0" w:color="auto"/>
            </w:tcBorders>
            <w:noWrap/>
            <w:vAlign w:val="bottom"/>
            <w:hideMark/>
          </w:tcPr>
          <w:p w14:paraId="3F7E963F" w14:textId="394E038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0,78%</w:t>
            </w:r>
          </w:p>
        </w:tc>
      </w:tr>
      <w:tr w:rsidR="006A6145" w:rsidRPr="000020F0" w14:paraId="6C751404"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77FDF4A8" w14:textId="134D8ADD"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Stroški varnosti pri delu</w:t>
            </w:r>
          </w:p>
        </w:tc>
        <w:tc>
          <w:tcPr>
            <w:tcW w:w="731" w:type="pct"/>
            <w:tcBorders>
              <w:top w:val="nil"/>
              <w:left w:val="nil"/>
              <w:bottom w:val="single" w:sz="4" w:space="0" w:color="auto"/>
              <w:right w:val="single" w:sz="4" w:space="0" w:color="auto"/>
            </w:tcBorders>
            <w:noWrap/>
            <w:vAlign w:val="bottom"/>
            <w:hideMark/>
          </w:tcPr>
          <w:p w14:paraId="649FC83E" w14:textId="1BA63782"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7.280,76</w:t>
            </w:r>
          </w:p>
        </w:tc>
        <w:tc>
          <w:tcPr>
            <w:tcW w:w="480" w:type="pct"/>
            <w:tcBorders>
              <w:top w:val="nil"/>
              <w:left w:val="nil"/>
              <w:bottom w:val="single" w:sz="4" w:space="0" w:color="auto"/>
              <w:right w:val="single" w:sz="4" w:space="0" w:color="auto"/>
            </w:tcBorders>
            <w:noWrap/>
            <w:vAlign w:val="bottom"/>
            <w:hideMark/>
          </w:tcPr>
          <w:p w14:paraId="60D1CC10" w14:textId="3119637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0,22%</w:t>
            </w:r>
          </w:p>
        </w:tc>
        <w:tc>
          <w:tcPr>
            <w:tcW w:w="589" w:type="pct"/>
            <w:tcBorders>
              <w:top w:val="nil"/>
              <w:left w:val="nil"/>
              <w:bottom w:val="single" w:sz="4" w:space="0" w:color="auto"/>
              <w:right w:val="single" w:sz="4" w:space="0" w:color="auto"/>
            </w:tcBorders>
            <w:noWrap/>
            <w:vAlign w:val="bottom"/>
            <w:hideMark/>
          </w:tcPr>
          <w:p w14:paraId="6B8E5DF9" w14:textId="19857DE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1.601,76</w:t>
            </w:r>
          </w:p>
        </w:tc>
        <w:tc>
          <w:tcPr>
            <w:tcW w:w="675" w:type="pct"/>
            <w:tcBorders>
              <w:top w:val="nil"/>
              <w:left w:val="nil"/>
              <w:bottom w:val="single" w:sz="4" w:space="0" w:color="auto"/>
              <w:right w:val="single" w:sz="4" w:space="0" w:color="auto"/>
            </w:tcBorders>
            <w:noWrap/>
            <w:vAlign w:val="bottom"/>
            <w:hideMark/>
          </w:tcPr>
          <w:p w14:paraId="4FB80355" w14:textId="5C701A9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8.882,52</w:t>
            </w:r>
          </w:p>
        </w:tc>
        <w:tc>
          <w:tcPr>
            <w:tcW w:w="480" w:type="pct"/>
            <w:tcBorders>
              <w:top w:val="nil"/>
              <w:left w:val="nil"/>
              <w:bottom w:val="single" w:sz="4" w:space="0" w:color="auto"/>
              <w:right w:val="single" w:sz="4" w:space="0" w:color="auto"/>
            </w:tcBorders>
            <w:noWrap/>
            <w:vAlign w:val="bottom"/>
            <w:hideMark/>
          </w:tcPr>
          <w:p w14:paraId="6164A0AE" w14:textId="7F564A0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0,26%</w:t>
            </w:r>
          </w:p>
        </w:tc>
      </w:tr>
      <w:tr w:rsidR="006A6145" w:rsidRPr="000020F0" w14:paraId="7C0B4164"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628DD15E" w14:textId="1F6C30B7"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Arheologija</w:t>
            </w:r>
          </w:p>
        </w:tc>
        <w:tc>
          <w:tcPr>
            <w:tcW w:w="731" w:type="pct"/>
            <w:tcBorders>
              <w:top w:val="nil"/>
              <w:left w:val="nil"/>
              <w:bottom w:val="single" w:sz="4" w:space="0" w:color="auto"/>
              <w:right w:val="single" w:sz="4" w:space="0" w:color="auto"/>
            </w:tcBorders>
            <w:noWrap/>
            <w:vAlign w:val="bottom"/>
            <w:hideMark/>
          </w:tcPr>
          <w:p w14:paraId="75A5DCFC" w14:textId="6089792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15.686,16</w:t>
            </w:r>
          </w:p>
        </w:tc>
        <w:tc>
          <w:tcPr>
            <w:tcW w:w="480" w:type="pct"/>
            <w:tcBorders>
              <w:top w:val="nil"/>
              <w:left w:val="nil"/>
              <w:bottom w:val="single" w:sz="4" w:space="0" w:color="auto"/>
              <w:right w:val="single" w:sz="4" w:space="0" w:color="auto"/>
            </w:tcBorders>
            <w:noWrap/>
            <w:vAlign w:val="bottom"/>
            <w:hideMark/>
          </w:tcPr>
          <w:p w14:paraId="771BA794" w14:textId="3CFAEE7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0,46%</w:t>
            </w:r>
          </w:p>
        </w:tc>
        <w:tc>
          <w:tcPr>
            <w:tcW w:w="589" w:type="pct"/>
            <w:tcBorders>
              <w:top w:val="nil"/>
              <w:left w:val="nil"/>
              <w:bottom w:val="single" w:sz="4" w:space="0" w:color="auto"/>
              <w:right w:val="single" w:sz="4" w:space="0" w:color="auto"/>
            </w:tcBorders>
            <w:noWrap/>
            <w:vAlign w:val="bottom"/>
            <w:hideMark/>
          </w:tcPr>
          <w:p w14:paraId="7AF8D8AA" w14:textId="466EADF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3.450,95</w:t>
            </w:r>
          </w:p>
        </w:tc>
        <w:tc>
          <w:tcPr>
            <w:tcW w:w="675" w:type="pct"/>
            <w:tcBorders>
              <w:top w:val="nil"/>
              <w:left w:val="nil"/>
              <w:bottom w:val="single" w:sz="4" w:space="0" w:color="auto"/>
              <w:right w:val="single" w:sz="4" w:space="0" w:color="auto"/>
            </w:tcBorders>
            <w:noWrap/>
            <w:vAlign w:val="bottom"/>
            <w:hideMark/>
          </w:tcPr>
          <w:p w14:paraId="379CF45C" w14:textId="2172269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19.137,11</w:t>
            </w:r>
          </w:p>
        </w:tc>
        <w:tc>
          <w:tcPr>
            <w:tcW w:w="480" w:type="pct"/>
            <w:tcBorders>
              <w:top w:val="nil"/>
              <w:left w:val="nil"/>
              <w:bottom w:val="single" w:sz="4" w:space="0" w:color="auto"/>
              <w:right w:val="single" w:sz="4" w:space="0" w:color="auto"/>
            </w:tcBorders>
            <w:noWrap/>
            <w:vAlign w:val="bottom"/>
            <w:hideMark/>
          </w:tcPr>
          <w:p w14:paraId="1B5737FA" w14:textId="2207B5F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0,57%</w:t>
            </w:r>
          </w:p>
        </w:tc>
      </w:tr>
      <w:tr w:rsidR="006A6145" w:rsidRPr="000020F0" w14:paraId="05BF017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6D895C8" w14:textId="02318B3D"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731" w:type="pct"/>
            <w:tcBorders>
              <w:top w:val="nil"/>
              <w:left w:val="nil"/>
              <w:bottom w:val="single" w:sz="4" w:space="0" w:color="auto"/>
              <w:right w:val="single" w:sz="4" w:space="0" w:color="auto"/>
            </w:tcBorders>
            <w:noWrap/>
            <w:vAlign w:val="bottom"/>
            <w:hideMark/>
          </w:tcPr>
          <w:p w14:paraId="4DF70E9E" w14:textId="5B67E2E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3.352,16</w:t>
            </w:r>
          </w:p>
        </w:tc>
        <w:tc>
          <w:tcPr>
            <w:tcW w:w="480" w:type="pct"/>
            <w:tcBorders>
              <w:top w:val="nil"/>
              <w:left w:val="nil"/>
              <w:bottom w:val="single" w:sz="4" w:space="0" w:color="auto"/>
              <w:right w:val="single" w:sz="4" w:space="0" w:color="auto"/>
            </w:tcBorders>
            <w:noWrap/>
            <w:vAlign w:val="bottom"/>
            <w:hideMark/>
          </w:tcPr>
          <w:p w14:paraId="19F8B1FF" w14:textId="28B6B8C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0,10%</w:t>
            </w:r>
          </w:p>
        </w:tc>
        <w:tc>
          <w:tcPr>
            <w:tcW w:w="589" w:type="pct"/>
            <w:tcBorders>
              <w:top w:val="nil"/>
              <w:left w:val="nil"/>
              <w:bottom w:val="single" w:sz="4" w:space="0" w:color="auto"/>
              <w:right w:val="single" w:sz="4" w:space="0" w:color="auto"/>
            </w:tcBorders>
            <w:noWrap/>
            <w:vAlign w:val="bottom"/>
            <w:hideMark/>
          </w:tcPr>
          <w:p w14:paraId="74D13B01" w14:textId="1976B34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737,48</w:t>
            </w:r>
          </w:p>
        </w:tc>
        <w:tc>
          <w:tcPr>
            <w:tcW w:w="675" w:type="pct"/>
            <w:tcBorders>
              <w:top w:val="nil"/>
              <w:left w:val="nil"/>
              <w:bottom w:val="single" w:sz="4" w:space="0" w:color="auto"/>
              <w:right w:val="single" w:sz="4" w:space="0" w:color="auto"/>
            </w:tcBorders>
            <w:noWrap/>
            <w:vAlign w:val="bottom"/>
            <w:hideMark/>
          </w:tcPr>
          <w:p w14:paraId="19D19E7C" w14:textId="71713D6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4.089,64</w:t>
            </w:r>
          </w:p>
        </w:tc>
        <w:tc>
          <w:tcPr>
            <w:tcW w:w="480" w:type="pct"/>
            <w:tcBorders>
              <w:top w:val="nil"/>
              <w:left w:val="nil"/>
              <w:bottom w:val="single" w:sz="4" w:space="0" w:color="auto"/>
              <w:right w:val="single" w:sz="4" w:space="0" w:color="auto"/>
            </w:tcBorders>
            <w:noWrap/>
            <w:vAlign w:val="bottom"/>
            <w:hideMark/>
          </w:tcPr>
          <w:p w14:paraId="19B9BE1C" w14:textId="48F0B7CF"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0,12%</w:t>
            </w:r>
          </w:p>
        </w:tc>
      </w:tr>
      <w:tr w:rsidR="006A6145" w:rsidRPr="000020F0" w14:paraId="792363A4"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0BA78B59" w14:textId="7F47C248"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Nakup nepremičnine</w:t>
            </w:r>
          </w:p>
        </w:tc>
        <w:tc>
          <w:tcPr>
            <w:tcW w:w="731" w:type="pct"/>
            <w:tcBorders>
              <w:top w:val="nil"/>
              <w:left w:val="nil"/>
              <w:bottom w:val="single" w:sz="4" w:space="0" w:color="auto"/>
              <w:right w:val="single" w:sz="4" w:space="0" w:color="auto"/>
            </w:tcBorders>
            <w:noWrap/>
            <w:vAlign w:val="bottom"/>
            <w:hideMark/>
          </w:tcPr>
          <w:p w14:paraId="35997E65" w14:textId="0510025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280.000,00</w:t>
            </w:r>
          </w:p>
        </w:tc>
        <w:tc>
          <w:tcPr>
            <w:tcW w:w="480" w:type="pct"/>
            <w:tcBorders>
              <w:top w:val="nil"/>
              <w:left w:val="nil"/>
              <w:bottom w:val="single" w:sz="4" w:space="0" w:color="auto"/>
              <w:right w:val="single" w:sz="4" w:space="0" w:color="auto"/>
            </w:tcBorders>
            <w:noWrap/>
            <w:vAlign w:val="bottom"/>
            <w:hideMark/>
          </w:tcPr>
          <w:p w14:paraId="5C92B0D9" w14:textId="00B0B18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8,27%</w:t>
            </w:r>
          </w:p>
        </w:tc>
        <w:tc>
          <w:tcPr>
            <w:tcW w:w="589" w:type="pct"/>
            <w:tcBorders>
              <w:top w:val="nil"/>
              <w:left w:val="nil"/>
              <w:bottom w:val="single" w:sz="4" w:space="0" w:color="auto"/>
              <w:right w:val="single" w:sz="4" w:space="0" w:color="auto"/>
            </w:tcBorders>
            <w:noWrap/>
            <w:vAlign w:val="bottom"/>
            <w:hideMark/>
          </w:tcPr>
          <w:p w14:paraId="02974B9A" w14:textId="449F4D68" w:rsidR="006A6145" w:rsidRPr="000020F0" w:rsidRDefault="006A6145" w:rsidP="006A6145">
            <w:pPr>
              <w:jc w:val="right"/>
              <w:rPr>
                <w:rFonts w:ascii="Arial" w:hAnsi="Arial" w:cs="Arial"/>
                <w:color w:val="000000"/>
                <w:sz w:val="20"/>
                <w:szCs w:val="20"/>
              </w:rPr>
            </w:pPr>
            <w:r w:rsidRPr="000020F0">
              <w:rPr>
                <w:rFonts w:ascii="Arial" w:hAnsi="Arial" w:cs="Arial"/>
                <w:sz w:val="20"/>
                <w:szCs w:val="20"/>
              </w:rPr>
              <w:t>0,00</w:t>
            </w:r>
          </w:p>
        </w:tc>
        <w:tc>
          <w:tcPr>
            <w:tcW w:w="675" w:type="pct"/>
            <w:tcBorders>
              <w:top w:val="nil"/>
              <w:left w:val="nil"/>
              <w:bottom w:val="single" w:sz="4" w:space="0" w:color="auto"/>
              <w:right w:val="single" w:sz="4" w:space="0" w:color="auto"/>
            </w:tcBorders>
            <w:noWrap/>
            <w:vAlign w:val="bottom"/>
            <w:hideMark/>
          </w:tcPr>
          <w:p w14:paraId="013C1376" w14:textId="1C7F21BB"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280.000,00</w:t>
            </w:r>
          </w:p>
        </w:tc>
        <w:tc>
          <w:tcPr>
            <w:tcW w:w="480" w:type="pct"/>
            <w:tcBorders>
              <w:top w:val="nil"/>
              <w:left w:val="nil"/>
              <w:bottom w:val="single" w:sz="4" w:space="0" w:color="auto"/>
              <w:right w:val="single" w:sz="4" w:space="0" w:color="auto"/>
            </w:tcBorders>
            <w:noWrap/>
            <w:vAlign w:val="bottom"/>
            <w:hideMark/>
          </w:tcPr>
          <w:p w14:paraId="78C35867" w14:textId="6165CAF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8,27%</w:t>
            </w:r>
          </w:p>
        </w:tc>
      </w:tr>
      <w:tr w:rsidR="006A6145" w:rsidRPr="000020F0" w14:paraId="73623E1D"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DB27DE4" w14:textId="162727D7"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Druga dela ob rušenju objekta (neobdavčeno)</w:t>
            </w:r>
          </w:p>
        </w:tc>
        <w:tc>
          <w:tcPr>
            <w:tcW w:w="731" w:type="pct"/>
            <w:tcBorders>
              <w:top w:val="nil"/>
              <w:left w:val="nil"/>
              <w:bottom w:val="single" w:sz="4" w:space="0" w:color="auto"/>
              <w:right w:val="single" w:sz="4" w:space="0" w:color="auto"/>
            </w:tcBorders>
            <w:noWrap/>
            <w:vAlign w:val="bottom"/>
            <w:hideMark/>
          </w:tcPr>
          <w:p w14:paraId="239482A6" w14:textId="3C26672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776,00</w:t>
            </w:r>
          </w:p>
        </w:tc>
        <w:tc>
          <w:tcPr>
            <w:tcW w:w="480" w:type="pct"/>
            <w:tcBorders>
              <w:top w:val="nil"/>
              <w:left w:val="nil"/>
              <w:bottom w:val="single" w:sz="4" w:space="0" w:color="auto"/>
              <w:right w:val="single" w:sz="4" w:space="0" w:color="auto"/>
            </w:tcBorders>
            <w:noWrap/>
            <w:vAlign w:val="bottom"/>
            <w:hideMark/>
          </w:tcPr>
          <w:p w14:paraId="1364E696" w14:textId="2647527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0,02%</w:t>
            </w:r>
          </w:p>
        </w:tc>
        <w:tc>
          <w:tcPr>
            <w:tcW w:w="589" w:type="pct"/>
            <w:tcBorders>
              <w:top w:val="nil"/>
              <w:left w:val="nil"/>
              <w:bottom w:val="single" w:sz="4" w:space="0" w:color="auto"/>
              <w:right w:val="single" w:sz="4" w:space="0" w:color="auto"/>
            </w:tcBorders>
            <w:noWrap/>
            <w:vAlign w:val="bottom"/>
            <w:hideMark/>
          </w:tcPr>
          <w:p w14:paraId="20EEB886" w14:textId="4D581D7D" w:rsidR="006A6145" w:rsidRPr="000020F0" w:rsidRDefault="006A6145" w:rsidP="006A6145">
            <w:pPr>
              <w:jc w:val="right"/>
              <w:rPr>
                <w:rFonts w:ascii="Arial" w:hAnsi="Arial" w:cs="Arial"/>
                <w:color w:val="000000"/>
                <w:sz w:val="20"/>
                <w:szCs w:val="20"/>
              </w:rPr>
            </w:pPr>
            <w:r w:rsidRPr="000020F0">
              <w:rPr>
                <w:rFonts w:ascii="Arial" w:hAnsi="Arial" w:cs="Arial"/>
                <w:sz w:val="20"/>
                <w:szCs w:val="20"/>
              </w:rPr>
              <w:t>0,00</w:t>
            </w:r>
          </w:p>
        </w:tc>
        <w:tc>
          <w:tcPr>
            <w:tcW w:w="675" w:type="pct"/>
            <w:tcBorders>
              <w:top w:val="nil"/>
              <w:left w:val="nil"/>
              <w:bottom w:val="single" w:sz="4" w:space="0" w:color="auto"/>
              <w:right w:val="single" w:sz="4" w:space="0" w:color="auto"/>
            </w:tcBorders>
            <w:noWrap/>
            <w:vAlign w:val="bottom"/>
            <w:hideMark/>
          </w:tcPr>
          <w:p w14:paraId="0129B0B8" w14:textId="0EE69EB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776,00</w:t>
            </w:r>
          </w:p>
        </w:tc>
        <w:tc>
          <w:tcPr>
            <w:tcW w:w="480" w:type="pct"/>
            <w:tcBorders>
              <w:top w:val="nil"/>
              <w:left w:val="nil"/>
              <w:bottom w:val="single" w:sz="4" w:space="0" w:color="auto"/>
              <w:right w:val="single" w:sz="4" w:space="0" w:color="auto"/>
            </w:tcBorders>
            <w:noWrap/>
            <w:vAlign w:val="bottom"/>
            <w:hideMark/>
          </w:tcPr>
          <w:p w14:paraId="376D339F" w14:textId="34619A1D"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0,02%</w:t>
            </w:r>
          </w:p>
        </w:tc>
      </w:tr>
      <w:tr w:rsidR="006A6145" w:rsidRPr="000020F0" w14:paraId="617A949B"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1AF5E4A9" w14:textId="0DA1D9CA"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Druga dela ob rušenju objekta (9,5% DDV)</w:t>
            </w:r>
          </w:p>
        </w:tc>
        <w:tc>
          <w:tcPr>
            <w:tcW w:w="731" w:type="pct"/>
            <w:tcBorders>
              <w:top w:val="nil"/>
              <w:left w:val="nil"/>
              <w:bottom w:val="single" w:sz="4" w:space="0" w:color="auto"/>
              <w:right w:val="single" w:sz="4" w:space="0" w:color="auto"/>
            </w:tcBorders>
            <w:noWrap/>
            <w:vAlign w:val="bottom"/>
            <w:hideMark/>
          </w:tcPr>
          <w:p w14:paraId="6651E043" w14:textId="122313AC"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545,96</w:t>
            </w:r>
          </w:p>
        </w:tc>
        <w:tc>
          <w:tcPr>
            <w:tcW w:w="480" w:type="pct"/>
            <w:tcBorders>
              <w:top w:val="nil"/>
              <w:left w:val="nil"/>
              <w:bottom w:val="single" w:sz="4" w:space="0" w:color="auto"/>
              <w:right w:val="single" w:sz="4" w:space="0" w:color="auto"/>
            </w:tcBorders>
            <w:noWrap/>
            <w:vAlign w:val="bottom"/>
            <w:hideMark/>
          </w:tcPr>
          <w:p w14:paraId="6E15655F" w14:textId="7F00000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0,02%</w:t>
            </w:r>
          </w:p>
        </w:tc>
        <w:tc>
          <w:tcPr>
            <w:tcW w:w="589" w:type="pct"/>
            <w:tcBorders>
              <w:top w:val="nil"/>
              <w:left w:val="nil"/>
              <w:bottom w:val="single" w:sz="4" w:space="0" w:color="auto"/>
              <w:right w:val="single" w:sz="4" w:space="0" w:color="auto"/>
            </w:tcBorders>
            <w:noWrap/>
            <w:vAlign w:val="bottom"/>
            <w:hideMark/>
          </w:tcPr>
          <w:p w14:paraId="45DED117" w14:textId="44D3A800" w:rsidR="006A6145" w:rsidRPr="000020F0" w:rsidRDefault="006A6145" w:rsidP="006A6145">
            <w:pPr>
              <w:jc w:val="right"/>
              <w:rPr>
                <w:rFonts w:ascii="Arial" w:hAnsi="Arial" w:cs="Arial"/>
                <w:color w:val="000000"/>
                <w:sz w:val="20"/>
                <w:szCs w:val="20"/>
              </w:rPr>
            </w:pPr>
            <w:r w:rsidRPr="000020F0">
              <w:rPr>
                <w:rFonts w:ascii="Arial" w:hAnsi="Arial" w:cs="Arial"/>
                <w:sz w:val="20"/>
                <w:szCs w:val="20"/>
              </w:rPr>
              <w:t>51,87</w:t>
            </w:r>
          </w:p>
        </w:tc>
        <w:tc>
          <w:tcPr>
            <w:tcW w:w="675" w:type="pct"/>
            <w:tcBorders>
              <w:top w:val="nil"/>
              <w:left w:val="nil"/>
              <w:bottom w:val="single" w:sz="4" w:space="0" w:color="auto"/>
              <w:right w:val="single" w:sz="4" w:space="0" w:color="auto"/>
            </w:tcBorders>
            <w:noWrap/>
            <w:vAlign w:val="bottom"/>
            <w:hideMark/>
          </w:tcPr>
          <w:p w14:paraId="100848A2" w14:textId="7D391BC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597,83</w:t>
            </w:r>
          </w:p>
        </w:tc>
        <w:tc>
          <w:tcPr>
            <w:tcW w:w="480" w:type="pct"/>
            <w:tcBorders>
              <w:top w:val="nil"/>
              <w:left w:val="nil"/>
              <w:bottom w:val="single" w:sz="4" w:space="0" w:color="auto"/>
              <w:right w:val="single" w:sz="4" w:space="0" w:color="auto"/>
            </w:tcBorders>
            <w:noWrap/>
            <w:vAlign w:val="bottom"/>
            <w:hideMark/>
          </w:tcPr>
          <w:p w14:paraId="28D72A32" w14:textId="798D3E2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0,02%</w:t>
            </w:r>
          </w:p>
        </w:tc>
      </w:tr>
      <w:tr w:rsidR="006A6145" w:rsidRPr="000020F0" w14:paraId="3B9C7C06"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36A3F359" w14:textId="074BB0A6"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Druga dela ob rušenju objekta</w:t>
            </w:r>
          </w:p>
        </w:tc>
        <w:tc>
          <w:tcPr>
            <w:tcW w:w="731" w:type="pct"/>
            <w:tcBorders>
              <w:top w:val="nil"/>
              <w:left w:val="nil"/>
              <w:bottom w:val="single" w:sz="4" w:space="0" w:color="auto"/>
              <w:right w:val="single" w:sz="4" w:space="0" w:color="auto"/>
            </w:tcBorders>
            <w:noWrap/>
            <w:vAlign w:val="bottom"/>
            <w:hideMark/>
          </w:tcPr>
          <w:p w14:paraId="4ABB6C88" w14:textId="5F09F80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5.483,07</w:t>
            </w:r>
          </w:p>
        </w:tc>
        <w:tc>
          <w:tcPr>
            <w:tcW w:w="480" w:type="pct"/>
            <w:tcBorders>
              <w:top w:val="nil"/>
              <w:left w:val="nil"/>
              <w:bottom w:val="single" w:sz="4" w:space="0" w:color="auto"/>
              <w:right w:val="single" w:sz="4" w:space="0" w:color="auto"/>
            </w:tcBorders>
            <w:noWrap/>
            <w:vAlign w:val="bottom"/>
            <w:hideMark/>
          </w:tcPr>
          <w:p w14:paraId="133F7706" w14:textId="0096FA08"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0,16%</w:t>
            </w:r>
          </w:p>
        </w:tc>
        <w:tc>
          <w:tcPr>
            <w:tcW w:w="589" w:type="pct"/>
            <w:tcBorders>
              <w:top w:val="nil"/>
              <w:left w:val="nil"/>
              <w:bottom w:val="single" w:sz="4" w:space="0" w:color="auto"/>
              <w:right w:val="single" w:sz="4" w:space="0" w:color="auto"/>
            </w:tcBorders>
            <w:noWrap/>
            <w:vAlign w:val="bottom"/>
            <w:hideMark/>
          </w:tcPr>
          <w:p w14:paraId="04C5DDF3" w14:textId="6FE7561D"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1.206,28</w:t>
            </w:r>
          </w:p>
        </w:tc>
        <w:tc>
          <w:tcPr>
            <w:tcW w:w="675" w:type="pct"/>
            <w:tcBorders>
              <w:top w:val="nil"/>
              <w:left w:val="nil"/>
              <w:bottom w:val="single" w:sz="4" w:space="0" w:color="auto"/>
              <w:right w:val="single" w:sz="4" w:space="0" w:color="auto"/>
            </w:tcBorders>
            <w:noWrap/>
            <w:vAlign w:val="bottom"/>
            <w:hideMark/>
          </w:tcPr>
          <w:p w14:paraId="35E072AB" w14:textId="504B549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6.689,35</w:t>
            </w:r>
          </w:p>
        </w:tc>
        <w:tc>
          <w:tcPr>
            <w:tcW w:w="480" w:type="pct"/>
            <w:tcBorders>
              <w:top w:val="nil"/>
              <w:left w:val="nil"/>
              <w:bottom w:val="single" w:sz="4" w:space="0" w:color="auto"/>
              <w:right w:val="single" w:sz="4" w:space="0" w:color="auto"/>
            </w:tcBorders>
            <w:noWrap/>
            <w:vAlign w:val="bottom"/>
            <w:hideMark/>
          </w:tcPr>
          <w:p w14:paraId="7E9BD738" w14:textId="08B2B08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0,20%</w:t>
            </w:r>
          </w:p>
        </w:tc>
      </w:tr>
      <w:tr w:rsidR="006A6145" w:rsidRPr="000020F0" w14:paraId="0083C73F"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7D4ED59B" w14:textId="256E247A"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Vpis v kataster</w:t>
            </w:r>
          </w:p>
        </w:tc>
        <w:tc>
          <w:tcPr>
            <w:tcW w:w="731" w:type="pct"/>
            <w:tcBorders>
              <w:top w:val="nil"/>
              <w:left w:val="nil"/>
              <w:bottom w:val="single" w:sz="4" w:space="0" w:color="auto"/>
              <w:right w:val="single" w:sz="4" w:space="0" w:color="auto"/>
            </w:tcBorders>
            <w:noWrap/>
            <w:vAlign w:val="bottom"/>
            <w:hideMark/>
          </w:tcPr>
          <w:p w14:paraId="54659CEF" w14:textId="54299D8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991,38</w:t>
            </w:r>
          </w:p>
        </w:tc>
        <w:tc>
          <w:tcPr>
            <w:tcW w:w="480" w:type="pct"/>
            <w:tcBorders>
              <w:top w:val="nil"/>
              <w:left w:val="nil"/>
              <w:bottom w:val="single" w:sz="4" w:space="0" w:color="auto"/>
              <w:right w:val="single" w:sz="4" w:space="0" w:color="auto"/>
            </w:tcBorders>
            <w:noWrap/>
            <w:vAlign w:val="bottom"/>
            <w:hideMark/>
          </w:tcPr>
          <w:p w14:paraId="59425FF4" w14:textId="41EAD81A"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0,03%</w:t>
            </w:r>
          </w:p>
        </w:tc>
        <w:tc>
          <w:tcPr>
            <w:tcW w:w="589" w:type="pct"/>
            <w:tcBorders>
              <w:top w:val="nil"/>
              <w:left w:val="nil"/>
              <w:bottom w:val="single" w:sz="4" w:space="0" w:color="auto"/>
              <w:right w:val="single" w:sz="4" w:space="0" w:color="auto"/>
            </w:tcBorders>
            <w:noWrap/>
            <w:vAlign w:val="bottom"/>
            <w:hideMark/>
          </w:tcPr>
          <w:p w14:paraId="6267F964" w14:textId="394B673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218,11</w:t>
            </w:r>
          </w:p>
        </w:tc>
        <w:tc>
          <w:tcPr>
            <w:tcW w:w="675" w:type="pct"/>
            <w:tcBorders>
              <w:top w:val="nil"/>
              <w:left w:val="nil"/>
              <w:bottom w:val="single" w:sz="4" w:space="0" w:color="auto"/>
              <w:right w:val="single" w:sz="4" w:space="0" w:color="auto"/>
            </w:tcBorders>
            <w:noWrap/>
            <w:vAlign w:val="bottom"/>
            <w:hideMark/>
          </w:tcPr>
          <w:p w14:paraId="49D764CB" w14:textId="066C9A80"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1.209,49</w:t>
            </w:r>
          </w:p>
        </w:tc>
        <w:tc>
          <w:tcPr>
            <w:tcW w:w="480" w:type="pct"/>
            <w:tcBorders>
              <w:top w:val="nil"/>
              <w:left w:val="nil"/>
              <w:bottom w:val="single" w:sz="4" w:space="0" w:color="auto"/>
              <w:right w:val="single" w:sz="4" w:space="0" w:color="auto"/>
            </w:tcBorders>
            <w:noWrap/>
            <w:vAlign w:val="bottom"/>
            <w:hideMark/>
          </w:tcPr>
          <w:p w14:paraId="67429610" w14:textId="504C2DAE"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0,04%</w:t>
            </w:r>
          </w:p>
        </w:tc>
      </w:tr>
      <w:tr w:rsidR="006A6145" w:rsidRPr="000020F0" w14:paraId="45A80A0E"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0489E3A6" w14:textId="5F280EF7"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Geodetski načrt</w:t>
            </w:r>
          </w:p>
        </w:tc>
        <w:tc>
          <w:tcPr>
            <w:tcW w:w="731" w:type="pct"/>
            <w:tcBorders>
              <w:top w:val="nil"/>
              <w:left w:val="nil"/>
              <w:bottom w:val="single" w:sz="4" w:space="0" w:color="auto"/>
              <w:right w:val="single" w:sz="4" w:space="0" w:color="auto"/>
            </w:tcBorders>
            <w:noWrap/>
            <w:vAlign w:val="bottom"/>
            <w:hideMark/>
          </w:tcPr>
          <w:p w14:paraId="38EF12E0" w14:textId="1E32125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2.261,75</w:t>
            </w:r>
          </w:p>
        </w:tc>
        <w:tc>
          <w:tcPr>
            <w:tcW w:w="480" w:type="pct"/>
            <w:tcBorders>
              <w:top w:val="nil"/>
              <w:left w:val="nil"/>
              <w:bottom w:val="single" w:sz="4" w:space="0" w:color="auto"/>
              <w:right w:val="single" w:sz="4" w:space="0" w:color="auto"/>
            </w:tcBorders>
            <w:noWrap/>
            <w:vAlign w:val="bottom"/>
            <w:hideMark/>
          </w:tcPr>
          <w:p w14:paraId="46B3DE5C" w14:textId="4B12742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0,07%</w:t>
            </w:r>
          </w:p>
        </w:tc>
        <w:tc>
          <w:tcPr>
            <w:tcW w:w="589" w:type="pct"/>
            <w:tcBorders>
              <w:top w:val="nil"/>
              <w:left w:val="nil"/>
              <w:bottom w:val="single" w:sz="4" w:space="0" w:color="auto"/>
              <w:right w:val="single" w:sz="4" w:space="0" w:color="auto"/>
            </w:tcBorders>
            <w:noWrap/>
            <w:vAlign w:val="bottom"/>
            <w:hideMark/>
          </w:tcPr>
          <w:p w14:paraId="7D665818" w14:textId="426242D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497,59</w:t>
            </w:r>
          </w:p>
        </w:tc>
        <w:tc>
          <w:tcPr>
            <w:tcW w:w="675" w:type="pct"/>
            <w:tcBorders>
              <w:top w:val="nil"/>
              <w:left w:val="nil"/>
              <w:bottom w:val="single" w:sz="4" w:space="0" w:color="auto"/>
              <w:right w:val="single" w:sz="4" w:space="0" w:color="auto"/>
            </w:tcBorders>
            <w:noWrap/>
            <w:vAlign w:val="bottom"/>
            <w:hideMark/>
          </w:tcPr>
          <w:p w14:paraId="5A4E8767" w14:textId="134970D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2.759,34</w:t>
            </w:r>
          </w:p>
        </w:tc>
        <w:tc>
          <w:tcPr>
            <w:tcW w:w="480" w:type="pct"/>
            <w:tcBorders>
              <w:top w:val="nil"/>
              <w:left w:val="nil"/>
              <w:bottom w:val="single" w:sz="4" w:space="0" w:color="auto"/>
              <w:right w:val="single" w:sz="4" w:space="0" w:color="auto"/>
            </w:tcBorders>
            <w:noWrap/>
            <w:vAlign w:val="bottom"/>
            <w:hideMark/>
          </w:tcPr>
          <w:p w14:paraId="11AD6FD5" w14:textId="10F49D36"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0,08%</w:t>
            </w:r>
          </w:p>
        </w:tc>
      </w:tr>
      <w:tr w:rsidR="006A6145" w:rsidRPr="000020F0" w14:paraId="19A0C789"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5A96A675" w14:textId="28B0927C"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Baza cestnih podatkov</w:t>
            </w:r>
          </w:p>
        </w:tc>
        <w:tc>
          <w:tcPr>
            <w:tcW w:w="731" w:type="pct"/>
            <w:tcBorders>
              <w:top w:val="nil"/>
              <w:left w:val="nil"/>
              <w:bottom w:val="single" w:sz="4" w:space="0" w:color="auto"/>
              <w:right w:val="single" w:sz="4" w:space="0" w:color="auto"/>
            </w:tcBorders>
            <w:noWrap/>
            <w:vAlign w:val="bottom"/>
            <w:hideMark/>
          </w:tcPr>
          <w:p w14:paraId="607CBB81" w14:textId="128D5055"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855,29</w:t>
            </w:r>
          </w:p>
        </w:tc>
        <w:tc>
          <w:tcPr>
            <w:tcW w:w="480" w:type="pct"/>
            <w:tcBorders>
              <w:top w:val="nil"/>
              <w:left w:val="nil"/>
              <w:bottom w:val="single" w:sz="4" w:space="0" w:color="auto"/>
              <w:right w:val="single" w:sz="4" w:space="0" w:color="auto"/>
            </w:tcBorders>
            <w:noWrap/>
            <w:vAlign w:val="bottom"/>
            <w:hideMark/>
          </w:tcPr>
          <w:p w14:paraId="2C323E5F" w14:textId="526E6D0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0,03%</w:t>
            </w:r>
          </w:p>
        </w:tc>
        <w:tc>
          <w:tcPr>
            <w:tcW w:w="589" w:type="pct"/>
            <w:tcBorders>
              <w:top w:val="nil"/>
              <w:left w:val="nil"/>
              <w:bottom w:val="single" w:sz="4" w:space="0" w:color="auto"/>
              <w:right w:val="single" w:sz="4" w:space="0" w:color="auto"/>
            </w:tcBorders>
            <w:noWrap/>
            <w:vAlign w:val="bottom"/>
            <w:hideMark/>
          </w:tcPr>
          <w:p w14:paraId="1E8F9BAE" w14:textId="118703A1"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188,17</w:t>
            </w:r>
          </w:p>
        </w:tc>
        <w:tc>
          <w:tcPr>
            <w:tcW w:w="675" w:type="pct"/>
            <w:tcBorders>
              <w:top w:val="nil"/>
              <w:left w:val="nil"/>
              <w:bottom w:val="single" w:sz="4" w:space="0" w:color="auto"/>
              <w:right w:val="single" w:sz="4" w:space="0" w:color="auto"/>
            </w:tcBorders>
            <w:noWrap/>
            <w:vAlign w:val="bottom"/>
            <w:hideMark/>
          </w:tcPr>
          <w:p w14:paraId="06541B89" w14:textId="1EB7B96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1.043,46</w:t>
            </w:r>
          </w:p>
        </w:tc>
        <w:tc>
          <w:tcPr>
            <w:tcW w:w="480" w:type="pct"/>
            <w:tcBorders>
              <w:top w:val="nil"/>
              <w:left w:val="nil"/>
              <w:bottom w:val="single" w:sz="4" w:space="0" w:color="auto"/>
              <w:right w:val="single" w:sz="4" w:space="0" w:color="auto"/>
            </w:tcBorders>
            <w:noWrap/>
            <w:vAlign w:val="bottom"/>
            <w:hideMark/>
          </w:tcPr>
          <w:p w14:paraId="63B10885" w14:textId="6AAA797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0,03%</w:t>
            </w:r>
          </w:p>
        </w:tc>
      </w:tr>
      <w:tr w:rsidR="006A6145" w:rsidRPr="000020F0" w14:paraId="6FDC2295" w14:textId="77777777" w:rsidTr="00E24775">
        <w:trPr>
          <w:trHeight w:val="284"/>
        </w:trPr>
        <w:tc>
          <w:tcPr>
            <w:tcW w:w="2045" w:type="pct"/>
            <w:tcBorders>
              <w:top w:val="nil"/>
              <w:left w:val="single" w:sz="4" w:space="0" w:color="auto"/>
              <w:bottom w:val="single" w:sz="4" w:space="0" w:color="auto"/>
              <w:right w:val="single" w:sz="4" w:space="0" w:color="auto"/>
            </w:tcBorders>
            <w:shd w:val="clear" w:color="000000" w:fill="D9D9D9"/>
            <w:vAlign w:val="bottom"/>
            <w:hideMark/>
          </w:tcPr>
          <w:p w14:paraId="481397DA" w14:textId="4FD08ABF" w:rsidR="006A6145" w:rsidRPr="000020F0" w:rsidRDefault="006A6145" w:rsidP="006A6145">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731" w:type="pct"/>
            <w:tcBorders>
              <w:top w:val="nil"/>
              <w:left w:val="nil"/>
              <w:bottom w:val="single" w:sz="4" w:space="0" w:color="auto"/>
              <w:right w:val="single" w:sz="4" w:space="0" w:color="auto"/>
            </w:tcBorders>
            <w:shd w:val="clear" w:color="000000" w:fill="D9D9D9"/>
            <w:noWrap/>
            <w:vAlign w:val="bottom"/>
            <w:hideMark/>
          </w:tcPr>
          <w:p w14:paraId="32B5722B" w14:textId="674B81F7"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2.826.142,46</w:t>
            </w:r>
          </w:p>
        </w:tc>
        <w:tc>
          <w:tcPr>
            <w:tcW w:w="480" w:type="pct"/>
            <w:tcBorders>
              <w:top w:val="nil"/>
              <w:left w:val="nil"/>
              <w:bottom w:val="single" w:sz="4" w:space="0" w:color="auto"/>
              <w:right w:val="single" w:sz="4" w:space="0" w:color="auto"/>
            </w:tcBorders>
            <w:shd w:val="clear" w:color="000000" w:fill="D9D9D9"/>
            <w:noWrap/>
            <w:vAlign w:val="bottom"/>
            <w:hideMark/>
          </w:tcPr>
          <w:p w14:paraId="75E9ABA4" w14:textId="7D8462D3"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83,46%</w:t>
            </w:r>
          </w:p>
        </w:tc>
        <w:tc>
          <w:tcPr>
            <w:tcW w:w="589" w:type="pct"/>
            <w:tcBorders>
              <w:top w:val="nil"/>
              <w:left w:val="nil"/>
              <w:bottom w:val="single" w:sz="4" w:space="0" w:color="auto"/>
              <w:right w:val="single" w:sz="4" w:space="0" w:color="auto"/>
            </w:tcBorders>
            <w:shd w:val="clear" w:color="000000" w:fill="D9D9D9"/>
            <w:noWrap/>
            <w:vAlign w:val="bottom"/>
            <w:hideMark/>
          </w:tcPr>
          <w:p w14:paraId="206AB27C" w14:textId="003C05A8"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559.912,37</w:t>
            </w:r>
          </w:p>
        </w:tc>
        <w:tc>
          <w:tcPr>
            <w:tcW w:w="675" w:type="pct"/>
            <w:tcBorders>
              <w:top w:val="nil"/>
              <w:left w:val="nil"/>
              <w:bottom w:val="single" w:sz="4" w:space="0" w:color="auto"/>
              <w:right w:val="single" w:sz="4" w:space="0" w:color="auto"/>
            </w:tcBorders>
            <w:shd w:val="clear" w:color="000000" w:fill="D9D9D9"/>
            <w:noWrap/>
            <w:vAlign w:val="bottom"/>
            <w:hideMark/>
          </w:tcPr>
          <w:p w14:paraId="384DF4EC" w14:textId="4F97C98C"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2.880.085,96</w:t>
            </w:r>
          </w:p>
        </w:tc>
        <w:tc>
          <w:tcPr>
            <w:tcW w:w="480" w:type="pct"/>
            <w:tcBorders>
              <w:top w:val="nil"/>
              <w:left w:val="nil"/>
              <w:bottom w:val="single" w:sz="4" w:space="0" w:color="auto"/>
              <w:right w:val="single" w:sz="4" w:space="0" w:color="auto"/>
            </w:tcBorders>
            <w:shd w:val="clear" w:color="000000" w:fill="D9D9D9"/>
            <w:noWrap/>
            <w:vAlign w:val="bottom"/>
            <w:hideMark/>
          </w:tcPr>
          <w:p w14:paraId="21B9CC37" w14:textId="028E89D4"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85,06%</w:t>
            </w:r>
          </w:p>
        </w:tc>
      </w:tr>
      <w:tr w:rsidR="006A6145" w:rsidRPr="000020F0" w14:paraId="1FD606E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6B27AEB4" w14:textId="39CC1953"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Davek na dodano vrednost</w:t>
            </w:r>
          </w:p>
        </w:tc>
        <w:tc>
          <w:tcPr>
            <w:tcW w:w="731" w:type="pct"/>
            <w:tcBorders>
              <w:top w:val="nil"/>
              <w:left w:val="nil"/>
              <w:bottom w:val="single" w:sz="4" w:space="0" w:color="auto"/>
              <w:right w:val="single" w:sz="4" w:space="0" w:color="auto"/>
            </w:tcBorders>
            <w:noWrap/>
            <w:vAlign w:val="bottom"/>
            <w:hideMark/>
          </w:tcPr>
          <w:p w14:paraId="6C6623E7" w14:textId="0939D00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559.912,37</w:t>
            </w:r>
          </w:p>
        </w:tc>
        <w:tc>
          <w:tcPr>
            <w:tcW w:w="480" w:type="pct"/>
            <w:tcBorders>
              <w:top w:val="nil"/>
              <w:left w:val="nil"/>
              <w:bottom w:val="single" w:sz="4" w:space="0" w:color="auto"/>
              <w:right w:val="single" w:sz="4" w:space="0" w:color="auto"/>
            </w:tcBorders>
            <w:noWrap/>
            <w:vAlign w:val="bottom"/>
            <w:hideMark/>
          </w:tcPr>
          <w:p w14:paraId="257C4024" w14:textId="23956AD3"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16,54%</w:t>
            </w:r>
          </w:p>
        </w:tc>
        <w:tc>
          <w:tcPr>
            <w:tcW w:w="589" w:type="pct"/>
            <w:tcBorders>
              <w:top w:val="nil"/>
              <w:left w:val="nil"/>
              <w:bottom w:val="single" w:sz="4" w:space="0" w:color="auto"/>
              <w:right w:val="single" w:sz="4" w:space="0" w:color="auto"/>
            </w:tcBorders>
            <w:noWrap/>
            <w:vAlign w:val="bottom"/>
            <w:hideMark/>
          </w:tcPr>
          <w:p w14:paraId="2AB57C39" w14:textId="68C0AFEB"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559.912,37</w:t>
            </w:r>
          </w:p>
        </w:tc>
        <w:tc>
          <w:tcPr>
            <w:tcW w:w="675" w:type="pct"/>
            <w:tcBorders>
              <w:top w:val="nil"/>
              <w:left w:val="nil"/>
              <w:bottom w:val="single" w:sz="4" w:space="0" w:color="auto"/>
              <w:right w:val="single" w:sz="4" w:space="0" w:color="auto"/>
            </w:tcBorders>
            <w:noWrap/>
            <w:vAlign w:val="bottom"/>
            <w:hideMark/>
          </w:tcPr>
          <w:p w14:paraId="0F6B53B4" w14:textId="33842FA3"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w:t>
            </w:r>
          </w:p>
        </w:tc>
        <w:tc>
          <w:tcPr>
            <w:tcW w:w="480" w:type="pct"/>
            <w:tcBorders>
              <w:top w:val="nil"/>
              <w:left w:val="nil"/>
              <w:bottom w:val="single" w:sz="4" w:space="0" w:color="auto"/>
              <w:right w:val="single" w:sz="4" w:space="0" w:color="auto"/>
            </w:tcBorders>
            <w:noWrap/>
            <w:vAlign w:val="bottom"/>
            <w:hideMark/>
          </w:tcPr>
          <w:p w14:paraId="2376CE53" w14:textId="1B04383C"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w:t>
            </w:r>
          </w:p>
        </w:tc>
      </w:tr>
      <w:tr w:rsidR="006A6145" w:rsidRPr="000020F0" w14:paraId="0E6AE505" w14:textId="77777777" w:rsidTr="00E24775">
        <w:trPr>
          <w:trHeight w:val="284"/>
        </w:trPr>
        <w:tc>
          <w:tcPr>
            <w:tcW w:w="2045" w:type="pct"/>
            <w:tcBorders>
              <w:top w:val="nil"/>
              <w:left w:val="single" w:sz="4" w:space="0" w:color="auto"/>
              <w:bottom w:val="single" w:sz="4" w:space="0" w:color="auto"/>
              <w:right w:val="single" w:sz="4" w:space="0" w:color="auto"/>
            </w:tcBorders>
            <w:vAlign w:val="bottom"/>
            <w:hideMark/>
          </w:tcPr>
          <w:p w14:paraId="70D33044" w14:textId="75178362"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731" w:type="pct"/>
            <w:tcBorders>
              <w:top w:val="nil"/>
              <w:left w:val="nil"/>
              <w:bottom w:val="single" w:sz="4" w:space="0" w:color="auto"/>
              <w:right w:val="single" w:sz="4" w:space="0" w:color="auto"/>
            </w:tcBorders>
            <w:noWrap/>
            <w:vAlign w:val="bottom"/>
            <w:hideMark/>
          </w:tcPr>
          <w:p w14:paraId="70EF9FEE" w14:textId="4739C4D7"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22.291,03</w:t>
            </w:r>
          </w:p>
        </w:tc>
        <w:tc>
          <w:tcPr>
            <w:tcW w:w="480" w:type="pct"/>
            <w:tcBorders>
              <w:top w:val="nil"/>
              <w:left w:val="nil"/>
              <w:bottom w:val="single" w:sz="4" w:space="0" w:color="auto"/>
              <w:right w:val="single" w:sz="4" w:space="0" w:color="auto"/>
            </w:tcBorders>
            <w:noWrap/>
            <w:vAlign w:val="bottom"/>
            <w:hideMark/>
          </w:tcPr>
          <w:p w14:paraId="33D757C9" w14:textId="7AF111E4"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0,66%</w:t>
            </w:r>
          </w:p>
        </w:tc>
        <w:tc>
          <w:tcPr>
            <w:tcW w:w="589" w:type="pct"/>
            <w:tcBorders>
              <w:top w:val="nil"/>
              <w:left w:val="nil"/>
              <w:bottom w:val="single" w:sz="4" w:space="0" w:color="auto"/>
              <w:right w:val="single" w:sz="4" w:space="0" w:color="auto"/>
            </w:tcBorders>
            <w:noWrap/>
            <w:vAlign w:val="bottom"/>
            <w:hideMark/>
          </w:tcPr>
          <w:p w14:paraId="674F8A44" w14:textId="2A40C9D9" w:rsidR="006A6145" w:rsidRPr="000020F0" w:rsidRDefault="006A6145" w:rsidP="006A6145">
            <w:pPr>
              <w:jc w:val="right"/>
              <w:rPr>
                <w:rFonts w:ascii="Arial" w:hAnsi="Arial" w:cs="Arial"/>
                <w:color w:val="000000"/>
                <w:sz w:val="20"/>
                <w:szCs w:val="20"/>
              </w:rPr>
            </w:pPr>
            <w:r w:rsidRPr="000020F0">
              <w:rPr>
                <w:rFonts w:ascii="Arial" w:hAnsi="Arial" w:cs="Arial"/>
                <w:color w:val="000000"/>
                <w:sz w:val="20"/>
                <w:szCs w:val="20"/>
              </w:rPr>
              <w:t>22.291,03</w:t>
            </w:r>
          </w:p>
        </w:tc>
        <w:tc>
          <w:tcPr>
            <w:tcW w:w="675" w:type="pct"/>
            <w:tcBorders>
              <w:top w:val="nil"/>
              <w:left w:val="nil"/>
              <w:bottom w:val="single" w:sz="4" w:space="0" w:color="auto"/>
              <w:right w:val="single" w:sz="4" w:space="0" w:color="auto"/>
            </w:tcBorders>
            <w:noWrap/>
            <w:vAlign w:val="bottom"/>
            <w:hideMark/>
          </w:tcPr>
          <w:p w14:paraId="71784125" w14:textId="29D3A8F7"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w:t>
            </w:r>
          </w:p>
        </w:tc>
        <w:tc>
          <w:tcPr>
            <w:tcW w:w="480" w:type="pct"/>
            <w:tcBorders>
              <w:top w:val="nil"/>
              <w:left w:val="nil"/>
              <w:bottom w:val="single" w:sz="4" w:space="0" w:color="auto"/>
              <w:right w:val="single" w:sz="4" w:space="0" w:color="auto"/>
            </w:tcBorders>
            <w:noWrap/>
            <w:vAlign w:val="bottom"/>
            <w:hideMark/>
          </w:tcPr>
          <w:p w14:paraId="2D681E9B" w14:textId="554D8352" w:rsidR="006A6145" w:rsidRPr="000020F0" w:rsidRDefault="006A6145" w:rsidP="006A6145">
            <w:pPr>
              <w:rPr>
                <w:rFonts w:ascii="Arial" w:hAnsi="Arial" w:cs="Arial"/>
                <w:color w:val="000000"/>
                <w:sz w:val="20"/>
                <w:szCs w:val="20"/>
              </w:rPr>
            </w:pPr>
            <w:r w:rsidRPr="000020F0">
              <w:rPr>
                <w:rFonts w:ascii="Arial" w:hAnsi="Arial" w:cs="Arial"/>
                <w:color w:val="000000"/>
                <w:sz w:val="20"/>
                <w:szCs w:val="20"/>
              </w:rPr>
              <w:t> </w:t>
            </w:r>
          </w:p>
        </w:tc>
      </w:tr>
      <w:tr w:rsidR="006A6145" w:rsidRPr="000020F0" w14:paraId="05A3F036" w14:textId="77777777" w:rsidTr="00E24775">
        <w:trPr>
          <w:trHeight w:val="284"/>
        </w:trPr>
        <w:tc>
          <w:tcPr>
            <w:tcW w:w="2045" w:type="pct"/>
            <w:tcBorders>
              <w:top w:val="nil"/>
              <w:left w:val="single" w:sz="4" w:space="0" w:color="auto"/>
              <w:bottom w:val="single" w:sz="4" w:space="0" w:color="auto"/>
              <w:right w:val="single" w:sz="4" w:space="0" w:color="auto"/>
            </w:tcBorders>
            <w:shd w:val="clear" w:color="000000" w:fill="D9D9D9"/>
            <w:vAlign w:val="bottom"/>
            <w:hideMark/>
          </w:tcPr>
          <w:p w14:paraId="35E0B9F3" w14:textId="7BD40333" w:rsidR="006A6145" w:rsidRPr="000020F0" w:rsidRDefault="006A6145" w:rsidP="006A6145">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731" w:type="pct"/>
            <w:tcBorders>
              <w:top w:val="nil"/>
              <w:left w:val="nil"/>
              <w:bottom w:val="single" w:sz="4" w:space="0" w:color="auto"/>
              <w:right w:val="single" w:sz="4" w:space="0" w:color="auto"/>
            </w:tcBorders>
            <w:shd w:val="clear" w:color="000000" w:fill="D9D9D9"/>
            <w:noWrap/>
            <w:vAlign w:val="bottom"/>
            <w:hideMark/>
          </w:tcPr>
          <w:p w14:paraId="094A5D8C" w14:textId="22DFB810"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480" w:type="pct"/>
            <w:tcBorders>
              <w:top w:val="nil"/>
              <w:left w:val="nil"/>
              <w:bottom w:val="single" w:sz="4" w:space="0" w:color="auto"/>
              <w:right w:val="single" w:sz="4" w:space="0" w:color="auto"/>
            </w:tcBorders>
            <w:shd w:val="clear" w:color="000000" w:fill="D9D9D9"/>
            <w:noWrap/>
            <w:vAlign w:val="bottom"/>
            <w:hideMark/>
          </w:tcPr>
          <w:p w14:paraId="04F3752B" w14:textId="03D77DE4"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589" w:type="pct"/>
            <w:tcBorders>
              <w:top w:val="nil"/>
              <w:left w:val="nil"/>
              <w:bottom w:val="single" w:sz="4" w:space="0" w:color="auto"/>
              <w:right w:val="single" w:sz="4" w:space="0" w:color="auto"/>
            </w:tcBorders>
            <w:shd w:val="clear" w:color="000000" w:fill="D9D9D9"/>
            <w:noWrap/>
            <w:vAlign w:val="bottom"/>
            <w:hideMark/>
          </w:tcPr>
          <w:p w14:paraId="0AE293AB" w14:textId="5075F706"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559.912,37</w:t>
            </w:r>
          </w:p>
        </w:tc>
        <w:tc>
          <w:tcPr>
            <w:tcW w:w="675" w:type="pct"/>
            <w:tcBorders>
              <w:top w:val="nil"/>
              <w:left w:val="nil"/>
              <w:bottom w:val="single" w:sz="4" w:space="0" w:color="auto"/>
              <w:right w:val="single" w:sz="4" w:space="0" w:color="auto"/>
            </w:tcBorders>
            <w:shd w:val="clear" w:color="000000" w:fill="D9D9D9"/>
            <w:noWrap/>
            <w:vAlign w:val="bottom"/>
            <w:hideMark/>
          </w:tcPr>
          <w:p w14:paraId="3147BE92" w14:textId="04F3D299"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2.880.085,96</w:t>
            </w:r>
          </w:p>
        </w:tc>
        <w:tc>
          <w:tcPr>
            <w:tcW w:w="480" w:type="pct"/>
            <w:tcBorders>
              <w:top w:val="nil"/>
              <w:left w:val="nil"/>
              <w:bottom w:val="single" w:sz="4" w:space="0" w:color="auto"/>
              <w:right w:val="single" w:sz="4" w:space="0" w:color="auto"/>
            </w:tcBorders>
            <w:shd w:val="clear" w:color="000000" w:fill="D9D9D9"/>
            <w:noWrap/>
            <w:vAlign w:val="bottom"/>
            <w:hideMark/>
          </w:tcPr>
          <w:p w14:paraId="2866AA67" w14:textId="5488AE4F"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85,06%</w:t>
            </w:r>
          </w:p>
        </w:tc>
      </w:tr>
      <w:tr w:rsidR="006A6145" w:rsidRPr="000020F0" w14:paraId="49C39E94" w14:textId="77777777" w:rsidTr="00E24775">
        <w:trPr>
          <w:trHeight w:val="284"/>
        </w:trPr>
        <w:tc>
          <w:tcPr>
            <w:tcW w:w="2045" w:type="pct"/>
            <w:tcBorders>
              <w:top w:val="nil"/>
              <w:left w:val="single" w:sz="4" w:space="0" w:color="auto"/>
              <w:bottom w:val="single" w:sz="4" w:space="0" w:color="auto"/>
              <w:right w:val="single" w:sz="4" w:space="0" w:color="auto"/>
            </w:tcBorders>
            <w:shd w:val="clear" w:color="000000" w:fill="D9D9D9"/>
            <w:vAlign w:val="bottom"/>
            <w:hideMark/>
          </w:tcPr>
          <w:p w14:paraId="7D430355" w14:textId="05372BD4" w:rsidR="006A6145" w:rsidRPr="000020F0" w:rsidRDefault="006A6145" w:rsidP="006A6145">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731" w:type="pct"/>
            <w:tcBorders>
              <w:top w:val="nil"/>
              <w:left w:val="nil"/>
              <w:bottom w:val="single" w:sz="4" w:space="0" w:color="auto"/>
              <w:right w:val="single" w:sz="4" w:space="0" w:color="auto"/>
            </w:tcBorders>
            <w:shd w:val="clear" w:color="000000" w:fill="D9D9D9"/>
            <w:noWrap/>
            <w:vAlign w:val="bottom"/>
            <w:hideMark/>
          </w:tcPr>
          <w:p w14:paraId="0EE3CB2B" w14:textId="39C8EDBC"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3.363.763,80</w:t>
            </w:r>
          </w:p>
        </w:tc>
        <w:tc>
          <w:tcPr>
            <w:tcW w:w="480" w:type="pct"/>
            <w:tcBorders>
              <w:top w:val="nil"/>
              <w:left w:val="nil"/>
              <w:bottom w:val="single" w:sz="4" w:space="0" w:color="auto"/>
              <w:right w:val="single" w:sz="4" w:space="0" w:color="auto"/>
            </w:tcBorders>
            <w:shd w:val="clear" w:color="000000" w:fill="D9D9D9"/>
            <w:noWrap/>
            <w:vAlign w:val="bottom"/>
            <w:hideMark/>
          </w:tcPr>
          <w:p w14:paraId="53F5EAB1" w14:textId="14D83E96"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99,34%</w:t>
            </w:r>
          </w:p>
        </w:tc>
        <w:tc>
          <w:tcPr>
            <w:tcW w:w="589" w:type="pct"/>
            <w:tcBorders>
              <w:top w:val="nil"/>
              <w:left w:val="nil"/>
              <w:bottom w:val="single" w:sz="4" w:space="0" w:color="auto"/>
              <w:right w:val="single" w:sz="4" w:space="0" w:color="auto"/>
            </w:tcBorders>
            <w:shd w:val="clear" w:color="000000" w:fill="D9D9D9"/>
            <w:noWrap/>
            <w:vAlign w:val="bottom"/>
            <w:hideMark/>
          </w:tcPr>
          <w:p w14:paraId="1C395960" w14:textId="74728B8F"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 </w:t>
            </w:r>
          </w:p>
        </w:tc>
        <w:tc>
          <w:tcPr>
            <w:tcW w:w="675" w:type="pct"/>
            <w:tcBorders>
              <w:top w:val="nil"/>
              <w:left w:val="nil"/>
              <w:bottom w:val="single" w:sz="4" w:space="0" w:color="auto"/>
              <w:right w:val="single" w:sz="4" w:space="0" w:color="auto"/>
            </w:tcBorders>
            <w:shd w:val="clear" w:color="000000" w:fill="D9D9D9"/>
            <w:noWrap/>
            <w:vAlign w:val="bottom"/>
            <w:hideMark/>
          </w:tcPr>
          <w:p w14:paraId="5F267FE1" w14:textId="426631BB"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3.363.763,80</w:t>
            </w:r>
          </w:p>
        </w:tc>
        <w:tc>
          <w:tcPr>
            <w:tcW w:w="480" w:type="pct"/>
            <w:tcBorders>
              <w:top w:val="nil"/>
              <w:left w:val="nil"/>
              <w:bottom w:val="single" w:sz="4" w:space="0" w:color="auto"/>
              <w:right w:val="single" w:sz="4" w:space="0" w:color="auto"/>
            </w:tcBorders>
            <w:shd w:val="clear" w:color="000000" w:fill="D9D9D9"/>
            <w:noWrap/>
            <w:vAlign w:val="bottom"/>
            <w:hideMark/>
          </w:tcPr>
          <w:p w14:paraId="6304C9EE" w14:textId="2DDA55DA" w:rsidR="006A6145" w:rsidRPr="000020F0" w:rsidRDefault="006A6145" w:rsidP="006A6145">
            <w:pPr>
              <w:jc w:val="right"/>
              <w:rPr>
                <w:rFonts w:ascii="Arial" w:hAnsi="Arial" w:cs="Arial"/>
                <w:b/>
                <w:bCs/>
                <w:color w:val="000000"/>
                <w:sz w:val="20"/>
                <w:szCs w:val="20"/>
              </w:rPr>
            </w:pPr>
            <w:r w:rsidRPr="000020F0">
              <w:rPr>
                <w:rFonts w:ascii="Arial" w:hAnsi="Arial" w:cs="Arial"/>
                <w:b/>
                <w:bCs/>
                <w:color w:val="000000"/>
                <w:sz w:val="20"/>
                <w:szCs w:val="20"/>
              </w:rPr>
              <w:t>99,34%</w:t>
            </w:r>
          </w:p>
        </w:tc>
      </w:tr>
    </w:tbl>
    <w:p w14:paraId="58D91B0C" w14:textId="77777777" w:rsidR="00B56649" w:rsidRPr="000020F0" w:rsidRDefault="00B56649" w:rsidP="00B56649"/>
    <w:p w14:paraId="6449AC47" w14:textId="77777777" w:rsidR="00B56649" w:rsidRPr="000020F0" w:rsidRDefault="00B56649" w:rsidP="00B56649"/>
    <w:p w14:paraId="05C97FF8" w14:textId="5F1EAAAA" w:rsidR="00B63D68" w:rsidRPr="000020F0" w:rsidRDefault="00B63D68" w:rsidP="00B63D68">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269" w:name="_Toc230882232"/>
      <w:r w:rsidRPr="000020F0">
        <w:rPr>
          <w:rFonts w:asciiTheme="majorHAnsi" w:eastAsiaTheme="majorEastAsia" w:hAnsiTheme="majorHAnsi" w:cstheme="majorHAnsi"/>
          <w:color w:val="244061" w:themeColor="accent1" w:themeShade="80"/>
        </w:rPr>
        <w:t>Vrednost investicije glede na upravičenost</w:t>
      </w:r>
      <w:bookmarkEnd w:id="269"/>
    </w:p>
    <w:p w14:paraId="39CB156F" w14:textId="20EC02E9" w:rsidR="006E25B1" w:rsidRPr="000020F0" w:rsidRDefault="00CE3FD6" w:rsidP="006E25B1">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Z delom projekta, ki se nanaša na trajnostno mobilnost, bo investitor kandidiral za pridobitev nepovratnih sredstev z naslova Javnega razpisa za sofinanciranje ukrepov trajnostne mobilnosti v obdobju 2023–2029 (EKP UTM 202</w:t>
      </w:r>
      <w:r w:rsidR="001262E7" w:rsidRPr="000020F0">
        <w:rPr>
          <w:rFonts w:asciiTheme="majorHAnsi" w:eastAsia="ArialNarrow" w:hAnsiTheme="majorHAnsi" w:cstheme="majorHAnsi"/>
          <w:sz w:val="22"/>
          <w:szCs w:val="22"/>
        </w:rPr>
        <w:t>5</w:t>
      </w:r>
      <w:r w:rsidRPr="000020F0">
        <w:rPr>
          <w:rFonts w:asciiTheme="majorHAnsi" w:eastAsia="ArialNarrow" w:hAnsiTheme="majorHAnsi" w:cstheme="majorHAnsi"/>
          <w:sz w:val="22"/>
          <w:szCs w:val="22"/>
        </w:rPr>
        <w:t xml:space="preserve">). Vzporedno bo Občina Ig izvajala projekt ureditve zelene infrastrukture, za katerega je že uvrščena v Dogovor za razvoj regij. Oba projekta predstavljata </w:t>
      </w:r>
      <w:proofErr w:type="spellStart"/>
      <w:r w:rsidRPr="000020F0">
        <w:rPr>
          <w:rFonts w:asciiTheme="majorHAnsi" w:eastAsia="ArialNarrow" w:hAnsiTheme="majorHAnsi" w:cstheme="majorHAnsi"/>
          <w:sz w:val="22"/>
          <w:szCs w:val="22"/>
        </w:rPr>
        <w:t>sinergijsko</w:t>
      </w:r>
      <w:proofErr w:type="spellEnd"/>
      <w:r w:rsidRPr="000020F0">
        <w:rPr>
          <w:rFonts w:asciiTheme="majorHAnsi" w:eastAsia="ArialNarrow" w:hAnsiTheme="majorHAnsi" w:cstheme="majorHAnsi"/>
          <w:sz w:val="22"/>
          <w:szCs w:val="22"/>
        </w:rPr>
        <w:t xml:space="preserve"> ureditev centra Iga in se pomembno dopolnjujeta, čeprav je vsak od projektov funkcionalno zaključena celota.</w:t>
      </w:r>
      <w:r w:rsidR="006E25B1" w:rsidRPr="000020F0">
        <w:rPr>
          <w:rFonts w:asciiTheme="majorHAnsi" w:eastAsia="ArialNarrow" w:hAnsiTheme="majorHAnsi" w:cstheme="majorHAnsi"/>
          <w:sz w:val="22"/>
          <w:szCs w:val="22"/>
        </w:rPr>
        <w:t xml:space="preserve"> V vrednostih so vključeni le ukrepi, ki nanašajo na trajnostno mobilnost.</w:t>
      </w:r>
    </w:p>
    <w:p w14:paraId="3F021B5E" w14:textId="38166383" w:rsidR="006E25B1" w:rsidRPr="000020F0" w:rsidRDefault="006E25B1" w:rsidP="006E25B1">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V okviru javnega razpisa JR EKP UTM 202</w:t>
      </w:r>
      <w:r w:rsidR="001262E7" w:rsidRPr="000020F0">
        <w:rPr>
          <w:rFonts w:asciiTheme="majorHAnsi" w:eastAsia="ArialNarrow" w:hAnsiTheme="majorHAnsi" w:cstheme="majorHAnsi"/>
          <w:sz w:val="22"/>
          <w:szCs w:val="22"/>
        </w:rPr>
        <w:t xml:space="preserve">5 </w:t>
      </w:r>
      <w:r w:rsidRPr="000020F0">
        <w:rPr>
          <w:rFonts w:asciiTheme="majorHAnsi" w:eastAsia="ArialNarrow" w:hAnsiTheme="majorHAnsi" w:cstheme="majorHAnsi"/>
          <w:sz w:val="22"/>
          <w:szCs w:val="22"/>
        </w:rPr>
        <w:t xml:space="preserve">so predmet sofinanciranja lahko naložbe v okviru naslednjih upravičenih namenov: </w:t>
      </w:r>
    </w:p>
    <w:p w14:paraId="7A66A821" w14:textId="77777777" w:rsidR="00CE3FD6" w:rsidRPr="000020F0" w:rsidRDefault="00CE3FD6" w:rsidP="00CE3FD6">
      <w:pPr>
        <w:spacing w:before="120" w:line="276" w:lineRule="auto"/>
        <w:jc w:val="both"/>
        <w:rPr>
          <w:rFonts w:asciiTheme="majorHAnsi" w:eastAsia="ArialNarrow" w:hAnsiTheme="majorHAnsi" w:cstheme="majorHAnsi"/>
          <w:b/>
          <w:bCs/>
          <w:sz w:val="22"/>
          <w:szCs w:val="22"/>
        </w:rPr>
      </w:pPr>
      <w:r w:rsidRPr="000020F0">
        <w:rPr>
          <w:rFonts w:asciiTheme="majorHAnsi" w:eastAsia="ArialNarrow" w:hAnsiTheme="majorHAnsi" w:cstheme="majorHAnsi"/>
          <w:b/>
          <w:bCs/>
          <w:sz w:val="22"/>
          <w:szCs w:val="22"/>
        </w:rPr>
        <w:t xml:space="preserve">Ukrep 1: Celovita preureditev ulic in cest skladno z načeli trajnostne mobilnosti </w:t>
      </w:r>
    </w:p>
    <w:p w14:paraId="4F4CF40C"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V okviru naložb v celovito preureditev ulic in cest skladno z načeli trajnostne mobilnosti (ukrep 1) predstavlja upravičen namen celovita (prometna in urbanistično-oblikovalska) rekonstrukcija ulic in cest z vzpostavitvijo novih površin oz. bistvenim izboljšanjem obstoječih površin za pešce in/ali kolesarje, vključno z izvedbo ukrepov za varnost, udobnost in privlačnost infrastrukture za pešce (kot npr. ozelenitev/zasaditev površin, vodni elementi), brez zožitev profila za pešce (ali kolesarje, </w:t>
      </w:r>
      <w:r w:rsidRPr="000020F0">
        <w:rPr>
          <w:rFonts w:asciiTheme="majorHAnsi" w:eastAsia="ArialNarrow" w:hAnsiTheme="majorHAnsi" w:cstheme="majorHAnsi"/>
          <w:sz w:val="22"/>
          <w:szCs w:val="22"/>
        </w:rPr>
        <w:lastRenderedPageBreak/>
        <w:t xml:space="preserve">če so vodeni po ločeni površini) ter sočasna izvedba ukrepov za bistveno zmanjšanje količine motoriziranega prometa in njegovo umiritev. </w:t>
      </w:r>
    </w:p>
    <w:p w14:paraId="23FC0E50" w14:textId="77777777" w:rsidR="00E748ED" w:rsidRPr="000020F0" w:rsidRDefault="00E748ED" w:rsidP="00CE3FD6">
      <w:pPr>
        <w:spacing w:before="120" w:line="276" w:lineRule="auto"/>
        <w:jc w:val="both"/>
        <w:rPr>
          <w:rFonts w:asciiTheme="majorHAnsi" w:eastAsia="ArialNarrow" w:hAnsiTheme="majorHAnsi" w:cstheme="majorHAnsi"/>
          <w:sz w:val="22"/>
          <w:szCs w:val="22"/>
        </w:rPr>
      </w:pPr>
    </w:p>
    <w:p w14:paraId="563B4627"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V okviru upravičenega namena za ukrep 1 so možne vrste naložb naslednje: </w:t>
      </w:r>
    </w:p>
    <w:p w14:paraId="3AFF1F2F"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rekonstrukcija večpasovne ceste (zmanjšanje števila voznih pasov za motoriziran promet in zoženje širine vozišča na minimum, obvezna uvedba rumenih pasov za JPP in največ enega pasu v vsako smer za ostala motorna vozila, brez ločenih razvrstilnih pasov v križiščih); </w:t>
      </w:r>
    </w:p>
    <w:p w14:paraId="685C1FD2"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rekonstrukcija dvopasovne dvosmerne ceste z zoženjem širine vozišča na minimum; </w:t>
      </w:r>
    </w:p>
    <w:p w14:paraId="313D9BA6"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rekonstrukcija dvosmerne ceste v enosmerno, enopasovno; </w:t>
      </w:r>
    </w:p>
    <w:p w14:paraId="2388F969"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rekonstrukcija ulic/cest v okolici šol in vrtcev z ureditvijo varnih površin za pešce in/ali kolesarje; </w:t>
      </w:r>
    </w:p>
    <w:p w14:paraId="58D4FD45"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vzpostavitev območja umirjenega prometa; </w:t>
      </w:r>
    </w:p>
    <w:p w14:paraId="7E052EE2"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 xml:space="preserve">vzpostavitev kolesarske ulice/ceste; </w:t>
      </w:r>
    </w:p>
    <w:p w14:paraId="27E486BE"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uvedba skupnega prometnega prostora.</w:t>
      </w:r>
    </w:p>
    <w:p w14:paraId="0511FD92" w14:textId="77777777" w:rsidR="00CE3FD6" w:rsidRPr="000020F0" w:rsidRDefault="00CE3FD6" w:rsidP="00CE3FD6">
      <w:pPr>
        <w:spacing w:before="120" w:line="276" w:lineRule="auto"/>
        <w:jc w:val="both"/>
        <w:rPr>
          <w:rFonts w:asciiTheme="majorHAnsi" w:eastAsia="ArialNarrow" w:hAnsiTheme="majorHAnsi" w:cstheme="majorHAnsi"/>
          <w:b/>
          <w:bCs/>
          <w:sz w:val="22"/>
          <w:szCs w:val="22"/>
        </w:rPr>
      </w:pPr>
      <w:r w:rsidRPr="000020F0">
        <w:rPr>
          <w:rFonts w:asciiTheme="majorHAnsi" w:eastAsia="ArialNarrow" w:hAnsiTheme="majorHAnsi" w:cstheme="majorHAnsi"/>
          <w:b/>
          <w:bCs/>
          <w:sz w:val="22"/>
          <w:szCs w:val="22"/>
        </w:rPr>
        <w:t>Ukrep 2: Ureditev namenskih površin za javni potniški promet (JPP)</w:t>
      </w:r>
    </w:p>
    <w:p w14:paraId="1E3975A6"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V okviru naložb v ureditev namenskih površin za JPP (ukrep 2) predstavlja upravičen namen gradnja in/ali rekonstrukcija avtobusnih postajališč ter avtobusnih postaj skladno z drugim odstavkom 45. člena Zakona o cestah (ZCes-2). Namen ukrepa je zagotoviti varne, udobne in dostopne površine za uporabnike javnega potniškega prometa ter s tem spodbuditi večjo uporabo trajnostnih oblik mobilnosti in zmanjšanje odvisnosti od osebnega motornega prometa.</w:t>
      </w:r>
    </w:p>
    <w:p w14:paraId="1D633035"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V okviru upravičenega namena za ukrep 2 so možne vrste naložb naslednje:</w:t>
      </w:r>
    </w:p>
    <w:p w14:paraId="013D1F00"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gradnja novih avtobusnih postajališč,</w:t>
      </w:r>
    </w:p>
    <w:p w14:paraId="20DAE9E4"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rekonstrukcija obstoječih avtobusnih postajališč z izboljšanjem varnosti, dostopnosti in udobja,</w:t>
      </w:r>
    </w:p>
    <w:p w14:paraId="094B8DB9"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gradnja novih avtobusnih postaj,</w:t>
      </w:r>
    </w:p>
    <w:p w14:paraId="3288B289"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rekonstrukcija obstoječih avtobusnih postaj z vključevanjem sodobnih standardov za potnike, vključno z dostopnostjo za gibalno ovirane osebe,</w:t>
      </w:r>
    </w:p>
    <w:p w14:paraId="4135F611" w14:textId="77777777" w:rsidR="00CE3FD6" w:rsidRPr="000020F0" w:rsidRDefault="00CE3FD6" w:rsidP="00CE3FD6">
      <w:pPr>
        <w:pStyle w:val="Odstavekseznama"/>
        <w:numPr>
          <w:ilvl w:val="2"/>
          <w:numId w:val="145"/>
        </w:numPr>
        <w:spacing w:before="120" w:after="0"/>
        <w:ind w:left="284" w:hanging="218"/>
        <w:jc w:val="both"/>
        <w:rPr>
          <w:rFonts w:asciiTheme="majorHAnsi" w:eastAsia="ArialNarrow" w:hAnsiTheme="majorHAnsi" w:cstheme="majorHAnsi"/>
        </w:rPr>
      </w:pPr>
      <w:r w:rsidRPr="000020F0">
        <w:rPr>
          <w:rFonts w:asciiTheme="majorHAnsi" w:eastAsia="ArialNarrow" w:hAnsiTheme="majorHAnsi" w:cstheme="majorHAnsi"/>
        </w:rPr>
        <w:t>ureditev spremljajoče infrastrukture, ki omogoča lažji dostop do postajališč in postaj (pločniki, kolesarnice, razsvetljava, informacijski sistemi).</w:t>
      </w:r>
    </w:p>
    <w:p w14:paraId="4E2DC686" w14:textId="77777777" w:rsidR="00CE3FD6" w:rsidRPr="000020F0" w:rsidRDefault="00CE3FD6" w:rsidP="00CE3FD6">
      <w:pPr>
        <w:spacing w:before="120" w:line="276" w:lineRule="auto"/>
        <w:jc w:val="both"/>
        <w:rPr>
          <w:rFonts w:asciiTheme="majorHAnsi" w:eastAsia="ArialNarrow" w:hAnsiTheme="majorHAnsi" w:cstheme="majorHAnsi"/>
          <w:b/>
          <w:bCs/>
          <w:sz w:val="22"/>
          <w:szCs w:val="22"/>
        </w:rPr>
      </w:pPr>
      <w:r w:rsidRPr="000020F0">
        <w:rPr>
          <w:rFonts w:asciiTheme="majorHAnsi" w:eastAsia="ArialNarrow" w:hAnsiTheme="majorHAnsi" w:cstheme="majorHAnsi"/>
          <w:b/>
          <w:bCs/>
          <w:sz w:val="22"/>
          <w:szCs w:val="22"/>
        </w:rPr>
        <w:t xml:space="preserve">Ukrep 4: Infrastruktura za kolesarje </w:t>
      </w:r>
    </w:p>
    <w:p w14:paraId="4D25EAD4"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V okviru naložb v infrastrukturo za kolesarje (ukrep 4) predstavljajo upravičen namen naslednje aktivnosti: </w:t>
      </w:r>
    </w:p>
    <w:p w14:paraId="42AEB34A"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t xml:space="preserve">gradnja/rekonstrukcija kolesarskih povezav; </w:t>
      </w:r>
    </w:p>
    <w:p w14:paraId="4320E36B"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t xml:space="preserve">postavitev varnih kolesarnic, nadstrešnic in stojal za parkiranje koles; </w:t>
      </w:r>
    </w:p>
    <w:p w14:paraId="5FC148ED"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t>postavitev/nadgradnja postaj sistema izposoje javnih koles.</w:t>
      </w:r>
    </w:p>
    <w:p w14:paraId="151789C3"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V okviru zgoraj navedenih ukrepov lahko vlagatelj kot podporni ukrep vključi tudi naložbo v digitalizacijo na področju prometa, s katero spodbuja oz. podpira namen naložbe v okviru ukrepa ali ukrepov, pri čemer priznani upravičeni stroški za digitalizacijo ne smejo preseči 20 % priznanih upravičenih stroškov operacije in ne smejo znašati več kot 50.000,00 EUR. Podporni ukrep digitalizacije se lahko izvaja tudi na drugem območju/območjih v občini izven lokacije naložbe, vendar mora biti vsebinsko povezan z osnovno naložbo. V okviru podpornega ukrepa digitalizacije so možne vrste naložb naslednje: </w:t>
      </w:r>
    </w:p>
    <w:p w14:paraId="430CB344"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t xml:space="preserve">digitalizacija prometne infrastrukture, ki je potrebna za učinkovito upravljanje prometa (izdelava evidence parkirnih mest na ozemlju občine in vpis v nacionalno parkirno platformo </w:t>
      </w:r>
      <w:proofErr w:type="spellStart"/>
      <w:r w:rsidRPr="000020F0">
        <w:rPr>
          <w:rFonts w:asciiTheme="majorHAnsi" w:eastAsia="ArialNarrow" w:hAnsiTheme="majorHAnsi" w:cstheme="majorHAnsi"/>
        </w:rPr>
        <w:t>SiPark</w:t>
      </w:r>
      <w:proofErr w:type="spellEnd"/>
      <w:r w:rsidRPr="000020F0">
        <w:rPr>
          <w:rFonts w:asciiTheme="majorHAnsi" w:eastAsia="ArialNarrow" w:hAnsiTheme="majorHAnsi" w:cstheme="majorHAnsi"/>
        </w:rPr>
        <w:t xml:space="preserve">, popis in vpis kolesarske in peš infrastrukture v Banko cestnih podatkov (v nadaljnjem besedilu: BCP));    </w:t>
      </w:r>
    </w:p>
    <w:p w14:paraId="5945FEBC"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lastRenderedPageBreak/>
        <w:t xml:space="preserve">digitalizacija upravljanja, optimizacije in vodenja prometa ali statističnega spremljanja prometa na lokalni ravni (npr. odštevalniki časa čakanja na zeleno luč za trajnostne oblike mobilnosti, semaforizacija prehodov in krmiljenje semaforjev, ki daje prednost JPP, kolesarjem in/ali pešcem, (npr. na podlagi senzorjev, GPS sledenja), števci prometa, ki razločujejo posamezne trajnostne oblike mobilnosti za spremljanje strukture prometnih načinov, števci kolesarjev, ipd.); </w:t>
      </w:r>
    </w:p>
    <w:p w14:paraId="6D4A53A0" w14:textId="77777777" w:rsidR="00CE3FD6" w:rsidRPr="000020F0" w:rsidRDefault="00CE3FD6" w:rsidP="00CE3FD6">
      <w:pPr>
        <w:pStyle w:val="Odstavekseznama"/>
        <w:numPr>
          <w:ilvl w:val="2"/>
          <w:numId w:val="145"/>
        </w:numPr>
        <w:spacing w:before="120" w:after="0"/>
        <w:ind w:left="426"/>
        <w:jc w:val="both"/>
        <w:rPr>
          <w:rFonts w:asciiTheme="majorHAnsi" w:eastAsia="ArialNarrow" w:hAnsiTheme="majorHAnsi" w:cstheme="majorHAnsi"/>
        </w:rPr>
      </w:pPr>
      <w:r w:rsidRPr="000020F0">
        <w:rPr>
          <w:rFonts w:asciiTheme="majorHAnsi" w:eastAsia="ArialNarrow" w:hAnsiTheme="majorHAnsi" w:cstheme="majorHAnsi"/>
        </w:rPr>
        <w:t xml:space="preserve">uvedba aplikacij za prometne storitve za končne uporabnike.  </w:t>
      </w:r>
    </w:p>
    <w:p w14:paraId="57771F74"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Posamezna vloga lahko vključuje enega ali več istih ali različnih zgoraj navedenih ukrepov (ukrepi od 1 do 4). V okviru javnega razpisa se spodbujajo čim bolj celovite operacije, ki vključujejo več kot eno vrsto ukrepov.</w:t>
      </w:r>
    </w:p>
    <w:p w14:paraId="34CCBDC8" w14:textId="77777777" w:rsidR="00E8302A" w:rsidRPr="000020F0" w:rsidRDefault="00CE3FD6" w:rsidP="00E8302A">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Sofinanciranje operacij se zagotavlja s sredstvi evropske kohezijske politike iz Kohezijskega sklada, načrtovanih v okviru Programa evropske kohezijske politike v obdobju 2021–2027 v Sloveniji, prednostne naloge 5 »Trajnostna (čez)regionalna mobilnost in povezljivost«, specifičnega cilja RSO 3.2 »Razvoj in krepitev trajnostne, pametne in </w:t>
      </w:r>
      <w:proofErr w:type="spellStart"/>
      <w:r w:rsidRPr="000020F0">
        <w:rPr>
          <w:rFonts w:asciiTheme="majorHAnsi" w:eastAsia="ArialNarrow" w:hAnsiTheme="majorHAnsi" w:cstheme="majorHAnsi"/>
          <w:sz w:val="22"/>
          <w:szCs w:val="22"/>
        </w:rPr>
        <w:t>intermodalne</w:t>
      </w:r>
      <w:proofErr w:type="spellEnd"/>
      <w:r w:rsidRPr="000020F0">
        <w:rPr>
          <w:rFonts w:asciiTheme="majorHAnsi" w:eastAsia="ArialNarrow" w:hAnsiTheme="majorHAnsi" w:cstheme="majorHAnsi"/>
          <w:sz w:val="22"/>
          <w:szCs w:val="22"/>
        </w:rPr>
        <w:t xml:space="preserve"> nacionalne, regionalne in lokalne mobilnosti, odporne proti podnebnim spremembam, vključno z boljšim dostopom do omrežja TEN-T in čezmejno mobilnostjo«</w:t>
      </w:r>
      <w:r w:rsidR="00E8302A" w:rsidRPr="000020F0">
        <w:rPr>
          <w:rFonts w:asciiTheme="majorHAnsi" w:eastAsia="ArialNarrow" w:hAnsiTheme="majorHAnsi" w:cstheme="majorHAnsi"/>
          <w:sz w:val="22"/>
          <w:szCs w:val="22"/>
        </w:rPr>
        <w:t xml:space="preserve"> ter v okviru Programa porabe sredstev Podnebnega sklada za leta 2025 – 2028, ukrepa 2.1 Naložbe v infrastrukturo za trajnostno mobilnost.</w:t>
      </w:r>
    </w:p>
    <w:p w14:paraId="32CA244E" w14:textId="5A2C6121"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Sredstva evropske kohezijske politike </w:t>
      </w:r>
      <w:r w:rsidR="00913215" w:rsidRPr="000020F0">
        <w:rPr>
          <w:rFonts w:asciiTheme="majorHAnsi" w:eastAsia="ArialNarrow" w:hAnsiTheme="majorHAnsi" w:cstheme="majorHAnsi"/>
          <w:sz w:val="22"/>
          <w:szCs w:val="22"/>
        </w:rPr>
        <w:t xml:space="preserve">in sredstva Podnebnega sklada </w:t>
      </w:r>
      <w:r w:rsidRPr="000020F0">
        <w:rPr>
          <w:rFonts w:asciiTheme="majorHAnsi" w:eastAsia="ArialNarrow" w:hAnsiTheme="majorHAnsi" w:cstheme="majorHAnsi"/>
          <w:sz w:val="22"/>
          <w:szCs w:val="22"/>
        </w:rPr>
        <w:t xml:space="preserve">se po tem javnem razpisu dodeljujejo kot nepovratna sredstva, pri čemer se uveljavljanje upravičenih stroškov izvaja po dejanskih stroških. </w:t>
      </w:r>
    </w:p>
    <w:p w14:paraId="0FDF80F5"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Predmet sofinanciranja so operacije, katerih skupni priznani upravičeni stroški znašajo najmanj 125.000 EUR in največ 2.500.000 EUR. </w:t>
      </w:r>
    </w:p>
    <w:p w14:paraId="461BFEFC" w14:textId="42DB95DB" w:rsidR="00913215" w:rsidRPr="000020F0" w:rsidRDefault="005102F4"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S sredstvi Kohezijskega sklada in s sredstvi Podnebnega sklada se priznani upravičeni stroški operacije sofinancirajo v višini največ do 80 % priznanih upravičenih stroškov operacije glede na omejitve tega javnega razpisa</w:t>
      </w:r>
      <w:r w:rsidR="00300D42" w:rsidRPr="000020F0">
        <w:rPr>
          <w:rFonts w:asciiTheme="majorHAnsi" w:eastAsia="ArialNarrow" w:hAnsiTheme="majorHAnsi" w:cstheme="majorHAnsi"/>
          <w:sz w:val="22"/>
          <w:szCs w:val="22"/>
        </w:rPr>
        <w:t>.</w:t>
      </w:r>
    </w:p>
    <w:p w14:paraId="497CA5D9" w14:textId="02244FF4"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V primeru, da se na ravni operacije po njenem zaključku pričakuje ustvarjanje prihodkov in jih je mogoče objektivno oceniti, je treba izračunati stopnjo finančne vrzeli operacije. Operacija, ki ustvarja prihodek, je vsaka operacija, ki ustvarja »neto prihodek« po njenem zaključku. Za izračun finančne vrzeli in določitev najvišjega zneska sofinanciranja so relevantni neto prihodki, ki se določijo, kot razlika med prihodki in stroški, pri čemer se upošteva referenčno obdobje, ustrezno za sektor ali </w:t>
      </w:r>
      <w:proofErr w:type="spellStart"/>
      <w:r w:rsidRPr="000020F0">
        <w:rPr>
          <w:rFonts w:asciiTheme="majorHAnsi" w:eastAsia="ArialNarrow" w:hAnsiTheme="majorHAnsi" w:cstheme="majorHAnsi"/>
          <w:sz w:val="22"/>
          <w:szCs w:val="22"/>
        </w:rPr>
        <w:t>podsektor</w:t>
      </w:r>
      <w:proofErr w:type="spellEnd"/>
      <w:r w:rsidRPr="000020F0">
        <w:rPr>
          <w:rFonts w:asciiTheme="majorHAnsi" w:eastAsia="ArialNarrow" w:hAnsiTheme="majorHAnsi" w:cstheme="majorHAnsi"/>
          <w:sz w:val="22"/>
          <w:szCs w:val="22"/>
        </w:rPr>
        <w:t xml:space="preserve">, ki se nanaša na operacijo. V primeru, da finančna vrzel izkazuje upravičenost do nižje ravni pomoči EU, kot to določa javni razpis, se za določitev zneska sofinanciranja upošteva stopnja sofinanciranja iz izračuna finančne vrzeli. </w:t>
      </w:r>
    </w:p>
    <w:p w14:paraId="4DF34B66" w14:textId="77777777" w:rsidR="00CE3FD6" w:rsidRPr="000020F0" w:rsidRDefault="00CE3FD6" w:rsidP="00CE3FD6">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 xml:space="preserve">S sklepom o dodelitvi sredstev se dodeli maksimalna višina sredstev sofinanciranja na podlagi dokumentacije, predložene v vlogi in preliminarnega pregleda upravičenosti stroškov. Dokončna višina dodeljenih sredstev sofinanciranja se določi v okviru administrativnega preverjanja upravičenosti stroškov glede na izkazane in dokazane upravičene stroške v zahtevkih za izplačilo. </w:t>
      </w:r>
    </w:p>
    <w:p w14:paraId="30E57BA5" w14:textId="0700B0CF" w:rsidR="00300D42" w:rsidRPr="000020F0" w:rsidRDefault="00300D42" w:rsidP="00715B9C">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Sredstva za vse neupravičene stroške in upravičene stroške, ki niso sofinancirani s sredstvi evropske kohezijske politike in s sredstvi Podnebnega sklada, mora v celoti zagotoviti upravičenec z lastnimi in/ali drugimi viri.</w:t>
      </w:r>
    </w:p>
    <w:p w14:paraId="6B568327" w14:textId="4BB3197C" w:rsidR="00CE3FD6" w:rsidRPr="000020F0" w:rsidRDefault="00CE3FD6" w:rsidP="00715B9C">
      <w:pPr>
        <w:spacing w:before="120" w:line="276" w:lineRule="auto"/>
        <w:jc w:val="both"/>
        <w:rPr>
          <w:rFonts w:asciiTheme="majorHAnsi" w:eastAsia="ArialNarrow" w:hAnsiTheme="majorHAnsi" w:cstheme="majorHAnsi"/>
          <w:sz w:val="22"/>
          <w:szCs w:val="22"/>
        </w:rPr>
      </w:pPr>
      <w:r w:rsidRPr="000020F0">
        <w:rPr>
          <w:rFonts w:asciiTheme="majorHAnsi" w:eastAsia="ArialNarrow" w:hAnsiTheme="majorHAnsi" w:cstheme="majorHAnsi"/>
          <w:sz w:val="22"/>
          <w:szCs w:val="22"/>
        </w:rPr>
        <w:t>Dvojno uveljavljanje stroškov in izdatkov, ki so že bili povrnjeni iz katerega koli drugega javnega vira, ni dovoljeno. V tem primeru bo zahtevano vračilo že izplačanega zneska sofinanciranja.</w:t>
      </w:r>
    </w:p>
    <w:p w14:paraId="252FB75B" w14:textId="77777777" w:rsidR="002C0380" w:rsidRPr="000020F0" w:rsidRDefault="002C0380" w:rsidP="00715B9C">
      <w:pPr>
        <w:spacing w:before="120" w:line="276" w:lineRule="auto"/>
        <w:jc w:val="both"/>
        <w:rPr>
          <w:rFonts w:asciiTheme="majorHAnsi" w:eastAsia="ArialNarrow" w:hAnsiTheme="majorHAnsi" w:cstheme="majorHAnsi"/>
          <w:sz w:val="22"/>
          <w:szCs w:val="22"/>
        </w:rPr>
      </w:pPr>
    </w:p>
    <w:p w14:paraId="70F24E66" w14:textId="77777777" w:rsidR="00CE3FD6" w:rsidRPr="000020F0" w:rsidRDefault="00CE3FD6" w:rsidP="002C0380">
      <w:pPr>
        <w:rPr>
          <w:rFonts w:ascii="Arial" w:hAnsi="Arial" w:cs="Arial"/>
        </w:rPr>
      </w:pPr>
      <w:bookmarkStart w:id="270" w:name="_Toc209026580"/>
      <w:bookmarkStart w:id="271" w:name="_Toc209029164"/>
      <w:bookmarkStart w:id="272" w:name="_Toc210033829"/>
      <w:r w:rsidRPr="000020F0">
        <w:rPr>
          <w:rFonts w:ascii="Arial" w:hAnsi="Arial" w:cs="Arial"/>
        </w:rPr>
        <w:t>Upravičeni stroški so:</w:t>
      </w:r>
      <w:bookmarkEnd w:id="270"/>
      <w:bookmarkEnd w:id="271"/>
      <w:bookmarkEnd w:id="272"/>
    </w:p>
    <w:p w14:paraId="1AB69A2A" w14:textId="77777777" w:rsidR="00CE3FD6" w:rsidRPr="000020F0" w:rsidRDefault="00CE3FD6" w:rsidP="00715B9C">
      <w:pPr>
        <w:numPr>
          <w:ilvl w:val="0"/>
          <w:numId w:val="169"/>
        </w:numPr>
        <w:tabs>
          <w:tab w:val="clear" w:pos="720"/>
        </w:tabs>
        <w:spacing w:after="100" w:afterAutospacing="1" w:line="276" w:lineRule="auto"/>
        <w:ind w:left="426" w:hanging="357"/>
        <w:rPr>
          <w:rFonts w:asciiTheme="majorHAnsi" w:hAnsiTheme="majorHAnsi" w:cstheme="majorHAnsi"/>
          <w:sz w:val="22"/>
          <w:szCs w:val="22"/>
          <w:u w:val="single"/>
        </w:rPr>
      </w:pPr>
      <w:r w:rsidRPr="000020F0">
        <w:rPr>
          <w:rFonts w:asciiTheme="majorHAnsi" w:hAnsiTheme="majorHAnsi" w:cstheme="majorHAnsi"/>
          <w:sz w:val="22"/>
          <w:szCs w:val="22"/>
          <w:u w:val="single"/>
        </w:rPr>
        <w:lastRenderedPageBreak/>
        <w:t>Gradnja in infrastrukturni posegi</w:t>
      </w:r>
    </w:p>
    <w:p w14:paraId="6A450184" w14:textId="77777777"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 xml:space="preserve">stroški izvedbe gradenj, adaptacij, rekonstrukcij ulic in pripadajoče opreme (npr. urban inženiring, tlakovanje, zeleni elementi, redna oprema, nadstreški) </w:t>
      </w:r>
    </w:p>
    <w:p w14:paraId="745810FF" w14:textId="77777777" w:rsidR="00CE3FD6" w:rsidRPr="000020F0" w:rsidRDefault="00CE3FD6" w:rsidP="00715B9C">
      <w:pPr>
        <w:numPr>
          <w:ilvl w:val="0"/>
          <w:numId w:val="169"/>
        </w:numPr>
        <w:tabs>
          <w:tab w:val="clear" w:pos="720"/>
        </w:tabs>
        <w:spacing w:after="100" w:afterAutospacing="1" w:line="276" w:lineRule="auto"/>
        <w:ind w:left="426" w:hanging="357"/>
        <w:rPr>
          <w:rFonts w:asciiTheme="majorHAnsi" w:hAnsiTheme="majorHAnsi" w:cstheme="majorHAnsi"/>
          <w:sz w:val="22"/>
          <w:szCs w:val="22"/>
          <w:u w:val="single"/>
        </w:rPr>
      </w:pPr>
      <w:r w:rsidRPr="000020F0">
        <w:rPr>
          <w:rFonts w:asciiTheme="majorHAnsi" w:hAnsiTheme="majorHAnsi" w:cstheme="majorHAnsi"/>
          <w:sz w:val="22"/>
          <w:szCs w:val="22"/>
          <w:u w:val="single"/>
        </w:rPr>
        <w:t>Nabava in montaža opreme</w:t>
      </w:r>
    </w:p>
    <w:p w14:paraId="719103FD" w14:textId="77777777"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 xml:space="preserve">vključno z merilci hitrosti, števci kolesarjev, urbano opremo, elementi za JPP, kolesarnice ipd. </w:t>
      </w:r>
    </w:p>
    <w:p w14:paraId="6352FCC4" w14:textId="77777777" w:rsidR="00CE3FD6" w:rsidRPr="000020F0" w:rsidRDefault="00CE3FD6" w:rsidP="00715B9C">
      <w:pPr>
        <w:numPr>
          <w:ilvl w:val="0"/>
          <w:numId w:val="169"/>
        </w:numPr>
        <w:tabs>
          <w:tab w:val="clear" w:pos="720"/>
        </w:tabs>
        <w:spacing w:after="100" w:afterAutospacing="1" w:line="276" w:lineRule="auto"/>
        <w:ind w:left="426" w:hanging="357"/>
        <w:rPr>
          <w:rFonts w:asciiTheme="majorHAnsi" w:hAnsiTheme="majorHAnsi" w:cstheme="majorHAnsi"/>
          <w:sz w:val="22"/>
          <w:szCs w:val="22"/>
          <w:u w:val="single"/>
        </w:rPr>
      </w:pPr>
      <w:r w:rsidRPr="000020F0">
        <w:rPr>
          <w:rFonts w:asciiTheme="majorHAnsi" w:hAnsiTheme="majorHAnsi" w:cstheme="majorHAnsi"/>
          <w:sz w:val="22"/>
          <w:szCs w:val="22"/>
          <w:u w:val="single"/>
        </w:rPr>
        <w:t>Projektna in investicijska dokumentacija</w:t>
      </w:r>
    </w:p>
    <w:p w14:paraId="01B7CEC9" w14:textId="1451D11F"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ob izdelavi skladno z UEM (DIIP, PI</w:t>
      </w:r>
      <w:r w:rsidR="00681648" w:rsidRPr="000020F0">
        <w:rPr>
          <w:rFonts w:asciiTheme="majorHAnsi" w:hAnsiTheme="majorHAnsi" w:cstheme="majorHAnsi"/>
          <w:sz w:val="22"/>
          <w:szCs w:val="22"/>
        </w:rPr>
        <w:t>Z</w:t>
      </w:r>
      <w:r w:rsidRPr="000020F0">
        <w:rPr>
          <w:rFonts w:asciiTheme="majorHAnsi" w:hAnsiTheme="majorHAnsi" w:cstheme="majorHAnsi"/>
          <w:sz w:val="22"/>
          <w:szCs w:val="22"/>
        </w:rPr>
        <w:t xml:space="preserve">, IP) </w:t>
      </w:r>
    </w:p>
    <w:p w14:paraId="0384B7DC" w14:textId="77777777" w:rsidR="00CE3FD6" w:rsidRPr="000020F0" w:rsidRDefault="00CE3FD6" w:rsidP="00715B9C">
      <w:pPr>
        <w:numPr>
          <w:ilvl w:val="0"/>
          <w:numId w:val="169"/>
        </w:numPr>
        <w:tabs>
          <w:tab w:val="clear" w:pos="720"/>
        </w:tabs>
        <w:spacing w:after="100" w:afterAutospacing="1" w:line="276" w:lineRule="auto"/>
        <w:ind w:left="426" w:hanging="357"/>
        <w:rPr>
          <w:rFonts w:asciiTheme="majorHAnsi" w:hAnsiTheme="majorHAnsi" w:cstheme="majorHAnsi"/>
          <w:sz w:val="22"/>
          <w:szCs w:val="22"/>
          <w:u w:val="single"/>
        </w:rPr>
      </w:pPr>
      <w:r w:rsidRPr="000020F0">
        <w:rPr>
          <w:rFonts w:asciiTheme="majorHAnsi" w:hAnsiTheme="majorHAnsi" w:cstheme="majorHAnsi"/>
          <w:sz w:val="22"/>
          <w:szCs w:val="22"/>
          <w:u w:val="single"/>
        </w:rPr>
        <w:t>Stroški nadzora in investicijskega inženiringa</w:t>
      </w:r>
    </w:p>
    <w:p w14:paraId="158E274D" w14:textId="77777777"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 xml:space="preserve">vključujejo strokovni nadzor projekta </w:t>
      </w:r>
    </w:p>
    <w:p w14:paraId="09867E2C" w14:textId="77777777" w:rsidR="00CE3FD6" w:rsidRPr="000020F0" w:rsidRDefault="00CE3FD6" w:rsidP="00715B9C">
      <w:pPr>
        <w:numPr>
          <w:ilvl w:val="0"/>
          <w:numId w:val="169"/>
        </w:numPr>
        <w:tabs>
          <w:tab w:val="clear" w:pos="720"/>
        </w:tabs>
        <w:spacing w:after="100" w:afterAutospacing="1" w:line="276" w:lineRule="auto"/>
        <w:ind w:left="426" w:hanging="357"/>
        <w:rPr>
          <w:rFonts w:asciiTheme="majorHAnsi" w:hAnsiTheme="majorHAnsi" w:cstheme="majorHAnsi"/>
          <w:sz w:val="22"/>
          <w:szCs w:val="22"/>
          <w:u w:val="single"/>
        </w:rPr>
      </w:pPr>
      <w:r w:rsidRPr="000020F0">
        <w:rPr>
          <w:rFonts w:asciiTheme="majorHAnsi" w:hAnsiTheme="majorHAnsi" w:cstheme="majorHAnsi"/>
          <w:sz w:val="22"/>
          <w:szCs w:val="22"/>
          <w:u w:val="single"/>
        </w:rPr>
        <w:t>Stroški rekonstrukcije komunalne infrastrukture</w:t>
      </w:r>
    </w:p>
    <w:p w14:paraId="07A313F9" w14:textId="77777777"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 xml:space="preserve">npr. javna razsvetljava, odvodnjavanje ipd., vendar največ do 50  % priznanih upravičenih stroškov znotraj projekta (brez komunalne infrastrukture) </w:t>
      </w:r>
    </w:p>
    <w:p w14:paraId="1641F936" w14:textId="77777777" w:rsidR="00CE3FD6" w:rsidRPr="000020F0" w:rsidRDefault="00CE3FD6" w:rsidP="00715B9C">
      <w:pPr>
        <w:numPr>
          <w:ilvl w:val="0"/>
          <w:numId w:val="169"/>
        </w:numPr>
        <w:tabs>
          <w:tab w:val="clear" w:pos="720"/>
        </w:tabs>
        <w:spacing w:line="276" w:lineRule="auto"/>
        <w:ind w:left="425" w:hanging="357"/>
        <w:rPr>
          <w:rFonts w:asciiTheme="majorHAnsi" w:hAnsiTheme="majorHAnsi" w:cstheme="majorHAnsi"/>
          <w:sz w:val="22"/>
          <w:szCs w:val="22"/>
          <w:u w:val="single"/>
        </w:rPr>
      </w:pPr>
      <w:r w:rsidRPr="000020F0">
        <w:rPr>
          <w:rFonts w:asciiTheme="majorHAnsi" w:hAnsiTheme="majorHAnsi" w:cstheme="majorHAnsi"/>
          <w:sz w:val="22"/>
          <w:szCs w:val="22"/>
          <w:u w:val="single"/>
        </w:rPr>
        <w:t>Digitalizacija in upravljanje mobilnosti</w:t>
      </w:r>
    </w:p>
    <w:p w14:paraId="62FB972D" w14:textId="7C023BDB" w:rsidR="00CE3FD6" w:rsidRPr="000020F0" w:rsidRDefault="00CE3FD6" w:rsidP="00715B9C">
      <w:pPr>
        <w:numPr>
          <w:ilvl w:val="1"/>
          <w:numId w:val="169"/>
        </w:numPr>
        <w:tabs>
          <w:tab w:val="clear" w:pos="1440"/>
        </w:tabs>
        <w:spacing w:before="100" w:beforeAutospacing="1" w:after="100" w:afterAutospacing="1" w:line="276" w:lineRule="auto"/>
        <w:ind w:left="851"/>
        <w:rPr>
          <w:rFonts w:asciiTheme="majorHAnsi" w:hAnsiTheme="majorHAnsi" w:cstheme="majorHAnsi"/>
          <w:sz w:val="22"/>
          <w:szCs w:val="22"/>
        </w:rPr>
      </w:pPr>
      <w:r w:rsidRPr="000020F0">
        <w:rPr>
          <w:rFonts w:asciiTheme="majorHAnsi" w:hAnsiTheme="majorHAnsi" w:cstheme="majorHAnsi"/>
          <w:sz w:val="22"/>
          <w:szCs w:val="22"/>
        </w:rPr>
        <w:t>rešitve za upravljanje parkiranja motornih vozil – le kot del celovite trajnostne strategije, do največ 20 % priznanih stroškov operacije in ne več kot 50.000 EUR</w:t>
      </w:r>
    </w:p>
    <w:p w14:paraId="0B25AEC3" w14:textId="77777777" w:rsidR="006945A7" w:rsidRPr="000020F0" w:rsidRDefault="006945A7" w:rsidP="006945A7">
      <w:pPr>
        <w:pStyle w:val="Napis"/>
        <w:numPr>
          <w:ilvl w:val="0"/>
          <w:numId w:val="169"/>
        </w:numPr>
        <w:spacing w:line="276" w:lineRule="auto"/>
        <w:rPr>
          <w:rFonts w:asciiTheme="majorHAnsi" w:hAnsiTheme="majorHAnsi" w:cstheme="majorHAnsi"/>
          <w:color w:val="auto"/>
          <w:sz w:val="22"/>
          <w:szCs w:val="22"/>
        </w:rPr>
        <w:sectPr w:rsidR="006945A7" w:rsidRPr="000020F0" w:rsidSect="006945A7">
          <w:pgSz w:w="11906" w:h="16838" w:code="9"/>
          <w:pgMar w:top="1134" w:right="1417" w:bottom="1417" w:left="1134" w:header="708" w:footer="708" w:gutter="0"/>
          <w:cols w:space="708"/>
          <w:titlePg/>
          <w:docGrid w:linePitch="360"/>
        </w:sectPr>
      </w:pPr>
    </w:p>
    <w:p w14:paraId="3FAE1D98" w14:textId="379DBC46" w:rsidR="006945A7" w:rsidRPr="000020F0" w:rsidRDefault="006945A7" w:rsidP="00D2136F">
      <w:pPr>
        <w:pStyle w:val="Napis"/>
        <w:spacing w:line="276" w:lineRule="auto"/>
        <w:rPr>
          <w:rFonts w:asciiTheme="majorHAnsi" w:hAnsiTheme="majorHAnsi" w:cstheme="majorHAnsi"/>
          <w:b w:val="0"/>
          <w:bCs w:val="0"/>
          <w:color w:val="auto"/>
          <w:sz w:val="22"/>
          <w:szCs w:val="22"/>
        </w:rPr>
      </w:pPr>
      <w:bookmarkStart w:id="273" w:name="_Toc209029182"/>
      <w:bookmarkStart w:id="274" w:name="_Toc230882291"/>
      <w:r w:rsidRPr="000020F0">
        <w:rPr>
          <w:rFonts w:asciiTheme="majorHAnsi" w:hAnsiTheme="majorHAnsi" w:cstheme="majorHAnsi"/>
          <w:color w:val="auto"/>
          <w:sz w:val="22"/>
          <w:szCs w:val="22"/>
        </w:rPr>
        <w:lastRenderedPageBreak/>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11</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r w:rsidRPr="000020F0">
        <w:rPr>
          <w:rFonts w:asciiTheme="majorHAnsi" w:hAnsiTheme="majorHAnsi" w:cstheme="majorHAnsi"/>
          <w:b w:val="0"/>
          <w:bCs w:val="0"/>
          <w:color w:val="auto"/>
          <w:sz w:val="22"/>
          <w:szCs w:val="22"/>
        </w:rPr>
        <w:t>Ocena vrednosti investicije glede na upravičenost v stalnih cenah, v EUR</w:t>
      </w:r>
      <w:bookmarkEnd w:id="273"/>
      <w:bookmarkEnd w:id="274"/>
      <w:r w:rsidRPr="000020F0">
        <w:rPr>
          <w:rFonts w:asciiTheme="majorHAnsi" w:hAnsiTheme="majorHAnsi" w:cstheme="majorHAnsi"/>
          <w:b w:val="0"/>
          <w:bCs w:val="0"/>
          <w:color w:val="auto"/>
          <w:sz w:val="22"/>
          <w:szCs w:val="22"/>
        </w:rPr>
        <w:t xml:space="preserve"> </w:t>
      </w:r>
    </w:p>
    <w:tbl>
      <w:tblPr>
        <w:tblW w:w="5000" w:type="pct"/>
        <w:tblLayout w:type="fixed"/>
        <w:tblCellMar>
          <w:left w:w="70" w:type="dxa"/>
          <w:right w:w="70" w:type="dxa"/>
        </w:tblCellMar>
        <w:tblLook w:val="04A0" w:firstRow="1" w:lastRow="0" w:firstColumn="1" w:lastColumn="0" w:noHBand="0" w:noVBand="1"/>
      </w:tblPr>
      <w:tblGrid>
        <w:gridCol w:w="1840"/>
        <w:gridCol w:w="1286"/>
        <w:gridCol w:w="848"/>
        <w:gridCol w:w="1276"/>
        <w:gridCol w:w="1559"/>
        <w:gridCol w:w="1419"/>
        <w:gridCol w:w="1276"/>
        <w:gridCol w:w="1276"/>
        <w:gridCol w:w="1333"/>
        <w:gridCol w:w="1076"/>
        <w:gridCol w:w="1088"/>
      </w:tblGrid>
      <w:tr w:rsidR="00E748ED" w:rsidRPr="000020F0" w14:paraId="771980F6" w14:textId="77777777" w:rsidTr="009C754B">
        <w:trPr>
          <w:trHeight w:val="300"/>
          <w:tblHeader/>
        </w:trPr>
        <w:tc>
          <w:tcPr>
            <w:tcW w:w="644" w:type="pct"/>
            <w:tcBorders>
              <w:top w:val="single" w:sz="4" w:space="0" w:color="auto"/>
              <w:left w:val="single" w:sz="4" w:space="0" w:color="auto"/>
              <w:bottom w:val="single" w:sz="4" w:space="0" w:color="auto"/>
              <w:right w:val="single" w:sz="4" w:space="0" w:color="auto"/>
            </w:tcBorders>
            <w:shd w:val="clear" w:color="000000" w:fill="153D64"/>
            <w:tcMar>
              <w:left w:w="28" w:type="dxa"/>
              <w:right w:w="28" w:type="dxa"/>
            </w:tcMar>
            <w:vAlign w:val="bottom"/>
            <w:hideMark/>
          </w:tcPr>
          <w:p w14:paraId="2ECB5B63"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450"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4A7DB750"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297"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53EE4371"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447"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769E158C"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546"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29AD9159"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497"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02ADD5FB"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SKUPAJ</w:t>
            </w:r>
          </w:p>
        </w:tc>
        <w:tc>
          <w:tcPr>
            <w:tcW w:w="447"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61F6BF12"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447" w:type="pct"/>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520CFAEB"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 </w:t>
            </w:r>
          </w:p>
        </w:tc>
        <w:tc>
          <w:tcPr>
            <w:tcW w:w="1225" w:type="pct"/>
            <w:gridSpan w:val="3"/>
            <w:tcBorders>
              <w:top w:val="single" w:sz="4" w:space="0" w:color="auto"/>
              <w:left w:val="nil"/>
              <w:bottom w:val="single" w:sz="4" w:space="0" w:color="auto"/>
              <w:right w:val="single" w:sz="4" w:space="0" w:color="auto"/>
            </w:tcBorders>
            <w:shd w:val="clear" w:color="000000" w:fill="153D64"/>
            <w:noWrap/>
            <w:tcMar>
              <w:left w:w="28" w:type="dxa"/>
              <w:right w:w="28" w:type="dxa"/>
            </w:tcMar>
            <w:vAlign w:val="bottom"/>
            <w:hideMark/>
          </w:tcPr>
          <w:p w14:paraId="1EBDEC28" w14:textId="5C9ED1A2"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UPRAVIČENI STROŠKI</w:t>
            </w:r>
          </w:p>
        </w:tc>
      </w:tr>
      <w:tr w:rsidR="00E748ED" w:rsidRPr="000020F0" w14:paraId="39027ABB" w14:textId="77777777" w:rsidTr="009C754B">
        <w:trPr>
          <w:trHeight w:val="454"/>
          <w:tblHeader/>
        </w:trPr>
        <w:tc>
          <w:tcPr>
            <w:tcW w:w="644" w:type="pct"/>
            <w:tcBorders>
              <w:top w:val="nil"/>
              <w:left w:val="single" w:sz="4" w:space="0" w:color="auto"/>
              <w:bottom w:val="single" w:sz="4" w:space="0" w:color="auto"/>
              <w:right w:val="single" w:sz="4" w:space="0" w:color="auto"/>
            </w:tcBorders>
            <w:shd w:val="clear" w:color="000000" w:fill="153D64"/>
            <w:tcMar>
              <w:left w:w="28" w:type="dxa"/>
              <w:right w:w="28" w:type="dxa"/>
            </w:tcMar>
            <w:vAlign w:val="bottom"/>
            <w:hideMark/>
          </w:tcPr>
          <w:p w14:paraId="287553AE"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Postavka</w:t>
            </w:r>
          </w:p>
        </w:tc>
        <w:tc>
          <w:tcPr>
            <w:tcW w:w="450"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38180CDC"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Vrednost</w:t>
            </w:r>
          </w:p>
        </w:tc>
        <w:tc>
          <w:tcPr>
            <w:tcW w:w="297"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0DB214D0"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Delež</w:t>
            </w:r>
          </w:p>
        </w:tc>
        <w:tc>
          <w:tcPr>
            <w:tcW w:w="447" w:type="pct"/>
            <w:tcBorders>
              <w:top w:val="nil"/>
              <w:left w:val="nil"/>
              <w:bottom w:val="single" w:sz="4" w:space="0" w:color="auto"/>
              <w:right w:val="single" w:sz="4" w:space="0" w:color="auto"/>
            </w:tcBorders>
            <w:shd w:val="clear" w:color="000000" w:fill="153D64"/>
            <w:tcMar>
              <w:left w:w="28" w:type="dxa"/>
              <w:right w:w="28" w:type="dxa"/>
            </w:tcMar>
            <w:vAlign w:val="bottom"/>
            <w:hideMark/>
          </w:tcPr>
          <w:p w14:paraId="03D52E95"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UPRAVIČENI STROŠKI</w:t>
            </w:r>
          </w:p>
        </w:tc>
        <w:tc>
          <w:tcPr>
            <w:tcW w:w="546" w:type="pct"/>
            <w:tcBorders>
              <w:top w:val="nil"/>
              <w:left w:val="nil"/>
              <w:bottom w:val="single" w:sz="4" w:space="0" w:color="auto"/>
              <w:right w:val="single" w:sz="4" w:space="0" w:color="auto"/>
            </w:tcBorders>
            <w:shd w:val="clear" w:color="000000" w:fill="153D64"/>
            <w:tcMar>
              <w:left w:w="28" w:type="dxa"/>
              <w:right w:w="28" w:type="dxa"/>
            </w:tcMar>
            <w:vAlign w:val="bottom"/>
            <w:hideMark/>
          </w:tcPr>
          <w:p w14:paraId="2468B464"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NEUPRAVIČENI STROŠKI</w:t>
            </w:r>
          </w:p>
        </w:tc>
        <w:tc>
          <w:tcPr>
            <w:tcW w:w="497" w:type="pct"/>
            <w:tcBorders>
              <w:top w:val="nil"/>
              <w:left w:val="single" w:sz="4" w:space="0" w:color="auto"/>
              <w:bottom w:val="single" w:sz="4" w:space="0" w:color="auto"/>
              <w:right w:val="single" w:sz="4" w:space="0" w:color="auto"/>
            </w:tcBorders>
            <w:shd w:val="clear" w:color="000000" w:fill="153D64"/>
            <w:noWrap/>
            <w:tcMar>
              <w:left w:w="28" w:type="dxa"/>
              <w:right w:w="28" w:type="dxa"/>
            </w:tcMar>
            <w:vAlign w:val="bottom"/>
            <w:hideMark/>
          </w:tcPr>
          <w:p w14:paraId="5FDD24E3"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1</w:t>
            </w:r>
          </w:p>
        </w:tc>
        <w:tc>
          <w:tcPr>
            <w:tcW w:w="447"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41DCFA06"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2</w:t>
            </w:r>
          </w:p>
        </w:tc>
        <w:tc>
          <w:tcPr>
            <w:tcW w:w="447"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55707EB0"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4</w:t>
            </w:r>
          </w:p>
        </w:tc>
        <w:tc>
          <w:tcPr>
            <w:tcW w:w="467"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57B8FCDA"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1</w:t>
            </w:r>
          </w:p>
        </w:tc>
        <w:tc>
          <w:tcPr>
            <w:tcW w:w="377"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6EC92C02"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2</w:t>
            </w:r>
          </w:p>
        </w:tc>
        <w:tc>
          <w:tcPr>
            <w:tcW w:w="381" w:type="pct"/>
            <w:tcBorders>
              <w:top w:val="nil"/>
              <w:left w:val="nil"/>
              <w:bottom w:val="single" w:sz="4" w:space="0" w:color="auto"/>
              <w:right w:val="single" w:sz="4" w:space="0" w:color="auto"/>
            </w:tcBorders>
            <w:shd w:val="clear" w:color="000000" w:fill="153D64"/>
            <w:noWrap/>
            <w:tcMar>
              <w:left w:w="28" w:type="dxa"/>
              <w:right w:w="28" w:type="dxa"/>
            </w:tcMar>
            <w:vAlign w:val="bottom"/>
            <w:hideMark/>
          </w:tcPr>
          <w:p w14:paraId="36AA2963" w14:textId="77777777" w:rsidR="00E748ED" w:rsidRPr="000020F0" w:rsidRDefault="00E748ED">
            <w:pPr>
              <w:rPr>
                <w:rFonts w:ascii="Arial" w:hAnsi="Arial" w:cs="Arial"/>
                <w:b/>
                <w:bCs/>
                <w:color w:val="FFFFFF"/>
                <w:sz w:val="18"/>
                <w:szCs w:val="18"/>
              </w:rPr>
            </w:pPr>
            <w:r w:rsidRPr="000020F0">
              <w:rPr>
                <w:rFonts w:ascii="Arial" w:hAnsi="Arial" w:cs="Arial"/>
                <w:b/>
                <w:bCs/>
                <w:color w:val="FFFFFF"/>
                <w:sz w:val="18"/>
                <w:szCs w:val="18"/>
              </w:rPr>
              <w:t>UKREP 4</w:t>
            </w:r>
          </w:p>
        </w:tc>
      </w:tr>
      <w:tr w:rsidR="00F36883" w:rsidRPr="000020F0" w14:paraId="1A2A2920"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2F2B2184" w14:textId="7A06CDB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Govekarjeva cesta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4B186AB" w14:textId="054B4D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856.955,69</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49880D10" w14:textId="4E58735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26,15%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369E879" w14:textId="5745F03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825.088,69</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11080C47" w14:textId="7BBE279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31.867,00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CCBBA9C" w14:textId="1E6F7B3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856.955,69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EC2E311" w14:textId="0BA1B77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58DC857" w14:textId="72FA6E8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B4B57D2" w14:textId="0589492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825.088,69</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0474DF32" w14:textId="316E68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12A334B8" w14:textId="7EA3025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6555F8C1"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5E785F87" w14:textId="43516A1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Troštova ulica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4AF5B301" w14:textId="3CBFFCB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48.950,81</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4EE11BF5" w14:textId="50E2831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CFA63BE" w14:textId="360B099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48.950,81</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1CD12C6B" w14:textId="732E5F6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FA1C7C9" w14:textId="27B55B6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48.950,81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C7A255E" w14:textId="1F6D3AA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4F8353B" w14:textId="17DD72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111EE71D" w14:textId="60DEDD8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48.950,81</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994EC5E" w14:textId="041A576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113CD221" w14:textId="58CCB3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4B255203"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2E34E9DE" w14:textId="55EE0AC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3EFCB6C0" w14:textId="1F3B1DE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60.000,00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7FFBBA10" w14:textId="77D0666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1,83%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71E019A" w14:textId="5F1C080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60.000,00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553072A5" w14:textId="6750324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EAB0DF7" w14:textId="530AA47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60.000,00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3439765" w14:textId="71B70C0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313CF4B" w14:textId="41DCF51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7A041C4D" w14:textId="1D357D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60.000,00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0ABEAEB0" w14:textId="4127778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50403B07" w14:textId="18E7CE4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2A0EF2D3"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71C80817" w14:textId="639E9DE7"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1EB53BE" w14:textId="4050F85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41.574,32</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5BF85D63" w14:textId="07A3083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2239619" w14:textId="0CD1FB3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41.574,32</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A4235F2" w14:textId="5C6D12C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91C37DE" w14:textId="7197B75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A9806E8" w14:textId="16A4F29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54DC227" w14:textId="01880C3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41.574,32</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431E4422" w14:textId="1604ED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7B28B0D4" w14:textId="2E4F1F5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314A51B" w14:textId="116A6EF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41.574,32</w:t>
            </w:r>
          </w:p>
        </w:tc>
      </w:tr>
      <w:tr w:rsidR="00F36883" w:rsidRPr="000020F0" w14:paraId="75BF4FC3" w14:textId="77777777" w:rsidTr="009C754B">
        <w:trPr>
          <w:trHeight w:val="57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1A863F5A" w14:textId="63F8AAF7"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B392A1A" w14:textId="5957565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13.464,91</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4B10E915" w14:textId="3645282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0,41%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2CAA8F6" w14:textId="140D668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13.464,91</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13C0D982" w14:textId="43DA7EA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68651888" w14:textId="455B9B5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96AFE1D" w14:textId="0B8997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8A356CE" w14:textId="733EC17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13.464,91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D46067C" w14:textId="3C48E54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273A13B" w14:textId="5EFB78A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08FD3AA4" w14:textId="650787D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13.464,91</w:t>
            </w:r>
          </w:p>
        </w:tc>
      </w:tr>
      <w:tr w:rsidR="00F36883" w:rsidRPr="000020F0" w14:paraId="5978DD9E" w14:textId="77777777" w:rsidTr="009C754B">
        <w:trPr>
          <w:trHeight w:val="57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4763CFCB" w14:textId="1DA188BE"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5B278493" w14:textId="43A3A9D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615CF7A" w14:textId="2A31061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DC52727" w14:textId="2FF5BCF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6F7BE6F8" w14:textId="36300C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F58B632" w14:textId="4650FA1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95290FB" w14:textId="584A081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F90A78E" w14:textId="4956A19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B78B92C" w14:textId="0C5D68C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51648481" w14:textId="2FB57A6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183C398F" w14:textId="2E6BC4B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r>
      <w:tr w:rsidR="00F36883" w:rsidRPr="000020F0" w14:paraId="1165C11F" w14:textId="77777777" w:rsidTr="009C754B">
        <w:trPr>
          <w:trHeight w:val="57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CDAD8DC" w14:textId="68A934C0"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42BE16F6" w14:textId="08A0B3C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183A733" w14:textId="4C89AAA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2B1FC1D" w14:textId="41E4B9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1219AF0" w14:textId="3CD1F09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14197B9" w14:textId="45FBC0C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C6656F6" w14:textId="77D9024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D230261" w14:textId="29CDB1C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131EF538" w14:textId="106C0F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25B21EBE" w14:textId="70A7441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D5217BF" w14:textId="00AF01F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9.540,90</w:t>
            </w:r>
          </w:p>
        </w:tc>
      </w:tr>
      <w:tr w:rsidR="00F36883" w:rsidRPr="000020F0" w14:paraId="68D6222E" w14:textId="77777777" w:rsidTr="009C754B">
        <w:trPr>
          <w:trHeight w:val="57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7AE87B9" w14:textId="767F10E2"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4D99864B" w14:textId="02FC931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68.411,77</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5C1CD08" w14:textId="6E9C1F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6E360F5" w14:textId="5996E81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68.411,77</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1C0B618F" w14:textId="5E21AF1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BAA7A85" w14:textId="54DB5BD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62B3CC5" w14:textId="0708B1E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3C74687" w14:textId="1C15A05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68.411,77</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1EE997A4" w14:textId="4D0DA7A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026B25F4" w14:textId="24BAF5C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39BBE08" w14:textId="52B7EDC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68.411,77</w:t>
            </w:r>
          </w:p>
        </w:tc>
      </w:tr>
      <w:tr w:rsidR="00F36883" w:rsidRPr="000020F0" w14:paraId="7FDD5E20"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79EA376B" w14:textId="0182B0B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xml:space="preserve">Parkirišča za kolesa </w:t>
            </w:r>
            <w:r w:rsidR="00E0349A" w:rsidRPr="000020F0">
              <w:rPr>
                <w:rFonts w:ascii="Arial" w:hAnsi="Arial" w:cs="Arial"/>
                <w:color w:val="000000"/>
                <w:sz w:val="20"/>
                <w:szCs w:val="20"/>
              </w:rPr>
              <w:t>–</w:t>
            </w:r>
            <w:r w:rsidRPr="000020F0">
              <w:rPr>
                <w:rFonts w:ascii="Arial" w:hAnsi="Arial" w:cs="Arial"/>
                <w:color w:val="000000"/>
                <w:sz w:val="20"/>
                <w:szCs w:val="20"/>
              </w:rPr>
              <w:t xml:space="preserve"> </w:t>
            </w:r>
            <w:r w:rsidR="00E0349A" w:rsidRPr="000020F0">
              <w:rPr>
                <w:rFonts w:ascii="Arial" w:hAnsi="Arial" w:cs="Arial"/>
                <w:color w:val="000000"/>
                <w:sz w:val="20"/>
                <w:szCs w:val="20"/>
              </w:rPr>
              <w:t>športna dvorana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95CF59D" w14:textId="630D688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9.540,91</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6E4757AE" w14:textId="3CCB6CA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1FBB1A3" w14:textId="79F1774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9.540,91</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6FDA84C4" w14:textId="5B12070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D244924" w14:textId="7DFE502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416C052" w14:textId="7B7DBE4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7DCE640" w14:textId="201032F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07A04A2" w14:textId="7E31E8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74109D74" w14:textId="280F732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C756CD8" w14:textId="7C94EDA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9.540,91</w:t>
            </w:r>
          </w:p>
        </w:tc>
      </w:tr>
      <w:tr w:rsidR="00F36883" w:rsidRPr="000020F0" w14:paraId="1DF7337F"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6A70F2A6" w14:textId="34A3A3E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park</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0A19C26B" w14:textId="6514C79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12.180,49</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9443CDE" w14:textId="684270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0,37%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9DFDAC0" w14:textId="2C2FB5D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12.180,49</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BD7EA3D" w14:textId="299DD2D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54214FB" w14:textId="0810375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32BAD76" w14:textId="3584672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DAA5E42" w14:textId="49B8AC5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12.180,49</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0BEEF461" w14:textId="60594C3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921DE04" w14:textId="3DB99C0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534F22CF" w14:textId="6DA1C79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12.180,49</w:t>
            </w:r>
          </w:p>
        </w:tc>
      </w:tr>
      <w:tr w:rsidR="00F36883" w:rsidRPr="000020F0" w14:paraId="5F77173C"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tcPr>
          <w:p w14:paraId="6D11E5CD" w14:textId="30B9E620"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Avtobusno postajališče - nivo ceste</w:t>
            </w:r>
          </w:p>
        </w:tc>
        <w:tc>
          <w:tcPr>
            <w:tcW w:w="450" w:type="pct"/>
            <w:tcBorders>
              <w:top w:val="nil"/>
              <w:left w:val="nil"/>
              <w:bottom w:val="single" w:sz="4" w:space="0" w:color="auto"/>
              <w:right w:val="single" w:sz="4" w:space="0" w:color="auto"/>
            </w:tcBorders>
            <w:noWrap/>
            <w:tcMar>
              <w:left w:w="28" w:type="dxa"/>
              <w:right w:w="28" w:type="dxa"/>
            </w:tcMar>
            <w:vAlign w:val="bottom"/>
          </w:tcPr>
          <w:p w14:paraId="62A9E03B" w14:textId="7102E4D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310.725,31</w:t>
            </w:r>
          </w:p>
        </w:tc>
        <w:tc>
          <w:tcPr>
            <w:tcW w:w="297" w:type="pct"/>
            <w:tcBorders>
              <w:top w:val="nil"/>
              <w:left w:val="nil"/>
              <w:bottom w:val="single" w:sz="4" w:space="0" w:color="auto"/>
              <w:right w:val="single" w:sz="4" w:space="0" w:color="auto"/>
            </w:tcBorders>
            <w:noWrap/>
            <w:tcMar>
              <w:left w:w="28" w:type="dxa"/>
              <w:right w:w="28" w:type="dxa"/>
            </w:tcMar>
            <w:vAlign w:val="bottom"/>
          </w:tcPr>
          <w:p w14:paraId="2A0C33E4" w14:textId="3869C35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9,48%</w:t>
            </w:r>
          </w:p>
        </w:tc>
        <w:tc>
          <w:tcPr>
            <w:tcW w:w="447" w:type="pct"/>
            <w:tcBorders>
              <w:top w:val="nil"/>
              <w:left w:val="nil"/>
              <w:bottom w:val="single" w:sz="4" w:space="0" w:color="auto"/>
              <w:right w:val="single" w:sz="4" w:space="0" w:color="auto"/>
            </w:tcBorders>
            <w:noWrap/>
            <w:tcMar>
              <w:left w:w="28" w:type="dxa"/>
              <w:right w:w="28" w:type="dxa"/>
            </w:tcMar>
            <w:vAlign w:val="bottom"/>
          </w:tcPr>
          <w:p w14:paraId="312F805B" w14:textId="46643D9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310.725,31</w:t>
            </w:r>
          </w:p>
        </w:tc>
        <w:tc>
          <w:tcPr>
            <w:tcW w:w="546" w:type="pct"/>
            <w:tcBorders>
              <w:top w:val="nil"/>
              <w:left w:val="nil"/>
              <w:bottom w:val="single" w:sz="4" w:space="0" w:color="auto"/>
              <w:right w:val="single" w:sz="4" w:space="0" w:color="auto"/>
            </w:tcBorders>
            <w:noWrap/>
            <w:tcMar>
              <w:left w:w="28" w:type="dxa"/>
              <w:right w:w="28" w:type="dxa"/>
            </w:tcMar>
            <w:vAlign w:val="bottom"/>
          </w:tcPr>
          <w:p w14:paraId="065BE453" w14:textId="0020C0A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tcPr>
          <w:p w14:paraId="0E52FFA6" w14:textId="63F8960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tcPr>
          <w:p w14:paraId="21263F53" w14:textId="4DD5CA4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310.725,31</w:t>
            </w:r>
          </w:p>
        </w:tc>
        <w:tc>
          <w:tcPr>
            <w:tcW w:w="447" w:type="pct"/>
            <w:tcBorders>
              <w:top w:val="nil"/>
              <w:left w:val="nil"/>
              <w:bottom w:val="single" w:sz="4" w:space="0" w:color="auto"/>
              <w:right w:val="single" w:sz="4" w:space="0" w:color="auto"/>
            </w:tcBorders>
            <w:noWrap/>
            <w:tcMar>
              <w:left w:w="28" w:type="dxa"/>
              <w:right w:w="28" w:type="dxa"/>
            </w:tcMar>
            <w:vAlign w:val="bottom"/>
          </w:tcPr>
          <w:p w14:paraId="53581996" w14:textId="6ECA38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tcPr>
          <w:p w14:paraId="75DA5F70" w14:textId="22231DA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tcPr>
          <w:p w14:paraId="558C449F" w14:textId="54C0FB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310.725,31</w:t>
            </w:r>
          </w:p>
        </w:tc>
        <w:tc>
          <w:tcPr>
            <w:tcW w:w="381" w:type="pct"/>
            <w:tcBorders>
              <w:top w:val="nil"/>
              <w:left w:val="nil"/>
              <w:bottom w:val="single" w:sz="4" w:space="0" w:color="auto"/>
              <w:right w:val="single" w:sz="4" w:space="0" w:color="auto"/>
            </w:tcBorders>
            <w:noWrap/>
            <w:tcMar>
              <w:left w:w="28" w:type="dxa"/>
              <w:right w:w="28" w:type="dxa"/>
            </w:tcMar>
            <w:vAlign w:val="bottom"/>
          </w:tcPr>
          <w:p w14:paraId="01316833" w14:textId="3C34D4D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7C4472EF" w14:textId="77777777" w:rsidTr="009C754B">
        <w:trPr>
          <w:trHeight w:val="6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2F7F4FE0" w14:textId="503EF348"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Sanitarije</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42281BD1" w14:textId="29F38A27"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92.284,99</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7BFF9CB" w14:textId="68FB0853"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2,82%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ADEA48F" w14:textId="6F7020FA"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92.284,99</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A5BC430" w14:textId="1D2F8714"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D822ECA" w14:textId="74F624AA"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649F4EC" w14:textId="16DB54D8"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92.284,99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E45A6D3" w14:textId="39E42D55"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311DC31F" w14:textId="3A8009E1"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5DD34743" w14:textId="12244468"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92.284,99</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0D61CEBA" w14:textId="6A5BE211"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r>
      <w:tr w:rsidR="00F36883" w:rsidRPr="000020F0" w14:paraId="2147B5E5" w14:textId="77777777" w:rsidTr="009C754B">
        <w:trPr>
          <w:trHeight w:val="6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68FA31F5" w14:textId="6639804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Avtobusno postajališče - nadstrešnica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615B7D03" w14:textId="7D8A1C1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271.249,66</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0DD7C358" w14:textId="5878032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8,28%</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96DC5FC" w14:textId="65A928F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271.249,66</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7351252B" w14:textId="0C3377F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B0BCD8C" w14:textId="3034FAB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ED92F20" w14:textId="5A46A56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271.249,66</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CF1D277" w14:textId="739779B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7423F206" w14:textId="353B033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2208C55F" w14:textId="5A4E53C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271.249,66</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45888449" w14:textId="1CDCFB8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570793A2" w14:textId="77777777" w:rsidTr="009C754B">
        <w:trPr>
          <w:trHeight w:val="3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5719CFB5" w14:textId="231B65B5"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Parkirišče z vhodom v šolo</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14423177" w14:textId="6467DF8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397.454,42</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4A706C7C" w14:textId="631A94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5FEAB1C" w14:textId="489C0C0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25F737C0" w14:textId="15B9AC9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397.454,42</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8228DC7" w14:textId="5F51C939"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0A5DAA5" w14:textId="4ED68BF8"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5C1AD20" w14:textId="6AFF240D"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21BA5E1" w14:textId="61A2B8BD"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19B7747E" w14:textId="2BEEE95E"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2DFCD1C1" w14:textId="27CB0538"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 </w:t>
            </w:r>
          </w:p>
        </w:tc>
      </w:tr>
      <w:tr w:rsidR="00F36883" w:rsidRPr="000020F0" w14:paraId="5E9D7850" w14:textId="77777777" w:rsidTr="009C754B">
        <w:trPr>
          <w:trHeight w:val="285"/>
        </w:trPr>
        <w:tc>
          <w:tcPr>
            <w:tcW w:w="6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bottom"/>
            <w:hideMark/>
          </w:tcPr>
          <w:p w14:paraId="58B7825F" w14:textId="50937F44" w:rsidR="00F36883" w:rsidRPr="000020F0" w:rsidRDefault="00F36883" w:rsidP="00F36883">
            <w:pPr>
              <w:rPr>
                <w:rFonts w:ascii="Arial" w:hAnsi="Arial" w:cs="Arial"/>
                <w:i/>
                <w:iCs/>
                <w:color w:val="000000"/>
                <w:sz w:val="20"/>
                <w:szCs w:val="20"/>
              </w:rPr>
            </w:pPr>
            <w:r w:rsidRPr="000020F0">
              <w:rPr>
                <w:rFonts w:ascii="Arial" w:hAnsi="Arial" w:cs="Arial"/>
                <w:b/>
                <w:bCs/>
                <w:i/>
                <w:iCs/>
                <w:color w:val="000000"/>
                <w:sz w:val="20"/>
                <w:szCs w:val="20"/>
              </w:rPr>
              <w:lastRenderedPageBreak/>
              <w:t>Skupaj GOI dela</w:t>
            </w:r>
          </w:p>
        </w:tc>
        <w:tc>
          <w:tcPr>
            <w:tcW w:w="450"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3114C28" w14:textId="3A2E7D27"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2.201.875,08</w:t>
            </w:r>
          </w:p>
        </w:tc>
        <w:tc>
          <w:tcPr>
            <w:tcW w:w="29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9A3659D" w14:textId="7A9FB24F"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67,19%</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C7DEBAA" w14:textId="1F2D6B03"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1.772.553,66</w:t>
            </w:r>
          </w:p>
        </w:tc>
        <w:tc>
          <w:tcPr>
            <w:tcW w:w="546"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75C69200" w14:textId="3BF2E94D"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429.321,42</w:t>
            </w:r>
          </w:p>
        </w:tc>
        <w:tc>
          <w:tcPr>
            <w:tcW w:w="497"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5DDC0182" w14:textId="70C4A189"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965.906,50</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C32CDA3" w14:textId="40E6A174"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674.259,96</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407D842" w14:textId="4ABBE889"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164.254,20</w:t>
            </w:r>
          </w:p>
        </w:tc>
        <w:tc>
          <w:tcPr>
            <w:tcW w:w="46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C0020FC" w14:textId="6CB4BDBC"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934.039,50</w:t>
            </w:r>
          </w:p>
        </w:tc>
        <w:tc>
          <w:tcPr>
            <w:tcW w:w="37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BFE488E" w14:textId="607073DE"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674.259,96</w:t>
            </w:r>
          </w:p>
        </w:tc>
        <w:tc>
          <w:tcPr>
            <w:tcW w:w="381"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35321D5E" w14:textId="613493A9" w:rsidR="00F36883" w:rsidRPr="000020F0" w:rsidRDefault="00F36883" w:rsidP="00F36883">
            <w:pPr>
              <w:jc w:val="right"/>
              <w:rPr>
                <w:rFonts w:ascii="Arial" w:hAnsi="Arial" w:cs="Arial"/>
                <w:i/>
                <w:iCs/>
                <w:color w:val="000000"/>
                <w:sz w:val="20"/>
                <w:szCs w:val="20"/>
              </w:rPr>
            </w:pPr>
            <w:r w:rsidRPr="000020F0">
              <w:rPr>
                <w:rFonts w:ascii="Arial" w:hAnsi="Arial" w:cs="Arial"/>
                <w:b/>
                <w:bCs/>
                <w:i/>
                <w:iCs/>
                <w:color w:val="000000"/>
                <w:sz w:val="20"/>
                <w:szCs w:val="20"/>
              </w:rPr>
              <w:t>164.254,20</w:t>
            </w:r>
          </w:p>
        </w:tc>
      </w:tr>
      <w:tr w:rsidR="00F36883" w:rsidRPr="000020F0" w14:paraId="56C9ADDA"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5A1D74BF" w14:textId="6D532347"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Strokovni nadzor</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37149B81" w14:textId="52692ED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66.056,25</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2C9E6EB8" w14:textId="77B5FA9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50A4DED" w14:textId="390D64A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53.176,61</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75C6913" w14:textId="6B5E9EF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12.879,64</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F37A78F" w14:textId="76C6218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35.359,92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52418DB" w14:textId="25D8EF1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24.683,32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4DA3F6F" w14:textId="30BD8C5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6.013,02</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63C04FCD" w14:textId="63636E0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28.021,19</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3C25A71" w14:textId="6FCD45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20.227,80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2147B44" w14:textId="0F3E064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4.927,63</w:t>
            </w:r>
          </w:p>
        </w:tc>
      </w:tr>
      <w:tr w:rsidR="00F36883" w:rsidRPr="000020F0" w14:paraId="404DA5F1"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121F6F59" w14:textId="1D9C142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Projektna dokumentacija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5AFF5311" w14:textId="6940D4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105.095,33</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02293B0" w14:textId="56B01D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3,21%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988789E" w14:textId="275641E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84.603,85</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23880949" w14:textId="434AA78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20.491,48</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34D8FEBA" w14:textId="5416027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56.257,54</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3B0EACF" w14:textId="3C90753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39.271,09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52CB462" w14:textId="79419F8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9.566,70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0F10DB63" w14:textId="1117881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45.288,45</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14BD18E5" w14:textId="7E8DFFE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31.614,02</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570B7F3" w14:textId="6603E5F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7.701,38</w:t>
            </w:r>
          </w:p>
        </w:tc>
      </w:tr>
      <w:tr w:rsidR="00F36883" w:rsidRPr="000020F0" w14:paraId="14B97DFB"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7DE3DF05" w14:textId="3ACCA9B5"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Svetovalni inženiring</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9EFC62B" w14:textId="43CC172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22.018,75</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6E922321" w14:textId="4CCCA5B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75A9C13" w14:textId="119A5A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22.018,75</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6A22851A" w14:textId="25C2D3E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49592E8E" w14:textId="11429D7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11.786,64</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D5BDDF1" w14:textId="433997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8.227,77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85E5705" w14:textId="60F2131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2.004,34</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663D2704" w14:textId="084A541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11.786,64</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530EBA3D" w14:textId="414FD0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8.227,77</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770BA4AD" w14:textId="20A4B40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2.004,34</w:t>
            </w:r>
          </w:p>
        </w:tc>
      </w:tr>
      <w:tr w:rsidR="00F36883" w:rsidRPr="000020F0" w14:paraId="4CEF1E56" w14:textId="77777777" w:rsidTr="009C754B">
        <w:trPr>
          <w:trHeight w:val="3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2B22C6D9" w14:textId="256BC48E"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Obveščanje javnosti</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7033434D" w14:textId="17AD3F0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4.098,36</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79A9E452" w14:textId="13C395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5A907AB" w14:textId="20AC74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4.098,36</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097D18F" w14:textId="145126B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B4F3BC2" w14:textId="13A4607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2.193,85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9B44F07" w14:textId="5766AEC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1.531,44</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548994F" w14:textId="2C46D4F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373,07</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6D2E3666" w14:textId="78B8F3A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2.193,85</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20E9EAEE" w14:textId="1AC8713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1.531,44</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48E67A50" w14:textId="6B2637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373,07</w:t>
            </w:r>
          </w:p>
        </w:tc>
      </w:tr>
      <w:tr w:rsidR="00F36883" w:rsidRPr="000020F0" w14:paraId="7671BAF0" w14:textId="77777777" w:rsidTr="009C754B">
        <w:trPr>
          <w:trHeight w:val="57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C6BA9D4" w14:textId="75F8E86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195EE2AA" w14:textId="52388EE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21.650,00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682A5385" w14:textId="65CC098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0,66%</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AD30543" w14:textId="36ACC4D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20.950,00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C7D9D0D" w14:textId="75FC79E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700,00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9FEE108" w14:textId="744221C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11.589,25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20B9333" w14:textId="2F682DC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8.089,98</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611AD435" w14:textId="73389DA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1.970,77</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D4BD66F" w14:textId="070764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11.214,54</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416E50B8" w14:textId="00EF574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7.828,41</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401B6801" w14:textId="56E37D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1.907,05</w:t>
            </w:r>
          </w:p>
        </w:tc>
      </w:tr>
      <w:tr w:rsidR="00F36883" w:rsidRPr="000020F0" w14:paraId="77916F4F"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41D7B75" w14:textId="74F93565"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Stroški varnosti pri delu</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7A15EB20" w14:textId="6FF6FC7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6.979,18</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35EA3099" w14:textId="4729FEA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4572EBA" w14:textId="0E782AD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5.618,38</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FA88AE8" w14:textId="4036047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1.360,80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FE5D182" w14:textId="18207AB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3.735,96</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EA318ED" w14:textId="0865383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2.607,92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2003ED9" w14:textId="1E0A8A0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635,31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6E77E352" w14:textId="29984B6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3.007,52</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0858AE7D" w14:textId="3106019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2.099,43</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4D2AA1E3" w14:textId="76FF5C8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511,43</w:t>
            </w:r>
          </w:p>
        </w:tc>
      </w:tr>
      <w:tr w:rsidR="00F36883" w:rsidRPr="000020F0" w14:paraId="1E7D5CAC"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21680E7B" w14:textId="154FF8EC"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Arheologija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30004400" w14:textId="578725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15.011,81</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153D7A23" w14:textId="06B7E51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0,46%</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28344CA" w14:textId="427C24A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15.011,81</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30F2DC70" w14:textId="5A019D3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6FFF939E" w14:textId="6DF6EA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8.035,82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ACF19EC" w14:textId="272D5A1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5.609,48</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6224096" w14:textId="3C5BD81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1.366,51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B1489C4" w14:textId="4F793CD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8.035,82</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3DF604C9" w14:textId="5C15BF1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5.609,48</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22227208" w14:textId="330854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1.366,51</w:t>
            </w:r>
          </w:p>
        </w:tc>
      </w:tr>
      <w:tr w:rsidR="00F36883" w:rsidRPr="000020F0" w14:paraId="38B0C22B"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4A58FC10" w14:textId="664EDAE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52CAD9E3" w14:textId="08B959B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3.280,00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4B15BEC4" w14:textId="7236408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C445539" w14:textId="41B3C05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4863464" w14:textId="45DF78F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3.280,00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B949B26" w14:textId="12C4C95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1.755,78</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F10CAD5" w14:textId="1981FC6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1.225,64</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24238E7" w14:textId="30FC3E3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298,57</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018DC293" w14:textId="5FC5409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366E2DE9" w14:textId="40E09F1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BE41970" w14:textId="621F113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791F0184"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7015B559" w14:textId="1128E31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Nakup nepremičnine</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0BDB0D59" w14:textId="3E94C7D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280.000,00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6D9BC61A" w14:textId="0E2D55B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8,54%</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C0BCB2F" w14:textId="17D391B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3B7E87BE" w14:textId="33D0F89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280.000,00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002A4A4F" w14:textId="478DFB1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149.884,02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1717AB5" w14:textId="1729B0E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104.627,92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97D72EF" w14:textId="4C3660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25.488,06</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4CAF0261" w14:textId="2EDE36D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70FB2EFC" w14:textId="27DAF05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F465B07" w14:textId="3B2DB0C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3265C43E" w14:textId="77777777" w:rsidTr="009C754B">
        <w:trPr>
          <w:trHeight w:val="6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358A2D66" w14:textId="5E02442E"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Druga dela ob rušenju objekta (neobdavčeno)</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10FC730E" w14:textId="22BFCC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776,00</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3FD6A120" w14:textId="0AA4718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7F01594" w14:textId="604A29D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0789726" w14:textId="284E6C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776,00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6D4B521C" w14:textId="51A18DB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415,39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D99FD0C" w14:textId="31B3E53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289,97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178D9F63" w14:textId="6B69327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70,64</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F284D57" w14:textId="7AB5B55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382BDB2C" w14:textId="6225499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0583F54A" w14:textId="4EDDF5F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6A14171D" w14:textId="77777777" w:rsidTr="009C754B">
        <w:trPr>
          <w:trHeight w:val="6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5264662" w14:textId="1F45BC0C"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Druga dela ob rušenju objekta (9,5% DDV)</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2866D87F" w14:textId="3CCB320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545,96</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0C8C5123" w14:textId="7A56255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E116CC0" w14:textId="3655510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7D85F510" w14:textId="38A7E30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545,96</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71755A2" w14:textId="5209F04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292,25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53CF433" w14:textId="5121C33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204,01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E714C40" w14:textId="6273E32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49,70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1B8719AE" w14:textId="139587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28F0E74D" w14:textId="2B0CCE0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CE64C90" w14:textId="0BFB471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2833B07E" w14:textId="77777777" w:rsidTr="009C754B">
        <w:trPr>
          <w:trHeight w:val="300"/>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1FC79578" w14:textId="147C1DE2"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Druga dela ob rušenju objekta</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46BDDF94" w14:textId="795BE7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5.483,07</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7D371970" w14:textId="27A5558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5D7D460" w14:textId="6BC3FD2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3FB35EE" w14:textId="5B38FAB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5.483,07</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575090C6" w14:textId="0FB836D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2.935,09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8CEE74D" w14:textId="1D6AE7E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2.048,87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48C59FA" w14:textId="4A5797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499,12</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7649FF7" w14:textId="707C9E1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4A599FE5" w14:textId="0A5998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B57F3DF" w14:textId="3E92548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1925C81C"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62069CA0" w14:textId="5D8596A1"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Vpis v kataster</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32B39193" w14:textId="3AA92CF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930,55</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2DE47A03" w14:textId="0F2BAC7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129951D" w14:textId="65E0DE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234A5314" w14:textId="3BB4571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930,55</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561DC10" w14:textId="1C4AB9B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498,12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6443BB0" w14:textId="304C3A8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347,72</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2B29BBD" w14:textId="0070AA2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84,71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590D8277" w14:textId="73ED2AF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76530324" w14:textId="4F44467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9AC7C34" w14:textId="7F61B4A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17892B7B"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335EA0E5" w14:textId="379BB9F3"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Geodetski načrt</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504F5213" w14:textId="522DD25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2.261,75</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0E0C776D" w14:textId="5454F36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F4E3FE1" w14:textId="7072E2B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7F565D1" w14:textId="13165C7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2.261,75</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2C4FDCEB" w14:textId="3B6C793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1.210,71</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EDADC9F" w14:textId="7C8ABF5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845,15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7D4E6A8B" w14:textId="633B708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205,88</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445A4BD5" w14:textId="59B17CC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571C159A" w14:textId="358B16A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B758C02" w14:textId="213A56E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44B1D8EF"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0455BFD1" w14:textId="35165AD6"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Baza cestnih podatkov</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68AC55E4" w14:textId="0F87C91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819,67</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36680909" w14:textId="688B4FB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02F65C0" w14:textId="6D0D625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819,67</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455F5B87" w14:textId="015D03F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76472FA5" w14:textId="6DC1BA4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438,77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23FBB279" w14:textId="7F2348A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306,29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09FA843B" w14:textId="625FB99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74,61</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6AAF8EB8" w14:textId="2FDD780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438,77</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C030707" w14:textId="371383E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306,29</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4B317DBF" w14:textId="69EA1C5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74,61</w:t>
            </w:r>
          </w:p>
        </w:tc>
      </w:tr>
      <w:tr w:rsidR="00F36883" w:rsidRPr="000020F0" w14:paraId="27006873" w14:textId="77777777" w:rsidTr="009C754B">
        <w:trPr>
          <w:trHeight w:val="300"/>
        </w:trPr>
        <w:tc>
          <w:tcPr>
            <w:tcW w:w="6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bottom"/>
            <w:hideMark/>
          </w:tcPr>
          <w:p w14:paraId="75DC2CC7" w14:textId="5436A069"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450"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AAEB3F9" w14:textId="3738ED42"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2.736.881,76</w:t>
            </w:r>
          </w:p>
        </w:tc>
        <w:tc>
          <w:tcPr>
            <w:tcW w:w="29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3B3B1DAA" w14:textId="05987F1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83,51%</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65EDE42A" w14:textId="0E0A4774"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1.978.851,09</w:t>
            </w:r>
          </w:p>
        </w:tc>
        <w:tc>
          <w:tcPr>
            <w:tcW w:w="546"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7256FE30" w14:textId="04E8B9D4"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758.030,67</w:t>
            </w:r>
          </w:p>
        </w:tc>
        <w:tc>
          <w:tcPr>
            <w:tcW w:w="497"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0E627CF7" w14:textId="3921D8F2"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1.252.295,61</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7360B737" w14:textId="461AA1A1"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874.176,53</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6061AE9E" w14:textId="496F0BE9"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212.955,20</w:t>
            </w:r>
          </w:p>
        </w:tc>
        <w:tc>
          <w:tcPr>
            <w:tcW w:w="46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E74C422" w14:textId="68E094BD"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1.044.026,27</w:t>
            </w:r>
          </w:p>
        </w:tc>
        <w:tc>
          <w:tcPr>
            <w:tcW w:w="37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09512F0" w14:textId="27D628EE"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751.704,59</w:t>
            </w:r>
          </w:p>
        </w:tc>
        <w:tc>
          <w:tcPr>
            <w:tcW w:w="381"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720438B5" w14:textId="69D57974"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183.120,23</w:t>
            </w:r>
          </w:p>
        </w:tc>
      </w:tr>
      <w:tr w:rsidR="00F36883" w:rsidRPr="000020F0" w14:paraId="58B9463D" w14:textId="77777777" w:rsidTr="009C754B">
        <w:trPr>
          <w:trHeight w:val="285"/>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55B3C9FC" w14:textId="6B2FEDDC"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Davek na dodano vrednost</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6D58A9F4" w14:textId="46B0491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540.275,01</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7D7CD492" w14:textId="6E36345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16,49%</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8F3EAA3" w14:textId="1A1AA60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435.347,24</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007D43F7" w14:textId="12AFE50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104.927,77</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60A4F88D" w14:textId="6EB53E4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242.402,63</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3E01E4E" w14:textId="5A973BA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169.211,40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37F7568D" w14:textId="0418E7B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41.221,02</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6C02C40" w14:textId="40D896D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204.990,78</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356E629A" w14:textId="7FAF9F6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165.375,01</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66C96F22" w14:textId="26BE0D5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40.286,45</w:t>
            </w:r>
          </w:p>
        </w:tc>
      </w:tr>
      <w:tr w:rsidR="00F36883" w:rsidRPr="000020F0" w14:paraId="1261A0E1" w14:textId="77777777" w:rsidTr="009C754B">
        <w:trPr>
          <w:trHeight w:val="309"/>
        </w:trPr>
        <w:tc>
          <w:tcPr>
            <w:tcW w:w="644" w:type="pct"/>
            <w:tcBorders>
              <w:top w:val="nil"/>
              <w:left w:val="single" w:sz="4" w:space="0" w:color="auto"/>
              <w:bottom w:val="single" w:sz="4" w:space="0" w:color="auto"/>
              <w:right w:val="single" w:sz="4" w:space="0" w:color="auto"/>
            </w:tcBorders>
            <w:tcMar>
              <w:left w:w="28" w:type="dxa"/>
              <w:right w:w="28" w:type="dxa"/>
            </w:tcMar>
            <w:vAlign w:val="bottom"/>
            <w:hideMark/>
          </w:tcPr>
          <w:p w14:paraId="56C878A9" w14:textId="4862843D"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lastRenderedPageBreak/>
              <w:t>Povračljiv davek na dodano vrednost</w:t>
            </w:r>
          </w:p>
        </w:tc>
        <w:tc>
          <w:tcPr>
            <w:tcW w:w="450" w:type="pct"/>
            <w:tcBorders>
              <w:top w:val="nil"/>
              <w:left w:val="nil"/>
              <w:bottom w:val="single" w:sz="4" w:space="0" w:color="auto"/>
              <w:right w:val="single" w:sz="4" w:space="0" w:color="auto"/>
            </w:tcBorders>
            <w:noWrap/>
            <w:tcMar>
              <w:left w:w="28" w:type="dxa"/>
              <w:right w:w="28" w:type="dxa"/>
            </w:tcMar>
            <w:vAlign w:val="bottom"/>
            <w:hideMark/>
          </w:tcPr>
          <w:p w14:paraId="63C9D7D0" w14:textId="7318FCB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21.362,57</w:t>
            </w:r>
          </w:p>
        </w:tc>
        <w:tc>
          <w:tcPr>
            <w:tcW w:w="297" w:type="pct"/>
            <w:tcBorders>
              <w:top w:val="nil"/>
              <w:left w:val="nil"/>
              <w:bottom w:val="single" w:sz="4" w:space="0" w:color="auto"/>
              <w:right w:val="single" w:sz="4" w:space="0" w:color="auto"/>
            </w:tcBorders>
            <w:noWrap/>
            <w:tcMar>
              <w:left w:w="28" w:type="dxa"/>
              <w:right w:w="28" w:type="dxa"/>
            </w:tcMar>
            <w:vAlign w:val="bottom"/>
            <w:hideMark/>
          </w:tcPr>
          <w:p w14:paraId="51694065" w14:textId="6F6E485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0,65%</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4DD849DE" w14:textId="7B38567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46" w:type="pct"/>
            <w:tcBorders>
              <w:top w:val="nil"/>
              <w:left w:val="nil"/>
              <w:bottom w:val="single" w:sz="4" w:space="0" w:color="auto"/>
              <w:right w:val="single" w:sz="4" w:space="0" w:color="auto"/>
            </w:tcBorders>
            <w:noWrap/>
            <w:tcMar>
              <w:left w:w="28" w:type="dxa"/>
              <w:right w:w="28" w:type="dxa"/>
            </w:tcMar>
            <w:vAlign w:val="bottom"/>
            <w:hideMark/>
          </w:tcPr>
          <w:p w14:paraId="7D96A80E" w14:textId="1D03FC1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21.362,57</w:t>
            </w:r>
          </w:p>
        </w:tc>
        <w:tc>
          <w:tcPr>
            <w:tcW w:w="497" w:type="pct"/>
            <w:tcBorders>
              <w:top w:val="nil"/>
              <w:left w:val="single" w:sz="4" w:space="0" w:color="auto"/>
              <w:bottom w:val="single" w:sz="4" w:space="0" w:color="auto"/>
              <w:right w:val="single" w:sz="4" w:space="0" w:color="auto"/>
            </w:tcBorders>
            <w:noWrap/>
            <w:tcMar>
              <w:left w:w="28" w:type="dxa"/>
              <w:right w:w="28" w:type="dxa"/>
            </w:tcMar>
            <w:vAlign w:val="bottom"/>
            <w:hideMark/>
          </w:tcPr>
          <w:p w14:paraId="17BA1C32" w14:textId="5500F0E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21.362,57</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9D86E6C" w14:textId="3649C2E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47" w:type="pct"/>
            <w:tcBorders>
              <w:top w:val="nil"/>
              <w:left w:val="nil"/>
              <w:bottom w:val="single" w:sz="4" w:space="0" w:color="auto"/>
              <w:right w:val="single" w:sz="4" w:space="0" w:color="auto"/>
            </w:tcBorders>
            <w:noWrap/>
            <w:tcMar>
              <w:left w:w="28" w:type="dxa"/>
              <w:right w:w="28" w:type="dxa"/>
            </w:tcMar>
            <w:vAlign w:val="bottom"/>
            <w:hideMark/>
          </w:tcPr>
          <w:p w14:paraId="5F111148" w14:textId="70038A7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67" w:type="pct"/>
            <w:tcBorders>
              <w:top w:val="nil"/>
              <w:left w:val="nil"/>
              <w:bottom w:val="single" w:sz="4" w:space="0" w:color="auto"/>
              <w:right w:val="single" w:sz="4" w:space="0" w:color="auto"/>
            </w:tcBorders>
            <w:noWrap/>
            <w:tcMar>
              <w:left w:w="28" w:type="dxa"/>
              <w:right w:w="28" w:type="dxa"/>
            </w:tcMar>
            <w:vAlign w:val="bottom"/>
            <w:hideMark/>
          </w:tcPr>
          <w:p w14:paraId="2CD0CE26" w14:textId="2A45D03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377" w:type="pct"/>
            <w:tcBorders>
              <w:top w:val="nil"/>
              <w:left w:val="nil"/>
              <w:bottom w:val="single" w:sz="4" w:space="0" w:color="auto"/>
              <w:right w:val="single" w:sz="4" w:space="0" w:color="auto"/>
            </w:tcBorders>
            <w:noWrap/>
            <w:tcMar>
              <w:left w:w="28" w:type="dxa"/>
              <w:right w:w="28" w:type="dxa"/>
            </w:tcMar>
            <w:vAlign w:val="bottom"/>
            <w:hideMark/>
          </w:tcPr>
          <w:p w14:paraId="61815D39" w14:textId="743D0C96"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w:t>
            </w:r>
          </w:p>
        </w:tc>
        <w:tc>
          <w:tcPr>
            <w:tcW w:w="381" w:type="pct"/>
            <w:tcBorders>
              <w:top w:val="nil"/>
              <w:left w:val="nil"/>
              <w:bottom w:val="single" w:sz="4" w:space="0" w:color="auto"/>
              <w:right w:val="single" w:sz="4" w:space="0" w:color="auto"/>
            </w:tcBorders>
            <w:noWrap/>
            <w:tcMar>
              <w:left w:w="28" w:type="dxa"/>
              <w:right w:w="28" w:type="dxa"/>
            </w:tcMar>
            <w:vAlign w:val="bottom"/>
            <w:hideMark/>
          </w:tcPr>
          <w:p w14:paraId="3AE2303E" w14:textId="0139C726"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w:t>
            </w:r>
          </w:p>
        </w:tc>
      </w:tr>
      <w:tr w:rsidR="00F36883" w:rsidRPr="000020F0" w14:paraId="10B0C8F9" w14:textId="77777777" w:rsidTr="009C754B">
        <w:trPr>
          <w:trHeight w:val="600"/>
        </w:trPr>
        <w:tc>
          <w:tcPr>
            <w:tcW w:w="6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bottom"/>
            <w:hideMark/>
          </w:tcPr>
          <w:p w14:paraId="46658FDC" w14:textId="7A8B7F1E"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450"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414CC6A2" w14:textId="3ACDDC3B"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29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396D1B47" w14:textId="71C2E0D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9BC583F" w14:textId="7B784E3E"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2.414.198,33</w:t>
            </w:r>
          </w:p>
        </w:tc>
        <w:tc>
          <w:tcPr>
            <w:tcW w:w="546"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3992407B" w14:textId="35C7773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862.958,44</w:t>
            </w:r>
          </w:p>
        </w:tc>
        <w:tc>
          <w:tcPr>
            <w:tcW w:w="497"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3AC06F1F" w14:textId="406EC9F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1.494.698,24</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373DA32" w14:textId="378229E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1.043.387,93</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E867327" w14:textId="201AC462"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254.176,22</w:t>
            </w:r>
          </w:p>
        </w:tc>
        <w:tc>
          <w:tcPr>
            <w:tcW w:w="46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56FC617A" w14:textId="3B46CB17"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1.249.017,05</w:t>
            </w:r>
          </w:p>
        </w:tc>
        <w:tc>
          <w:tcPr>
            <w:tcW w:w="37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B347C02" w14:textId="1D07627F"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917.079,60</w:t>
            </w:r>
          </w:p>
        </w:tc>
        <w:tc>
          <w:tcPr>
            <w:tcW w:w="381"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78627C7" w14:textId="0964E4C3"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223.406,68</w:t>
            </w:r>
          </w:p>
        </w:tc>
      </w:tr>
      <w:tr w:rsidR="00F36883" w:rsidRPr="000020F0" w14:paraId="2FAF2581" w14:textId="77777777" w:rsidTr="009C754B">
        <w:trPr>
          <w:trHeight w:val="600"/>
        </w:trPr>
        <w:tc>
          <w:tcPr>
            <w:tcW w:w="6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bottom"/>
            <w:hideMark/>
          </w:tcPr>
          <w:p w14:paraId="691ABD77" w14:textId="2B32AAC3"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450"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41E3633C" w14:textId="540869E4"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3.255.794,20</w:t>
            </w:r>
          </w:p>
        </w:tc>
        <w:tc>
          <w:tcPr>
            <w:tcW w:w="29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4B62C8F1" w14:textId="7BB34525"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99,35%</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27C39EB8" w14:textId="25B4DD9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2.414.198,33</w:t>
            </w:r>
          </w:p>
        </w:tc>
        <w:tc>
          <w:tcPr>
            <w:tcW w:w="546"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6ACB22B" w14:textId="35E2ED7B"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841.595,87</w:t>
            </w:r>
          </w:p>
        </w:tc>
        <w:tc>
          <w:tcPr>
            <w:tcW w:w="497" w:type="pct"/>
            <w:tcBorders>
              <w:top w:val="nil"/>
              <w:left w:val="single" w:sz="4" w:space="0" w:color="auto"/>
              <w:bottom w:val="single" w:sz="4" w:space="0" w:color="auto"/>
              <w:right w:val="single" w:sz="4" w:space="0" w:color="auto"/>
            </w:tcBorders>
            <w:shd w:val="clear" w:color="000000" w:fill="D9D9D9"/>
            <w:noWrap/>
            <w:tcMar>
              <w:left w:w="28" w:type="dxa"/>
              <w:right w:w="28" w:type="dxa"/>
            </w:tcMar>
            <w:vAlign w:val="bottom"/>
            <w:hideMark/>
          </w:tcPr>
          <w:p w14:paraId="7A3BCD5F" w14:textId="28855084"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1.473.335,67</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6342A6BA" w14:textId="394E99F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1.043.387,93</w:t>
            </w:r>
          </w:p>
        </w:tc>
        <w:tc>
          <w:tcPr>
            <w:tcW w:w="44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F031919" w14:textId="66C8B43B"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254.176,22</w:t>
            </w:r>
          </w:p>
        </w:tc>
        <w:tc>
          <w:tcPr>
            <w:tcW w:w="46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04E67A4D" w14:textId="5A72452A"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1.249.017,05</w:t>
            </w:r>
          </w:p>
        </w:tc>
        <w:tc>
          <w:tcPr>
            <w:tcW w:w="377"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8EE8184" w14:textId="2609594A"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917.079,60</w:t>
            </w:r>
          </w:p>
        </w:tc>
        <w:tc>
          <w:tcPr>
            <w:tcW w:w="381" w:type="pct"/>
            <w:tcBorders>
              <w:top w:val="nil"/>
              <w:left w:val="nil"/>
              <w:bottom w:val="single" w:sz="4" w:space="0" w:color="auto"/>
              <w:right w:val="single" w:sz="4" w:space="0" w:color="auto"/>
            </w:tcBorders>
            <w:shd w:val="clear" w:color="000000" w:fill="D9D9D9"/>
            <w:noWrap/>
            <w:tcMar>
              <w:left w:w="28" w:type="dxa"/>
              <w:right w:w="28" w:type="dxa"/>
            </w:tcMar>
            <w:vAlign w:val="bottom"/>
            <w:hideMark/>
          </w:tcPr>
          <w:p w14:paraId="10EB5882" w14:textId="26ACD3C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223.406,68</w:t>
            </w:r>
          </w:p>
        </w:tc>
      </w:tr>
    </w:tbl>
    <w:p w14:paraId="362EC86C" w14:textId="77777777" w:rsidR="00E748ED" w:rsidRPr="000020F0" w:rsidRDefault="00E748ED" w:rsidP="00E748ED"/>
    <w:p w14:paraId="693A7E15" w14:textId="77777777" w:rsidR="006D51C0" w:rsidRPr="000020F0" w:rsidRDefault="006D51C0" w:rsidP="00E748ED"/>
    <w:p w14:paraId="2F86F8D2" w14:textId="4455CAAB" w:rsidR="006945A7" w:rsidRPr="000020F0" w:rsidRDefault="006945A7" w:rsidP="00A12A00">
      <w:pPr>
        <w:pStyle w:val="Napis"/>
        <w:spacing w:line="276" w:lineRule="auto"/>
        <w:rPr>
          <w:rFonts w:asciiTheme="majorHAnsi" w:hAnsiTheme="majorHAnsi" w:cstheme="majorHAnsi"/>
          <w:b w:val="0"/>
          <w:bCs w:val="0"/>
          <w:color w:val="auto"/>
          <w:sz w:val="22"/>
          <w:szCs w:val="22"/>
        </w:rPr>
      </w:pPr>
      <w:bookmarkStart w:id="275" w:name="_Toc209029183"/>
      <w:bookmarkStart w:id="276" w:name="_Toc230882292"/>
      <w:r w:rsidRPr="000020F0">
        <w:rPr>
          <w:rFonts w:asciiTheme="majorHAnsi" w:hAnsiTheme="majorHAnsi" w:cstheme="majorHAnsi"/>
          <w:color w:val="auto"/>
          <w:sz w:val="22"/>
          <w:szCs w:val="22"/>
        </w:rPr>
        <w:t xml:space="preserve">Tabela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12</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r w:rsidRPr="000020F0">
        <w:rPr>
          <w:rFonts w:asciiTheme="majorHAnsi" w:hAnsiTheme="majorHAnsi" w:cstheme="majorHAnsi"/>
          <w:b w:val="0"/>
          <w:bCs w:val="0"/>
          <w:color w:val="auto"/>
          <w:sz w:val="22"/>
          <w:szCs w:val="22"/>
        </w:rPr>
        <w:t>Ocena vrednosti investicije glede na upravičenost v tekočih cenah, v EUR</w:t>
      </w:r>
      <w:bookmarkEnd w:id="275"/>
      <w:bookmarkEnd w:id="276"/>
    </w:p>
    <w:tbl>
      <w:tblPr>
        <w:tblW w:w="5000" w:type="pct"/>
        <w:tblCellMar>
          <w:left w:w="70" w:type="dxa"/>
          <w:right w:w="70" w:type="dxa"/>
        </w:tblCellMar>
        <w:tblLook w:val="04A0" w:firstRow="1" w:lastRow="0" w:firstColumn="1" w:lastColumn="0" w:noHBand="0" w:noVBand="1"/>
      </w:tblPr>
      <w:tblGrid>
        <w:gridCol w:w="1832"/>
        <w:gridCol w:w="1308"/>
        <w:gridCol w:w="930"/>
        <w:gridCol w:w="1374"/>
        <w:gridCol w:w="1652"/>
        <w:gridCol w:w="1308"/>
        <w:gridCol w:w="1141"/>
        <w:gridCol w:w="1141"/>
        <w:gridCol w:w="1308"/>
        <w:gridCol w:w="1142"/>
        <w:gridCol w:w="1141"/>
      </w:tblGrid>
      <w:tr w:rsidR="00B56649" w:rsidRPr="000020F0" w14:paraId="01FD982E" w14:textId="77777777" w:rsidTr="00F36883">
        <w:trPr>
          <w:trHeight w:val="284"/>
          <w:tblHeader/>
        </w:trPr>
        <w:tc>
          <w:tcPr>
            <w:tcW w:w="642" w:type="pct"/>
            <w:tcBorders>
              <w:top w:val="single" w:sz="4" w:space="0" w:color="auto"/>
              <w:left w:val="single" w:sz="4" w:space="0" w:color="auto"/>
              <w:bottom w:val="single" w:sz="4" w:space="0" w:color="auto"/>
              <w:right w:val="single" w:sz="4" w:space="0" w:color="auto"/>
            </w:tcBorders>
            <w:shd w:val="clear" w:color="000000" w:fill="153D64"/>
            <w:vAlign w:val="bottom"/>
            <w:hideMark/>
          </w:tcPr>
          <w:p w14:paraId="5C243F18"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 </w:t>
            </w:r>
          </w:p>
        </w:tc>
        <w:tc>
          <w:tcPr>
            <w:tcW w:w="458" w:type="pct"/>
            <w:tcBorders>
              <w:top w:val="single" w:sz="4" w:space="0" w:color="auto"/>
              <w:left w:val="nil"/>
              <w:bottom w:val="single" w:sz="4" w:space="0" w:color="auto"/>
              <w:right w:val="single" w:sz="4" w:space="0" w:color="auto"/>
            </w:tcBorders>
            <w:shd w:val="clear" w:color="000000" w:fill="153D64"/>
            <w:noWrap/>
            <w:vAlign w:val="bottom"/>
            <w:hideMark/>
          </w:tcPr>
          <w:p w14:paraId="759574B0"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 </w:t>
            </w:r>
          </w:p>
        </w:tc>
        <w:tc>
          <w:tcPr>
            <w:tcW w:w="326" w:type="pct"/>
            <w:tcBorders>
              <w:top w:val="single" w:sz="4" w:space="0" w:color="auto"/>
              <w:left w:val="nil"/>
              <w:bottom w:val="single" w:sz="4" w:space="0" w:color="auto"/>
              <w:right w:val="single" w:sz="4" w:space="0" w:color="auto"/>
            </w:tcBorders>
            <w:shd w:val="clear" w:color="000000" w:fill="153D64"/>
            <w:noWrap/>
            <w:vAlign w:val="bottom"/>
            <w:hideMark/>
          </w:tcPr>
          <w:p w14:paraId="01AA7AEE"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 </w:t>
            </w:r>
          </w:p>
        </w:tc>
        <w:tc>
          <w:tcPr>
            <w:tcW w:w="481" w:type="pct"/>
            <w:tcBorders>
              <w:top w:val="single" w:sz="4" w:space="0" w:color="auto"/>
              <w:left w:val="nil"/>
              <w:bottom w:val="single" w:sz="4" w:space="0" w:color="auto"/>
              <w:right w:val="single" w:sz="4" w:space="0" w:color="auto"/>
            </w:tcBorders>
            <w:shd w:val="clear" w:color="000000" w:fill="153D64"/>
            <w:noWrap/>
            <w:vAlign w:val="bottom"/>
            <w:hideMark/>
          </w:tcPr>
          <w:p w14:paraId="043A9AA9"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 </w:t>
            </w:r>
          </w:p>
        </w:tc>
        <w:tc>
          <w:tcPr>
            <w:tcW w:w="579" w:type="pct"/>
            <w:tcBorders>
              <w:top w:val="single" w:sz="4" w:space="0" w:color="auto"/>
              <w:left w:val="nil"/>
              <w:bottom w:val="single" w:sz="4" w:space="0" w:color="auto"/>
              <w:right w:val="single" w:sz="4" w:space="0" w:color="auto"/>
            </w:tcBorders>
            <w:shd w:val="clear" w:color="000000" w:fill="153D64"/>
            <w:noWrap/>
            <w:vAlign w:val="bottom"/>
            <w:hideMark/>
          </w:tcPr>
          <w:p w14:paraId="574C0097"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 </w:t>
            </w:r>
          </w:p>
        </w:tc>
        <w:tc>
          <w:tcPr>
            <w:tcW w:w="1257" w:type="pct"/>
            <w:gridSpan w:val="3"/>
            <w:tcBorders>
              <w:top w:val="single" w:sz="4" w:space="0" w:color="auto"/>
              <w:left w:val="nil"/>
              <w:bottom w:val="single" w:sz="4" w:space="0" w:color="auto"/>
              <w:right w:val="single" w:sz="4" w:space="0" w:color="auto"/>
            </w:tcBorders>
            <w:shd w:val="clear" w:color="000000" w:fill="153D64"/>
            <w:noWrap/>
            <w:vAlign w:val="bottom"/>
            <w:hideMark/>
          </w:tcPr>
          <w:p w14:paraId="7D3FB015" w14:textId="7D730103" w:rsidR="00B56649" w:rsidRPr="000020F0" w:rsidRDefault="00B56649" w:rsidP="00B56649">
            <w:pPr>
              <w:jc w:val="center"/>
              <w:rPr>
                <w:rFonts w:ascii="Arial" w:hAnsi="Arial" w:cs="Arial"/>
                <w:b/>
                <w:bCs/>
                <w:color w:val="FFFFFF"/>
                <w:sz w:val="20"/>
                <w:szCs w:val="20"/>
              </w:rPr>
            </w:pPr>
            <w:r w:rsidRPr="000020F0">
              <w:rPr>
                <w:rFonts w:ascii="Arial" w:hAnsi="Arial" w:cs="Arial"/>
                <w:b/>
                <w:bCs/>
                <w:color w:val="FFFFFF"/>
                <w:sz w:val="20"/>
                <w:szCs w:val="20"/>
              </w:rPr>
              <w:t>SKUPAJ</w:t>
            </w:r>
          </w:p>
        </w:tc>
        <w:tc>
          <w:tcPr>
            <w:tcW w:w="1258" w:type="pct"/>
            <w:gridSpan w:val="3"/>
            <w:tcBorders>
              <w:top w:val="single" w:sz="4" w:space="0" w:color="auto"/>
              <w:left w:val="nil"/>
              <w:bottom w:val="single" w:sz="4" w:space="0" w:color="auto"/>
              <w:right w:val="single" w:sz="4" w:space="0" w:color="000000"/>
            </w:tcBorders>
            <w:shd w:val="clear" w:color="000000" w:fill="153D64"/>
            <w:noWrap/>
            <w:vAlign w:val="bottom"/>
            <w:hideMark/>
          </w:tcPr>
          <w:p w14:paraId="0F531948" w14:textId="77777777" w:rsidR="00B56649" w:rsidRPr="000020F0" w:rsidRDefault="00B56649">
            <w:pPr>
              <w:jc w:val="center"/>
              <w:rPr>
                <w:rFonts w:ascii="Arial" w:hAnsi="Arial" w:cs="Arial"/>
                <w:b/>
                <w:bCs/>
                <w:color w:val="FFFFFF"/>
                <w:sz w:val="20"/>
                <w:szCs w:val="20"/>
              </w:rPr>
            </w:pPr>
            <w:r w:rsidRPr="000020F0">
              <w:rPr>
                <w:rFonts w:ascii="Arial" w:hAnsi="Arial" w:cs="Arial"/>
                <w:b/>
                <w:bCs/>
                <w:color w:val="FFFFFF"/>
                <w:sz w:val="20"/>
                <w:szCs w:val="20"/>
              </w:rPr>
              <w:t>UPRAVIČENI STROŠKI</w:t>
            </w:r>
          </w:p>
        </w:tc>
      </w:tr>
      <w:tr w:rsidR="00B56649" w:rsidRPr="000020F0" w14:paraId="12721A5D" w14:textId="77777777" w:rsidTr="005E7713">
        <w:trPr>
          <w:trHeight w:val="284"/>
          <w:tblHeader/>
        </w:trPr>
        <w:tc>
          <w:tcPr>
            <w:tcW w:w="642" w:type="pct"/>
            <w:tcBorders>
              <w:top w:val="nil"/>
              <w:left w:val="single" w:sz="4" w:space="0" w:color="auto"/>
              <w:bottom w:val="single" w:sz="4" w:space="0" w:color="auto"/>
              <w:right w:val="single" w:sz="4" w:space="0" w:color="auto"/>
            </w:tcBorders>
            <w:shd w:val="clear" w:color="000000" w:fill="153D64"/>
            <w:vAlign w:val="bottom"/>
            <w:hideMark/>
          </w:tcPr>
          <w:p w14:paraId="78C3D8F3"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Postavka</w:t>
            </w:r>
          </w:p>
        </w:tc>
        <w:tc>
          <w:tcPr>
            <w:tcW w:w="458" w:type="pct"/>
            <w:tcBorders>
              <w:top w:val="nil"/>
              <w:left w:val="nil"/>
              <w:bottom w:val="single" w:sz="4" w:space="0" w:color="auto"/>
              <w:right w:val="single" w:sz="4" w:space="0" w:color="auto"/>
            </w:tcBorders>
            <w:shd w:val="clear" w:color="000000" w:fill="153D64"/>
            <w:noWrap/>
            <w:vAlign w:val="bottom"/>
            <w:hideMark/>
          </w:tcPr>
          <w:p w14:paraId="0C66E3FC"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Vrednost</w:t>
            </w:r>
          </w:p>
        </w:tc>
        <w:tc>
          <w:tcPr>
            <w:tcW w:w="326" w:type="pct"/>
            <w:tcBorders>
              <w:top w:val="nil"/>
              <w:left w:val="nil"/>
              <w:bottom w:val="single" w:sz="4" w:space="0" w:color="auto"/>
              <w:right w:val="single" w:sz="4" w:space="0" w:color="auto"/>
            </w:tcBorders>
            <w:shd w:val="clear" w:color="000000" w:fill="153D64"/>
            <w:noWrap/>
            <w:vAlign w:val="bottom"/>
            <w:hideMark/>
          </w:tcPr>
          <w:p w14:paraId="6244EEC5"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Delež</w:t>
            </w:r>
          </w:p>
        </w:tc>
        <w:tc>
          <w:tcPr>
            <w:tcW w:w="481" w:type="pct"/>
            <w:tcBorders>
              <w:top w:val="nil"/>
              <w:left w:val="nil"/>
              <w:bottom w:val="single" w:sz="4" w:space="0" w:color="auto"/>
              <w:right w:val="single" w:sz="4" w:space="0" w:color="auto"/>
            </w:tcBorders>
            <w:shd w:val="clear" w:color="000000" w:fill="153D64"/>
            <w:vAlign w:val="bottom"/>
            <w:hideMark/>
          </w:tcPr>
          <w:p w14:paraId="0988EC90"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UPRAVIČENI STROŠKI</w:t>
            </w:r>
          </w:p>
        </w:tc>
        <w:tc>
          <w:tcPr>
            <w:tcW w:w="579" w:type="pct"/>
            <w:tcBorders>
              <w:top w:val="nil"/>
              <w:left w:val="nil"/>
              <w:bottom w:val="single" w:sz="4" w:space="0" w:color="auto"/>
              <w:right w:val="single" w:sz="4" w:space="0" w:color="auto"/>
            </w:tcBorders>
            <w:shd w:val="clear" w:color="000000" w:fill="153D64"/>
            <w:vAlign w:val="bottom"/>
            <w:hideMark/>
          </w:tcPr>
          <w:p w14:paraId="64E8007D"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NEUPRAVIČENI STROŠKI</w:t>
            </w:r>
          </w:p>
        </w:tc>
        <w:tc>
          <w:tcPr>
            <w:tcW w:w="458" w:type="pct"/>
            <w:tcBorders>
              <w:top w:val="nil"/>
              <w:left w:val="single" w:sz="4" w:space="0" w:color="auto"/>
              <w:bottom w:val="single" w:sz="4" w:space="0" w:color="auto"/>
              <w:right w:val="single" w:sz="4" w:space="0" w:color="auto"/>
            </w:tcBorders>
            <w:shd w:val="clear" w:color="000000" w:fill="153D64"/>
            <w:noWrap/>
            <w:vAlign w:val="bottom"/>
            <w:hideMark/>
          </w:tcPr>
          <w:p w14:paraId="3367B3BF"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1</w:t>
            </w:r>
          </w:p>
        </w:tc>
        <w:tc>
          <w:tcPr>
            <w:tcW w:w="400" w:type="pct"/>
            <w:tcBorders>
              <w:top w:val="nil"/>
              <w:left w:val="nil"/>
              <w:bottom w:val="single" w:sz="4" w:space="0" w:color="auto"/>
              <w:right w:val="single" w:sz="4" w:space="0" w:color="auto"/>
            </w:tcBorders>
            <w:shd w:val="clear" w:color="000000" w:fill="153D64"/>
            <w:noWrap/>
            <w:vAlign w:val="bottom"/>
            <w:hideMark/>
          </w:tcPr>
          <w:p w14:paraId="2C67754A"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2</w:t>
            </w:r>
          </w:p>
        </w:tc>
        <w:tc>
          <w:tcPr>
            <w:tcW w:w="400" w:type="pct"/>
            <w:tcBorders>
              <w:top w:val="nil"/>
              <w:left w:val="nil"/>
              <w:bottom w:val="single" w:sz="4" w:space="0" w:color="auto"/>
              <w:right w:val="single" w:sz="4" w:space="0" w:color="auto"/>
            </w:tcBorders>
            <w:shd w:val="clear" w:color="000000" w:fill="153D64"/>
            <w:noWrap/>
            <w:vAlign w:val="bottom"/>
            <w:hideMark/>
          </w:tcPr>
          <w:p w14:paraId="180B55A0"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4</w:t>
            </w:r>
          </w:p>
        </w:tc>
        <w:tc>
          <w:tcPr>
            <w:tcW w:w="458" w:type="pct"/>
            <w:tcBorders>
              <w:top w:val="nil"/>
              <w:left w:val="nil"/>
              <w:bottom w:val="single" w:sz="4" w:space="0" w:color="auto"/>
              <w:right w:val="single" w:sz="4" w:space="0" w:color="auto"/>
            </w:tcBorders>
            <w:shd w:val="clear" w:color="000000" w:fill="153D64"/>
            <w:noWrap/>
            <w:vAlign w:val="bottom"/>
            <w:hideMark/>
          </w:tcPr>
          <w:p w14:paraId="05E0A861"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1</w:t>
            </w:r>
          </w:p>
        </w:tc>
        <w:tc>
          <w:tcPr>
            <w:tcW w:w="400" w:type="pct"/>
            <w:tcBorders>
              <w:top w:val="nil"/>
              <w:left w:val="nil"/>
              <w:bottom w:val="single" w:sz="4" w:space="0" w:color="auto"/>
              <w:right w:val="single" w:sz="4" w:space="0" w:color="auto"/>
            </w:tcBorders>
            <w:shd w:val="clear" w:color="000000" w:fill="153D64"/>
            <w:noWrap/>
            <w:vAlign w:val="bottom"/>
            <w:hideMark/>
          </w:tcPr>
          <w:p w14:paraId="16A84F22"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2</w:t>
            </w:r>
          </w:p>
        </w:tc>
        <w:tc>
          <w:tcPr>
            <w:tcW w:w="400" w:type="pct"/>
            <w:tcBorders>
              <w:top w:val="nil"/>
              <w:left w:val="nil"/>
              <w:bottom w:val="single" w:sz="4" w:space="0" w:color="auto"/>
              <w:right w:val="single" w:sz="4" w:space="0" w:color="auto"/>
            </w:tcBorders>
            <w:shd w:val="clear" w:color="000000" w:fill="153D64"/>
            <w:noWrap/>
            <w:vAlign w:val="bottom"/>
            <w:hideMark/>
          </w:tcPr>
          <w:p w14:paraId="51F0802D" w14:textId="77777777" w:rsidR="00B56649" w:rsidRPr="000020F0" w:rsidRDefault="00B56649">
            <w:pPr>
              <w:rPr>
                <w:rFonts w:ascii="Arial" w:hAnsi="Arial" w:cs="Arial"/>
                <w:b/>
                <w:bCs/>
                <w:color w:val="FFFFFF"/>
                <w:sz w:val="20"/>
                <w:szCs w:val="20"/>
              </w:rPr>
            </w:pPr>
            <w:r w:rsidRPr="000020F0">
              <w:rPr>
                <w:rFonts w:ascii="Arial" w:hAnsi="Arial" w:cs="Arial"/>
                <w:b/>
                <w:bCs/>
                <w:color w:val="FFFFFF"/>
                <w:sz w:val="20"/>
                <w:szCs w:val="20"/>
              </w:rPr>
              <w:t>UKREP 4</w:t>
            </w:r>
          </w:p>
        </w:tc>
      </w:tr>
      <w:tr w:rsidR="00F36883" w:rsidRPr="000020F0" w14:paraId="6E3802CF"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3E6A175C" w14:textId="57CAEB1F"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Govekarjeva cesta</w:t>
            </w:r>
          </w:p>
        </w:tc>
        <w:tc>
          <w:tcPr>
            <w:tcW w:w="458" w:type="pct"/>
            <w:tcBorders>
              <w:top w:val="nil"/>
              <w:left w:val="nil"/>
              <w:bottom w:val="single" w:sz="4" w:space="0" w:color="auto"/>
              <w:right w:val="single" w:sz="4" w:space="0" w:color="auto"/>
            </w:tcBorders>
            <w:noWrap/>
            <w:vAlign w:val="bottom"/>
            <w:hideMark/>
          </w:tcPr>
          <w:p w14:paraId="070EF965" w14:textId="6CCBD55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895.239,34</w:t>
            </w:r>
          </w:p>
        </w:tc>
        <w:tc>
          <w:tcPr>
            <w:tcW w:w="326" w:type="pct"/>
            <w:tcBorders>
              <w:top w:val="nil"/>
              <w:left w:val="nil"/>
              <w:bottom w:val="single" w:sz="4" w:space="0" w:color="auto"/>
              <w:right w:val="single" w:sz="4" w:space="0" w:color="auto"/>
            </w:tcBorders>
            <w:noWrap/>
            <w:vAlign w:val="bottom"/>
            <w:hideMark/>
          </w:tcPr>
          <w:p w14:paraId="64824A6A" w14:textId="100F218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26,44%</w:t>
            </w:r>
          </w:p>
        </w:tc>
        <w:tc>
          <w:tcPr>
            <w:tcW w:w="481" w:type="pct"/>
            <w:tcBorders>
              <w:top w:val="nil"/>
              <w:left w:val="nil"/>
              <w:bottom w:val="single" w:sz="4" w:space="0" w:color="auto"/>
              <w:right w:val="single" w:sz="4" w:space="0" w:color="auto"/>
            </w:tcBorders>
            <w:noWrap/>
            <w:vAlign w:val="bottom"/>
            <w:hideMark/>
          </w:tcPr>
          <w:p w14:paraId="756DC395" w14:textId="46CA6CD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861.987,34</w:t>
            </w:r>
          </w:p>
        </w:tc>
        <w:tc>
          <w:tcPr>
            <w:tcW w:w="579" w:type="pct"/>
            <w:tcBorders>
              <w:top w:val="nil"/>
              <w:left w:val="nil"/>
              <w:bottom w:val="single" w:sz="4" w:space="0" w:color="auto"/>
              <w:right w:val="single" w:sz="4" w:space="0" w:color="auto"/>
            </w:tcBorders>
            <w:noWrap/>
            <w:vAlign w:val="bottom"/>
            <w:hideMark/>
          </w:tcPr>
          <w:p w14:paraId="0EF52DBB" w14:textId="6CB4ADF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33.252,00</w:t>
            </w:r>
          </w:p>
        </w:tc>
        <w:tc>
          <w:tcPr>
            <w:tcW w:w="458" w:type="pct"/>
            <w:tcBorders>
              <w:top w:val="nil"/>
              <w:left w:val="single" w:sz="4" w:space="0" w:color="auto"/>
              <w:bottom w:val="single" w:sz="4" w:space="0" w:color="auto"/>
              <w:right w:val="single" w:sz="4" w:space="0" w:color="auto"/>
            </w:tcBorders>
            <w:noWrap/>
            <w:vAlign w:val="bottom"/>
            <w:hideMark/>
          </w:tcPr>
          <w:p w14:paraId="6EE8297C" w14:textId="41A0945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914.933,73</w:t>
            </w:r>
          </w:p>
        </w:tc>
        <w:tc>
          <w:tcPr>
            <w:tcW w:w="400" w:type="pct"/>
            <w:tcBorders>
              <w:top w:val="nil"/>
              <w:left w:val="nil"/>
              <w:bottom w:val="single" w:sz="4" w:space="0" w:color="auto"/>
              <w:right w:val="single" w:sz="4" w:space="0" w:color="auto"/>
            </w:tcBorders>
            <w:noWrap/>
            <w:vAlign w:val="bottom"/>
            <w:hideMark/>
          </w:tcPr>
          <w:p w14:paraId="5B8C6FFC" w14:textId="65154C2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5B0ECCA" w14:textId="5E8EADB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5F78DDD8" w14:textId="19C09F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861.987,34</w:t>
            </w:r>
          </w:p>
        </w:tc>
        <w:tc>
          <w:tcPr>
            <w:tcW w:w="400" w:type="pct"/>
            <w:tcBorders>
              <w:top w:val="nil"/>
              <w:left w:val="nil"/>
              <w:bottom w:val="single" w:sz="4" w:space="0" w:color="auto"/>
              <w:right w:val="single" w:sz="4" w:space="0" w:color="auto"/>
            </w:tcBorders>
            <w:noWrap/>
            <w:vAlign w:val="bottom"/>
            <w:hideMark/>
          </w:tcPr>
          <w:p w14:paraId="3AE386DA" w14:textId="3B97C62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5B93BCD" w14:textId="68858ED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4DB7997F"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75D0A925" w14:textId="71EFDF81"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Troštova ulica</w:t>
            </w:r>
          </w:p>
        </w:tc>
        <w:tc>
          <w:tcPr>
            <w:tcW w:w="458" w:type="pct"/>
            <w:tcBorders>
              <w:top w:val="nil"/>
              <w:left w:val="nil"/>
              <w:bottom w:val="single" w:sz="4" w:space="0" w:color="auto"/>
              <w:right w:val="single" w:sz="4" w:space="0" w:color="auto"/>
            </w:tcBorders>
            <w:noWrap/>
            <w:vAlign w:val="bottom"/>
            <w:hideMark/>
          </w:tcPr>
          <w:p w14:paraId="60F5EAA6" w14:textId="245AA0E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51.078,31</w:t>
            </w:r>
          </w:p>
        </w:tc>
        <w:tc>
          <w:tcPr>
            <w:tcW w:w="326" w:type="pct"/>
            <w:tcBorders>
              <w:top w:val="nil"/>
              <w:left w:val="nil"/>
              <w:bottom w:val="single" w:sz="4" w:space="0" w:color="auto"/>
              <w:right w:val="single" w:sz="4" w:space="0" w:color="auto"/>
            </w:tcBorders>
            <w:noWrap/>
            <w:vAlign w:val="bottom"/>
            <w:hideMark/>
          </w:tcPr>
          <w:p w14:paraId="5537C609" w14:textId="2F894C4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1,51%</w:t>
            </w:r>
          </w:p>
        </w:tc>
        <w:tc>
          <w:tcPr>
            <w:tcW w:w="481" w:type="pct"/>
            <w:tcBorders>
              <w:top w:val="nil"/>
              <w:left w:val="nil"/>
              <w:bottom w:val="single" w:sz="4" w:space="0" w:color="auto"/>
              <w:right w:val="single" w:sz="4" w:space="0" w:color="auto"/>
            </w:tcBorders>
            <w:noWrap/>
            <w:vAlign w:val="bottom"/>
            <w:hideMark/>
          </w:tcPr>
          <w:p w14:paraId="57B5180B" w14:textId="45462D3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51.078,31</w:t>
            </w:r>
          </w:p>
        </w:tc>
        <w:tc>
          <w:tcPr>
            <w:tcW w:w="579" w:type="pct"/>
            <w:tcBorders>
              <w:top w:val="nil"/>
              <w:left w:val="nil"/>
              <w:bottom w:val="single" w:sz="4" w:space="0" w:color="auto"/>
              <w:right w:val="single" w:sz="4" w:space="0" w:color="auto"/>
            </w:tcBorders>
            <w:noWrap/>
            <w:vAlign w:val="bottom"/>
            <w:hideMark/>
          </w:tcPr>
          <w:p w14:paraId="5968307E" w14:textId="7FD3615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0D192B17" w14:textId="5D074BE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52.201,98</w:t>
            </w:r>
          </w:p>
        </w:tc>
        <w:tc>
          <w:tcPr>
            <w:tcW w:w="400" w:type="pct"/>
            <w:tcBorders>
              <w:top w:val="nil"/>
              <w:left w:val="nil"/>
              <w:bottom w:val="single" w:sz="4" w:space="0" w:color="auto"/>
              <w:right w:val="single" w:sz="4" w:space="0" w:color="auto"/>
            </w:tcBorders>
            <w:noWrap/>
            <w:vAlign w:val="bottom"/>
            <w:hideMark/>
          </w:tcPr>
          <w:p w14:paraId="1996D89D" w14:textId="67B552F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B00CEE9" w14:textId="55F0A30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790E8C3E" w14:textId="41D4A4C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51.078,31</w:t>
            </w:r>
          </w:p>
        </w:tc>
        <w:tc>
          <w:tcPr>
            <w:tcW w:w="400" w:type="pct"/>
            <w:tcBorders>
              <w:top w:val="nil"/>
              <w:left w:val="nil"/>
              <w:bottom w:val="single" w:sz="4" w:space="0" w:color="auto"/>
              <w:right w:val="single" w:sz="4" w:space="0" w:color="auto"/>
            </w:tcBorders>
            <w:noWrap/>
            <w:vAlign w:val="bottom"/>
            <w:hideMark/>
          </w:tcPr>
          <w:p w14:paraId="3E27314B" w14:textId="4BB2395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09ACD03" w14:textId="32CDEB9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5E5421F5"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178879D4" w14:textId="50FB503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458" w:type="pct"/>
            <w:tcBorders>
              <w:top w:val="nil"/>
              <w:left w:val="nil"/>
              <w:bottom w:val="single" w:sz="4" w:space="0" w:color="auto"/>
              <w:right w:val="single" w:sz="4" w:space="0" w:color="auto"/>
            </w:tcBorders>
            <w:noWrap/>
            <w:vAlign w:val="bottom"/>
            <w:hideMark/>
          </w:tcPr>
          <w:p w14:paraId="69B66D0A" w14:textId="214DE28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62.607,72</w:t>
            </w:r>
          </w:p>
        </w:tc>
        <w:tc>
          <w:tcPr>
            <w:tcW w:w="326" w:type="pct"/>
            <w:tcBorders>
              <w:top w:val="nil"/>
              <w:left w:val="nil"/>
              <w:bottom w:val="single" w:sz="4" w:space="0" w:color="auto"/>
              <w:right w:val="single" w:sz="4" w:space="0" w:color="auto"/>
            </w:tcBorders>
            <w:noWrap/>
            <w:vAlign w:val="bottom"/>
            <w:hideMark/>
          </w:tcPr>
          <w:p w14:paraId="16820D39" w14:textId="227EED8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1,85%</w:t>
            </w:r>
          </w:p>
        </w:tc>
        <w:tc>
          <w:tcPr>
            <w:tcW w:w="481" w:type="pct"/>
            <w:tcBorders>
              <w:top w:val="nil"/>
              <w:left w:val="nil"/>
              <w:bottom w:val="single" w:sz="4" w:space="0" w:color="auto"/>
              <w:right w:val="single" w:sz="4" w:space="0" w:color="auto"/>
            </w:tcBorders>
            <w:noWrap/>
            <w:vAlign w:val="bottom"/>
            <w:hideMark/>
          </w:tcPr>
          <w:p w14:paraId="16420F76" w14:textId="0509E9D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62.607,72</w:t>
            </w:r>
          </w:p>
        </w:tc>
        <w:tc>
          <w:tcPr>
            <w:tcW w:w="579" w:type="pct"/>
            <w:tcBorders>
              <w:top w:val="nil"/>
              <w:left w:val="nil"/>
              <w:bottom w:val="single" w:sz="4" w:space="0" w:color="auto"/>
              <w:right w:val="single" w:sz="4" w:space="0" w:color="auto"/>
            </w:tcBorders>
            <w:noWrap/>
            <w:vAlign w:val="bottom"/>
            <w:hideMark/>
          </w:tcPr>
          <w:p w14:paraId="7F57EDD7" w14:textId="5431A5D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6B4C5859" w14:textId="07CCB82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63.985,03</w:t>
            </w:r>
          </w:p>
        </w:tc>
        <w:tc>
          <w:tcPr>
            <w:tcW w:w="400" w:type="pct"/>
            <w:tcBorders>
              <w:top w:val="nil"/>
              <w:left w:val="nil"/>
              <w:bottom w:val="single" w:sz="4" w:space="0" w:color="auto"/>
              <w:right w:val="single" w:sz="4" w:space="0" w:color="auto"/>
            </w:tcBorders>
            <w:noWrap/>
            <w:vAlign w:val="bottom"/>
            <w:hideMark/>
          </w:tcPr>
          <w:p w14:paraId="6AE64949" w14:textId="37D17F6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F967892" w14:textId="5DB0D68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6A9C470A" w14:textId="1FFF4A7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62.607,72</w:t>
            </w:r>
          </w:p>
        </w:tc>
        <w:tc>
          <w:tcPr>
            <w:tcW w:w="400" w:type="pct"/>
            <w:tcBorders>
              <w:top w:val="nil"/>
              <w:left w:val="nil"/>
              <w:bottom w:val="single" w:sz="4" w:space="0" w:color="auto"/>
              <w:right w:val="single" w:sz="4" w:space="0" w:color="auto"/>
            </w:tcBorders>
            <w:noWrap/>
            <w:vAlign w:val="bottom"/>
            <w:hideMark/>
          </w:tcPr>
          <w:p w14:paraId="085E27D9" w14:textId="5DDE6B7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F2B61D0" w14:textId="62D0129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0055B1C8"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5CA79316" w14:textId="1D161FDB"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458" w:type="pct"/>
            <w:tcBorders>
              <w:top w:val="nil"/>
              <w:left w:val="nil"/>
              <w:bottom w:val="single" w:sz="4" w:space="0" w:color="auto"/>
              <w:right w:val="single" w:sz="4" w:space="0" w:color="auto"/>
            </w:tcBorders>
            <w:noWrap/>
            <w:vAlign w:val="bottom"/>
            <w:hideMark/>
          </w:tcPr>
          <w:p w14:paraId="23C2A017" w14:textId="0F173C9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43.381,22</w:t>
            </w:r>
          </w:p>
        </w:tc>
        <w:tc>
          <w:tcPr>
            <w:tcW w:w="326" w:type="pct"/>
            <w:tcBorders>
              <w:top w:val="nil"/>
              <w:left w:val="nil"/>
              <w:bottom w:val="single" w:sz="4" w:space="0" w:color="auto"/>
              <w:right w:val="single" w:sz="4" w:space="0" w:color="auto"/>
            </w:tcBorders>
            <w:noWrap/>
            <w:vAlign w:val="bottom"/>
            <w:hideMark/>
          </w:tcPr>
          <w:p w14:paraId="7C8457D0" w14:textId="51D57C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1,28%</w:t>
            </w:r>
          </w:p>
        </w:tc>
        <w:tc>
          <w:tcPr>
            <w:tcW w:w="481" w:type="pct"/>
            <w:tcBorders>
              <w:top w:val="nil"/>
              <w:left w:val="nil"/>
              <w:bottom w:val="single" w:sz="4" w:space="0" w:color="auto"/>
              <w:right w:val="single" w:sz="4" w:space="0" w:color="auto"/>
            </w:tcBorders>
            <w:noWrap/>
            <w:vAlign w:val="bottom"/>
            <w:hideMark/>
          </w:tcPr>
          <w:p w14:paraId="7C29AF02" w14:textId="1C1C30F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43.381,22</w:t>
            </w:r>
          </w:p>
        </w:tc>
        <w:tc>
          <w:tcPr>
            <w:tcW w:w="579" w:type="pct"/>
            <w:tcBorders>
              <w:top w:val="nil"/>
              <w:left w:val="nil"/>
              <w:bottom w:val="single" w:sz="4" w:space="0" w:color="auto"/>
              <w:right w:val="single" w:sz="4" w:space="0" w:color="auto"/>
            </w:tcBorders>
            <w:noWrap/>
            <w:vAlign w:val="bottom"/>
            <w:hideMark/>
          </w:tcPr>
          <w:p w14:paraId="662BE805" w14:textId="28ECC1E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D70F13E" w14:textId="7CA9B7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0E3A0CE" w14:textId="63C9147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79CCB0A" w14:textId="205427E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44.335,57</w:t>
            </w:r>
          </w:p>
        </w:tc>
        <w:tc>
          <w:tcPr>
            <w:tcW w:w="458" w:type="pct"/>
            <w:tcBorders>
              <w:top w:val="nil"/>
              <w:left w:val="nil"/>
              <w:bottom w:val="single" w:sz="4" w:space="0" w:color="auto"/>
              <w:right w:val="single" w:sz="4" w:space="0" w:color="auto"/>
            </w:tcBorders>
            <w:noWrap/>
            <w:vAlign w:val="bottom"/>
            <w:hideMark/>
          </w:tcPr>
          <w:p w14:paraId="45260E0F" w14:textId="4B8CCA6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FF61D9B" w14:textId="7A2E26C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FDA9A12" w14:textId="43DE4B2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43.381,22</w:t>
            </w:r>
          </w:p>
        </w:tc>
      </w:tr>
      <w:tr w:rsidR="00F36883" w:rsidRPr="000020F0" w14:paraId="35D140A3"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72920844" w14:textId="01C90223"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458" w:type="pct"/>
            <w:tcBorders>
              <w:top w:val="nil"/>
              <w:left w:val="nil"/>
              <w:bottom w:val="single" w:sz="4" w:space="0" w:color="auto"/>
              <w:right w:val="single" w:sz="4" w:space="0" w:color="auto"/>
            </w:tcBorders>
            <w:noWrap/>
            <w:vAlign w:val="bottom"/>
            <w:hideMark/>
          </w:tcPr>
          <w:p w14:paraId="675404E6" w14:textId="5FE0498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14.050,12</w:t>
            </w:r>
          </w:p>
        </w:tc>
        <w:tc>
          <w:tcPr>
            <w:tcW w:w="326" w:type="pct"/>
            <w:tcBorders>
              <w:top w:val="nil"/>
              <w:left w:val="nil"/>
              <w:bottom w:val="single" w:sz="4" w:space="0" w:color="auto"/>
              <w:right w:val="single" w:sz="4" w:space="0" w:color="auto"/>
            </w:tcBorders>
            <w:noWrap/>
            <w:vAlign w:val="bottom"/>
            <w:hideMark/>
          </w:tcPr>
          <w:p w14:paraId="1D4CDEDF" w14:textId="5BAB024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0,41%</w:t>
            </w:r>
          </w:p>
        </w:tc>
        <w:tc>
          <w:tcPr>
            <w:tcW w:w="481" w:type="pct"/>
            <w:tcBorders>
              <w:top w:val="nil"/>
              <w:left w:val="nil"/>
              <w:bottom w:val="single" w:sz="4" w:space="0" w:color="auto"/>
              <w:right w:val="single" w:sz="4" w:space="0" w:color="auto"/>
            </w:tcBorders>
            <w:noWrap/>
            <w:vAlign w:val="bottom"/>
            <w:hideMark/>
          </w:tcPr>
          <w:p w14:paraId="290ED965" w14:textId="18EB357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14.050,12</w:t>
            </w:r>
          </w:p>
        </w:tc>
        <w:tc>
          <w:tcPr>
            <w:tcW w:w="579" w:type="pct"/>
            <w:tcBorders>
              <w:top w:val="nil"/>
              <w:left w:val="nil"/>
              <w:bottom w:val="single" w:sz="4" w:space="0" w:color="auto"/>
              <w:right w:val="single" w:sz="4" w:space="0" w:color="auto"/>
            </w:tcBorders>
            <w:noWrap/>
            <w:vAlign w:val="bottom"/>
            <w:hideMark/>
          </w:tcPr>
          <w:p w14:paraId="39B6BD00" w14:textId="1F81A3E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27D8384" w14:textId="0CAB56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42B229E" w14:textId="0B511B3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5DBBBB3" w14:textId="1D1C390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14.050,12</w:t>
            </w:r>
          </w:p>
        </w:tc>
        <w:tc>
          <w:tcPr>
            <w:tcW w:w="458" w:type="pct"/>
            <w:tcBorders>
              <w:top w:val="nil"/>
              <w:left w:val="nil"/>
              <w:bottom w:val="single" w:sz="4" w:space="0" w:color="auto"/>
              <w:right w:val="single" w:sz="4" w:space="0" w:color="auto"/>
            </w:tcBorders>
            <w:noWrap/>
            <w:vAlign w:val="bottom"/>
            <w:hideMark/>
          </w:tcPr>
          <w:p w14:paraId="69BC939F" w14:textId="3708761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278338D" w14:textId="5EC4BB6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85E5434" w14:textId="401E03F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14.050,12</w:t>
            </w:r>
          </w:p>
        </w:tc>
      </w:tr>
      <w:tr w:rsidR="00F36883" w:rsidRPr="000020F0" w14:paraId="0D4D0761"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37A96D5B" w14:textId="7DEB4E7C"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458" w:type="pct"/>
            <w:tcBorders>
              <w:top w:val="nil"/>
              <w:left w:val="nil"/>
              <w:bottom w:val="single" w:sz="4" w:space="0" w:color="auto"/>
              <w:right w:val="single" w:sz="4" w:space="0" w:color="auto"/>
            </w:tcBorders>
            <w:noWrap/>
            <w:vAlign w:val="bottom"/>
            <w:hideMark/>
          </w:tcPr>
          <w:p w14:paraId="79D5021D" w14:textId="13AE371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c>
          <w:tcPr>
            <w:tcW w:w="326" w:type="pct"/>
            <w:tcBorders>
              <w:top w:val="nil"/>
              <w:left w:val="nil"/>
              <w:bottom w:val="single" w:sz="4" w:space="0" w:color="auto"/>
              <w:right w:val="single" w:sz="4" w:space="0" w:color="auto"/>
            </w:tcBorders>
            <w:noWrap/>
            <w:vAlign w:val="bottom"/>
            <w:hideMark/>
          </w:tcPr>
          <w:p w14:paraId="7BBF0C5E" w14:textId="1F3507F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81" w:type="pct"/>
            <w:tcBorders>
              <w:top w:val="nil"/>
              <w:left w:val="nil"/>
              <w:bottom w:val="single" w:sz="4" w:space="0" w:color="auto"/>
              <w:right w:val="single" w:sz="4" w:space="0" w:color="auto"/>
            </w:tcBorders>
            <w:noWrap/>
            <w:vAlign w:val="bottom"/>
            <w:hideMark/>
          </w:tcPr>
          <w:p w14:paraId="6B4A5979" w14:textId="49BAAB9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c>
          <w:tcPr>
            <w:tcW w:w="579" w:type="pct"/>
            <w:tcBorders>
              <w:top w:val="nil"/>
              <w:left w:val="nil"/>
              <w:bottom w:val="single" w:sz="4" w:space="0" w:color="auto"/>
              <w:right w:val="single" w:sz="4" w:space="0" w:color="auto"/>
            </w:tcBorders>
            <w:noWrap/>
            <w:vAlign w:val="bottom"/>
            <w:hideMark/>
          </w:tcPr>
          <w:p w14:paraId="1E576361" w14:textId="5D22128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198C53C9" w14:textId="7D42C4E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7770DCD" w14:textId="6B7372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6D594BC2" w14:textId="1F75B72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10.174,58</w:t>
            </w:r>
          </w:p>
        </w:tc>
        <w:tc>
          <w:tcPr>
            <w:tcW w:w="458" w:type="pct"/>
            <w:tcBorders>
              <w:top w:val="nil"/>
              <w:left w:val="nil"/>
              <w:bottom w:val="single" w:sz="4" w:space="0" w:color="auto"/>
              <w:right w:val="single" w:sz="4" w:space="0" w:color="auto"/>
            </w:tcBorders>
            <w:noWrap/>
            <w:vAlign w:val="bottom"/>
            <w:hideMark/>
          </w:tcPr>
          <w:p w14:paraId="15BC4CF6" w14:textId="7414FFA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3E13A07" w14:textId="11C76A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27C1562" w14:textId="56ADCCD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r>
      <w:tr w:rsidR="00F36883" w:rsidRPr="000020F0" w14:paraId="6AFFB0F2"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5F20BF3F" w14:textId="7F7A5D6E"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458" w:type="pct"/>
            <w:tcBorders>
              <w:top w:val="nil"/>
              <w:left w:val="nil"/>
              <w:bottom w:val="single" w:sz="4" w:space="0" w:color="auto"/>
              <w:right w:val="single" w:sz="4" w:space="0" w:color="auto"/>
            </w:tcBorders>
            <w:noWrap/>
            <w:vAlign w:val="bottom"/>
            <w:hideMark/>
          </w:tcPr>
          <w:p w14:paraId="0655B7C5" w14:textId="2DCEEEE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c>
          <w:tcPr>
            <w:tcW w:w="326" w:type="pct"/>
            <w:tcBorders>
              <w:top w:val="nil"/>
              <w:left w:val="nil"/>
              <w:bottom w:val="single" w:sz="4" w:space="0" w:color="auto"/>
              <w:right w:val="single" w:sz="4" w:space="0" w:color="auto"/>
            </w:tcBorders>
            <w:noWrap/>
            <w:vAlign w:val="bottom"/>
            <w:hideMark/>
          </w:tcPr>
          <w:p w14:paraId="2177B8EA" w14:textId="6227F41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81" w:type="pct"/>
            <w:tcBorders>
              <w:top w:val="nil"/>
              <w:left w:val="nil"/>
              <w:bottom w:val="single" w:sz="4" w:space="0" w:color="auto"/>
              <w:right w:val="single" w:sz="4" w:space="0" w:color="auto"/>
            </w:tcBorders>
            <w:noWrap/>
            <w:vAlign w:val="bottom"/>
            <w:hideMark/>
          </w:tcPr>
          <w:p w14:paraId="08FDB344" w14:textId="5044471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c>
          <w:tcPr>
            <w:tcW w:w="579" w:type="pct"/>
            <w:tcBorders>
              <w:top w:val="nil"/>
              <w:left w:val="nil"/>
              <w:bottom w:val="single" w:sz="4" w:space="0" w:color="auto"/>
              <w:right w:val="single" w:sz="4" w:space="0" w:color="auto"/>
            </w:tcBorders>
            <w:noWrap/>
            <w:vAlign w:val="bottom"/>
            <w:hideMark/>
          </w:tcPr>
          <w:p w14:paraId="07D2EB68" w14:textId="1AB732D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419DB4FF" w14:textId="13CCAAE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A3567A9" w14:textId="749B568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DD6B41B" w14:textId="5543A59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10.174,58</w:t>
            </w:r>
          </w:p>
        </w:tc>
        <w:tc>
          <w:tcPr>
            <w:tcW w:w="458" w:type="pct"/>
            <w:tcBorders>
              <w:top w:val="nil"/>
              <w:left w:val="nil"/>
              <w:bottom w:val="single" w:sz="4" w:space="0" w:color="auto"/>
              <w:right w:val="single" w:sz="4" w:space="0" w:color="auto"/>
            </w:tcBorders>
            <w:noWrap/>
            <w:vAlign w:val="bottom"/>
            <w:hideMark/>
          </w:tcPr>
          <w:p w14:paraId="40C8575C" w14:textId="6914D47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60CC3F4F" w14:textId="156BB8E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6A5A034" w14:textId="28A5A9D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9.955,57</w:t>
            </w:r>
          </w:p>
        </w:tc>
      </w:tr>
      <w:tr w:rsidR="00F36883" w:rsidRPr="000020F0" w14:paraId="572FF435"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6E342DBF" w14:textId="0F0E839D"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lastRenderedPageBreak/>
              <w:t>Parkirišča za kolesa - trg (kolesarnica)</w:t>
            </w:r>
          </w:p>
        </w:tc>
        <w:tc>
          <w:tcPr>
            <w:tcW w:w="458" w:type="pct"/>
            <w:tcBorders>
              <w:top w:val="nil"/>
              <w:left w:val="nil"/>
              <w:bottom w:val="single" w:sz="4" w:space="0" w:color="auto"/>
              <w:right w:val="single" w:sz="4" w:space="0" w:color="auto"/>
            </w:tcBorders>
            <w:noWrap/>
            <w:vAlign w:val="bottom"/>
            <w:hideMark/>
          </w:tcPr>
          <w:p w14:paraId="62CBDFB6" w14:textId="317214A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71.385,08</w:t>
            </w:r>
          </w:p>
        </w:tc>
        <w:tc>
          <w:tcPr>
            <w:tcW w:w="326" w:type="pct"/>
            <w:tcBorders>
              <w:top w:val="nil"/>
              <w:left w:val="nil"/>
              <w:bottom w:val="single" w:sz="4" w:space="0" w:color="auto"/>
              <w:right w:val="single" w:sz="4" w:space="0" w:color="auto"/>
            </w:tcBorders>
            <w:noWrap/>
            <w:vAlign w:val="bottom"/>
            <w:hideMark/>
          </w:tcPr>
          <w:p w14:paraId="4252358A" w14:textId="6240A9A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2,11%</w:t>
            </w:r>
          </w:p>
        </w:tc>
        <w:tc>
          <w:tcPr>
            <w:tcW w:w="481" w:type="pct"/>
            <w:tcBorders>
              <w:top w:val="nil"/>
              <w:left w:val="nil"/>
              <w:bottom w:val="single" w:sz="4" w:space="0" w:color="auto"/>
              <w:right w:val="single" w:sz="4" w:space="0" w:color="auto"/>
            </w:tcBorders>
            <w:noWrap/>
            <w:vAlign w:val="bottom"/>
            <w:hideMark/>
          </w:tcPr>
          <w:p w14:paraId="66DCC29A" w14:textId="3FF34D5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71.385,08</w:t>
            </w:r>
          </w:p>
        </w:tc>
        <w:tc>
          <w:tcPr>
            <w:tcW w:w="579" w:type="pct"/>
            <w:tcBorders>
              <w:top w:val="nil"/>
              <w:left w:val="nil"/>
              <w:bottom w:val="single" w:sz="4" w:space="0" w:color="auto"/>
              <w:right w:val="single" w:sz="4" w:space="0" w:color="auto"/>
            </w:tcBorders>
            <w:noWrap/>
            <w:vAlign w:val="bottom"/>
            <w:hideMark/>
          </w:tcPr>
          <w:p w14:paraId="3E22751F" w14:textId="36A4A52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4AF404AC" w14:textId="683D9F4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E640F3B" w14:textId="62490ED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FA90E9F" w14:textId="3863799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72.955,48</w:t>
            </w:r>
          </w:p>
        </w:tc>
        <w:tc>
          <w:tcPr>
            <w:tcW w:w="458" w:type="pct"/>
            <w:tcBorders>
              <w:top w:val="nil"/>
              <w:left w:val="nil"/>
              <w:bottom w:val="single" w:sz="4" w:space="0" w:color="auto"/>
              <w:right w:val="single" w:sz="4" w:space="0" w:color="auto"/>
            </w:tcBorders>
            <w:noWrap/>
            <w:vAlign w:val="bottom"/>
            <w:hideMark/>
          </w:tcPr>
          <w:p w14:paraId="03A2A87B" w14:textId="4AE8FE4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2262B70" w14:textId="43D3C4F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D5D165E" w14:textId="5F3C9C1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71.385,08</w:t>
            </w:r>
          </w:p>
        </w:tc>
      </w:tr>
      <w:tr w:rsidR="00F36883" w:rsidRPr="000020F0" w14:paraId="60A08F98"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65B869D9" w14:textId="1D83B138"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458" w:type="pct"/>
            <w:tcBorders>
              <w:top w:val="nil"/>
              <w:left w:val="nil"/>
              <w:bottom w:val="single" w:sz="4" w:space="0" w:color="auto"/>
              <w:right w:val="single" w:sz="4" w:space="0" w:color="auto"/>
            </w:tcBorders>
            <w:noWrap/>
            <w:vAlign w:val="bottom"/>
            <w:hideMark/>
          </w:tcPr>
          <w:p w14:paraId="6EC18671" w14:textId="4435799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9.955,58</w:t>
            </w:r>
          </w:p>
        </w:tc>
        <w:tc>
          <w:tcPr>
            <w:tcW w:w="326" w:type="pct"/>
            <w:tcBorders>
              <w:top w:val="nil"/>
              <w:left w:val="nil"/>
              <w:bottom w:val="single" w:sz="4" w:space="0" w:color="auto"/>
              <w:right w:val="single" w:sz="4" w:space="0" w:color="auto"/>
            </w:tcBorders>
            <w:noWrap/>
            <w:vAlign w:val="bottom"/>
            <w:hideMark/>
          </w:tcPr>
          <w:p w14:paraId="114F8A60" w14:textId="279841D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0,29%</w:t>
            </w:r>
          </w:p>
        </w:tc>
        <w:tc>
          <w:tcPr>
            <w:tcW w:w="481" w:type="pct"/>
            <w:tcBorders>
              <w:top w:val="nil"/>
              <w:left w:val="nil"/>
              <w:bottom w:val="single" w:sz="4" w:space="0" w:color="auto"/>
              <w:right w:val="single" w:sz="4" w:space="0" w:color="auto"/>
            </w:tcBorders>
            <w:noWrap/>
            <w:vAlign w:val="bottom"/>
            <w:hideMark/>
          </w:tcPr>
          <w:p w14:paraId="337C38F4" w14:textId="4D0B280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9.955,58</w:t>
            </w:r>
          </w:p>
        </w:tc>
        <w:tc>
          <w:tcPr>
            <w:tcW w:w="579" w:type="pct"/>
            <w:tcBorders>
              <w:top w:val="nil"/>
              <w:left w:val="nil"/>
              <w:bottom w:val="single" w:sz="4" w:space="0" w:color="auto"/>
              <w:right w:val="single" w:sz="4" w:space="0" w:color="auto"/>
            </w:tcBorders>
            <w:noWrap/>
            <w:vAlign w:val="bottom"/>
            <w:hideMark/>
          </w:tcPr>
          <w:p w14:paraId="3FA1A555" w14:textId="3706081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7508CAA" w14:textId="5B4BA78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83126FB" w14:textId="6A50167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0B14121" w14:textId="7EC8823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10.174,59</w:t>
            </w:r>
          </w:p>
        </w:tc>
        <w:tc>
          <w:tcPr>
            <w:tcW w:w="458" w:type="pct"/>
            <w:tcBorders>
              <w:top w:val="nil"/>
              <w:left w:val="nil"/>
              <w:bottom w:val="single" w:sz="4" w:space="0" w:color="auto"/>
              <w:right w:val="single" w:sz="4" w:space="0" w:color="auto"/>
            </w:tcBorders>
            <w:noWrap/>
            <w:vAlign w:val="bottom"/>
            <w:hideMark/>
          </w:tcPr>
          <w:p w14:paraId="2B1C4F94" w14:textId="51B4302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825AA45" w14:textId="5E8B1BF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80205AC" w14:textId="71DFA0A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9.955,58</w:t>
            </w:r>
          </w:p>
        </w:tc>
      </w:tr>
      <w:tr w:rsidR="00F36883" w:rsidRPr="000020F0" w14:paraId="524B55CA"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0AB19A95" w14:textId="1266EC63"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Parkirišča za kolesa - park</w:t>
            </w:r>
          </w:p>
        </w:tc>
        <w:tc>
          <w:tcPr>
            <w:tcW w:w="458" w:type="pct"/>
            <w:tcBorders>
              <w:top w:val="nil"/>
              <w:left w:val="nil"/>
              <w:bottom w:val="single" w:sz="4" w:space="0" w:color="auto"/>
              <w:right w:val="single" w:sz="4" w:space="0" w:color="auto"/>
            </w:tcBorders>
            <w:noWrap/>
            <w:vAlign w:val="bottom"/>
            <w:hideMark/>
          </w:tcPr>
          <w:p w14:paraId="5A83E9DE" w14:textId="0B45778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12.709,88</w:t>
            </w:r>
          </w:p>
        </w:tc>
        <w:tc>
          <w:tcPr>
            <w:tcW w:w="326" w:type="pct"/>
            <w:tcBorders>
              <w:top w:val="nil"/>
              <w:left w:val="nil"/>
              <w:bottom w:val="single" w:sz="4" w:space="0" w:color="auto"/>
              <w:right w:val="single" w:sz="4" w:space="0" w:color="auto"/>
            </w:tcBorders>
            <w:noWrap/>
            <w:vAlign w:val="bottom"/>
            <w:hideMark/>
          </w:tcPr>
          <w:p w14:paraId="11AFDC24" w14:textId="596E378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0,38%</w:t>
            </w:r>
          </w:p>
        </w:tc>
        <w:tc>
          <w:tcPr>
            <w:tcW w:w="481" w:type="pct"/>
            <w:tcBorders>
              <w:top w:val="nil"/>
              <w:left w:val="nil"/>
              <w:bottom w:val="single" w:sz="4" w:space="0" w:color="auto"/>
              <w:right w:val="single" w:sz="4" w:space="0" w:color="auto"/>
            </w:tcBorders>
            <w:noWrap/>
            <w:vAlign w:val="bottom"/>
            <w:hideMark/>
          </w:tcPr>
          <w:p w14:paraId="229D1989" w14:textId="19AF3E7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12.709,88</w:t>
            </w:r>
          </w:p>
        </w:tc>
        <w:tc>
          <w:tcPr>
            <w:tcW w:w="579" w:type="pct"/>
            <w:tcBorders>
              <w:top w:val="nil"/>
              <w:left w:val="nil"/>
              <w:bottom w:val="single" w:sz="4" w:space="0" w:color="auto"/>
              <w:right w:val="single" w:sz="4" w:space="0" w:color="auto"/>
            </w:tcBorders>
            <w:noWrap/>
            <w:vAlign w:val="bottom"/>
            <w:hideMark/>
          </w:tcPr>
          <w:p w14:paraId="7FE9690B" w14:textId="66BCC5A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86FC7C1" w14:textId="58F3BC4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34EFB39" w14:textId="6114782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80897D0" w14:textId="33A97E6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12.989,48</w:t>
            </w:r>
          </w:p>
        </w:tc>
        <w:tc>
          <w:tcPr>
            <w:tcW w:w="458" w:type="pct"/>
            <w:tcBorders>
              <w:top w:val="nil"/>
              <w:left w:val="nil"/>
              <w:bottom w:val="single" w:sz="4" w:space="0" w:color="auto"/>
              <w:right w:val="single" w:sz="4" w:space="0" w:color="auto"/>
            </w:tcBorders>
            <w:noWrap/>
            <w:vAlign w:val="bottom"/>
            <w:hideMark/>
          </w:tcPr>
          <w:p w14:paraId="7CB50C28" w14:textId="0925B89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8A055A3" w14:textId="299143C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A0238D6" w14:textId="381EA8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12.709,88</w:t>
            </w:r>
          </w:p>
        </w:tc>
      </w:tr>
      <w:tr w:rsidR="00F36883" w:rsidRPr="000020F0" w14:paraId="6DA6546E" w14:textId="77777777" w:rsidTr="005E7713">
        <w:trPr>
          <w:trHeight w:val="284"/>
        </w:trPr>
        <w:tc>
          <w:tcPr>
            <w:tcW w:w="642" w:type="pct"/>
            <w:tcBorders>
              <w:top w:val="nil"/>
              <w:left w:val="single" w:sz="4" w:space="0" w:color="auto"/>
              <w:bottom w:val="single" w:sz="4" w:space="0" w:color="auto"/>
              <w:right w:val="single" w:sz="4" w:space="0" w:color="auto"/>
            </w:tcBorders>
            <w:vAlign w:val="bottom"/>
          </w:tcPr>
          <w:p w14:paraId="172CE2C5" w14:textId="02DDE6A0" w:rsidR="00F36883" w:rsidRPr="000020F0" w:rsidRDefault="00F36883" w:rsidP="00F36883">
            <w:pPr>
              <w:rPr>
                <w:rFonts w:ascii="Arial" w:hAnsi="Arial" w:cs="Arial"/>
                <w:color w:val="000000"/>
                <w:sz w:val="20"/>
                <w:szCs w:val="20"/>
              </w:rPr>
            </w:pPr>
            <w:r w:rsidRPr="000020F0">
              <w:rPr>
                <w:rFonts w:ascii="Roboto" w:hAnsi="Roboto"/>
                <w:color w:val="000000"/>
                <w:sz w:val="20"/>
                <w:szCs w:val="20"/>
              </w:rPr>
              <w:t>Avtobusno postajališče - nivo ceste</w:t>
            </w:r>
          </w:p>
        </w:tc>
        <w:tc>
          <w:tcPr>
            <w:tcW w:w="458" w:type="pct"/>
            <w:tcBorders>
              <w:top w:val="nil"/>
              <w:left w:val="nil"/>
              <w:bottom w:val="single" w:sz="4" w:space="0" w:color="auto"/>
              <w:right w:val="single" w:sz="4" w:space="0" w:color="auto"/>
            </w:tcBorders>
            <w:noWrap/>
            <w:vAlign w:val="bottom"/>
          </w:tcPr>
          <w:p w14:paraId="30046DCB" w14:textId="2977255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317.561,27</w:t>
            </w:r>
          </w:p>
        </w:tc>
        <w:tc>
          <w:tcPr>
            <w:tcW w:w="326" w:type="pct"/>
            <w:tcBorders>
              <w:top w:val="nil"/>
              <w:left w:val="nil"/>
              <w:bottom w:val="single" w:sz="4" w:space="0" w:color="auto"/>
              <w:right w:val="single" w:sz="4" w:space="0" w:color="auto"/>
            </w:tcBorders>
            <w:noWrap/>
            <w:vAlign w:val="bottom"/>
          </w:tcPr>
          <w:p w14:paraId="34F4D080" w14:textId="08011DF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9,38%</w:t>
            </w:r>
          </w:p>
        </w:tc>
        <w:tc>
          <w:tcPr>
            <w:tcW w:w="481" w:type="pct"/>
            <w:tcBorders>
              <w:top w:val="nil"/>
              <w:left w:val="nil"/>
              <w:bottom w:val="single" w:sz="4" w:space="0" w:color="auto"/>
              <w:right w:val="single" w:sz="4" w:space="0" w:color="auto"/>
            </w:tcBorders>
            <w:noWrap/>
            <w:vAlign w:val="bottom"/>
          </w:tcPr>
          <w:p w14:paraId="2EEF8A7B" w14:textId="0064FC2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317.561,27</w:t>
            </w:r>
          </w:p>
        </w:tc>
        <w:tc>
          <w:tcPr>
            <w:tcW w:w="579" w:type="pct"/>
            <w:tcBorders>
              <w:top w:val="nil"/>
              <w:left w:val="nil"/>
              <w:bottom w:val="single" w:sz="4" w:space="0" w:color="auto"/>
              <w:right w:val="single" w:sz="4" w:space="0" w:color="auto"/>
            </w:tcBorders>
            <w:noWrap/>
            <w:vAlign w:val="bottom"/>
          </w:tcPr>
          <w:p w14:paraId="36A04B34" w14:textId="198B198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tcPr>
          <w:p w14:paraId="3E71DE69" w14:textId="79C8C8D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tcPr>
          <w:p w14:paraId="316E37CA" w14:textId="4D80312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324.547,30</w:t>
            </w:r>
          </w:p>
        </w:tc>
        <w:tc>
          <w:tcPr>
            <w:tcW w:w="400" w:type="pct"/>
            <w:tcBorders>
              <w:top w:val="nil"/>
              <w:left w:val="nil"/>
              <w:bottom w:val="single" w:sz="4" w:space="0" w:color="auto"/>
              <w:right w:val="single" w:sz="4" w:space="0" w:color="auto"/>
            </w:tcBorders>
            <w:noWrap/>
            <w:vAlign w:val="bottom"/>
          </w:tcPr>
          <w:p w14:paraId="6C5F0B75" w14:textId="453F541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tcPr>
          <w:p w14:paraId="154787DC" w14:textId="15558B8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tcPr>
          <w:p w14:paraId="7433BC3D" w14:textId="7739ED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317.561,27</w:t>
            </w:r>
          </w:p>
        </w:tc>
        <w:tc>
          <w:tcPr>
            <w:tcW w:w="400" w:type="pct"/>
            <w:tcBorders>
              <w:top w:val="nil"/>
              <w:left w:val="nil"/>
              <w:bottom w:val="single" w:sz="4" w:space="0" w:color="auto"/>
              <w:right w:val="single" w:sz="4" w:space="0" w:color="auto"/>
            </w:tcBorders>
            <w:noWrap/>
            <w:vAlign w:val="bottom"/>
          </w:tcPr>
          <w:p w14:paraId="7FC96EA3" w14:textId="4DACC9A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410D3FB6"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0C9DEE16" w14:textId="74A076D4" w:rsidR="00F36883" w:rsidRPr="000020F0" w:rsidRDefault="00F36883" w:rsidP="00F36883">
            <w:pPr>
              <w:rPr>
                <w:rFonts w:ascii="Roboto" w:hAnsi="Roboto"/>
                <w:color w:val="000000"/>
                <w:sz w:val="20"/>
                <w:szCs w:val="20"/>
              </w:rPr>
            </w:pPr>
            <w:r w:rsidRPr="000020F0">
              <w:rPr>
                <w:rFonts w:ascii="Roboto" w:hAnsi="Roboto"/>
                <w:color w:val="000000"/>
                <w:sz w:val="20"/>
                <w:szCs w:val="20"/>
              </w:rPr>
              <w:t>Sanitarije</w:t>
            </w:r>
          </w:p>
        </w:tc>
        <w:tc>
          <w:tcPr>
            <w:tcW w:w="458" w:type="pct"/>
            <w:tcBorders>
              <w:top w:val="nil"/>
              <w:left w:val="nil"/>
              <w:bottom w:val="single" w:sz="4" w:space="0" w:color="auto"/>
              <w:right w:val="single" w:sz="4" w:space="0" w:color="auto"/>
            </w:tcBorders>
            <w:noWrap/>
            <w:vAlign w:val="bottom"/>
            <w:hideMark/>
          </w:tcPr>
          <w:p w14:paraId="21C36BF4" w14:textId="534A39D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96.295,88</w:t>
            </w:r>
          </w:p>
        </w:tc>
        <w:tc>
          <w:tcPr>
            <w:tcW w:w="326" w:type="pct"/>
            <w:tcBorders>
              <w:top w:val="nil"/>
              <w:left w:val="nil"/>
              <w:bottom w:val="single" w:sz="4" w:space="0" w:color="auto"/>
              <w:right w:val="single" w:sz="4" w:space="0" w:color="auto"/>
            </w:tcBorders>
            <w:noWrap/>
            <w:vAlign w:val="bottom"/>
            <w:hideMark/>
          </w:tcPr>
          <w:p w14:paraId="61113EB0" w14:textId="6526EF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2,84%</w:t>
            </w:r>
          </w:p>
        </w:tc>
        <w:tc>
          <w:tcPr>
            <w:tcW w:w="481" w:type="pct"/>
            <w:tcBorders>
              <w:top w:val="nil"/>
              <w:left w:val="nil"/>
              <w:bottom w:val="single" w:sz="4" w:space="0" w:color="auto"/>
              <w:right w:val="single" w:sz="4" w:space="0" w:color="auto"/>
            </w:tcBorders>
            <w:noWrap/>
            <w:vAlign w:val="bottom"/>
            <w:hideMark/>
          </w:tcPr>
          <w:p w14:paraId="6D9ED7FA" w14:textId="2860CD2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96.295,88</w:t>
            </w:r>
          </w:p>
        </w:tc>
        <w:tc>
          <w:tcPr>
            <w:tcW w:w="579" w:type="pct"/>
            <w:tcBorders>
              <w:top w:val="nil"/>
              <w:left w:val="nil"/>
              <w:bottom w:val="single" w:sz="4" w:space="0" w:color="auto"/>
              <w:right w:val="single" w:sz="4" w:space="0" w:color="auto"/>
            </w:tcBorders>
            <w:noWrap/>
            <w:vAlign w:val="bottom"/>
            <w:hideMark/>
          </w:tcPr>
          <w:p w14:paraId="01D07D32" w14:textId="4E0694D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65FA5E1" w14:textId="170CCD9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E6B83DB" w14:textId="66688C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96.295,88</w:t>
            </w:r>
          </w:p>
        </w:tc>
        <w:tc>
          <w:tcPr>
            <w:tcW w:w="400" w:type="pct"/>
            <w:tcBorders>
              <w:top w:val="nil"/>
              <w:left w:val="nil"/>
              <w:bottom w:val="single" w:sz="4" w:space="0" w:color="auto"/>
              <w:right w:val="single" w:sz="4" w:space="0" w:color="auto"/>
            </w:tcBorders>
            <w:noWrap/>
            <w:vAlign w:val="bottom"/>
            <w:hideMark/>
          </w:tcPr>
          <w:p w14:paraId="4DAE2E3E" w14:textId="78BDC61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2E30D784" w14:textId="7264216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2C8B860" w14:textId="262DF08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96.295,88</w:t>
            </w:r>
          </w:p>
        </w:tc>
        <w:tc>
          <w:tcPr>
            <w:tcW w:w="400" w:type="pct"/>
            <w:tcBorders>
              <w:top w:val="nil"/>
              <w:left w:val="nil"/>
              <w:bottom w:val="single" w:sz="4" w:space="0" w:color="auto"/>
              <w:right w:val="single" w:sz="4" w:space="0" w:color="auto"/>
            </w:tcBorders>
            <w:noWrap/>
            <w:vAlign w:val="bottom"/>
            <w:hideMark/>
          </w:tcPr>
          <w:p w14:paraId="0955F10D" w14:textId="658EB2E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35F9F1D7"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3452079A" w14:textId="514C8755" w:rsidR="00F36883" w:rsidRPr="000020F0" w:rsidRDefault="00F36883" w:rsidP="00F36883">
            <w:pPr>
              <w:rPr>
                <w:rFonts w:ascii="Roboto" w:hAnsi="Roboto"/>
                <w:color w:val="000000"/>
                <w:sz w:val="20"/>
                <w:szCs w:val="20"/>
              </w:rPr>
            </w:pPr>
            <w:r w:rsidRPr="000020F0">
              <w:rPr>
                <w:rFonts w:ascii="Roboto" w:hAnsi="Roboto"/>
                <w:color w:val="000000"/>
                <w:sz w:val="20"/>
                <w:szCs w:val="20"/>
              </w:rPr>
              <w:t>Avtobusno postajališče - nadstrešnica</w:t>
            </w:r>
          </w:p>
        </w:tc>
        <w:tc>
          <w:tcPr>
            <w:tcW w:w="458" w:type="pct"/>
            <w:tcBorders>
              <w:top w:val="nil"/>
              <w:left w:val="nil"/>
              <w:bottom w:val="single" w:sz="4" w:space="0" w:color="auto"/>
              <w:right w:val="single" w:sz="4" w:space="0" w:color="auto"/>
            </w:tcBorders>
            <w:noWrap/>
            <w:vAlign w:val="bottom"/>
            <w:hideMark/>
          </w:tcPr>
          <w:p w14:paraId="49FA7AA8" w14:textId="1C40D9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277.217,15</w:t>
            </w:r>
          </w:p>
        </w:tc>
        <w:tc>
          <w:tcPr>
            <w:tcW w:w="326" w:type="pct"/>
            <w:tcBorders>
              <w:top w:val="nil"/>
              <w:left w:val="nil"/>
              <w:bottom w:val="single" w:sz="4" w:space="0" w:color="auto"/>
              <w:right w:val="single" w:sz="4" w:space="0" w:color="auto"/>
            </w:tcBorders>
            <w:noWrap/>
            <w:vAlign w:val="bottom"/>
            <w:hideMark/>
          </w:tcPr>
          <w:p w14:paraId="29406576" w14:textId="12BB91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8,19%</w:t>
            </w:r>
          </w:p>
        </w:tc>
        <w:tc>
          <w:tcPr>
            <w:tcW w:w="481" w:type="pct"/>
            <w:tcBorders>
              <w:top w:val="nil"/>
              <w:left w:val="nil"/>
              <w:bottom w:val="single" w:sz="4" w:space="0" w:color="auto"/>
              <w:right w:val="single" w:sz="4" w:space="0" w:color="auto"/>
            </w:tcBorders>
            <w:noWrap/>
            <w:vAlign w:val="bottom"/>
            <w:hideMark/>
          </w:tcPr>
          <w:p w14:paraId="26811EF5" w14:textId="4BE1724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277.217,15</w:t>
            </w:r>
          </w:p>
        </w:tc>
        <w:tc>
          <w:tcPr>
            <w:tcW w:w="579" w:type="pct"/>
            <w:tcBorders>
              <w:top w:val="nil"/>
              <w:left w:val="nil"/>
              <w:bottom w:val="single" w:sz="4" w:space="0" w:color="auto"/>
              <w:right w:val="single" w:sz="4" w:space="0" w:color="auto"/>
            </w:tcBorders>
            <w:noWrap/>
            <w:vAlign w:val="bottom"/>
            <w:hideMark/>
          </w:tcPr>
          <w:p w14:paraId="428D7498" w14:textId="1A0233A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47BED205" w14:textId="79E81B7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E8BEBBF" w14:textId="548AC8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283.315,66</w:t>
            </w:r>
          </w:p>
        </w:tc>
        <w:tc>
          <w:tcPr>
            <w:tcW w:w="400" w:type="pct"/>
            <w:tcBorders>
              <w:top w:val="nil"/>
              <w:left w:val="nil"/>
              <w:bottom w:val="single" w:sz="4" w:space="0" w:color="auto"/>
              <w:right w:val="single" w:sz="4" w:space="0" w:color="auto"/>
            </w:tcBorders>
            <w:noWrap/>
            <w:vAlign w:val="bottom"/>
            <w:hideMark/>
          </w:tcPr>
          <w:p w14:paraId="58DFE7BC" w14:textId="05ED4C8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20CA0020" w14:textId="7B6CA96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00738387" w14:textId="7F09FDF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277.217,15</w:t>
            </w:r>
          </w:p>
        </w:tc>
        <w:tc>
          <w:tcPr>
            <w:tcW w:w="400" w:type="pct"/>
            <w:tcBorders>
              <w:top w:val="nil"/>
              <w:left w:val="nil"/>
              <w:bottom w:val="single" w:sz="4" w:space="0" w:color="auto"/>
              <w:right w:val="single" w:sz="4" w:space="0" w:color="auto"/>
            </w:tcBorders>
            <w:noWrap/>
            <w:vAlign w:val="bottom"/>
            <w:hideMark/>
          </w:tcPr>
          <w:p w14:paraId="6A89727C" w14:textId="695D9A5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61E3EB76" w14:textId="77777777" w:rsidTr="005E7713">
        <w:trPr>
          <w:trHeight w:val="284"/>
        </w:trPr>
        <w:tc>
          <w:tcPr>
            <w:tcW w:w="642" w:type="pct"/>
            <w:tcBorders>
              <w:top w:val="nil"/>
              <w:left w:val="single" w:sz="4" w:space="0" w:color="auto"/>
              <w:bottom w:val="single" w:sz="4" w:space="0" w:color="auto"/>
              <w:right w:val="single" w:sz="4" w:space="0" w:color="auto"/>
            </w:tcBorders>
            <w:vAlign w:val="bottom"/>
          </w:tcPr>
          <w:p w14:paraId="343C152A" w14:textId="40564EE7" w:rsidR="00F36883" w:rsidRPr="000020F0" w:rsidRDefault="00F36883" w:rsidP="00F36883">
            <w:pPr>
              <w:rPr>
                <w:rFonts w:ascii="Roboto" w:hAnsi="Roboto"/>
                <w:color w:val="000000"/>
                <w:sz w:val="20"/>
                <w:szCs w:val="20"/>
              </w:rPr>
            </w:pPr>
            <w:r w:rsidRPr="000020F0">
              <w:rPr>
                <w:rFonts w:ascii="Arial" w:hAnsi="Arial" w:cs="Arial"/>
                <w:color w:val="000000"/>
                <w:sz w:val="20"/>
                <w:szCs w:val="20"/>
              </w:rPr>
              <w:t>Parkirišče z vhodom v šolo</w:t>
            </w:r>
          </w:p>
        </w:tc>
        <w:tc>
          <w:tcPr>
            <w:tcW w:w="458" w:type="pct"/>
            <w:tcBorders>
              <w:top w:val="nil"/>
              <w:left w:val="nil"/>
              <w:bottom w:val="single" w:sz="4" w:space="0" w:color="auto"/>
              <w:right w:val="single" w:sz="4" w:space="0" w:color="auto"/>
            </w:tcBorders>
            <w:noWrap/>
            <w:vAlign w:val="bottom"/>
          </w:tcPr>
          <w:p w14:paraId="0004B744" w14:textId="58D5DBF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414.728,58</w:t>
            </w:r>
          </w:p>
        </w:tc>
        <w:tc>
          <w:tcPr>
            <w:tcW w:w="326" w:type="pct"/>
            <w:tcBorders>
              <w:top w:val="nil"/>
              <w:left w:val="nil"/>
              <w:bottom w:val="single" w:sz="4" w:space="0" w:color="auto"/>
              <w:right w:val="single" w:sz="4" w:space="0" w:color="auto"/>
            </w:tcBorders>
            <w:noWrap/>
            <w:vAlign w:val="bottom"/>
          </w:tcPr>
          <w:p w14:paraId="4FF7585C" w14:textId="7FC7BB5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12,25%</w:t>
            </w:r>
          </w:p>
        </w:tc>
        <w:tc>
          <w:tcPr>
            <w:tcW w:w="481" w:type="pct"/>
            <w:tcBorders>
              <w:top w:val="nil"/>
              <w:left w:val="nil"/>
              <w:bottom w:val="single" w:sz="4" w:space="0" w:color="auto"/>
              <w:right w:val="single" w:sz="4" w:space="0" w:color="auto"/>
            </w:tcBorders>
            <w:noWrap/>
            <w:vAlign w:val="bottom"/>
          </w:tcPr>
          <w:p w14:paraId="5F05A527" w14:textId="7B51082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tcPr>
          <w:p w14:paraId="769DA7CD" w14:textId="3859F82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414.728,58</w:t>
            </w:r>
          </w:p>
        </w:tc>
        <w:tc>
          <w:tcPr>
            <w:tcW w:w="458" w:type="pct"/>
            <w:tcBorders>
              <w:top w:val="nil"/>
              <w:left w:val="single" w:sz="4" w:space="0" w:color="auto"/>
              <w:bottom w:val="single" w:sz="4" w:space="0" w:color="auto"/>
              <w:right w:val="single" w:sz="4" w:space="0" w:color="auto"/>
            </w:tcBorders>
            <w:noWrap/>
            <w:vAlign w:val="bottom"/>
          </w:tcPr>
          <w:p w14:paraId="193B4D20" w14:textId="19F986AC"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00" w:type="pct"/>
            <w:tcBorders>
              <w:top w:val="nil"/>
              <w:left w:val="nil"/>
              <w:bottom w:val="single" w:sz="4" w:space="0" w:color="auto"/>
              <w:right w:val="single" w:sz="4" w:space="0" w:color="auto"/>
            </w:tcBorders>
            <w:noWrap/>
            <w:vAlign w:val="bottom"/>
          </w:tcPr>
          <w:p w14:paraId="130A7C99" w14:textId="494C8840"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00" w:type="pct"/>
            <w:tcBorders>
              <w:top w:val="nil"/>
              <w:left w:val="nil"/>
              <w:bottom w:val="single" w:sz="4" w:space="0" w:color="auto"/>
              <w:right w:val="single" w:sz="4" w:space="0" w:color="auto"/>
            </w:tcBorders>
            <w:noWrap/>
            <w:vAlign w:val="bottom"/>
          </w:tcPr>
          <w:p w14:paraId="145AC75C" w14:textId="4A5CD178"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58" w:type="pct"/>
            <w:tcBorders>
              <w:top w:val="nil"/>
              <w:left w:val="nil"/>
              <w:bottom w:val="single" w:sz="4" w:space="0" w:color="auto"/>
              <w:right w:val="single" w:sz="4" w:space="0" w:color="auto"/>
            </w:tcBorders>
            <w:noWrap/>
            <w:vAlign w:val="bottom"/>
          </w:tcPr>
          <w:p w14:paraId="799EDCB9" w14:textId="62C83ABA"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00" w:type="pct"/>
            <w:tcBorders>
              <w:top w:val="nil"/>
              <w:left w:val="nil"/>
              <w:bottom w:val="single" w:sz="4" w:space="0" w:color="auto"/>
              <w:right w:val="single" w:sz="4" w:space="0" w:color="auto"/>
            </w:tcBorders>
            <w:noWrap/>
            <w:vAlign w:val="bottom"/>
          </w:tcPr>
          <w:p w14:paraId="5E86B046" w14:textId="2C4B6DFB"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c>
          <w:tcPr>
            <w:tcW w:w="400" w:type="pct"/>
            <w:tcBorders>
              <w:top w:val="nil"/>
              <w:left w:val="nil"/>
              <w:bottom w:val="single" w:sz="4" w:space="0" w:color="auto"/>
              <w:right w:val="single" w:sz="4" w:space="0" w:color="auto"/>
            </w:tcBorders>
            <w:noWrap/>
            <w:vAlign w:val="bottom"/>
          </w:tcPr>
          <w:p w14:paraId="70254C10" w14:textId="437C6AD3" w:rsidR="00F36883" w:rsidRPr="000020F0" w:rsidRDefault="00F36883" w:rsidP="00F36883">
            <w:pPr>
              <w:jc w:val="right"/>
              <w:rPr>
                <w:rFonts w:ascii="Arial" w:hAnsi="Arial" w:cs="Arial"/>
                <w:color w:val="000000"/>
                <w:sz w:val="20"/>
                <w:szCs w:val="20"/>
              </w:rPr>
            </w:pPr>
            <w:r w:rsidRPr="000020F0">
              <w:rPr>
                <w:rFonts w:ascii="Arial" w:hAnsi="Arial" w:cs="Arial"/>
                <w:i/>
                <w:iCs/>
                <w:color w:val="000000"/>
                <w:sz w:val="20"/>
                <w:szCs w:val="20"/>
              </w:rPr>
              <w:t>0,00</w:t>
            </w:r>
          </w:p>
        </w:tc>
      </w:tr>
      <w:tr w:rsidR="00F36883" w:rsidRPr="000020F0" w14:paraId="5EE3094D" w14:textId="77777777" w:rsidTr="005E7713">
        <w:trPr>
          <w:trHeight w:val="284"/>
        </w:trPr>
        <w:tc>
          <w:tcPr>
            <w:tcW w:w="642" w:type="pct"/>
            <w:tcBorders>
              <w:top w:val="nil"/>
              <w:left w:val="single" w:sz="4" w:space="0" w:color="auto"/>
              <w:bottom w:val="single" w:sz="4" w:space="0" w:color="auto"/>
              <w:right w:val="single" w:sz="4" w:space="0" w:color="auto"/>
            </w:tcBorders>
            <w:shd w:val="clear" w:color="000000" w:fill="D9D9D9"/>
            <w:vAlign w:val="bottom"/>
            <w:hideMark/>
          </w:tcPr>
          <w:p w14:paraId="50BF8E89" w14:textId="2D695FBF" w:rsidR="00F36883" w:rsidRPr="000020F0" w:rsidRDefault="00F36883" w:rsidP="00F36883">
            <w:pPr>
              <w:rPr>
                <w:rFonts w:ascii="Arial" w:hAnsi="Arial" w:cs="Arial"/>
                <w:i/>
                <w:iCs/>
                <w:color w:val="000000"/>
                <w:sz w:val="20"/>
                <w:szCs w:val="20"/>
              </w:rPr>
            </w:pPr>
            <w:r w:rsidRPr="000020F0">
              <w:rPr>
                <w:rFonts w:ascii="Arial" w:hAnsi="Arial" w:cs="Arial"/>
                <w:i/>
                <w:iCs/>
                <w:color w:val="000000"/>
                <w:sz w:val="20"/>
                <w:szCs w:val="20"/>
              </w:rPr>
              <w:t>Skupaj GOI dela</w:t>
            </w:r>
          </w:p>
        </w:tc>
        <w:tc>
          <w:tcPr>
            <w:tcW w:w="458" w:type="pct"/>
            <w:tcBorders>
              <w:top w:val="nil"/>
              <w:left w:val="nil"/>
              <w:bottom w:val="single" w:sz="4" w:space="0" w:color="auto"/>
              <w:right w:val="single" w:sz="4" w:space="0" w:color="auto"/>
            </w:tcBorders>
            <w:shd w:val="clear" w:color="000000" w:fill="D9D9D9"/>
            <w:noWrap/>
            <w:vAlign w:val="bottom"/>
            <w:hideMark/>
          </w:tcPr>
          <w:p w14:paraId="5FCBF7E8" w14:textId="4A1BEFAF"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2.286.121,27</w:t>
            </w:r>
          </w:p>
        </w:tc>
        <w:tc>
          <w:tcPr>
            <w:tcW w:w="326" w:type="pct"/>
            <w:tcBorders>
              <w:top w:val="nil"/>
              <w:left w:val="nil"/>
              <w:bottom w:val="single" w:sz="4" w:space="0" w:color="auto"/>
              <w:right w:val="single" w:sz="4" w:space="0" w:color="auto"/>
            </w:tcBorders>
            <w:shd w:val="clear" w:color="000000" w:fill="D9D9D9"/>
            <w:noWrap/>
            <w:vAlign w:val="bottom"/>
            <w:hideMark/>
          </w:tcPr>
          <w:p w14:paraId="2EF26CD4" w14:textId="65E9BD86"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67,52%</w:t>
            </w:r>
          </w:p>
        </w:tc>
        <w:tc>
          <w:tcPr>
            <w:tcW w:w="481" w:type="pct"/>
            <w:tcBorders>
              <w:top w:val="nil"/>
              <w:left w:val="nil"/>
              <w:bottom w:val="single" w:sz="4" w:space="0" w:color="auto"/>
              <w:right w:val="single" w:sz="4" w:space="0" w:color="auto"/>
            </w:tcBorders>
            <w:shd w:val="clear" w:color="000000" w:fill="D9D9D9"/>
            <w:noWrap/>
            <w:vAlign w:val="bottom"/>
            <w:hideMark/>
          </w:tcPr>
          <w:p w14:paraId="2545C9EC" w14:textId="722BD2F8"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1.838.140,68</w:t>
            </w:r>
          </w:p>
        </w:tc>
        <w:tc>
          <w:tcPr>
            <w:tcW w:w="579" w:type="pct"/>
            <w:tcBorders>
              <w:top w:val="nil"/>
              <w:left w:val="nil"/>
              <w:bottom w:val="single" w:sz="4" w:space="0" w:color="auto"/>
              <w:right w:val="single" w:sz="4" w:space="0" w:color="auto"/>
            </w:tcBorders>
            <w:shd w:val="clear" w:color="000000" w:fill="D9D9D9"/>
            <w:noWrap/>
            <w:vAlign w:val="bottom"/>
            <w:hideMark/>
          </w:tcPr>
          <w:p w14:paraId="01603276" w14:textId="172285D9"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447.980,58</w:t>
            </w:r>
          </w:p>
        </w:tc>
        <w:tc>
          <w:tcPr>
            <w:tcW w:w="458" w:type="pct"/>
            <w:tcBorders>
              <w:top w:val="nil"/>
              <w:left w:val="single" w:sz="4" w:space="0" w:color="auto"/>
              <w:bottom w:val="single" w:sz="4" w:space="0" w:color="auto"/>
              <w:right w:val="single" w:sz="4" w:space="0" w:color="auto"/>
            </w:tcBorders>
            <w:shd w:val="clear" w:color="000000" w:fill="D9D9D9"/>
            <w:noWrap/>
            <w:vAlign w:val="bottom"/>
            <w:hideMark/>
          </w:tcPr>
          <w:p w14:paraId="627C9688" w14:textId="03AC070F"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1.031.120,74</w:t>
            </w:r>
          </w:p>
        </w:tc>
        <w:tc>
          <w:tcPr>
            <w:tcW w:w="400" w:type="pct"/>
            <w:tcBorders>
              <w:top w:val="nil"/>
              <w:left w:val="nil"/>
              <w:bottom w:val="single" w:sz="4" w:space="0" w:color="auto"/>
              <w:right w:val="single" w:sz="4" w:space="0" w:color="auto"/>
            </w:tcBorders>
            <w:shd w:val="clear" w:color="000000" w:fill="D9D9D9"/>
            <w:noWrap/>
            <w:vAlign w:val="bottom"/>
            <w:hideMark/>
          </w:tcPr>
          <w:p w14:paraId="60A7CC0D" w14:textId="424E2FB6"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704.158,84</w:t>
            </w:r>
          </w:p>
        </w:tc>
        <w:tc>
          <w:tcPr>
            <w:tcW w:w="400" w:type="pct"/>
            <w:tcBorders>
              <w:top w:val="nil"/>
              <w:left w:val="nil"/>
              <w:bottom w:val="single" w:sz="4" w:space="0" w:color="auto"/>
              <w:right w:val="single" w:sz="4" w:space="0" w:color="auto"/>
            </w:tcBorders>
            <w:shd w:val="clear" w:color="000000" w:fill="D9D9D9"/>
            <w:noWrap/>
            <w:vAlign w:val="bottom"/>
            <w:hideMark/>
          </w:tcPr>
          <w:p w14:paraId="204C0290" w14:textId="46D0AE8A"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174.854,41</w:t>
            </w:r>
          </w:p>
        </w:tc>
        <w:tc>
          <w:tcPr>
            <w:tcW w:w="458" w:type="pct"/>
            <w:tcBorders>
              <w:top w:val="nil"/>
              <w:left w:val="nil"/>
              <w:bottom w:val="single" w:sz="4" w:space="0" w:color="auto"/>
              <w:right w:val="single" w:sz="4" w:space="0" w:color="auto"/>
            </w:tcBorders>
            <w:shd w:val="clear" w:color="000000" w:fill="D9D9D9"/>
            <w:noWrap/>
            <w:vAlign w:val="bottom"/>
            <w:hideMark/>
          </w:tcPr>
          <w:p w14:paraId="1F0B211C" w14:textId="6A23A8DF"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975.673,37</w:t>
            </w:r>
          </w:p>
        </w:tc>
        <w:tc>
          <w:tcPr>
            <w:tcW w:w="400" w:type="pct"/>
            <w:tcBorders>
              <w:top w:val="nil"/>
              <w:left w:val="nil"/>
              <w:bottom w:val="single" w:sz="4" w:space="0" w:color="auto"/>
              <w:right w:val="single" w:sz="4" w:space="0" w:color="auto"/>
            </w:tcBorders>
            <w:shd w:val="clear" w:color="000000" w:fill="D9D9D9"/>
            <w:noWrap/>
            <w:vAlign w:val="bottom"/>
            <w:hideMark/>
          </w:tcPr>
          <w:p w14:paraId="0901FE00" w14:textId="5E1A6AD3"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691.074,30</w:t>
            </w:r>
          </w:p>
        </w:tc>
        <w:tc>
          <w:tcPr>
            <w:tcW w:w="400" w:type="pct"/>
            <w:tcBorders>
              <w:top w:val="nil"/>
              <w:left w:val="nil"/>
              <w:bottom w:val="single" w:sz="4" w:space="0" w:color="auto"/>
              <w:right w:val="single" w:sz="4" w:space="0" w:color="auto"/>
            </w:tcBorders>
            <w:shd w:val="clear" w:color="000000" w:fill="D9D9D9"/>
            <w:noWrap/>
            <w:vAlign w:val="bottom"/>
            <w:hideMark/>
          </w:tcPr>
          <w:p w14:paraId="2C79FCC6" w14:textId="116653CA" w:rsidR="00F36883" w:rsidRPr="000020F0" w:rsidRDefault="00F36883" w:rsidP="00F36883">
            <w:pPr>
              <w:jc w:val="right"/>
              <w:rPr>
                <w:rFonts w:ascii="Arial" w:hAnsi="Arial" w:cs="Arial"/>
                <w:i/>
                <w:iCs/>
                <w:color w:val="000000"/>
                <w:sz w:val="20"/>
                <w:szCs w:val="20"/>
              </w:rPr>
            </w:pPr>
            <w:r w:rsidRPr="000020F0">
              <w:rPr>
                <w:rFonts w:ascii="Arial" w:hAnsi="Arial" w:cs="Arial"/>
                <w:i/>
                <w:iCs/>
                <w:color w:val="000000"/>
                <w:sz w:val="20"/>
                <w:szCs w:val="20"/>
              </w:rPr>
              <w:t>171.393,02</w:t>
            </w:r>
          </w:p>
        </w:tc>
      </w:tr>
      <w:tr w:rsidR="00F36883" w:rsidRPr="000020F0" w14:paraId="6F922958"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46E8B2DA" w14:textId="151E10A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Strokovni nadzor</w:t>
            </w:r>
          </w:p>
        </w:tc>
        <w:tc>
          <w:tcPr>
            <w:tcW w:w="458" w:type="pct"/>
            <w:tcBorders>
              <w:top w:val="nil"/>
              <w:left w:val="nil"/>
              <w:bottom w:val="single" w:sz="4" w:space="0" w:color="auto"/>
              <w:right w:val="single" w:sz="4" w:space="0" w:color="auto"/>
            </w:tcBorders>
            <w:noWrap/>
            <w:vAlign w:val="bottom"/>
            <w:hideMark/>
          </w:tcPr>
          <w:p w14:paraId="682233E7" w14:textId="12D6853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68.583,64</w:t>
            </w:r>
          </w:p>
        </w:tc>
        <w:tc>
          <w:tcPr>
            <w:tcW w:w="326" w:type="pct"/>
            <w:tcBorders>
              <w:top w:val="nil"/>
              <w:left w:val="nil"/>
              <w:bottom w:val="single" w:sz="4" w:space="0" w:color="auto"/>
              <w:right w:val="single" w:sz="4" w:space="0" w:color="auto"/>
            </w:tcBorders>
            <w:noWrap/>
            <w:vAlign w:val="bottom"/>
            <w:hideMark/>
          </w:tcPr>
          <w:p w14:paraId="032E158A" w14:textId="05A35EE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2,03%</w:t>
            </w:r>
          </w:p>
        </w:tc>
        <w:tc>
          <w:tcPr>
            <w:tcW w:w="481" w:type="pct"/>
            <w:tcBorders>
              <w:top w:val="nil"/>
              <w:left w:val="nil"/>
              <w:bottom w:val="single" w:sz="4" w:space="0" w:color="auto"/>
              <w:right w:val="single" w:sz="4" w:space="0" w:color="auto"/>
            </w:tcBorders>
            <w:noWrap/>
            <w:vAlign w:val="bottom"/>
            <w:hideMark/>
          </w:tcPr>
          <w:p w14:paraId="19FD02D6" w14:textId="48DE8E3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55.211,21</w:t>
            </w:r>
          </w:p>
        </w:tc>
        <w:tc>
          <w:tcPr>
            <w:tcW w:w="579" w:type="pct"/>
            <w:tcBorders>
              <w:top w:val="nil"/>
              <w:left w:val="nil"/>
              <w:bottom w:val="single" w:sz="4" w:space="0" w:color="auto"/>
              <w:right w:val="single" w:sz="4" w:space="0" w:color="auto"/>
            </w:tcBorders>
            <w:noWrap/>
            <w:vAlign w:val="bottom"/>
            <w:hideMark/>
          </w:tcPr>
          <w:p w14:paraId="1A628BF6" w14:textId="3A4F600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13.372,43</w:t>
            </w:r>
          </w:p>
        </w:tc>
        <w:tc>
          <w:tcPr>
            <w:tcW w:w="458" w:type="pct"/>
            <w:tcBorders>
              <w:top w:val="nil"/>
              <w:left w:val="single" w:sz="4" w:space="0" w:color="auto"/>
              <w:bottom w:val="single" w:sz="4" w:space="0" w:color="auto"/>
              <w:right w:val="single" w:sz="4" w:space="0" w:color="auto"/>
            </w:tcBorders>
            <w:noWrap/>
            <w:vAlign w:val="bottom"/>
            <w:hideMark/>
          </w:tcPr>
          <w:p w14:paraId="51A01A08" w14:textId="7AB6DDE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34.425,66</w:t>
            </w:r>
          </w:p>
        </w:tc>
        <w:tc>
          <w:tcPr>
            <w:tcW w:w="400" w:type="pct"/>
            <w:tcBorders>
              <w:top w:val="nil"/>
              <w:left w:val="nil"/>
              <w:bottom w:val="single" w:sz="4" w:space="0" w:color="auto"/>
              <w:right w:val="single" w:sz="4" w:space="0" w:color="auto"/>
            </w:tcBorders>
            <w:noWrap/>
            <w:vAlign w:val="bottom"/>
            <w:hideMark/>
          </w:tcPr>
          <w:p w14:paraId="0613918E" w14:textId="63C0BFC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15.985,47</w:t>
            </w:r>
          </w:p>
        </w:tc>
        <w:tc>
          <w:tcPr>
            <w:tcW w:w="400" w:type="pct"/>
            <w:tcBorders>
              <w:top w:val="nil"/>
              <w:left w:val="nil"/>
              <w:bottom w:val="single" w:sz="4" w:space="0" w:color="auto"/>
              <w:right w:val="single" w:sz="4" w:space="0" w:color="auto"/>
            </w:tcBorders>
            <w:noWrap/>
            <w:vAlign w:val="bottom"/>
            <w:hideMark/>
          </w:tcPr>
          <w:p w14:paraId="37C3B699" w14:textId="129B68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4.800,08</w:t>
            </w:r>
          </w:p>
        </w:tc>
        <w:tc>
          <w:tcPr>
            <w:tcW w:w="458" w:type="pct"/>
            <w:tcBorders>
              <w:top w:val="nil"/>
              <w:left w:val="nil"/>
              <w:bottom w:val="single" w:sz="4" w:space="0" w:color="auto"/>
              <w:right w:val="single" w:sz="4" w:space="0" w:color="auto"/>
            </w:tcBorders>
            <w:noWrap/>
            <w:vAlign w:val="bottom"/>
            <w:hideMark/>
          </w:tcPr>
          <w:p w14:paraId="6A40E665" w14:textId="6013E1F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34.425,66</w:t>
            </w:r>
          </w:p>
        </w:tc>
        <w:tc>
          <w:tcPr>
            <w:tcW w:w="400" w:type="pct"/>
            <w:tcBorders>
              <w:top w:val="nil"/>
              <w:left w:val="nil"/>
              <w:bottom w:val="single" w:sz="4" w:space="0" w:color="auto"/>
              <w:right w:val="single" w:sz="4" w:space="0" w:color="auto"/>
            </w:tcBorders>
            <w:noWrap/>
            <w:vAlign w:val="bottom"/>
            <w:hideMark/>
          </w:tcPr>
          <w:p w14:paraId="56D39039" w14:textId="0D658BC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15.985,47</w:t>
            </w:r>
          </w:p>
        </w:tc>
        <w:tc>
          <w:tcPr>
            <w:tcW w:w="400" w:type="pct"/>
            <w:tcBorders>
              <w:top w:val="nil"/>
              <w:left w:val="nil"/>
              <w:bottom w:val="single" w:sz="4" w:space="0" w:color="auto"/>
              <w:right w:val="single" w:sz="4" w:space="0" w:color="auto"/>
            </w:tcBorders>
            <w:noWrap/>
            <w:vAlign w:val="bottom"/>
            <w:hideMark/>
          </w:tcPr>
          <w:p w14:paraId="0D50CB41" w14:textId="5812DA1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4.800,08</w:t>
            </w:r>
          </w:p>
        </w:tc>
      </w:tr>
      <w:tr w:rsidR="00F36883" w:rsidRPr="000020F0" w14:paraId="74C90257"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5548FFAA" w14:textId="33F6D342"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Projektna dokumentacija</w:t>
            </w:r>
          </w:p>
        </w:tc>
        <w:tc>
          <w:tcPr>
            <w:tcW w:w="458" w:type="pct"/>
            <w:tcBorders>
              <w:top w:val="nil"/>
              <w:left w:val="nil"/>
              <w:bottom w:val="single" w:sz="4" w:space="0" w:color="auto"/>
              <w:right w:val="single" w:sz="4" w:space="0" w:color="auto"/>
            </w:tcBorders>
            <w:noWrap/>
            <w:vAlign w:val="bottom"/>
            <w:hideMark/>
          </w:tcPr>
          <w:p w14:paraId="6C850FC5" w14:textId="16C59A3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105.425,37</w:t>
            </w:r>
          </w:p>
        </w:tc>
        <w:tc>
          <w:tcPr>
            <w:tcW w:w="326" w:type="pct"/>
            <w:tcBorders>
              <w:top w:val="nil"/>
              <w:left w:val="nil"/>
              <w:bottom w:val="single" w:sz="4" w:space="0" w:color="auto"/>
              <w:right w:val="single" w:sz="4" w:space="0" w:color="auto"/>
            </w:tcBorders>
            <w:noWrap/>
            <w:vAlign w:val="bottom"/>
            <w:hideMark/>
          </w:tcPr>
          <w:p w14:paraId="47BAF1CD" w14:textId="28885B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3,11%</w:t>
            </w:r>
          </w:p>
        </w:tc>
        <w:tc>
          <w:tcPr>
            <w:tcW w:w="481" w:type="pct"/>
            <w:tcBorders>
              <w:top w:val="nil"/>
              <w:left w:val="nil"/>
              <w:bottom w:val="single" w:sz="4" w:space="0" w:color="auto"/>
              <w:right w:val="single" w:sz="4" w:space="0" w:color="auto"/>
            </w:tcBorders>
            <w:noWrap/>
            <w:vAlign w:val="bottom"/>
            <w:hideMark/>
          </w:tcPr>
          <w:p w14:paraId="69DB1B6A" w14:textId="13BFD97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84.869,54</w:t>
            </w:r>
          </w:p>
        </w:tc>
        <w:tc>
          <w:tcPr>
            <w:tcW w:w="579" w:type="pct"/>
            <w:tcBorders>
              <w:top w:val="nil"/>
              <w:left w:val="nil"/>
              <w:bottom w:val="single" w:sz="4" w:space="0" w:color="auto"/>
              <w:right w:val="single" w:sz="4" w:space="0" w:color="auto"/>
            </w:tcBorders>
            <w:noWrap/>
            <w:vAlign w:val="bottom"/>
            <w:hideMark/>
          </w:tcPr>
          <w:p w14:paraId="15B79876" w14:textId="6520BAB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20.555,83</w:t>
            </w:r>
          </w:p>
        </w:tc>
        <w:tc>
          <w:tcPr>
            <w:tcW w:w="458" w:type="pct"/>
            <w:tcBorders>
              <w:top w:val="nil"/>
              <w:left w:val="single" w:sz="4" w:space="0" w:color="auto"/>
              <w:bottom w:val="single" w:sz="4" w:space="0" w:color="auto"/>
              <w:right w:val="single" w:sz="4" w:space="0" w:color="auto"/>
            </w:tcBorders>
            <w:noWrap/>
            <w:vAlign w:val="bottom"/>
            <w:hideMark/>
          </w:tcPr>
          <w:p w14:paraId="3F60B05F" w14:textId="03600A1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73.956,03</w:t>
            </w:r>
          </w:p>
        </w:tc>
        <w:tc>
          <w:tcPr>
            <w:tcW w:w="400" w:type="pct"/>
            <w:tcBorders>
              <w:top w:val="nil"/>
              <w:left w:val="nil"/>
              <w:bottom w:val="single" w:sz="4" w:space="0" w:color="auto"/>
              <w:right w:val="single" w:sz="4" w:space="0" w:color="auto"/>
            </w:tcBorders>
            <w:noWrap/>
            <w:vAlign w:val="bottom"/>
            <w:hideMark/>
          </w:tcPr>
          <w:p w14:paraId="7B5B0D9E" w14:textId="05C907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24.202,02</w:t>
            </w:r>
          </w:p>
        </w:tc>
        <w:tc>
          <w:tcPr>
            <w:tcW w:w="400" w:type="pct"/>
            <w:tcBorders>
              <w:top w:val="nil"/>
              <w:left w:val="nil"/>
              <w:bottom w:val="single" w:sz="4" w:space="0" w:color="auto"/>
              <w:right w:val="single" w:sz="4" w:space="0" w:color="auto"/>
            </w:tcBorders>
            <w:noWrap/>
            <w:vAlign w:val="bottom"/>
            <w:hideMark/>
          </w:tcPr>
          <w:p w14:paraId="6F264FD2" w14:textId="4F822DB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7.267,33</w:t>
            </w:r>
          </w:p>
        </w:tc>
        <w:tc>
          <w:tcPr>
            <w:tcW w:w="458" w:type="pct"/>
            <w:tcBorders>
              <w:top w:val="nil"/>
              <w:left w:val="nil"/>
              <w:bottom w:val="single" w:sz="4" w:space="0" w:color="auto"/>
              <w:right w:val="single" w:sz="4" w:space="0" w:color="auto"/>
            </w:tcBorders>
            <w:noWrap/>
            <w:vAlign w:val="bottom"/>
            <w:hideMark/>
          </w:tcPr>
          <w:p w14:paraId="2BD11B02" w14:textId="0F3956B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53.400,19</w:t>
            </w:r>
          </w:p>
        </w:tc>
        <w:tc>
          <w:tcPr>
            <w:tcW w:w="400" w:type="pct"/>
            <w:tcBorders>
              <w:top w:val="nil"/>
              <w:left w:val="nil"/>
              <w:bottom w:val="single" w:sz="4" w:space="0" w:color="auto"/>
              <w:right w:val="single" w:sz="4" w:space="0" w:color="auto"/>
            </w:tcBorders>
            <w:noWrap/>
            <w:vAlign w:val="bottom"/>
            <w:hideMark/>
          </w:tcPr>
          <w:p w14:paraId="1005EEFA" w14:textId="51C1345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24.202,02</w:t>
            </w:r>
          </w:p>
        </w:tc>
        <w:tc>
          <w:tcPr>
            <w:tcW w:w="400" w:type="pct"/>
            <w:tcBorders>
              <w:top w:val="nil"/>
              <w:left w:val="nil"/>
              <w:bottom w:val="single" w:sz="4" w:space="0" w:color="auto"/>
              <w:right w:val="single" w:sz="4" w:space="0" w:color="auto"/>
            </w:tcBorders>
            <w:noWrap/>
            <w:vAlign w:val="bottom"/>
            <w:hideMark/>
          </w:tcPr>
          <w:p w14:paraId="4EAD98BA" w14:textId="14435A4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7.267,33</w:t>
            </w:r>
          </w:p>
        </w:tc>
      </w:tr>
      <w:tr w:rsidR="00F36883" w:rsidRPr="000020F0" w14:paraId="6C744FCE"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5E6BBD96" w14:textId="09DE2F29"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Svetovalni inženiring</w:t>
            </w:r>
          </w:p>
        </w:tc>
        <w:tc>
          <w:tcPr>
            <w:tcW w:w="458" w:type="pct"/>
            <w:tcBorders>
              <w:top w:val="nil"/>
              <w:left w:val="nil"/>
              <w:bottom w:val="single" w:sz="4" w:space="0" w:color="auto"/>
              <w:right w:val="single" w:sz="4" w:space="0" w:color="auto"/>
            </w:tcBorders>
            <w:noWrap/>
            <w:vAlign w:val="bottom"/>
            <w:hideMark/>
          </w:tcPr>
          <w:p w14:paraId="6655189A" w14:textId="591CFB6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22.861,21</w:t>
            </w:r>
          </w:p>
        </w:tc>
        <w:tc>
          <w:tcPr>
            <w:tcW w:w="326" w:type="pct"/>
            <w:tcBorders>
              <w:top w:val="nil"/>
              <w:left w:val="nil"/>
              <w:bottom w:val="single" w:sz="4" w:space="0" w:color="auto"/>
              <w:right w:val="single" w:sz="4" w:space="0" w:color="auto"/>
            </w:tcBorders>
            <w:noWrap/>
            <w:vAlign w:val="bottom"/>
            <w:hideMark/>
          </w:tcPr>
          <w:p w14:paraId="699DC879" w14:textId="723C55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0,68%</w:t>
            </w:r>
          </w:p>
        </w:tc>
        <w:tc>
          <w:tcPr>
            <w:tcW w:w="481" w:type="pct"/>
            <w:tcBorders>
              <w:top w:val="nil"/>
              <w:left w:val="nil"/>
              <w:bottom w:val="single" w:sz="4" w:space="0" w:color="auto"/>
              <w:right w:val="single" w:sz="4" w:space="0" w:color="auto"/>
            </w:tcBorders>
            <w:noWrap/>
            <w:vAlign w:val="bottom"/>
            <w:hideMark/>
          </w:tcPr>
          <w:p w14:paraId="6520C5D0" w14:textId="3CC558E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22.861,21</w:t>
            </w:r>
          </w:p>
        </w:tc>
        <w:tc>
          <w:tcPr>
            <w:tcW w:w="579" w:type="pct"/>
            <w:tcBorders>
              <w:top w:val="nil"/>
              <w:left w:val="nil"/>
              <w:bottom w:val="single" w:sz="4" w:space="0" w:color="auto"/>
              <w:right w:val="single" w:sz="4" w:space="0" w:color="auto"/>
            </w:tcBorders>
            <w:noWrap/>
            <w:vAlign w:val="bottom"/>
            <w:hideMark/>
          </w:tcPr>
          <w:p w14:paraId="3551A011" w14:textId="4625437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17768E69" w14:textId="6079D44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15.174,54</w:t>
            </w:r>
          </w:p>
        </w:tc>
        <w:tc>
          <w:tcPr>
            <w:tcW w:w="400" w:type="pct"/>
            <w:tcBorders>
              <w:top w:val="nil"/>
              <w:left w:val="nil"/>
              <w:bottom w:val="single" w:sz="4" w:space="0" w:color="auto"/>
              <w:right w:val="single" w:sz="4" w:space="0" w:color="auto"/>
            </w:tcBorders>
            <w:noWrap/>
            <w:vAlign w:val="bottom"/>
            <w:hideMark/>
          </w:tcPr>
          <w:p w14:paraId="3A420AA4" w14:textId="32CD1C6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6.078,63</w:t>
            </w:r>
          </w:p>
        </w:tc>
        <w:tc>
          <w:tcPr>
            <w:tcW w:w="400" w:type="pct"/>
            <w:tcBorders>
              <w:top w:val="nil"/>
              <w:left w:val="nil"/>
              <w:bottom w:val="single" w:sz="4" w:space="0" w:color="auto"/>
              <w:right w:val="single" w:sz="4" w:space="0" w:color="auto"/>
            </w:tcBorders>
            <w:noWrap/>
            <w:vAlign w:val="bottom"/>
            <w:hideMark/>
          </w:tcPr>
          <w:p w14:paraId="129F0DC6" w14:textId="4467057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1.608,04</w:t>
            </w:r>
          </w:p>
        </w:tc>
        <w:tc>
          <w:tcPr>
            <w:tcW w:w="458" w:type="pct"/>
            <w:tcBorders>
              <w:top w:val="nil"/>
              <w:left w:val="nil"/>
              <w:bottom w:val="single" w:sz="4" w:space="0" w:color="auto"/>
              <w:right w:val="single" w:sz="4" w:space="0" w:color="auto"/>
            </w:tcBorders>
            <w:noWrap/>
            <w:vAlign w:val="bottom"/>
            <w:hideMark/>
          </w:tcPr>
          <w:p w14:paraId="7AE01063" w14:textId="75DC244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15.174,54</w:t>
            </w:r>
          </w:p>
        </w:tc>
        <w:tc>
          <w:tcPr>
            <w:tcW w:w="400" w:type="pct"/>
            <w:tcBorders>
              <w:top w:val="nil"/>
              <w:left w:val="nil"/>
              <w:bottom w:val="single" w:sz="4" w:space="0" w:color="auto"/>
              <w:right w:val="single" w:sz="4" w:space="0" w:color="auto"/>
            </w:tcBorders>
            <w:noWrap/>
            <w:vAlign w:val="bottom"/>
            <w:hideMark/>
          </w:tcPr>
          <w:p w14:paraId="00E18D4C" w14:textId="7BF5B17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6.078,63</w:t>
            </w:r>
          </w:p>
        </w:tc>
        <w:tc>
          <w:tcPr>
            <w:tcW w:w="400" w:type="pct"/>
            <w:tcBorders>
              <w:top w:val="nil"/>
              <w:left w:val="nil"/>
              <w:bottom w:val="single" w:sz="4" w:space="0" w:color="auto"/>
              <w:right w:val="single" w:sz="4" w:space="0" w:color="auto"/>
            </w:tcBorders>
            <w:noWrap/>
            <w:vAlign w:val="bottom"/>
            <w:hideMark/>
          </w:tcPr>
          <w:p w14:paraId="67F63C4D" w14:textId="3825FB4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1.608,04</w:t>
            </w:r>
          </w:p>
        </w:tc>
      </w:tr>
      <w:tr w:rsidR="00F36883" w:rsidRPr="000020F0" w14:paraId="2BBD9FC3"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4526847A" w14:textId="65A8B6BD"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Obveščanje javnosti</w:t>
            </w:r>
          </w:p>
        </w:tc>
        <w:tc>
          <w:tcPr>
            <w:tcW w:w="458" w:type="pct"/>
            <w:tcBorders>
              <w:top w:val="nil"/>
              <w:left w:val="nil"/>
              <w:bottom w:val="single" w:sz="4" w:space="0" w:color="auto"/>
              <w:right w:val="single" w:sz="4" w:space="0" w:color="auto"/>
            </w:tcBorders>
            <w:noWrap/>
            <w:vAlign w:val="bottom"/>
            <w:hideMark/>
          </w:tcPr>
          <w:p w14:paraId="71B512DC" w14:textId="3A93CBD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4.268,43</w:t>
            </w:r>
          </w:p>
        </w:tc>
        <w:tc>
          <w:tcPr>
            <w:tcW w:w="326" w:type="pct"/>
            <w:tcBorders>
              <w:top w:val="nil"/>
              <w:left w:val="nil"/>
              <w:bottom w:val="single" w:sz="4" w:space="0" w:color="auto"/>
              <w:right w:val="single" w:sz="4" w:space="0" w:color="auto"/>
            </w:tcBorders>
            <w:noWrap/>
            <w:vAlign w:val="bottom"/>
            <w:hideMark/>
          </w:tcPr>
          <w:p w14:paraId="4AA17A42" w14:textId="305AA0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0,13%</w:t>
            </w:r>
          </w:p>
        </w:tc>
        <w:tc>
          <w:tcPr>
            <w:tcW w:w="481" w:type="pct"/>
            <w:tcBorders>
              <w:top w:val="nil"/>
              <w:left w:val="nil"/>
              <w:bottom w:val="single" w:sz="4" w:space="0" w:color="auto"/>
              <w:right w:val="single" w:sz="4" w:space="0" w:color="auto"/>
            </w:tcBorders>
            <w:noWrap/>
            <w:vAlign w:val="bottom"/>
            <w:hideMark/>
          </w:tcPr>
          <w:p w14:paraId="2FDC0507" w14:textId="2946601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4.268,43</w:t>
            </w:r>
          </w:p>
        </w:tc>
        <w:tc>
          <w:tcPr>
            <w:tcW w:w="579" w:type="pct"/>
            <w:tcBorders>
              <w:top w:val="nil"/>
              <w:left w:val="nil"/>
              <w:bottom w:val="single" w:sz="4" w:space="0" w:color="auto"/>
              <w:right w:val="single" w:sz="4" w:space="0" w:color="auto"/>
            </w:tcBorders>
            <w:noWrap/>
            <w:vAlign w:val="bottom"/>
            <w:hideMark/>
          </w:tcPr>
          <w:p w14:paraId="26B9A939" w14:textId="6D6E59B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3B9DB4B7" w14:textId="4E047D9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2.974,80</w:t>
            </w:r>
          </w:p>
        </w:tc>
        <w:tc>
          <w:tcPr>
            <w:tcW w:w="400" w:type="pct"/>
            <w:tcBorders>
              <w:top w:val="nil"/>
              <w:left w:val="nil"/>
              <w:bottom w:val="single" w:sz="4" w:space="0" w:color="auto"/>
              <w:right w:val="single" w:sz="4" w:space="0" w:color="auto"/>
            </w:tcBorders>
            <w:noWrap/>
            <w:vAlign w:val="bottom"/>
            <w:hideMark/>
          </w:tcPr>
          <w:p w14:paraId="2C2AB57C" w14:textId="13E1283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994,88</w:t>
            </w:r>
          </w:p>
        </w:tc>
        <w:tc>
          <w:tcPr>
            <w:tcW w:w="400" w:type="pct"/>
            <w:tcBorders>
              <w:top w:val="nil"/>
              <w:left w:val="nil"/>
              <w:bottom w:val="single" w:sz="4" w:space="0" w:color="auto"/>
              <w:right w:val="single" w:sz="4" w:space="0" w:color="auto"/>
            </w:tcBorders>
            <w:noWrap/>
            <w:vAlign w:val="bottom"/>
            <w:hideMark/>
          </w:tcPr>
          <w:p w14:paraId="7D812A30" w14:textId="2D6E14D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298,74</w:t>
            </w:r>
          </w:p>
        </w:tc>
        <w:tc>
          <w:tcPr>
            <w:tcW w:w="458" w:type="pct"/>
            <w:tcBorders>
              <w:top w:val="nil"/>
              <w:left w:val="nil"/>
              <w:bottom w:val="single" w:sz="4" w:space="0" w:color="auto"/>
              <w:right w:val="single" w:sz="4" w:space="0" w:color="auto"/>
            </w:tcBorders>
            <w:noWrap/>
            <w:vAlign w:val="bottom"/>
            <w:hideMark/>
          </w:tcPr>
          <w:p w14:paraId="5F3C72F7" w14:textId="0AB4AF2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2.974,80</w:t>
            </w:r>
          </w:p>
        </w:tc>
        <w:tc>
          <w:tcPr>
            <w:tcW w:w="400" w:type="pct"/>
            <w:tcBorders>
              <w:top w:val="nil"/>
              <w:left w:val="nil"/>
              <w:bottom w:val="single" w:sz="4" w:space="0" w:color="auto"/>
              <w:right w:val="single" w:sz="4" w:space="0" w:color="auto"/>
            </w:tcBorders>
            <w:noWrap/>
            <w:vAlign w:val="bottom"/>
            <w:hideMark/>
          </w:tcPr>
          <w:p w14:paraId="2D134D91" w14:textId="0562670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994,88</w:t>
            </w:r>
          </w:p>
        </w:tc>
        <w:tc>
          <w:tcPr>
            <w:tcW w:w="400" w:type="pct"/>
            <w:tcBorders>
              <w:top w:val="nil"/>
              <w:left w:val="nil"/>
              <w:bottom w:val="single" w:sz="4" w:space="0" w:color="auto"/>
              <w:right w:val="single" w:sz="4" w:space="0" w:color="auto"/>
            </w:tcBorders>
            <w:noWrap/>
            <w:vAlign w:val="bottom"/>
            <w:hideMark/>
          </w:tcPr>
          <w:p w14:paraId="5893735D" w14:textId="4CE144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298,74</w:t>
            </w:r>
          </w:p>
        </w:tc>
      </w:tr>
      <w:tr w:rsidR="00F36883" w:rsidRPr="000020F0" w14:paraId="4BFE2FF0"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24A6C1AD" w14:textId="70A8ED58"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458" w:type="pct"/>
            <w:tcBorders>
              <w:top w:val="nil"/>
              <w:left w:val="nil"/>
              <w:bottom w:val="single" w:sz="4" w:space="0" w:color="auto"/>
              <w:right w:val="single" w:sz="4" w:space="0" w:color="auto"/>
            </w:tcBorders>
            <w:noWrap/>
            <w:vAlign w:val="bottom"/>
            <w:hideMark/>
          </w:tcPr>
          <w:p w14:paraId="2C60C86A" w14:textId="5F5AA43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21.650,00</w:t>
            </w:r>
          </w:p>
        </w:tc>
        <w:tc>
          <w:tcPr>
            <w:tcW w:w="326" w:type="pct"/>
            <w:tcBorders>
              <w:top w:val="nil"/>
              <w:left w:val="nil"/>
              <w:bottom w:val="single" w:sz="4" w:space="0" w:color="auto"/>
              <w:right w:val="single" w:sz="4" w:space="0" w:color="auto"/>
            </w:tcBorders>
            <w:noWrap/>
            <w:vAlign w:val="bottom"/>
            <w:hideMark/>
          </w:tcPr>
          <w:p w14:paraId="17F557B0" w14:textId="4F52420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0,64%</w:t>
            </w:r>
          </w:p>
        </w:tc>
        <w:tc>
          <w:tcPr>
            <w:tcW w:w="481" w:type="pct"/>
            <w:tcBorders>
              <w:top w:val="nil"/>
              <w:left w:val="nil"/>
              <w:bottom w:val="single" w:sz="4" w:space="0" w:color="auto"/>
              <w:right w:val="single" w:sz="4" w:space="0" w:color="auto"/>
            </w:tcBorders>
            <w:noWrap/>
            <w:vAlign w:val="bottom"/>
            <w:hideMark/>
          </w:tcPr>
          <w:p w14:paraId="3A31B1DC" w14:textId="544D92E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20.950,00</w:t>
            </w:r>
          </w:p>
        </w:tc>
        <w:tc>
          <w:tcPr>
            <w:tcW w:w="579" w:type="pct"/>
            <w:tcBorders>
              <w:top w:val="nil"/>
              <w:left w:val="nil"/>
              <w:bottom w:val="single" w:sz="4" w:space="0" w:color="auto"/>
              <w:right w:val="single" w:sz="4" w:space="0" w:color="auto"/>
            </w:tcBorders>
            <w:noWrap/>
            <w:vAlign w:val="bottom"/>
            <w:hideMark/>
          </w:tcPr>
          <w:p w14:paraId="1F81243C" w14:textId="0D5093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700,00</w:t>
            </w:r>
          </w:p>
        </w:tc>
        <w:tc>
          <w:tcPr>
            <w:tcW w:w="458" w:type="pct"/>
            <w:tcBorders>
              <w:top w:val="nil"/>
              <w:left w:val="single" w:sz="4" w:space="0" w:color="auto"/>
              <w:bottom w:val="single" w:sz="4" w:space="0" w:color="auto"/>
              <w:right w:val="single" w:sz="4" w:space="0" w:color="auto"/>
            </w:tcBorders>
            <w:noWrap/>
            <w:vAlign w:val="bottom"/>
            <w:hideMark/>
          </w:tcPr>
          <w:p w14:paraId="3857C712" w14:textId="555A30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15.149,32</w:t>
            </w:r>
          </w:p>
        </w:tc>
        <w:tc>
          <w:tcPr>
            <w:tcW w:w="400" w:type="pct"/>
            <w:tcBorders>
              <w:top w:val="nil"/>
              <w:left w:val="nil"/>
              <w:bottom w:val="single" w:sz="4" w:space="0" w:color="auto"/>
              <w:right w:val="single" w:sz="4" w:space="0" w:color="auto"/>
            </w:tcBorders>
            <w:noWrap/>
            <w:vAlign w:val="bottom"/>
            <w:hideMark/>
          </w:tcPr>
          <w:p w14:paraId="1A7CDD00" w14:textId="55C4058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4.999,45</w:t>
            </w:r>
          </w:p>
        </w:tc>
        <w:tc>
          <w:tcPr>
            <w:tcW w:w="400" w:type="pct"/>
            <w:tcBorders>
              <w:top w:val="nil"/>
              <w:left w:val="nil"/>
              <w:bottom w:val="single" w:sz="4" w:space="0" w:color="auto"/>
              <w:right w:val="single" w:sz="4" w:space="0" w:color="auto"/>
            </w:tcBorders>
            <w:noWrap/>
            <w:vAlign w:val="bottom"/>
            <w:hideMark/>
          </w:tcPr>
          <w:p w14:paraId="43370C36" w14:textId="0725B19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1.501,23</w:t>
            </w:r>
          </w:p>
        </w:tc>
        <w:tc>
          <w:tcPr>
            <w:tcW w:w="458" w:type="pct"/>
            <w:tcBorders>
              <w:top w:val="nil"/>
              <w:left w:val="nil"/>
              <w:bottom w:val="single" w:sz="4" w:space="0" w:color="auto"/>
              <w:right w:val="single" w:sz="4" w:space="0" w:color="auto"/>
            </w:tcBorders>
            <w:noWrap/>
            <w:vAlign w:val="bottom"/>
            <w:hideMark/>
          </w:tcPr>
          <w:p w14:paraId="31DC4AD6" w14:textId="5B01920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14.449,32</w:t>
            </w:r>
          </w:p>
        </w:tc>
        <w:tc>
          <w:tcPr>
            <w:tcW w:w="400" w:type="pct"/>
            <w:tcBorders>
              <w:top w:val="nil"/>
              <w:left w:val="nil"/>
              <w:bottom w:val="single" w:sz="4" w:space="0" w:color="auto"/>
              <w:right w:val="single" w:sz="4" w:space="0" w:color="auto"/>
            </w:tcBorders>
            <w:noWrap/>
            <w:vAlign w:val="bottom"/>
            <w:hideMark/>
          </w:tcPr>
          <w:p w14:paraId="6B2FB7B3" w14:textId="11815E8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4.999,45</w:t>
            </w:r>
          </w:p>
        </w:tc>
        <w:tc>
          <w:tcPr>
            <w:tcW w:w="400" w:type="pct"/>
            <w:tcBorders>
              <w:top w:val="nil"/>
              <w:left w:val="nil"/>
              <w:bottom w:val="single" w:sz="4" w:space="0" w:color="auto"/>
              <w:right w:val="single" w:sz="4" w:space="0" w:color="auto"/>
            </w:tcBorders>
            <w:noWrap/>
            <w:vAlign w:val="bottom"/>
            <w:hideMark/>
          </w:tcPr>
          <w:p w14:paraId="20A74491" w14:textId="2103FF4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1.501,23</w:t>
            </w:r>
          </w:p>
        </w:tc>
      </w:tr>
      <w:tr w:rsidR="00F36883" w:rsidRPr="000020F0" w14:paraId="490EEC99"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7181EC0B" w14:textId="1C187AA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Stroški varnosti pri delu</w:t>
            </w:r>
          </w:p>
        </w:tc>
        <w:tc>
          <w:tcPr>
            <w:tcW w:w="458" w:type="pct"/>
            <w:tcBorders>
              <w:top w:val="nil"/>
              <w:left w:val="nil"/>
              <w:bottom w:val="single" w:sz="4" w:space="0" w:color="auto"/>
              <w:right w:val="single" w:sz="4" w:space="0" w:color="auto"/>
            </w:tcBorders>
            <w:noWrap/>
            <w:vAlign w:val="bottom"/>
            <w:hideMark/>
          </w:tcPr>
          <w:p w14:paraId="20494461" w14:textId="2DE254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7.280,76</w:t>
            </w:r>
          </w:p>
        </w:tc>
        <w:tc>
          <w:tcPr>
            <w:tcW w:w="326" w:type="pct"/>
            <w:tcBorders>
              <w:top w:val="nil"/>
              <w:left w:val="nil"/>
              <w:bottom w:val="single" w:sz="4" w:space="0" w:color="auto"/>
              <w:right w:val="single" w:sz="4" w:space="0" w:color="auto"/>
            </w:tcBorders>
            <w:noWrap/>
            <w:vAlign w:val="bottom"/>
            <w:hideMark/>
          </w:tcPr>
          <w:p w14:paraId="35D103BF" w14:textId="5D71BCB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0,22%</w:t>
            </w:r>
          </w:p>
        </w:tc>
        <w:tc>
          <w:tcPr>
            <w:tcW w:w="481" w:type="pct"/>
            <w:tcBorders>
              <w:top w:val="nil"/>
              <w:left w:val="nil"/>
              <w:bottom w:val="single" w:sz="4" w:space="0" w:color="auto"/>
              <w:right w:val="single" w:sz="4" w:space="0" w:color="auto"/>
            </w:tcBorders>
            <w:noWrap/>
            <w:vAlign w:val="bottom"/>
            <w:hideMark/>
          </w:tcPr>
          <w:p w14:paraId="2E898D4E" w14:textId="1B2C24B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5.861,16</w:t>
            </w:r>
          </w:p>
        </w:tc>
        <w:tc>
          <w:tcPr>
            <w:tcW w:w="579" w:type="pct"/>
            <w:tcBorders>
              <w:top w:val="nil"/>
              <w:left w:val="nil"/>
              <w:bottom w:val="single" w:sz="4" w:space="0" w:color="auto"/>
              <w:right w:val="single" w:sz="4" w:space="0" w:color="auto"/>
            </w:tcBorders>
            <w:noWrap/>
            <w:vAlign w:val="bottom"/>
            <w:hideMark/>
          </w:tcPr>
          <w:p w14:paraId="6DFEB7C9" w14:textId="3287731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1.419,60</w:t>
            </w:r>
          </w:p>
        </w:tc>
        <w:tc>
          <w:tcPr>
            <w:tcW w:w="458" w:type="pct"/>
            <w:tcBorders>
              <w:top w:val="nil"/>
              <w:left w:val="single" w:sz="4" w:space="0" w:color="auto"/>
              <w:bottom w:val="single" w:sz="4" w:space="0" w:color="auto"/>
              <w:right w:val="single" w:sz="4" w:space="0" w:color="auto"/>
            </w:tcBorders>
            <w:noWrap/>
            <w:vAlign w:val="bottom"/>
            <w:hideMark/>
          </w:tcPr>
          <w:p w14:paraId="5FDD7AAD" w14:textId="1A74BBD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5.074,19</w:t>
            </w:r>
          </w:p>
        </w:tc>
        <w:tc>
          <w:tcPr>
            <w:tcW w:w="400" w:type="pct"/>
            <w:tcBorders>
              <w:top w:val="nil"/>
              <w:left w:val="nil"/>
              <w:bottom w:val="single" w:sz="4" w:space="0" w:color="auto"/>
              <w:right w:val="single" w:sz="4" w:space="0" w:color="auto"/>
            </w:tcBorders>
            <w:noWrap/>
            <w:vAlign w:val="bottom"/>
            <w:hideMark/>
          </w:tcPr>
          <w:p w14:paraId="4EB824F9" w14:textId="3789723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1.697,00</w:t>
            </w:r>
          </w:p>
        </w:tc>
        <w:tc>
          <w:tcPr>
            <w:tcW w:w="400" w:type="pct"/>
            <w:tcBorders>
              <w:top w:val="nil"/>
              <w:left w:val="nil"/>
              <w:bottom w:val="single" w:sz="4" w:space="0" w:color="auto"/>
              <w:right w:val="single" w:sz="4" w:space="0" w:color="auto"/>
            </w:tcBorders>
            <w:noWrap/>
            <w:vAlign w:val="bottom"/>
            <w:hideMark/>
          </w:tcPr>
          <w:p w14:paraId="096F5467" w14:textId="4D2214C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509,57</w:t>
            </w:r>
          </w:p>
        </w:tc>
        <w:tc>
          <w:tcPr>
            <w:tcW w:w="458" w:type="pct"/>
            <w:tcBorders>
              <w:top w:val="nil"/>
              <w:left w:val="nil"/>
              <w:bottom w:val="single" w:sz="4" w:space="0" w:color="auto"/>
              <w:right w:val="single" w:sz="4" w:space="0" w:color="auto"/>
            </w:tcBorders>
            <w:noWrap/>
            <w:vAlign w:val="bottom"/>
            <w:hideMark/>
          </w:tcPr>
          <w:p w14:paraId="0F05B522" w14:textId="0655029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3.654,59</w:t>
            </w:r>
          </w:p>
        </w:tc>
        <w:tc>
          <w:tcPr>
            <w:tcW w:w="400" w:type="pct"/>
            <w:tcBorders>
              <w:top w:val="nil"/>
              <w:left w:val="nil"/>
              <w:bottom w:val="single" w:sz="4" w:space="0" w:color="auto"/>
              <w:right w:val="single" w:sz="4" w:space="0" w:color="auto"/>
            </w:tcBorders>
            <w:noWrap/>
            <w:vAlign w:val="bottom"/>
            <w:hideMark/>
          </w:tcPr>
          <w:p w14:paraId="6902984A" w14:textId="52036E1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1.697,00</w:t>
            </w:r>
          </w:p>
        </w:tc>
        <w:tc>
          <w:tcPr>
            <w:tcW w:w="400" w:type="pct"/>
            <w:tcBorders>
              <w:top w:val="nil"/>
              <w:left w:val="nil"/>
              <w:bottom w:val="single" w:sz="4" w:space="0" w:color="auto"/>
              <w:right w:val="single" w:sz="4" w:space="0" w:color="auto"/>
            </w:tcBorders>
            <w:noWrap/>
            <w:vAlign w:val="bottom"/>
            <w:hideMark/>
          </w:tcPr>
          <w:p w14:paraId="23993EE7" w14:textId="4175A69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509,57</w:t>
            </w:r>
          </w:p>
        </w:tc>
      </w:tr>
      <w:tr w:rsidR="00F36883" w:rsidRPr="000020F0" w14:paraId="0C1B20F2"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5C978AC3" w14:textId="5984AF31"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Arheologija</w:t>
            </w:r>
          </w:p>
        </w:tc>
        <w:tc>
          <w:tcPr>
            <w:tcW w:w="458" w:type="pct"/>
            <w:tcBorders>
              <w:top w:val="nil"/>
              <w:left w:val="nil"/>
              <w:bottom w:val="single" w:sz="4" w:space="0" w:color="auto"/>
              <w:right w:val="single" w:sz="4" w:space="0" w:color="auto"/>
            </w:tcBorders>
            <w:noWrap/>
            <w:vAlign w:val="bottom"/>
            <w:hideMark/>
          </w:tcPr>
          <w:p w14:paraId="3CB34B3C" w14:textId="73B3CFD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15.686,16</w:t>
            </w:r>
          </w:p>
        </w:tc>
        <w:tc>
          <w:tcPr>
            <w:tcW w:w="326" w:type="pct"/>
            <w:tcBorders>
              <w:top w:val="nil"/>
              <w:left w:val="nil"/>
              <w:bottom w:val="single" w:sz="4" w:space="0" w:color="auto"/>
              <w:right w:val="single" w:sz="4" w:space="0" w:color="auto"/>
            </w:tcBorders>
            <w:noWrap/>
            <w:vAlign w:val="bottom"/>
            <w:hideMark/>
          </w:tcPr>
          <w:p w14:paraId="455A01F5" w14:textId="219B5E8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0,46%</w:t>
            </w:r>
          </w:p>
        </w:tc>
        <w:tc>
          <w:tcPr>
            <w:tcW w:w="481" w:type="pct"/>
            <w:tcBorders>
              <w:top w:val="nil"/>
              <w:left w:val="nil"/>
              <w:bottom w:val="single" w:sz="4" w:space="0" w:color="auto"/>
              <w:right w:val="single" w:sz="4" w:space="0" w:color="auto"/>
            </w:tcBorders>
            <w:noWrap/>
            <w:vAlign w:val="bottom"/>
            <w:hideMark/>
          </w:tcPr>
          <w:p w14:paraId="2909E095" w14:textId="1E39607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15.686,16</w:t>
            </w:r>
          </w:p>
        </w:tc>
        <w:tc>
          <w:tcPr>
            <w:tcW w:w="579" w:type="pct"/>
            <w:tcBorders>
              <w:top w:val="nil"/>
              <w:left w:val="nil"/>
              <w:bottom w:val="single" w:sz="4" w:space="0" w:color="auto"/>
              <w:right w:val="single" w:sz="4" w:space="0" w:color="auto"/>
            </w:tcBorders>
            <w:noWrap/>
            <w:vAlign w:val="bottom"/>
            <w:hideMark/>
          </w:tcPr>
          <w:p w14:paraId="7AF98007" w14:textId="389D286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single" w:sz="4" w:space="0" w:color="auto"/>
              <w:bottom w:val="single" w:sz="4" w:space="0" w:color="auto"/>
              <w:right w:val="single" w:sz="4" w:space="0" w:color="auto"/>
            </w:tcBorders>
            <w:noWrap/>
            <w:vAlign w:val="bottom"/>
            <w:hideMark/>
          </w:tcPr>
          <w:p w14:paraId="50B18CD2" w14:textId="75E0B81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10.932,18</w:t>
            </w:r>
          </w:p>
        </w:tc>
        <w:tc>
          <w:tcPr>
            <w:tcW w:w="400" w:type="pct"/>
            <w:tcBorders>
              <w:top w:val="nil"/>
              <w:left w:val="nil"/>
              <w:bottom w:val="single" w:sz="4" w:space="0" w:color="auto"/>
              <w:right w:val="single" w:sz="4" w:space="0" w:color="auto"/>
            </w:tcBorders>
            <w:noWrap/>
            <w:vAlign w:val="bottom"/>
            <w:hideMark/>
          </w:tcPr>
          <w:p w14:paraId="46742CEE" w14:textId="117D756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3.656,13</w:t>
            </w:r>
          </w:p>
        </w:tc>
        <w:tc>
          <w:tcPr>
            <w:tcW w:w="400" w:type="pct"/>
            <w:tcBorders>
              <w:top w:val="nil"/>
              <w:left w:val="nil"/>
              <w:bottom w:val="single" w:sz="4" w:space="0" w:color="auto"/>
              <w:right w:val="single" w:sz="4" w:space="0" w:color="auto"/>
            </w:tcBorders>
            <w:noWrap/>
            <w:vAlign w:val="bottom"/>
            <w:hideMark/>
          </w:tcPr>
          <w:p w14:paraId="71EC7BBA" w14:textId="35330AB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1.097,86</w:t>
            </w:r>
          </w:p>
        </w:tc>
        <w:tc>
          <w:tcPr>
            <w:tcW w:w="458" w:type="pct"/>
            <w:tcBorders>
              <w:top w:val="nil"/>
              <w:left w:val="nil"/>
              <w:bottom w:val="single" w:sz="4" w:space="0" w:color="auto"/>
              <w:right w:val="single" w:sz="4" w:space="0" w:color="auto"/>
            </w:tcBorders>
            <w:noWrap/>
            <w:vAlign w:val="bottom"/>
            <w:hideMark/>
          </w:tcPr>
          <w:p w14:paraId="18538389" w14:textId="6ACD5F9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10.932,18</w:t>
            </w:r>
          </w:p>
        </w:tc>
        <w:tc>
          <w:tcPr>
            <w:tcW w:w="400" w:type="pct"/>
            <w:tcBorders>
              <w:top w:val="nil"/>
              <w:left w:val="nil"/>
              <w:bottom w:val="single" w:sz="4" w:space="0" w:color="auto"/>
              <w:right w:val="single" w:sz="4" w:space="0" w:color="auto"/>
            </w:tcBorders>
            <w:noWrap/>
            <w:vAlign w:val="bottom"/>
            <w:hideMark/>
          </w:tcPr>
          <w:p w14:paraId="56E9E713" w14:textId="2CDEDD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3.656,13</w:t>
            </w:r>
          </w:p>
        </w:tc>
        <w:tc>
          <w:tcPr>
            <w:tcW w:w="400" w:type="pct"/>
            <w:tcBorders>
              <w:top w:val="nil"/>
              <w:left w:val="nil"/>
              <w:bottom w:val="single" w:sz="4" w:space="0" w:color="auto"/>
              <w:right w:val="single" w:sz="4" w:space="0" w:color="auto"/>
            </w:tcBorders>
            <w:noWrap/>
            <w:vAlign w:val="bottom"/>
            <w:hideMark/>
          </w:tcPr>
          <w:p w14:paraId="6652A89B" w14:textId="0DF5C9B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1.097,86</w:t>
            </w:r>
          </w:p>
        </w:tc>
      </w:tr>
      <w:tr w:rsidR="00F36883" w:rsidRPr="000020F0" w14:paraId="28D7869F"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07CBA734" w14:textId="4953B67D"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458" w:type="pct"/>
            <w:tcBorders>
              <w:top w:val="nil"/>
              <w:left w:val="nil"/>
              <w:bottom w:val="single" w:sz="4" w:space="0" w:color="auto"/>
              <w:right w:val="single" w:sz="4" w:space="0" w:color="auto"/>
            </w:tcBorders>
            <w:noWrap/>
            <w:vAlign w:val="bottom"/>
            <w:hideMark/>
          </w:tcPr>
          <w:p w14:paraId="2ADA2DB7" w14:textId="06346BF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3.352,16</w:t>
            </w:r>
          </w:p>
        </w:tc>
        <w:tc>
          <w:tcPr>
            <w:tcW w:w="326" w:type="pct"/>
            <w:tcBorders>
              <w:top w:val="nil"/>
              <w:left w:val="nil"/>
              <w:bottom w:val="single" w:sz="4" w:space="0" w:color="auto"/>
              <w:right w:val="single" w:sz="4" w:space="0" w:color="auto"/>
            </w:tcBorders>
            <w:noWrap/>
            <w:vAlign w:val="bottom"/>
            <w:hideMark/>
          </w:tcPr>
          <w:p w14:paraId="0F188553" w14:textId="660AEC7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0,10%</w:t>
            </w:r>
          </w:p>
        </w:tc>
        <w:tc>
          <w:tcPr>
            <w:tcW w:w="481" w:type="pct"/>
            <w:tcBorders>
              <w:top w:val="nil"/>
              <w:left w:val="nil"/>
              <w:bottom w:val="single" w:sz="4" w:space="0" w:color="auto"/>
              <w:right w:val="single" w:sz="4" w:space="0" w:color="auto"/>
            </w:tcBorders>
            <w:noWrap/>
            <w:vAlign w:val="bottom"/>
            <w:hideMark/>
          </w:tcPr>
          <w:p w14:paraId="3ABF6B56" w14:textId="628DAA4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5C85A632" w14:textId="6A1B73A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3.352,16</w:t>
            </w:r>
          </w:p>
        </w:tc>
        <w:tc>
          <w:tcPr>
            <w:tcW w:w="458" w:type="pct"/>
            <w:tcBorders>
              <w:top w:val="nil"/>
              <w:left w:val="single" w:sz="4" w:space="0" w:color="auto"/>
              <w:bottom w:val="single" w:sz="4" w:space="0" w:color="auto"/>
              <w:right w:val="single" w:sz="4" w:space="0" w:color="auto"/>
            </w:tcBorders>
            <w:noWrap/>
            <w:vAlign w:val="bottom"/>
            <w:hideMark/>
          </w:tcPr>
          <w:p w14:paraId="0E45B1D8" w14:textId="44955D3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3.425,90</w:t>
            </w:r>
          </w:p>
        </w:tc>
        <w:tc>
          <w:tcPr>
            <w:tcW w:w="400" w:type="pct"/>
            <w:tcBorders>
              <w:top w:val="nil"/>
              <w:left w:val="nil"/>
              <w:bottom w:val="single" w:sz="4" w:space="0" w:color="auto"/>
              <w:right w:val="single" w:sz="4" w:space="0" w:color="auto"/>
            </w:tcBorders>
            <w:noWrap/>
            <w:vAlign w:val="bottom"/>
            <w:hideMark/>
          </w:tcPr>
          <w:p w14:paraId="22C4719B" w14:textId="2514F2D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6546FB62" w14:textId="46C04ED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6F26C1A7" w14:textId="44E562F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CE028D1" w14:textId="4C20E7B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E8AAB38" w14:textId="0B62CC6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3BDC9399"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6F543E3A" w14:textId="3CA2392D"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lastRenderedPageBreak/>
              <w:t>Nakup nepremičnine</w:t>
            </w:r>
          </w:p>
        </w:tc>
        <w:tc>
          <w:tcPr>
            <w:tcW w:w="458" w:type="pct"/>
            <w:tcBorders>
              <w:top w:val="nil"/>
              <w:left w:val="nil"/>
              <w:bottom w:val="single" w:sz="4" w:space="0" w:color="auto"/>
              <w:right w:val="single" w:sz="4" w:space="0" w:color="auto"/>
            </w:tcBorders>
            <w:noWrap/>
            <w:vAlign w:val="bottom"/>
            <w:hideMark/>
          </w:tcPr>
          <w:p w14:paraId="0DE42751" w14:textId="5BBE38A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280.000,00</w:t>
            </w:r>
          </w:p>
        </w:tc>
        <w:tc>
          <w:tcPr>
            <w:tcW w:w="326" w:type="pct"/>
            <w:tcBorders>
              <w:top w:val="nil"/>
              <w:left w:val="nil"/>
              <w:bottom w:val="single" w:sz="4" w:space="0" w:color="auto"/>
              <w:right w:val="single" w:sz="4" w:space="0" w:color="auto"/>
            </w:tcBorders>
            <w:noWrap/>
            <w:vAlign w:val="bottom"/>
            <w:hideMark/>
          </w:tcPr>
          <w:p w14:paraId="04C505CD" w14:textId="30DB1A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8,27%</w:t>
            </w:r>
          </w:p>
        </w:tc>
        <w:tc>
          <w:tcPr>
            <w:tcW w:w="481" w:type="pct"/>
            <w:tcBorders>
              <w:top w:val="nil"/>
              <w:left w:val="nil"/>
              <w:bottom w:val="single" w:sz="4" w:space="0" w:color="auto"/>
              <w:right w:val="single" w:sz="4" w:space="0" w:color="auto"/>
            </w:tcBorders>
            <w:noWrap/>
            <w:vAlign w:val="bottom"/>
            <w:hideMark/>
          </w:tcPr>
          <w:p w14:paraId="157C45DE" w14:textId="751E586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5B91188F" w14:textId="0EC3D7D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280.000,00</w:t>
            </w:r>
          </w:p>
        </w:tc>
        <w:tc>
          <w:tcPr>
            <w:tcW w:w="458" w:type="pct"/>
            <w:tcBorders>
              <w:top w:val="nil"/>
              <w:left w:val="single" w:sz="4" w:space="0" w:color="auto"/>
              <w:bottom w:val="single" w:sz="4" w:space="0" w:color="auto"/>
              <w:right w:val="single" w:sz="4" w:space="0" w:color="auto"/>
            </w:tcBorders>
            <w:noWrap/>
            <w:vAlign w:val="bottom"/>
            <w:hideMark/>
          </w:tcPr>
          <w:p w14:paraId="686807A7" w14:textId="332690F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280.000,00</w:t>
            </w:r>
          </w:p>
        </w:tc>
        <w:tc>
          <w:tcPr>
            <w:tcW w:w="400" w:type="pct"/>
            <w:tcBorders>
              <w:top w:val="nil"/>
              <w:left w:val="nil"/>
              <w:bottom w:val="single" w:sz="4" w:space="0" w:color="auto"/>
              <w:right w:val="single" w:sz="4" w:space="0" w:color="auto"/>
            </w:tcBorders>
            <w:noWrap/>
            <w:vAlign w:val="bottom"/>
            <w:hideMark/>
          </w:tcPr>
          <w:p w14:paraId="79FA8C79" w14:textId="650F3F3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BEBF2FF" w14:textId="2F3F560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45D5EFFC" w14:textId="6DCA9B0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B647E19" w14:textId="6F2A673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9465FF9" w14:textId="5DDB0AFC"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16088E24"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18171AA5" w14:textId="26CD7BB5" w:rsidR="00F36883" w:rsidRPr="000020F0" w:rsidRDefault="00F36883" w:rsidP="00F36883">
            <w:pPr>
              <w:rPr>
                <w:rFonts w:ascii="Roboto" w:hAnsi="Roboto"/>
                <w:color w:val="000000"/>
                <w:sz w:val="20"/>
                <w:szCs w:val="20"/>
              </w:rPr>
            </w:pPr>
            <w:r w:rsidRPr="000020F0">
              <w:rPr>
                <w:rFonts w:ascii="Roboto" w:hAnsi="Roboto"/>
                <w:color w:val="000000"/>
                <w:sz w:val="20"/>
                <w:szCs w:val="20"/>
              </w:rPr>
              <w:t>Druga dela ob rušenju objekta (neobdavčeno)</w:t>
            </w:r>
          </w:p>
        </w:tc>
        <w:tc>
          <w:tcPr>
            <w:tcW w:w="458" w:type="pct"/>
            <w:tcBorders>
              <w:top w:val="nil"/>
              <w:left w:val="nil"/>
              <w:bottom w:val="single" w:sz="4" w:space="0" w:color="auto"/>
              <w:right w:val="single" w:sz="4" w:space="0" w:color="auto"/>
            </w:tcBorders>
            <w:noWrap/>
            <w:vAlign w:val="bottom"/>
            <w:hideMark/>
          </w:tcPr>
          <w:p w14:paraId="4965D90C" w14:textId="4E64DE0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776,00</w:t>
            </w:r>
          </w:p>
        </w:tc>
        <w:tc>
          <w:tcPr>
            <w:tcW w:w="326" w:type="pct"/>
            <w:tcBorders>
              <w:top w:val="nil"/>
              <w:left w:val="nil"/>
              <w:bottom w:val="single" w:sz="4" w:space="0" w:color="auto"/>
              <w:right w:val="single" w:sz="4" w:space="0" w:color="auto"/>
            </w:tcBorders>
            <w:noWrap/>
            <w:vAlign w:val="bottom"/>
            <w:hideMark/>
          </w:tcPr>
          <w:p w14:paraId="63448889" w14:textId="230EA3A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0,02%</w:t>
            </w:r>
          </w:p>
        </w:tc>
        <w:tc>
          <w:tcPr>
            <w:tcW w:w="481" w:type="pct"/>
            <w:tcBorders>
              <w:top w:val="nil"/>
              <w:left w:val="nil"/>
              <w:bottom w:val="single" w:sz="4" w:space="0" w:color="auto"/>
              <w:right w:val="single" w:sz="4" w:space="0" w:color="auto"/>
            </w:tcBorders>
            <w:noWrap/>
            <w:vAlign w:val="bottom"/>
            <w:hideMark/>
          </w:tcPr>
          <w:p w14:paraId="5736CE2E" w14:textId="36577D4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6C908F74" w14:textId="0A9C448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776,00</w:t>
            </w:r>
          </w:p>
        </w:tc>
        <w:tc>
          <w:tcPr>
            <w:tcW w:w="458" w:type="pct"/>
            <w:tcBorders>
              <w:top w:val="nil"/>
              <w:left w:val="single" w:sz="4" w:space="0" w:color="auto"/>
              <w:bottom w:val="single" w:sz="4" w:space="0" w:color="auto"/>
              <w:right w:val="single" w:sz="4" w:space="0" w:color="auto"/>
            </w:tcBorders>
            <w:noWrap/>
            <w:vAlign w:val="bottom"/>
            <w:hideMark/>
          </w:tcPr>
          <w:p w14:paraId="00DC3FB1" w14:textId="5F43127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776,00</w:t>
            </w:r>
          </w:p>
        </w:tc>
        <w:tc>
          <w:tcPr>
            <w:tcW w:w="400" w:type="pct"/>
            <w:tcBorders>
              <w:top w:val="nil"/>
              <w:left w:val="nil"/>
              <w:bottom w:val="single" w:sz="4" w:space="0" w:color="auto"/>
              <w:right w:val="single" w:sz="4" w:space="0" w:color="auto"/>
            </w:tcBorders>
            <w:noWrap/>
            <w:vAlign w:val="bottom"/>
            <w:hideMark/>
          </w:tcPr>
          <w:p w14:paraId="1C84282B" w14:textId="2F50667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505BC50" w14:textId="0A4D372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1815FB01" w14:textId="65CD3E2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E4B1E75" w14:textId="66AC6CE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2DC3C78" w14:textId="1A564BF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73884F43"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6141C242" w14:textId="31766A22" w:rsidR="00F36883" w:rsidRPr="000020F0" w:rsidRDefault="00F36883" w:rsidP="00F36883">
            <w:pPr>
              <w:rPr>
                <w:rFonts w:ascii="Roboto" w:hAnsi="Roboto"/>
                <w:color w:val="000000"/>
                <w:sz w:val="20"/>
                <w:szCs w:val="20"/>
              </w:rPr>
            </w:pPr>
            <w:r w:rsidRPr="000020F0">
              <w:rPr>
                <w:rFonts w:ascii="Roboto" w:hAnsi="Roboto"/>
                <w:color w:val="000000"/>
                <w:sz w:val="20"/>
                <w:szCs w:val="20"/>
              </w:rPr>
              <w:t>Druga dela ob rušenju objekta (9,5% DDV)</w:t>
            </w:r>
          </w:p>
        </w:tc>
        <w:tc>
          <w:tcPr>
            <w:tcW w:w="458" w:type="pct"/>
            <w:tcBorders>
              <w:top w:val="nil"/>
              <w:left w:val="nil"/>
              <w:bottom w:val="single" w:sz="4" w:space="0" w:color="auto"/>
              <w:right w:val="single" w:sz="4" w:space="0" w:color="auto"/>
            </w:tcBorders>
            <w:noWrap/>
            <w:vAlign w:val="bottom"/>
            <w:hideMark/>
          </w:tcPr>
          <w:p w14:paraId="32C64D3F" w14:textId="40BC514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545,96</w:t>
            </w:r>
          </w:p>
        </w:tc>
        <w:tc>
          <w:tcPr>
            <w:tcW w:w="326" w:type="pct"/>
            <w:tcBorders>
              <w:top w:val="nil"/>
              <w:left w:val="nil"/>
              <w:bottom w:val="single" w:sz="4" w:space="0" w:color="auto"/>
              <w:right w:val="single" w:sz="4" w:space="0" w:color="auto"/>
            </w:tcBorders>
            <w:noWrap/>
            <w:vAlign w:val="bottom"/>
            <w:hideMark/>
          </w:tcPr>
          <w:p w14:paraId="7C8E399B" w14:textId="4280D75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0,02%</w:t>
            </w:r>
          </w:p>
        </w:tc>
        <w:tc>
          <w:tcPr>
            <w:tcW w:w="481" w:type="pct"/>
            <w:tcBorders>
              <w:top w:val="nil"/>
              <w:left w:val="nil"/>
              <w:bottom w:val="single" w:sz="4" w:space="0" w:color="auto"/>
              <w:right w:val="single" w:sz="4" w:space="0" w:color="auto"/>
            </w:tcBorders>
            <w:noWrap/>
            <w:vAlign w:val="bottom"/>
            <w:hideMark/>
          </w:tcPr>
          <w:p w14:paraId="7744F9B3" w14:textId="7C48AC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2C2C34C0" w14:textId="0C109A6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545,96</w:t>
            </w:r>
          </w:p>
        </w:tc>
        <w:tc>
          <w:tcPr>
            <w:tcW w:w="458" w:type="pct"/>
            <w:tcBorders>
              <w:top w:val="nil"/>
              <w:left w:val="single" w:sz="4" w:space="0" w:color="auto"/>
              <w:bottom w:val="single" w:sz="4" w:space="0" w:color="auto"/>
              <w:right w:val="single" w:sz="4" w:space="0" w:color="auto"/>
            </w:tcBorders>
            <w:noWrap/>
            <w:vAlign w:val="bottom"/>
            <w:hideMark/>
          </w:tcPr>
          <w:p w14:paraId="36F072CE" w14:textId="5DF14E5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545,96</w:t>
            </w:r>
          </w:p>
        </w:tc>
        <w:tc>
          <w:tcPr>
            <w:tcW w:w="400" w:type="pct"/>
            <w:tcBorders>
              <w:top w:val="nil"/>
              <w:left w:val="nil"/>
              <w:bottom w:val="single" w:sz="4" w:space="0" w:color="auto"/>
              <w:right w:val="single" w:sz="4" w:space="0" w:color="auto"/>
            </w:tcBorders>
            <w:noWrap/>
            <w:vAlign w:val="bottom"/>
            <w:hideMark/>
          </w:tcPr>
          <w:p w14:paraId="4171267F" w14:textId="46268DF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2CDEB1ED" w14:textId="162866E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765C9820" w14:textId="6C54631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9450B52" w14:textId="44B231C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8D020D4" w14:textId="3DEFFB6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0EDCDAF1"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4F55ACE8" w14:textId="0F64F85B" w:rsidR="00F36883" w:rsidRPr="000020F0" w:rsidRDefault="00F36883" w:rsidP="00F36883">
            <w:pPr>
              <w:rPr>
                <w:rFonts w:ascii="Roboto" w:hAnsi="Roboto"/>
                <w:color w:val="000000"/>
                <w:sz w:val="20"/>
                <w:szCs w:val="20"/>
              </w:rPr>
            </w:pPr>
            <w:r w:rsidRPr="000020F0">
              <w:rPr>
                <w:rFonts w:ascii="Roboto" w:hAnsi="Roboto"/>
                <w:color w:val="000000"/>
                <w:sz w:val="20"/>
                <w:szCs w:val="20"/>
              </w:rPr>
              <w:t>Druga dela ob rušenju objekta</w:t>
            </w:r>
          </w:p>
        </w:tc>
        <w:tc>
          <w:tcPr>
            <w:tcW w:w="458" w:type="pct"/>
            <w:tcBorders>
              <w:top w:val="nil"/>
              <w:left w:val="nil"/>
              <w:bottom w:val="single" w:sz="4" w:space="0" w:color="auto"/>
              <w:right w:val="single" w:sz="4" w:space="0" w:color="auto"/>
            </w:tcBorders>
            <w:noWrap/>
            <w:vAlign w:val="bottom"/>
            <w:hideMark/>
          </w:tcPr>
          <w:p w14:paraId="24D72BF5" w14:textId="19ED568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5.483,07</w:t>
            </w:r>
          </w:p>
        </w:tc>
        <w:tc>
          <w:tcPr>
            <w:tcW w:w="326" w:type="pct"/>
            <w:tcBorders>
              <w:top w:val="nil"/>
              <w:left w:val="nil"/>
              <w:bottom w:val="single" w:sz="4" w:space="0" w:color="auto"/>
              <w:right w:val="single" w:sz="4" w:space="0" w:color="auto"/>
            </w:tcBorders>
            <w:noWrap/>
            <w:vAlign w:val="bottom"/>
            <w:hideMark/>
          </w:tcPr>
          <w:p w14:paraId="6DBE0A27" w14:textId="6F93450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0,16%</w:t>
            </w:r>
          </w:p>
        </w:tc>
        <w:tc>
          <w:tcPr>
            <w:tcW w:w="481" w:type="pct"/>
            <w:tcBorders>
              <w:top w:val="nil"/>
              <w:left w:val="nil"/>
              <w:bottom w:val="single" w:sz="4" w:space="0" w:color="auto"/>
              <w:right w:val="single" w:sz="4" w:space="0" w:color="auto"/>
            </w:tcBorders>
            <w:noWrap/>
            <w:vAlign w:val="bottom"/>
            <w:hideMark/>
          </w:tcPr>
          <w:p w14:paraId="2E986431" w14:textId="4CAAD5B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2748868A" w14:textId="140F828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5.483,07</w:t>
            </w:r>
          </w:p>
        </w:tc>
        <w:tc>
          <w:tcPr>
            <w:tcW w:w="458" w:type="pct"/>
            <w:tcBorders>
              <w:top w:val="nil"/>
              <w:left w:val="single" w:sz="4" w:space="0" w:color="auto"/>
              <w:bottom w:val="single" w:sz="4" w:space="0" w:color="auto"/>
              <w:right w:val="single" w:sz="4" w:space="0" w:color="auto"/>
            </w:tcBorders>
            <w:noWrap/>
            <w:vAlign w:val="bottom"/>
            <w:hideMark/>
          </w:tcPr>
          <w:p w14:paraId="245E34B3" w14:textId="5EA03E0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5.483,07</w:t>
            </w:r>
          </w:p>
        </w:tc>
        <w:tc>
          <w:tcPr>
            <w:tcW w:w="400" w:type="pct"/>
            <w:tcBorders>
              <w:top w:val="nil"/>
              <w:left w:val="nil"/>
              <w:bottom w:val="single" w:sz="4" w:space="0" w:color="auto"/>
              <w:right w:val="single" w:sz="4" w:space="0" w:color="auto"/>
            </w:tcBorders>
            <w:noWrap/>
            <w:vAlign w:val="bottom"/>
            <w:hideMark/>
          </w:tcPr>
          <w:p w14:paraId="4D188554" w14:textId="47E5F7F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0BFBA3D" w14:textId="64E422A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16587E05" w14:textId="019050F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BE740B5" w14:textId="33B8127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1AA571D" w14:textId="05D504C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12393B9C"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49C7F623" w14:textId="16D374AA"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Vpis v kataster</w:t>
            </w:r>
          </w:p>
        </w:tc>
        <w:tc>
          <w:tcPr>
            <w:tcW w:w="458" w:type="pct"/>
            <w:tcBorders>
              <w:top w:val="nil"/>
              <w:left w:val="nil"/>
              <w:bottom w:val="single" w:sz="4" w:space="0" w:color="auto"/>
              <w:right w:val="single" w:sz="4" w:space="0" w:color="auto"/>
            </w:tcBorders>
            <w:noWrap/>
            <w:vAlign w:val="bottom"/>
            <w:hideMark/>
          </w:tcPr>
          <w:p w14:paraId="173A8B76" w14:textId="1919E0A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991,38</w:t>
            </w:r>
          </w:p>
        </w:tc>
        <w:tc>
          <w:tcPr>
            <w:tcW w:w="326" w:type="pct"/>
            <w:tcBorders>
              <w:top w:val="nil"/>
              <w:left w:val="nil"/>
              <w:bottom w:val="single" w:sz="4" w:space="0" w:color="auto"/>
              <w:right w:val="single" w:sz="4" w:space="0" w:color="auto"/>
            </w:tcBorders>
            <w:noWrap/>
            <w:vAlign w:val="bottom"/>
            <w:hideMark/>
          </w:tcPr>
          <w:p w14:paraId="3C04F32D" w14:textId="757D549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0,03%</w:t>
            </w:r>
          </w:p>
        </w:tc>
        <w:tc>
          <w:tcPr>
            <w:tcW w:w="481" w:type="pct"/>
            <w:tcBorders>
              <w:top w:val="nil"/>
              <w:left w:val="nil"/>
              <w:bottom w:val="single" w:sz="4" w:space="0" w:color="auto"/>
              <w:right w:val="single" w:sz="4" w:space="0" w:color="auto"/>
            </w:tcBorders>
            <w:noWrap/>
            <w:vAlign w:val="bottom"/>
            <w:hideMark/>
          </w:tcPr>
          <w:p w14:paraId="24F1DFDD" w14:textId="1B72552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6E25E4F1" w14:textId="09B207B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991,38</w:t>
            </w:r>
          </w:p>
        </w:tc>
        <w:tc>
          <w:tcPr>
            <w:tcW w:w="458" w:type="pct"/>
            <w:tcBorders>
              <w:top w:val="nil"/>
              <w:left w:val="single" w:sz="4" w:space="0" w:color="auto"/>
              <w:bottom w:val="single" w:sz="4" w:space="0" w:color="auto"/>
              <w:right w:val="single" w:sz="4" w:space="0" w:color="auto"/>
            </w:tcBorders>
            <w:noWrap/>
            <w:vAlign w:val="bottom"/>
            <w:hideMark/>
          </w:tcPr>
          <w:p w14:paraId="3ECCF294" w14:textId="0500471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690,93</w:t>
            </w:r>
          </w:p>
        </w:tc>
        <w:tc>
          <w:tcPr>
            <w:tcW w:w="400" w:type="pct"/>
            <w:tcBorders>
              <w:top w:val="nil"/>
              <w:left w:val="nil"/>
              <w:bottom w:val="single" w:sz="4" w:space="0" w:color="auto"/>
              <w:right w:val="single" w:sz="4" w:space="0" w:color="auto"/>
            </w:tcBorders>
            <w:noWrap/>
            <w:vAlign w:val="bottom"/>
            <w:hideMark/>
          </w:tcPr>
          <w:p w14:paraId="5782E983" w14:textId="5E75D8FF"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231,07</w:t>
            </w:r>
          </w:p>
        </w:tc>
        <w:tc>
          <w:tcPr>
            <w:tcW w:w="400" w:type="pct"/>
            <w:tcBorders>
              <w:top w:val="nil"/>
              <w:left w:val="nil"/>
              <w:bottom w:val="single" w:sz="4" w:space="0" w:color="auto"/>
              <w:right w:val="single" w:sz="4" w:space="0" w:color="auto"/>
            </w:tcBorders>
            <w:noWrap/>
            <w:vAlign w:val="bottom"/>
            <w:hideMark/>
          </w:tcPr>
          <w:p w14:paraId="544526F2" w14:textId="664F27D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69,39</w:t>
            </w:r>
          </w:p>
        </w:tc>
        <w:tc>
          <w:tcPr>
            <w:tcW w:w="458" w:type="pct"/>
            <w:tcBorders>
              <w:top w:val="nil"/>
              <w:left w:val="nil"/>
              <w:bottom w:val="single" w:sz="4" w:space="0" w:color="auto"/>
              <w:right w:val="single" w:sz="4" w:space="0" w:color="auto"/>
            </w:tcBorders>
            <w:noWrap/>
            <w:vAlign w:val="bottom"/>
            <w:hideMark/>
          </w:tcPr>
          <w:p w14:paraId="7BF40261" w14:textId="31EE7EF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B0C35BA" w14:textId="0A5AB10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E760F63" w14:textId="46F177E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6FD3096F"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09487D4A" w14:textId="042FD94E"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Geodetski načrt</w:t>
            </w:r>
          </w:p>
        </w:tc>
        <w:tc>
          <w:tcPr>
            <w:tcW w:w="458" w:type="pct"/>
            <w:tcBorders>
              <w:top w:val="nil"/>
              <w:left w:val="nil"/>
              <w:bottom w:val="single" w:sz="4" w:space="0" w:color="auto"/>
              <w:right w:val="single" w:sz="4" w:space="0" w:color="auto"/>
            </w:tcBorders>
            <w:noWrap/>
            <w:vAlign w:val="bottom"/>
            <w:hideMark/>
          </w:tcPr>
          <w:p w14:paraId="3CFB26D9" w14:textId="25AF7C2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2.261,75</w:t>
            </w:r>
          </w:p>
        </w:tc>
        <w:tc>
          <w:tcPr>
            <w:tcW w:w="326" w:type="pct"/>
            <w:tcBorders>
              <w:top w:val="nil"/>
              <w:left w:val="nil"/>
              <w:bottom w:val="single" w:sz="4" w:space="0" w:color="auto"/>
              <w:right w:val="single" w:sz="4" w:space="0" w:color="auto"/>
            </w:tcBorders>
            <w:noWrap/>
            <w:vAlign w:val="bottom"/>
            <w:hideMark/>
          </w:tcPr>
          <w:p w14:paraId="0A0E17B2" w14:textId="76A8864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0,07%</w:t>
            </w:r>
          </w:p>
        </w:tc>
        <w:tc>
          <w:tcPr>
            <w:tcW w:w="481" w:type="pct"/>
            <w:tcBorders>
              <w:top w:val="nil"/>
              <w:left w:val="nil"/>
              <w:bottom w:val="single" w:sz="4" w:space="0" w:color="auto"/>
              <w:right w:val="single" w:sz="4" w:space="0" w:color="auto"/>
            </w:tcBorders>
            <w:noWrap/>
            <w:vAlign w:val="bottom"/>
            <w:hideMark/>
          </w:tcPr>
          <w:p w14:paraId="59AFB85E" w14:textId="782E203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4540CA89" w14:textId="6C1FB7F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2.261,75</w:t>
            </w:r>
          </w:p>
        </w:tc>
        <w:tc>
          <w:tcPr>
            <w:tcW w:w="458" w:type="pct"/>
            <w:tcBorders>
              <w:top w:val="nil"/>
              <w:left w:val="single" w:sz="4" w:space="0" w:color="auto"/>
              <w:bottom w:val="single" w:sz="4" w:space="0" w:color="auto"/>
              <w:right w:val="single" w:sz="4" w:space="0" w:color="auto"/>
            </w:tcBorders>
            <w:noWrap/>
            <w:vAlign w:val="bottom"/>
            <w:hideMark/>
          </w:tcPr>
          <w:p w14:paraId="61A6C22F" w14:textId="2860C04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1.588,21</w:t>
            </w:r>
          </w:p>
        </w:tc>
        <w:tc>
          <w:tcPr>
            <w:tcW w:w="400" w:type="pct"/>
            <w:tcBorders>
              <w:top w:val="nil"/>
              <w:left w:val="nil"/>
              <w:bottom w:val="single" w:sz="4" w:space="0" w:color="auto"/>
              <w:right w:val="single" w:sz="4" w:space="0" w:color="auto"/>
            </w:tcBorders>
            <w:noWrap/>
            <w:vAlign w:val="bottom"/>
            <w:hideMark/>
          </w:tcPr>
          <w:p w14:paraId="55746BCD" w14:textId="536AA51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518,00</w:t>
            </w:r>
          </w:p>
        </w:tc>
        <w:tc>
          <w:tcPr>
            <w:tcW w:w="400" w:type="pct"/>
            <w:tcBorders>
              <w:top w:val="nil"/>
              <w:left w:val="nil"/>
              <w:bottom w:val="single" w:sz="4" w:space="0" w:color="auto"/>
              <w:right w:val="single" w:sz="4" w:space="0" w:color="auto"/>
            </w:tcBorders>
            <w:noWrap/>
            <w:vAlign w:val="bottom"/>
            <w:hideMark/>
          </w:tcPr>
          <w:p w14:paraId="6E58726F" w14:textId="1620EC6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155,54</w:t>
            </w:r>
          </w:p>
        </w:tc>
        <w:tc>
          <w:tcPr>
            <w:tcW w:w="458" w:type="pct"/>
            <w:tcBorders>
              <w:top w:val="nil"/>
              <w:left w:val="nil"/>
              <w:bottom w:val="single" w:sz="4" w:space="0" w:color="auto"/>
              <w:right w:val="single" w:sz="4" w:space="0" w:color="auto"/>
            </w:tcBorders>
            <w:noWrap/>
            <w:vAlign w:val="bottom"/>
            <w:hideMark/>
          </w:tcPr>
          <w:p w14:paraId="522AF9CB" w14:textId="3DCE7B66"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5BDC91F" w14:textId="5DF3D4C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6CD98513" w14:textId="4377555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5FDB7627"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0E1DD7F2" w14:textId="197D92DC"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Baza cestnih podatkov</w:t>
            </w:r>
          </w:p>
        </w:tc>
        <w:tc>
          <w:tcPr>
            <w:tcW w:w="458" w:type="pct"/>
            <w:tcBorders>
              <w:top w:val="nil"/>
              <w:left w:val="nil"/>
              <w:bottom w:val="single" w:sz="4" w:space="0" w:color="auto"/>
              <w:right w:val="single" w:sz="4" w:space="0" w:color="auto"/>
            </w:tcBorders>
            <w:noWrap/>
            <w:vAlign w:val="bottom"/>
            <w:hideMark/>
          </w:tcPr>
          <w:p w14:paraId="29F212B1" w14:textId="1B85362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855,29</w:t>
            </w:r>
          </w:p>
        </w:tc>
        <w:tc>
          <w:tcPr>
            <w:tcW w:w="326" w:type="pct"/>
            <w:tcBorders>
              <w:top w:val="nil"/>
              <w:left w:val="nil"/>
              <w:bottom w:val="single" w:sz="4" w:space="0" w:color="auto"/>
              <w:right w:val="single" w:sz="4" w:space="0" w:color="auto"/>
            </w:tcBorders>
            <w:noWrap/>
            <w:vAlign w:val="bottom"/>
            <w:hideMark/>
          </w:tcPr>
          <w:p w14:paraId="46C3D77C" w14:textId="5F4CD0A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0,03%</w:t>
            </w:r>
          </w:p>
        </w:tc>
        <w:tc>
          <w:tcPr>
            <w:tcW w:w="481" w:type="pct"/>
            <w:tcBorders>
              <w:top w:val="nil"/>
              <w:left w:val="nil"/>
              <w:bottom w:val="single" w:sz="4" w:space="0" w:color="auto"/>
              <w:right w:val="single" w:sz="4" w:space="0" w:color="auto"/>
            </w:tcBorders>
            <w:noWrap/>
            <w:vAlign w:val="bottom"/>
            <w:hideMark/>
          </w:tcPr>
          <w:p w14:paraId="622E78F3" w14:textId="5E6FB6B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2BE2F85E" w14:textId="5BEA92B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855,29</w:t>
            </w:r>
          </w:p>
        </w:tc>
        <w:tc>
          <w:tcPr>
            <w:tcW w:w="458" w:type="pct"/>
            <w:tcBorders>
              <w:top w:val="nil"/>
              <w:left w:val="single" w:sz="4" w:space="0" w:color="auto"/>
              <w:bottom w:val="single" w:sz="4" w:space="0" w:color="auto"/>
              <w:right w:val="single" w:sz="4" w:space="0" w:color="auto"/>
            </w:tcBorders>
            <w:noWrap/>
            <w:vAlign w:val="bottom"/>
            <w:hideMark/>
          </w:tcPr>
          <w:p w14:paraId="3D5EEBD1" w14:textId="71A0434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D897735" w14:textId="1D6C0599"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1DAF14A2" w14:textId="550E5F2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60B73F60" w14:textId="5C05779B"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71072C60" w14:textId="670B76C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3B3E4B4C" w14:textId="4C51390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1DAA49EA" w14:textId="77777777" w:rsidTr="005E7713">
        <w:trPr>
          <w:trHeight w:val="284"/>
        </w:trPr>
        <w:tc>
          <w:tcPr>
            <w:tcW w:w="642" w:type="pct"/>
            <w:tcBorders>
              <w:top w:val="nil"/>
              <w:left w:val="single" w:sz="4" w:space="0" w:color="auto"/>
              <w:bottom w:val="single" w:sz="4" w:space="0" w:color="auto"/>
              <w:right w:val="single" w:sz="4" w:space="0" w:color="auto"/>
            </w:tcBorders>
            <w:shd w:val="clear" w:color="000000" w:fill="D9D9D9"/>
            <w:vAlign w:val="bottom"/>
            <w:hideMark/>
          </w:tcPr>
          <w:p w14:paraId="0150A451" w14:textId="616F2A02"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458" w:type="pct"/>
            <w:tcBorders>
              <w:top w:val="nil"/>
              <w:left w:val="nil"/>
              <w:bottom w:val="single" w:sz="4" w:space="0" w:color="auto"/>
              <w:right w:val="single" w:sz="4" w:space="0" w:color="auto"/>
            </w:tcBorders>
            <w:shd w:val="clear" w:color="000000" w:fill="D9D9D9"/>
            <w:noWrap/>
            <w:vAlign w:val="bottom"/>
            <w:hideMark/>
          </w:tcPr>
          <w:p w14:paraId="0DBC6B5B" w14:textId="1B794C01"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2.826.142,46</w:t>
            </w:r>
          </w:p>
        </w:tc>
        <w:tc>
          <w:tcPr>
            <w:tcW w:w="326" w:type="pct"/>
            <w:tcBorders>
              <w:top w:val="nil"/>
              <w:left w:val="nil"/>
              <w:bottom w:val="single" w:sz="4" w:space="0" w:color="auto"/>
              <w:right w:val="single" w:sz="4" w:space="0" w:color="auto"/>
            </w:tcBorders>
            <w:shd w:val="clear" w:color="000000" w:fill="D9D9D9"/>
            <w:noWrap/>
            <w:vAlign w:val="bottom"/>
            <w:hideMark/>
          </w:tcPr>
          <w:p w14:paraId="106F30D1" w14:textId="2F1DD47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83,46%</w:t>
            </w:r>
          </w:p>
        </w:tc>
        <w:tc>
          <w:tcPr>
            <w:tcW w:w="481" w:type="pct"/>
            <w:tcBorders>
              <w:top w:val="nil"/>
              <w:left w:val="nil"/>
              <w:bottom w:val="single" w:sz="4" w:space="0" w:color="auto"/>
              <w:right w:val="single" w:sz="4" w:space="0" w:color="auto"/>
            </w:tcBorders>
            <w:shd w:val="clear" w:color="000000" w:fill="D9D9D9"/>
            <w:noWrap/>
            <w:vAlign w:val="bottom"/>
            <w:hideMark/>
          </w:tcPr>
          <w:p w14:paraId="14B08E18" w14:textId="2CA115F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2.047.848,40</w:t>
            </w:r>
          </w:p>
        </w:tc>
        <w:tc>
          <w:tcPr>
            <w:tcW w:w="579" w:type="pct"/>
            <w:tcBorders>
              <w:top w:val="nil"/>
              <w:left w:val="nil"/>
              <w:bottom w:val="single" w:sz="4" w:space="0" w:color="auto"/>
              <w:right w:val="single" w:sz="4" w:space="0" w:color="auto"/>
            </w:tcBorders>
            <w:shd w:val="clear" w:color="000000" w:fill="D9D9D9"/>
            <w:noWrap/>
            <w:vAlign w:val="bottom"/>
            <w:hideMark/>
          </w:tcPr>
          <w:p w14:paraId="5447E77A" w14:textId="7FBBB5C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778.294,06</w:t>
            </w:r>
          </w:p>
        </w:tc>
        <w:tc>
          <w:tcPr>
            <w:tcW w:w="458" w:type="pct"/>
            <w:tcBorders>
              <w:top w:val="nil"/>
              <w:left w:val="single" w:sz="4" w:space="0" w:color="auto"/>
              <w:bottom w:val="single" w:sz="4" w:space="0" w:color="auto"/>
              <w:right w:val="single" w:sz="4" w:space="0" w:color="auto"/>
            </w:tcBorders>
            <w:shd w:val="clear" w:color="000000" w:fill="D9D9D9"/>
            <w:noWrap/>
            <w:vAlign w:val="bottom"/>
            <w:hideMark/>
          </w:tcPr>
          <w:p w14:paraId="658810B7" w14:textId="5E792B43"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1.481.317,52</w:t>
            </w:r>
          </w:p>
        </w:tc>
        <w:tc>
          <w:tcPr>
            <w:tcW w:w="400" w:type="pct"/>
            <w:tcBorders>
              <w:top w:val="nil"/>
              <w:left w:val="nil"/>
              <w:bottom w:val="single" w:sz="4" w:space="0" w:color="auto"/>
              <w:right w:val="single" w:sz="4" w:space="0" w:color="auto"/>
            </w:tcBorders>
            <w:shd w:val="clear" w:color="000000" w:fill="D9D9D9"/>
            <w:noWrap/>
            <w:vAlign w:val="bottom"/>
            <w:hideMark/>
          </w:tcPr>
          <w:p w14:paraId="2FF63976" w14:textId="0FF5E3B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762.521,49</w:t>
            </w:r>
          </w:p>
        </w:tc>
        <w:tc>
          <w:tcPr>
            <w:tcW w:w="400" w:type="pct"/>
            <w:tcBorders>
              <w:top w:val="nil"/>
              <w:left w:val="nil"/>
              <w:bottom w:val="single" w:sz="4" w:space="0" w:color="auto"/>
              <w:right w:val="single" w:sz="4" w:space="0" w:color="auto"/>
            </w:tcBorders>
            <w:shd w:val="clear" w:color="000000" w:fill="D9D9D9"/>
            <w:noWrap/>
            <w:vAlign w:val="bottom"/>
            <w:hideMark/>
          </w:tcPr>
          <w:p w14:paraId="14073CCF" w14:textId="32623AB5"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192.162,19</w:t>
            </w:r>
          </w:p>
        </w:tc>
        <w:tc>
          <w:tcPr>
            <w:tcW w:w="458" w:type="pct"/>
            <w:tcBorders>
              <w:top w:val="nil"/>
              <w:left w:val="nil"/>
              <w:bottom w:val="single" w:sz="4" w:space="0" w:color="auto"/>
              <w:right w:val="single" w:sz="4" w:space="0" w:color="auto"/>
            </w:tcBorders>
            <w:shd w:val="clear" w:color="000000" w:fill="D9D9D9"/>
            <w:noWrap/>
            <w:vAlign w:val="bottom"/>
            <w:hideMark/>
          </w:tcPr>
          <w:p w14:paraId="74B49BFA" w14:textId="401DC893"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1.110.684,65</w:t>
            </w:r>
          </w:p>
        </w:tc>
        <w:tc>
          <w:tcPr>
            <w:tcW w:w="400" w:type="pct"/>
            <w:tcBorders>
              <w:top w:val="nil"/>
              <w:left w:val="nil"/>
              <w:bottom w:val="single" w:sz="4" w:space="0" w:color="auto"/>
              <w:right w:val="single" w:sz="4" w:space="0" w:color="auto"/>
            </w:tcBorders>
            <w:shd w:val="clear" w:color="000000" w:fill="D9D9D9"/>
            <w:noWrap/>
            <w:vAlign w:val="bottom"/>
            <w:hideMark/>
          </w:tcPr>
          <w:p w14:paraId="4FD0AA4C" w14:textId="2F51AB49"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748.687,88</w:t>
            </w:r>
          </w:p>
        </w:tc>
        <w:tc>
          <w:tcPr>
            <w:tcW w:w="400" w:type="pct"/>
            <w:tcBorders>
              <w:top w:val="nil"/>
              <w:left w:val="nil"/>
              <w:bottom w:val="single" w:sz="4" w:space="0" w:color="auto"/>
              <w:right w:val="single" w:sz="4" w:space="0" w:color="auto"/>
            </w:tcBorders>
            <w:shd w:val="clear" w:color="000000" w:fill="D9D9D9"/>
            <w:noWrap/>
            <w:vAlign w:val="bottom"/>
            <w:hideMark/>
          </w:tcPr>
          <w:p w14:paraId="132215C8" w14:textId="7E75E9FE"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188.475,87</w:t>
            </w:r>
          </w:p>
        </w:tc>
      </w:tr>
      <w:tr w:rsidR="00F36883" w:rsidRPr="000020F0" w14:paraId="3B84CDB5"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28E24896" w14:textId="35FDC81B"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Davek na dodano vrednost</w:t>
            </w:r>
          </w:p>
        </w:tc>
        <w:tc>
          <w:tcPr>
            <w:tcW w:w="458" w:type="pct"/>
            <w:tcBorders>
              <w:top w:val="nil"/>
              <w:left w:val="nil"/>
              <w:bottom w:val="single" w:sz="4" w:space="0" w:color="auto"/>
              <w:right w:val="single" w:sz="4" w:space="0" w:color="auto"/>
            </w:tcBorders>
            <w:noWrap/>
            <w:vAlign w:val="bottom"/>
            <w:hideMark/>
          </w:tcPr>
          <w:p w14:paraId="0C076D46" w14:textId="14D7E4D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559.912,37</w:t>
            </w:r>
          </w:p>
        </w:tc>
        <w:tc>
          <w:tcPr>
            <w:tcW w:w="326" w:type="pct"/>
            <w:tcBorders>
              <w:top w:val="nil"/>
              <w:left w:val="nil"/>
              <w:bottom w:val="single" w:sz="4" w:space="0" w:color="auto"/>
              <w:right w:val="single" w:sz="4" w:space="0" w:color="auto"/>
            </w:tcBorders>
            <w:noWrap/>
            <w:vAlign w:val="bottom"/>
            <w:hideMark/>
          </w:tcPr>
          <w:p w14:paraId="13F7D48C" w14:textId="6BFF683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16,54%</w:t>
            </w:r>
          </w:p>
        </w:tc>
        <w:tc>
          <w:tcPr>
            <w:tcW w:w="481" w:type="pct"/>
            <w:tcBorders>
              <w:top w:val="nil"/>
              <w:left w:val="nil"/>
              <w:bottom w:val="single" w:sz="4" w:space="0" w:color="auto"/>
              <w:right w:val="single" w:sz="4" w:space="0" w:color="auto"/>
            </w:tcBorders>
            <w:noWrap/>
            <w:vAlign w:val="bottom"/>
            <w:hideMark/>
          </w:tcPr>
          <w:p w14:paraId="25A1C897" w14:textId="0D27A133"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450.526,64</w:t>
            </w:r>
          </w:p>
        </w:tc>
        <w:tc>
          <w:tcPr>
            <w:tcW w:w="579" w:type="pct"/>
            <w:tcBorders>
              <w:top w:val="nil"/>
              <w:left w:val="nil"/>
              <w:bottom w:val="single" w:sz="4" w:space="0" w:color="auto"/>
              <w:right w:val="single" w:sz="4" w:space="0" w:color="auto"/>
            </w:tcBorders>
            <w:noWrap/>
            <w:vAlign w:val="bottom"/>
            <w:hideMark/>
          </w:tcPr>
          <w:p w14:paraId="4A991881" w14:textId="2D2D658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109.385,73</w:t>
            </w:r>
          </w:p>
        </w:tc>
        <w:tc>
          <w:tcPr>
            <w:tcW w:w="458" w:type="pct"/>
            <w:tcBorders>
              <w:top w:val="nil"/>
              <w:left w:val="single" w:sz="4" w:space="0" w:color="auto"/>
              <w:bottom w:val="single" w:sz="4" w:space="0" w:color="auto"/>
              <w:right w:val="single" w:sz="4" w:space="0" w:color="auto"/>
            </w:tcBorders>
            <w:noWrap/>
            <w:vAlign w:val="bottom"/>
            <w:hideMark/>
          </w:tcPr>
          <w:p w14:paraId="6E4DE9EC" w14:textId="3E79E884"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264.050,89</w:t>
            </w:r>
          </w:p>
        </w:tc>
        <w:tc>
          <w:tcPr>
            <w:tcW w:w="400" w:type="pct"/>
            <w:tcBorders>
              <w:top w:val="nil"/>
              <w:left w:val="nil"/>
              <w:bottom w:val="single" w:sz="4" w:space="0" w:color="auto"/>
              <w:right w:val="single" w:sz="4" w:space="0" w:color="auto"/>
            </w:tcBorders>
            <w:noWrap/>
            <w:vAlign w:val="bottom"/>
            <w:hideMark/>
          </w:tcPr>
          <w:p w14:paraId="3E13F380" w14:textId="75E1EBC8"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167.754,72</w:t>
            </w:r>
          </w:p>
        </w:tc>
        <w:tc>
          <w:tcPr>
            <w:tcW w:w="400" w:type="pct"/>
            <w:tcBorders>
              <w:top w:val="nil"/>
              <w:left w:val="nil"/>
              <w:bottom w:val="single" w:sz="4" w:space="0" w:color="auto"/>
              <w:right w:val="single" w:sz="4" w:space="0" w:color="auto"/>
            </w:tcBorders>
            <w:noWrap/>
            <w:vAlign w:val="bottom"/>
            <w:hideMark/>
          </w:tcPr>
          <w:p w14:paraId="1E715D94" w14:textId="0991380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42.275,68</w:t>
            </w:r>
          </w:p>
        </w:tc>
        <w:tc>
          <w:tcPr>
            <w:tcW w:w="458" w:type="pct"/>
            <w:tcBorders>
              <w:top w:val="nil"/>
              <w:left w:val="nil"/>
              <w:bottom w:val="single" w:sz="4" w:space="0" w:color="auto"/>
              <w:right w:val="single" w:sz="4" w:space="0" w:color="auto"/>
            </w:tcBorders>
            <w:noWrap/>
            <w:vAlign w:val="bottom"/>
            <w:hideMark/>
          </w:tcPr>
          <w:p w14:paraId="7E1FB5B4" w14:textId="20AF167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244.350,62</w:t>
            </w:r>
          </w:p>
        </w:tc>
        <w:tc>
          <w:tcPr>
            <w:tcW w:w="400" w:type="pct"/>
            <w:tcBorders>
              <w:top w:val="nil"/>
              <w:left w:val="nil"/>
              <w:bottom w:val="single" w:sz="4" w:space="0" w:color="auto"/>
              <w:right w:val="single" w:sz="4" w:space="0" w:color="auto"/>
            </w:tcBorders>
            <w:noWrap/>
            <w:vAlign w:val="bottom"/>
            <w:hideMark/>
          </w:tcPr>
          <w:p w14:paraId="218AAA69" w14:textId="2F7985C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164.711,33</w:t>
            </w:r>
          </w:p>
        </w:tc>
        <w:tc>
          <w:tcPr>
            <w:tcW w:w="400" w:type="pct"/>
            <w:tcBorders>
              <w:top w:val="nil"/>
              <w:left w:val="nil"/>
              <w:bottom w:val="single" w:sz="4" w:space="0" w:color="auto"/>
              <w:right w:val="single" w:sz="4" w:space="0" w:color="auto"/>
            </w:tcBorders>
            <w:noWrap/>
            <w:vAlign w:val="bottom"/>
            <w:hideMark/>
          </w:tcPr>
          <w:p w14:paraId="5FB846E6" w14:textId="2EF60EE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41.464,69</w:t>
            </w:r>
          </w:p>
        </w:tc>
      </w:tr>
      <w:tr w:rsidR="00F36883" w:rsidRPr="000020F0" w14:paraId="0AFE2CEE" w14:textId="77777777" w:rsidTr="005E7713">
        <w:trPr>
          <w:trHeight w:val="284"/>
        </w:trPr>
        <w:tc>
          <w:tcPr>
            <w:tcW w:w="642" w:type="pct"/>
            <w:tcBorders>
              <w:top w:val="nil"/>
              <w:left w:val="single" w:sz="4" w:space="0" w:color="auto"/>
              <w:bottom w:val="single" w:sz="4" w:space="0" w:color="auto"/>
              <w:right w:val="single" w:sz="4" w:space="0" w:color="auto"/>
            </w:tcBorders>
            <w:vAlign w:val="bottom"/>
            <w:hideMark/>
          </w:tcPr>
          <w:p w14:paraId="70D45EA9" w14:textId="5EA83904" w:rsidR="00F36883" w:rsidRPr="000020F0" w:rsidRDefault="00F36883" w:rsidP="00F36883">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458" w:type="pct"/>
            <w:tcBorders>
              <w:top w:val="nil"/>
              <w:left w:val="nil"/>
              <w:bottom w:val="single" w:sz="4" w:space="0" w:color="auto"/>
              <w:right w:val="single" w:sz="4" w:space="0" w:color="auto"/>
            </w:tcBorders>
            <w:noWrap/>
            <w:vAlign w:val="bottom"/>
            <w:hideMark/>
          </w:tcPr>
          <w:p w14:paraId="1E40654B" w14:textId="184B7B3D"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22.291,03</w:t>
            </w:r>
          </w:p>
        </w:tc>
        <w:tc>
          <w:tcPr>
            <w:tcW w:w="326" w:type="pct"/>
            <w:tcBorders>
              <w:top w:val="nil"/>
              <w:left w:val="nil"/>
              <w:bottom w:val="single" w:sz="4" w:space="0" w:color="auto"/>
              <w:right w:val="single" w:sz="4" w:space="0" w:color="auto"/>
            </w:tcBorders>
            <w:noWrap/>
            <w:vAlign w:val="bottom"/>
            <w:hideMark/>
          </w:tcPr>
          <w:p w14:paraId="277AB74E" w14:textId="468059C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0,66%</w:t>
            </w:r>
          </w:p>
        </w:tc>
        <w:tc>
          <w:tcPr>
            <w:tcW w:w="481" w:type="pct"/>
            <w:tcBorders>
              <w:top w:val="nil"/>
              <w:left w:val="nil"/>
              <w:bottom w:val="single" w:sz="4" w:space="0" w:color="auto"/>
              <w:right w:val="single" w:sz="4" w:space="0" w:color="auto"/>
            </w:tcBorders>
            <w:noWrap/>
            <w:vAlign w:val="bottom"/>
            <w:hideMark/>
          </w:tcPr>
          <w:p w14:paraId="29D6E2A2" w14:textId="7846F4E0"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579" w:type="pct"/>
            <w:tcBorders>
              <w:top w:val="nil"/>
              <w:left w:val="nil"/>
              <w:bottom w:val="single" w:sz="4" w:space="0" w:color="auto"/>
              <w:right w:val="single" w:sz="4" w:space="0" w:color="auto"/>
            </w:tcBorders>
            <w:noWrap/>
            <w:vAlign w:val="bottom"/>
            <w:hideMark/>
          </w:tcPr>
          <w:p w14:paraId="33C13CA4" w14:textId="3ED28A1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22.291,03</w:t>
            </w:r>
          </w:p>
        </w:tc>
        <w:tc>
          <w:tcPr>
            <w:tcW w:w="458" w:type="pct"/>
            <w:tcBorders>
              <w:top w:val="nil"/>
              <w:left w:val="single" w:sz="4" w:space="0" w:color="auto"/>
              <w:bottom w:val="single" w:sz="4" w:space="0" w:color="auto"/>
              <w:right w:val="single" w:sz="4" w:space="0" w:color="auto"/>
            </w:tcBorders>
            <w:noWrap/>
            <w:vAlign w:val="bottom"/>
            <w:hideMark/>
          </w:tcPr>
          <w:p w14:paraId="1740269D" w14:textId="7D630222"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22.291,03</w:t>
            </w:r>
          </w:p>
        </w:tc>
        <w:tc>
          <w:tcPr>
            <w:tcW w:w="400" w:type="pct"/>
            <w:tcBorders>
              <w:top w:val="nil"/>
              <w:left w:val="nil"/>
              <w:bottom w:val="single" w:sz="4" w:space="0" w:color="auto"/>
              <w:right w:val="single" w:sz="4" w:space="0" w:color="auto"/>
            </w:tcBorders>
            <w:noWrap/>
            <w:vAlign w:val="bottom"/>
            <w:hideMark/>
          </w:tcPr>
          <w:p w14:paraId="13161002" w14:textId="27D1F67A"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070CE54" w14:textId="5F8B5441"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noWrap/>
            <w:vAlign w:val="bottom"/>
            <w:hideMark/>
          </w:tcPr>
          <w:p w14:paraId="12A84FCC" w14:textId="5B7653AE"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5E0A126F" w14:textId="59FBEC75"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noWrap/>
            <w:vAlign w:val="bottom"/>
            <w:hideMark/>
          </w:tcPr>
          <w:p w14:paraId="4372178C" w14:textId="343B73A7" w:rsidR="00F36883" w:rsidRPr="000020F0" w:rsidRDefault="00F36883" w:rsidP="00F36883">
            <w:pPr>
              <w:jc w:val="right"/>
              <w:rPr>
                <w:rFonts w:ascii="Arial" w:hAnsi="Arial" w:cs="Arial"/>
                <w:color w:val="000000"/>
                <w:sz w:val="20"/>
                <w:szCs w:val="20"/>
              </w:rPr>
            </w:pPr>
            <w:r w:rsidRPr="000020F0">
              <w:rPr>
                <w:rFonts w:ascii="Arial" w:hAnsi="Arial" w:cs="Arial"/>
                <w:color w:val="000000"/>
                <w:sz w:val="20"/>
                <w:szCs w:val="20"/>
              </w:rPr>
              <w:t>0,00</w:t>
            </w:r>
          </w:p>
        </w:tc>
      </w:tr>
      <w:tr w:rsidR="00F36883" w:rsidRPr="000020F0" w14:paraId="218B2C1B" w14:textId="77777777" w:rsidTr="005E7713">
        <w:trPr>
          <w:trHeight w:val="284"/>
        </w:trPr>
        <w:tc>
          <w:tcPr>
            <w:tcW w:w="642" w:type="pct"/>
            <w:tcBorders>
              <w:top w:val="nil"/>
              <w:left w:val="single" w:sz="4" w:space="0" w:color="auto"/>
              <w:bottom w:val="single" w:sz="4" w:space="0" w:color="auto"/>
              <w:right w:val="single" w:sz="4" w:space="0" w:color="auto"/>
            </w:tcBorders>
            <w:shd w:val="clear" w:color="000000" w:fill="D9D9D9"/>
            <w:vAlign w:val="bottom"/>
            <w:hideMark/>
          </w:tcPr>
          <w:p w14:paraId="540E5C7C" w14:textId="3057F8F3"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458" w:type="pct"/>
            <w:tcBorders>
              <w:top w:val="nil"/>
              <w:left w:val="nil"/>
              <w:bottom w:val="single" w:sz="4" w:space="0" w:color="auto"/>
              <w:right w:val="single" w:sz="4" w:space="0" w:color="auto"/>
            </w:tcBorders>
            <w:shd w:val="clear" w:color="000000" w:fill="D9D9D9"/>
            <w:noWrap/>
            <w:vAlign w:val="bottom"/>
            <w:hideMark/>
          </w:tcPr>
          <w:p w14:paraId="45FED976" w14:textId="24C32A30"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326" w:type="pct"/>
            <w:tcBorders>
              <w:top w:val="nil"/>
              <w:left w:val="nil"/>
              <w:bottom w:val="single" w:sz="4" w:space="0" w:color="auto"/>
              <w:right w:val="single" w:sz="4" w:space="0" w:color="auto"/>
            </w:tcBorders>
            <w:shd w:val="clear" w:color="000000" w:fill="D9D9D9"/>
            <w:noWrap/>
            <w:vAlign w:val="bottom"/>
            <w:hideMark/>
          </w:tcPr>
          <w:p w14:paraId="5CE96A98" w14:textId="2F2F08CB"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81" w:type="pct"/>
            <w:tcBorders>
              <w:top w:val="nil"/>
              <w:left w:val="nil"/>
              <w:bottom w:val="single" w:sz="4" w:space="0" w:color="auto"/>
              <w:right w:val="single" w:sz="4" w:space="0" w:color="auto"/>
            </w:tcBorders>
            <w:shd w:val="clear" w:color="000000" w:fill="D9D9D9"/>
            <w:noWrap/>
            <w:vAlign w:val="bottom"/>
            <w:hideMark/>
          </w:tcPr>
          <w:p w14:paraId="01AB2430" w14:textId="1FB2CA6A"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2.498.375,04</w:t>
            </w:r>
          </w:p>
        </w:tc>
        <w:tc>
          <w:tcPr>
            <w:tcW w:w="579" w:type="pct"/>
            <w:tcBorders>
              <w:top w:val="nil"/>
              <w:left w:val="nil"/>
              <w:bottom w:val="single" w:sz="4" w:space="0" w:color="auto"/>
              <w:right w:val="single" w:sz="4" w:space="0" w:color="auto"/>
            </w:tcBorders>
            <w:shd w:val="clear" w:color="000000" w:fill="D9D9D9"/>
            <w:noWrap/>
            <w:vAlign w:val="bottom"/>
            <w:hideMark/>
          </w:tcPr>
          <w:p w14:paraId="1D97E62F" w14:textId="4AC81522"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887.679,79</w:t>
            </w:r>
          </w:p>
        </w:tc>
        <w:tc>
          <w:tcPr>
            <w:tcW w:w="458" w:type="pct"/>
            <w:tcBorders>
              <w:top w:val="nil"/>
              <w:left w:val="single" w:sz="4" w:space="0" w:color="auto"/>
              <w:bottom w:val="single" w:sz="4" w:space="0" w:color="auto"/>
              <w:right w:val="single" w:sz="4" w:space="0" w:color="auto"/>
            </w:tcBorders>
            <w:shd w:val="clear" w:color="000000" w:fill="D9D9D9"/>
            <w:noWrap/>
            <w:vAlign w:val="bottom"/>
            <w:hideMark/>
          </w:tcPr>
          <w:p w14:paraId="67665B03" w14:textId="499784D5"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1.745.368,41</w:t>
            </w:r>
          </w:p>
        </w:tc>
        <w:tc>
          <w:tcPr>
            <w:tcW w:w="400" w:type="pct"/>
            <w:tcBorders>
              <w:top w:val="nil"/>
              <w:left w:val="nil"/>
              <w:bottom w:val="single" w:sz="4" w:space="0" w:color="auto"/>
              <w:right w:val="single" w:sz="4" w:space="0" w:color="auto"/>
            </w:tcBorders>
            <w:shd w:val="clear" w:color="000000" w:fill="D9D9D9"/>
            <w:noWrap/>
            <w:vAlign w:val="bottom"/>
            <w:hideMark/>
          </w:tcPr>
          <w:p w14:paraId="5CBE6CF0" w14:textId="3E74BCDD"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930.276,21</w:t>
            </w:r>
          </w:p>
        </w:tc>
        <w:tc>
          <w:tcPr>
            <w:tcW w:w="400" w:type="pct"/>
            <w:tcBorders>
              <w:top w:val="nil"/>
              <w:left w:val="nil"/>
              <w:bottom w:val="single" w:sz="4" w:space="0" w:color="auto"/>
              <w:right w:val="single" w:sz="4" w:space="0" w:color="auto"/>
            </w:tcBorders>
            <w:shd w:val="clear" w:color="000000" w:fill="D9D9D9"/>
            <w:noWrap/>
            <w:vAlign w:val="bottom"/>
            <w:hideMark/>
          </w:tcPr>
          <w:p w14:paraId="10660DC7" w14:textId="48F45DB6"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234.437,87</w:t>
            </w:r>
          </w:p>
        </w:tc>
        <w:tc>
          <w:tcPr>
            <w:tcW w:w="458" w:type="pct"/>
            <w:tcBorders>
              <w:top w:val="nil"/>
              <w:left w:val="nil"/>
              <w:bottom w:val="single" w:sz="4" w:space="0" w:color="auto"/>
              <w:right w:val="single" w:sz="4" w:space="0" w:color="auto"/>
            </w:tcBorders>
            <w:shd w:val="clear" w:color="000000" w:fill="D9D9D9"/>
            <w:noWrap/>
            <w:vAlign w:val="bottom"/>
            <w:hideMark/>
          </w:tcPr>
          <w:p w14:paraId="362B55EC" w14:textId="029F7CC3"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1.355.035,27</w:t>
            </w:r>
          </w:p>
        </w:tc>
        <w:tc>
          <w:tcPr>
            <w:tcW w:w="400" w:type="pct"/>
            <w:tcBorders>
              <w:top w:val="nil"/>
              <w:left w:val="nil"/>
              <w:bottom w:val="single" w:sz="4" w:space="0" w:color="auto"/>
              <w:right w:val="single" w:sz="4" w:space="0" w:color="auto"/>
            </w:tcBorders>
            <w:shd w:val="clear" w:color="000000" w:fill="D9D9D9"/>
            <w:noWrap/>
            <w:vAlign w:val="bottom"/>
            <w:hideMark/>
          </w:tcPr>
          <w:p w14:paraId="378C1547" w14:textId="06AF6F9E"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913.399,21</w:t>
            </w:r>
          </w:p>
        </w:tc>
        <w:tc>
          <w:tcPr>
            <w:tcW w:w="400" w:type="pct"/>
            <w:tcBorders>
              <w:top w:val="nil"/>
              <w:left w:val="nil"/>
              <w:bottom w:val="single" w:sz="4" w:space="0" w:color="auto"/>
              <w:right w:val="single" w:sz="4" w:space="0" w:color="auto"/>
            </w:tcBorders>
            <w:shd w:val="clear" w:color="000000" w:fill="D9D9D9"/>
            <w:noWrap/>
            <w:vAlign w:val="bottom"/>
            <w:hideMark/>
          </w:tcPr>
          <w:p w14:paraId="141916C4" w14:textId="73E343B5"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229.940,56</w:t>
            </w:r>
          </w:p>
        </w:tc>
      </w:tr>
      <w:tr w:rsidR="00F36883" w:rsidRPr="000020F0" w14:paraId="76F46DFF" w14:textId="77777777" w:rsidTr="005E7713">
        <w:trPr>
          <w:trHeight w:val="284"/>
        </w:trPr>
        <w:tc>
          <w:tcPr>
            <w:tcW w:w="642" w:type="pct"/>
            <w:tcBorders>
              <w:top w:val="nil"/>
              <w:left w:val="single" w:sz="4" w:space="0" w:color="auto"/>
              <w:bottom w:val="single" w:sz="4" w:space="0" w:color="auto"/>
              <w:right w:val="single" w:sz="4" w:space="0" w:color="auto"/>
            </w:tcBorders>
            <w:shd w:val="clear" w:color="000000" w:fill="D9D9D9"/>
            <w:vAlign w:val="bottom"/>
            <w:hideMark/>
          </w:tcPr>
          <w:p w14:paraId="7327C58C" w14:textId="7A401146" w:rsidR="00F36883" w:rsidRPr="000020F0" w:rsidRDefault="00F36883" w:rsidP="00F36883">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458" w:type="pct"/>
            <w:tcBorders>
              <w:top w:val="nil"/>
              <w:left w:val="nil"/>
              <w:bottom w:val="single" w:sz="4" w:space="0" w:color="auto"/>
              <w:right w:val="single" w:sz="4" w:space="0" w:color="auto"/>
            </w:tcBorders>
            <w:shd w:val="clear" w:color="000000" w:fill="D9D9D9"/>
            <w:noWrap/>
            <w:vAlign w:val="bottom"/>
            <w:hideMark/>
          </w:tcPr>
          <w:p w14:paraId="57D27F79" w14:textId="34860BD1"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3.363.763,80</w:t>
            </w:r>
          </w:p>
        </w:tc>
        <w:tc>
          <w:tcPr>
            <w:tcW w:w="326" w:type="pct"/>
            <w:tcBorders>
              <w:top w:val="nil"/>
              <w:left w:val="nil"/>
              <w:bottom w:val="single" w:sz="4" w:space="0" w:color="auto"/>
              <w:right w:val="single" w:sz="4" w:space="0" w:color="auto"/>
            </w:tcBorders>
            <w:shd w:val="clear" w:color="000000" w:fill="D9D9D9"/>
            <w:noWrap/>
            <w:vAlign w:val="bottom"/>
            <w:hideMark/>
          </w:tcPr>
          <w:p w14:paraId="41712949" w14:textId="71AD6A98"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99,34%</w:t>
            </w:r>
          </w:p>
        </w:tc>
        <w:tc>
          <w:tcPr>
            <w:tcW w:w="481" w:type="pct"/>
            <w:tcBorders>
              <w:top w:val="nil"/>
              <w:left w:val="nil"/>
              <w:bottom w:val="single" w:sz="4" w:space="0" w:color="auto"/>
              <w:right w:val="single" w:sz="4" w:space="0" w:color="auto"/>
            </w:tcBorders>
            <w:shd w:val="clear" w:color="000000" w:fill="D9D9D9"/>
            <w:noWrap/>
            <w:vAlign w:val="bottom"/>
            <w:hideMark/>
          </w:tcPr>
          <w:p w14:paraId="2D49B7AD" w14:textId="25B73E7B"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2.498.375,04</w:t>
            </w:r>
          </w:p>
        </w:tc>
        <w:tc>
          <w:tcPr>
            <w:tcW w:w="579" w:type="pct"/>
            <w:tcBorders>
              <w:top w:val="nil"/>
              <w:left w:val="nil"/>
              <w:bottom w:val="single" w:sz="4" w:space="0" w:color="auto"/>
              <w:right w:val="single" w:sz="4" w:space="0" w:color="auto"/>
            </w:tcBorders>
            <w:shd w:val="clear" w:color="000000" w:fill="D9D9D9"/>
            <w:noWrap/>
            <w:vAlign w:val="bottom"/>
            <w:hideMark/>
          </w:tcPr>
          <w:p w14:paraId="00183FBE" w14:textId="417AA05C" w:rsidR="00F36883" w:rsidRPr="000020F0" w:rsidRDefault="00F36883" w:rsidP="00F36883">
            <w:pPr>
              <w:jc w:val="right"/>
              <w:rPr>
                <w:rFonts w:ascii="Arial" w:hAnsi="Arial" w:cs="Arial"/>
                <w:b/>
                <w:bCs/>
                <w:color w:val="000000"/>
                <w:sz w:val="20"/>
                <w:szCs w:val="20"/>
              </w:rPr>
            </w:pPr>
            <w:r w:rsidRPr="000020F0">
              <w:rPr>
                <w:rFonts w:ascii="Arial" w:hAnsi="Arial" w:cs="Arial"/>
                <w:b/>
                <w:bCs/>
                <w:color w:val="000000"/>
                <w:sz w:val="20"/>
                <w:szCs w:val="20"/>
              </w:rPr>
              <w:t>865.388,76</w:t>
            </w:r>
          </w:p>
        </w:tc>
        <w:tc>
          <w:tcPr>
            <w:tcW w:w="458" w:type="pct"/>
            <w:tcBorders>
              <w:top w:val="nil"/>
              <w:left w:val="single" w:sz="4" w:space="0" w:color="auto"/>
              <w:bottom w:val="single" w:sz="4" w:space="0" w:color="auto"/>
              <w:right w:val="single" w:sz="4" w:space="0" w:color="auto"/>
            </w:tcBorders>
            <w:shd w:val="clear" w:color="000000" w:fill="D9D9D9"/>
            <w:noWrap/>
            <w:vAlign w:val="bottom"/>
            <w:hideMark/>
          </w:tcPr>
          <w:p w14:paraId="3D5211F9" w14:textId="2EB01910"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914.933,73</w:t>
            </w:r>
          </w:p>
        </w:tc>
        <w:tc>
          <w:tcPr>
            <w:tcW w:w="400" w:type="pct"/>
            <w:tcBorders>
              <w:top w:val="nil"/>
              <w:left w:val="nil"/>
              <w:bottom w:val="single" w:sz="4" w:space="0" w:color="auto"/>
              <w:right w:val="single" w:sz="4" w:space="0" w:color="auto"/>
            </w:tcBorders>
            <w:shd w:val="clear" w:color="000000" w:fill="D9D9D9"/>
            <w:noWrap/>
            <w:vAlign w:val="bottom"/>
            <w:hideMark/>
          </w:tcPr>
          <w:p w14:paraId="10884EE9" w14:textId="01E27D74"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shd w:val="clear" w:color="000000" w:fill="D9D9D9"/>
            <w:noWrap/>
            <w:vAlign w:val="bottom"/>
            <w:hideMark/>
          </w:tcPr>
          <w:p w14:paraId="5847EC67" w14:textId="5D5C26F4"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0,00</w:t>
            </w:r>
          </w:p>
        </w:tc>
        <w:tc>
          <w:tcPr>
            <w:tcW w:w="458" w:type="pct"/>
            <w:tcBorders>
              <w:top w:val="nil"/>
              <w:left w:val="nil"/>
              <w:bottom w:val="single" w:sz="4" w:space="0" w:color="auto"/>
              <w:right w:val="single" w:sz="4" w:space="0" w:color="auto"/>
            </w:tcBorders>
            <w:shd w:val="clear" w:color="000000" w:fill="D9D9D9"/>
            <w:noWrap/>
            <w:vAlign w:val="bottom"/>
            <w:hideMark/>
          </w:tcPr>
          <w:p w14:paraId="5A450841" w14:textId="056C87DD"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861.987,34</w:t>
            </w:r>
          </w:p>
        </w:tc>
        <w:tc>
          <w:tcPr>
            <w:tcW w:w="400" w:type="pct"/>
            <w:tcBorders>
              <w:top w:val="nil"/>
              <w:left w:val="nil"/>
              <w:bottom w:val="single" w:sz="4" w:space="0" w:color="auto"/>
              <w:right w:val="single" w:sz="4" w:space="0" w:color="auto"/>
            </w:tcBorders>
            <w:shd w:val="clear" w:color="000000" w:fill="D9D9D9"/>
            <w:noWrap/>
            <w:vAlign w:val="bottom"/>
            <w:hideMark/>
          </w:tcPr>
          <w:p w14:paraId="255A817A" w14:textId="6103EA0A"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0,00</w:t>
            </w:r>
          </w:p>
        </w:tc>
        <w:tc>
          <w:tcPr>
            <w:tcW w:w="400" w:type="pct"/>
            <w:tcBorders>
              <w:top w:val="nil"/>
              <w:left w:val="nil"/>
              <w:bottom w:val="single" w:sz="4" w:space="0" w:color="auto"/>
              <w:right w:val="single" w:sz="4" w:space="0" w:color="auto"/>
            </w:tcBorders>
            <w:shd w:val="clear" w:color="000000" w:fill="D9D9D9"/>
            <w:noWrap/>
            <w:vAlign w:val="bottom"/>
            <w:hideMark/>
          </w:tcPr>
          <w:p w14:paraId="1C25F353" w14:textId="379394CB" w:rsidR="00F36883" w:rsidRPr="000020F0" w:rsidRDefault="00F36883" w:rsidP="00F36883">
            <w:pPr>
              <w:jc w:val="right"/>
              <w:rPr>
                <w:rFonts w:ascii="Arial" w:hAnsi="Arial" w:cs="Arial"/>
                <w:b/>
                <w:bCs/>
                <w:color w:val="000000"/>
                <w:sz w:val="20"/>
                <w:szCs w:val="20"/>
              </w:rPr>
            </w:pPr>
            <w:r w:rsidRPr="000020F0">
              <w:rPr>
                <w:rFonts w:ascii="Arial" w:hAnsi="Arial" w:cs="Arial"/>
                <w:color w:val="000000"/>
                <w:sz w:val="20"/>
                <w:szCs w:val="20"/>
              </w:rPr>
              <w:t>0,00</w:t>
            </w:r>
          </w:p>
        </w:tc>
      </w:tr>
    </w:tbl>
    <w:p w14:paraId="002F86FB" w14:textId="77777777" w:rsidR="00B56649" w:rsidRPr="000020F0" w:rsidRDefault="00B56649" w:rsidP="00B56649">
      <w:pPr>
        <w:rPr>
          <w:sz w:val="20"/>
          <w:szCs w:val="20"/>
        </w:rPr>
      </w:pPr>
    </w:p>
    <w:p w14:paraId="29888B33" w14:textId="77777777" w:rsidR="00B56649" w:rsidRPr="000020F0" w:rsidRDefault="00B56649" w:rsidP="00B56649">
      <w:pPr>
        <w:rPr>
          <w:sz w:val="20"/>
          <w:szCs w:val="20"/>
        </w:rPr>
      </w:pPr>
    </w:p>
    <w:p w14:paraId="1909D3DF" w14:textId="77777777" w:rsidR="00B56649" w:rsidRPr="000020F0" w:rsidRDefault="00B56649" w:rsidP="00B56649">
      <w:pPr>
        <w:rPr>
          <w:sz w:val="20"/>
          <w:szCs w:val="20"/>
        </w:rPr>
      </w:pPr>
    </w:p>
    <w:p w14:paraId="699F82DD" w14:textId="77777777" w:rsidR="006D51C0" w:rsidRPr="000020F0" w:rsidRDefault="006D51C0" w:rsidP="006D51C0">
      <w:pPr>
        <w:rPr>
          <w:sz w:val="20"/>
          <w:szCs w:val="20"/>
        </w:rPr>
      </w:pPr>
    </w:p>
    <w:p w14:paraId="71B15454" w14:textId="77777777" w:rsidR="006D51C0" w:rsidRPr="000020F0" w:rsidRDefault="006D51C0" w:rsidP="006D51C0">
      <w:pPr>
        <w:rPr>
          <w:sz w:val="20"/>
          <w:szCs w:val="20"/>
        </w:rPr>
      </w:pPr>
    </w:p>
    <w:p w14:paraId="02E4A114" w14:textId="77777777" w:rsidR="006D51C0" w:rsidRPr="000020F0" w:rsidRDefault="006D51C0" w:rsidP="006D51C0">
      <w:pPr>
        <w:rPr>
          <w:sz w:val="20"/>
          <w:szCs w:val="20"/>
        </w:rPr>
      </w:pPr>
    </w:p>
    <w:p w14:paraId="4CC5A99D" w14:textId="77777777" w:rsidR="006945A7" w:rsidRPr="000020F0" w:rsidRDefault="006945A7" w:rsidP="006945A7">
      <w:pPr>
        <w:pStyle w:val="Odstavekseznama"/>
        <w:numPr>
          <w:ilvl w:val="0"/>
          <w:numId w:val="169"/>
        </w:numPr>
        <w:rPr>
          <w:rFonts w:asciiTheme="majorHAnsi" w:eastAsiaTheme="majorEastAsia" w:hAnsiTheme="majorHAnsi" w:cstheme="majorHAnsi"/>
          <w:b/>
          <w:bCs/>
          <w:color w:val="365F91" w:themeColor="accent1" w:themeShade="BF"/>
        </w:rPr>
        <w:sectPr w:rsidR="006945A7" w:rsidRPr="000020F0" w:rsidSect="006945A7">
          <w:pgSz w:w="16838" w:h="11906" w:orient="landscape" w:code="9"/>
          <w:pgMar w:top="1134" w:right="1134" w:bottom="1417" w:left="1417" w:header="708" w:footer="708" w:gutter="0"/>
          <w:cols w:space="708"/>
          <w:titlePg/>
          <w:docGrid w:linePitch="360"/>
        </w:sectPr>
      </w:pPr>
    </w:p>
    <w:p w14:paraId="1FA3AB80" w14:textId="77777777" w:rsidR="00D1347D" w:rsidRPr="000020F0" w:rsidRDefault="00D1347D" w:rsidP="00BD1D20">
      <w:pPr>
        <w:pStyle w:val="Naslov1"/>
        <w:numPr>
          <w:ilvl w:val="0"/>
          <w:numId w:val="3"/>
        </w:numPr>
        <w:rPr>
          <w:rFonts w:cstheme="majorHAnsi"/>
        </w:rPr>
      </w:pPr>
      <w:bookmarkStart w:id="277" w:name="_Toc230882233"/>
      <w:r w:rsidRPr="000020F0">
        <w:rPr>
          <w:rFonts w:cstheme="majorHAnsi"/>
        </w:rPr>
        <w:lastRenderedPageBreak/>
        <w:t>ANALIZA LOKACIJE</w:t>
      </w:r>
      <w:bookmarkEnd w:id="277"/>
    </w:p>
    <w:p w14:paraId="64F70D7D" w14:textId="77777777" w:rsidR="00C16CAC" w:rsidRPr="000020F0" w:rsidRDefault="00C16CAC"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278" w:name="_Toc131231598"/>
      <w:bookmarkStart w:id="279" w:name="_Toc230882234"/>
      <w:bookmarkStart w:id="280" w:name="_Toc442223458"/>
      <w:r w:rsidRPr="000020F0">
        <w:rPr>
          <w:rFonts w:asciiTheme="majorHAnsi" w:eastAsiaTheme="majorEastAsia" w:hAnsiTheme="majorHAnsi" w:cstheme="majorHAnsi"/>
          <w:color w:val="244061" w:themeColor="accent1" w:themeShade="80"/>
        </w:rPr>
        <w:t>Makro lokacija</w:t>
      </w:r>
      <w:bookmarkEnd w:id="278"/>
      <w:bookmarkEnd w:id="279"/>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4"/>
        <w:gridCol w:w="6376"/>
      </w:tblGrid>
      <w:tr w:rsidR="00C16CAC" w:rsidRPr="000020F0" w14:paraId="7499E258" w14:textId="77777777" w:rsidTr="00BE2C8A">
        <w:trPr>
          <w:trHeight w:val="283"/>
        </w:trPr>
        <w:tc>
          <w:tcPr>
            <w:tcW w:w="2614" w:type="dxa"/>
            <w:shd w:val="clear" w:color="auto" w:fill="DBE5F1"/>
            <w:vAlign w:val="center"/>
          </w:tcPr>
          <w:p w14:paraId="74CD52E4" w14:textId="77777777" w:rsidR="00C16CAC" w:rsidRPr="000020F0" w:rsidRDefault="00C16CAC" w:rsidP="00BD1D20">
            <w:pPr>
              <w:spacing w:after="120" w:line="276" w:lineRule="auto"/>
              <w:rPr>
                <w:rFonts w:asciiTheme="majorHAnsi" w:eastAsia="Arial" w:hAnsiTheme="majorHAnsi" w:cstheme="majorHAnsi"/>
                <w:sz w:val="22"/>
                <w:szCs w:val="22"/>
              </w:rPr>
            </w:pPr>
            <w:bookmarkStart w:id="281" w:name="_heading=h.2afmg28" w:colFirst="0" w:colLast="0"/>
            <w:bookmarkEnd w:id="281"/>
            <w:r w:rsidRPr="000020F0">
              <w:rPr>
                <w:rFonts w:asciiTheme="majorHAnsi" w:eastAsia="Arial" w:hAnsiTheme="majorHAnsi" w:cstheme="majorHAnsi"/>
                <w:sz w:val="22"/>
                <w:szCs w:val="22"/>
              </w:rPr>
              <w:t>kohezijska regija</w:t>
            </w:r>
          </w:p>
        </w:tc>
        <w:tc>
          <w:tcPr>
            <w:tcW w:w="6376" w:type="dxa"/>
            <w:vAlign w:val="center"/>
          </w:tcPr>
          <w:p w14:paraId="03F1F6E8" w14:textId="77777777" w:rsidR="00C16CAC" w:rsidRPr="000020F0" w:rsidRDefault="00C16CAC"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Zahodna Slovenija (KRZS)</w:t>
            </w:r>
          </w:p>
        </w:tc>
      </w:tr>
      <w:tr w:rsidR="00C16CAC" w:rsidRPr="000020F0" w14:paraId="3D2E5A32" w14:textId="77777777" w:rsidTr="00BE2C8A">
        <w:trPr>
          <w:trHeight w:val="283"/>
        </w:trPr>
        <w:tc>
          <w:tcPr>
            <w:tcW w:w="2614" w:type="dxa"/>
            <w:shd w:val="clear" w:color="auto" w:fill="DBE5F1"/>
            <w:vAlign w:val="center"/>
          </w:tcPr>
          <w:p w14:paraId="4E8D2F6C" w14:textId="77777777" w:rsidR="00C16CAC" w:rsidRPr="000020F0" w:rsidRDefault="00C16CAC"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statistična regija</w:t>
            </w:r>
          </w:p>
        </w:tc>
        <w:tc>
          <w:tcPr>
            <w:tcW w:w="6376" w:type="dxa"/>
            <w:vAlign w:val="center"/>
          </w:tcPr>
          <w:p w14:paraId="196119FA" w14:textId="75EB4EB9" w:rsidR="00C16CAC" w:rsidRPr="000020F0" w:rsidRDefault="004603B1"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Osrednjeslovenska regija</w:t>
            </w:r>
          </w:p>
        </w:tc>
      </w:tr>
      <w:tr w:rsidR="00C16CAC" w:rsidRPr="000020F0" w14:paraId="053050E2" w14:textId="77777777" w:rsidTr="00BE2C8A">
        <w:trPr>
          <w:trHeight w:val="283"/>
        </w:trPr>
        <w:tc>
          <w:tcPr>
            <w:tcW w:w="2614" w:type="dxa"/>
            <w:shd w:val="clear" w:color="auto" w:fill="DBE5F1"/>
            <w:vAlign w:val="center"/>
          </w:tcPr>
          <w:p w14:paraId="364709DB" w14:textId="77777777" w:rsidR="00C16CAC" w:rsidRPr="000020F0" w:rsidRDefault="00C16CAC"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občina</w:t>
            </w:r>
          </w:p>
        </w:tc>
        <w:tc>
          <w:tcPr>
            <w:tcW w:w="6376" w:type="dxa"/>
            <w:vAlign w:val="center"/>
          </w:tcPr>
          <w:p w14:paraId="5E51DA4B" w14:textId="1C90DCAF" w:rsidR="00C16CAC" w:rsidRPr="000020F0" w:rsidRDefault="00C16CAC"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 xml:space="preserve">Občina </w:t>
            </w:r>
            <w:r w:rsidR="004603B1" w:rsidRPr="000020F0">
              <w:rPr>
                <w:rFonts w:asciiTheme="majorHAnsi" w:eastAsia="Arial" w:hAnsiTheme="majorHAnsi" w:cstheme="majorHAnsi"/>
                <w:sz w:val="22"/>
                <w:szCs w:val="22"/>
              </w:rPr>
              <w:t>Ig</w:t>
            </w:r>
            <w:r w:rsidRPr="000020F0">
              <w:rPr>
                <w:rFonts w:asciiTheme="majorHAnsi" w:eastAsia="Arial" w:hAnsiTheme="majorHAnsi" w:cstheme="majorHAnsi"/>
                <w:sz w:val="22"/>
                <w:szCs w:val="22"/>
              </w:rPr>
              <w:t xml:space="preserve"> </w:t>
            </w:r>
          </w:p>
        </w:tc>
      </w:tr>
      <w:tr w:rsidR="00C16CAC" w:rsidRPr="000020F0" w14:paraId="455A6E1E" w14:textId="77777777" w:rsidTr="00BE2C8A">
        <w:trPr>
          <w:trHeight w:val="283"/>
        </w:trPr>
        <w:tc>
          <w:tcPr>
            <w:tcW w:w="2614" w:type="dxa"/>
            <w:shd w:val="clear" w:color="auto" w:fill="DBE5F1"/>
            <w:vAlign w:val="center"/>
          </w:tcPr>
          <w:p w14:paraId="299B9537" w14:textId="77777777" w:rsidR="00C16CAC" w:rsidRPr="000020F0" w:rsidRDefault="007E6413"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Kraj</w:t>
            </w:r>
          </w:p>
        </w:tc>
        <w:tc>
          <w:tcPr>
            <w:tcW w:w="6376" w:type="dxa"/>
            <w:vAlign w:val="center"/>
          </w:tcPr>
          <w:p w14:paraId="50B831C7" w14:textId="1C1AD3ED" w:rsidR="00C16CAC" w:rsidRPr="000020F0" w:rsidRDefault="004603B1" w:rsidP="00BD1D20">
            <w:pPr>
              <w:spacing w:after="120" w:line="276" w:lineRule="auto"/>
              <w:rPr>
                <w:rFonts w:asciiTheme="majorHAnsi" w:eastAsia="Arial" w:hAnsiTheme="majorHAnsi" w:cstheme="majorHAnsi"/>
                <w:sz w:val="22"/>
                <w:szCs w:val="22"/>
              </w:rPr>
            </w:pPr>
            <w:r w:rsidRPr="000020F0">
              <w:rPr>
                <w:rFonts w:asciiTheme="majorHAnsi" w:eastAsia="Arial" w:hAnsiTheme="majorHAnsi" w:cstheme="majorHAnsi"/>
                <w:sz w:val="22"/>
                <w:szCs w:val="22"/>
              </w:rPr>
              <w:t>Ig</w:t>
            </w:r>
          </w:p>
        </w:tc>
      </w:tr>
    </w:tbl>
    <w:p w14:paraId="393F5209" w14:textId="77777777" w:rsidR="00C16CAC" w:rsidRPr="000020F0" w:rsidRDefault="00C16CAC" w:rsidP="00BD1D20">
      <w:pPr>
        <w:spacing w:after="120" w:line="276" w:lineRule="auto"/>
        <w:rPr>
          <w:rFonts w:asciiTheme="majorHAnsi" w:eastAsia="Arial" w:hAnsiTheme="majorHAnsi" w:cstheme="majorHAnsi"/>
          <w:b/>
          <w:sz w:val="22"/>
          <w:szCs w:val="22"/>
        </w:rPr>
      </w:pPr>
      <w:bookmarkStart w:id="282" w:name="_Toc131231629"/>
    </w:p>
    <w:bookmarkEnd w:id="282"/>
    <w:p w14:paraId="3D2FD96F" w14:textId="77777777" w:rsidR="004603B1" w:rsidRPr="000020F0" w:rsidRDefault="004603B1" w:rsidP="004603B1">
      <w:pPr>
        <w:spacing w:after="120" w:line="276" w:lineRule="auto"/>
        <w:jc w:val="both"/>
        <w:rPr>
          <w:rFonts w:ascii="Arial" w:hAnsi="Arial" w:cs="Arial"/>
          <w:sz w:val="22"/>
          <w:szCs w:val="22"/>
        </w:rPr>
      </w:pPr>
      <w:r w:rsidRPr="000020F0">
        <w:rPr>
          <w:rFonts w:ascii="Arial" w:hAnsi="Arial" w:cs="Arial"/>
          <w:sz w:val="22"/>
          <w:szCs w:val="22"/>
        </w:rPr>
        <w:t>Lokacija predmetnega projekta je na območju centra občine Ig.</w:t>
      </w:r>
    </w:p>
    <w:p w14:paraId="6FB53C8E" w14:textId="7D10C505" w:rsidR="004603B1" w:rsidRPr="000020F0" w:rsidRDefault="004603B1" w:rsidP="004603B1">
      <w:pPr>
        <w:pStyle w:val="Napis"/>
        <w:spacing w:line="276" w:lineRule="auto"/>
        <w:rPr>
          <w:rFonts w:asciiTheme="majorHAnsi" w:hAnsiTheme="majorHAnsi" w:cstheme="majorHAnsi"/>
          <w:color w:val="auto"/>
          <w:sz w:val="22"/>
          <w:szCs w:val="22"/>
        </w:rPr>
      </w:pPr>
      <w:bookmarkStart w:id="283" w:name="_Toc1955836"/>
      <w:bookmarkStart w:id="284" w:name="_Toc209029195"/>
      <w:bookmarkStart w:id="285" w:name="_Toc230882331"/>
      <w:r w:rsidRPr="000020F0">
        <w:rPr>
          <w:rFonts w:asciiTheme="majorHAnsi" w:hAnsiTheme="majorHAnsi" w:cstheme="majorHAnsi"/>
          <w:color w:val="auto"/>
          <w:sz w:val="22"/>
          <w:szCs w:val="22"/>
        </w:rPr>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17</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proofErr w:type="spellStart"/>
      <w:r w:rsidRPr="000020F0">
        <w:rPr>
          <w:rFonts w:asciiTheme="majorHAnsi" w:hAnsiTheme="majorHAnsi" w:cstheme="majorHAnsi"/>
          <w:b w:val="0"/>
          <w:color w:val="auto"/>
          <w:sz w:val="22"/>
          <w:szCs w:val="22"/>
        </w:rPr>
        <w:t>Makrolokacija</w:t>
      </w:r>
      <w:proofErr w:type="spellEnd"/>
      <w:r w:rsidRPr="000020F0">
        <w:rPr>
          <w:rFonts w:asciiTheme="majorHAnsi" w:hAnsiTheme="majorHAnsi" w:cstheme="majorHAnsi"/>
          <w:b w:val="0"/>
          <w:color w:val="auto"/>
          <w:sz w:val="22"/>
          <w:szCs w:val="22"/>
        </w:rPr>
        <w:t xml:space="preserve"> predmetne investicije</w:t>
      </w:r>
      <w:bookmarkEnd w:id="283"/>
      <w:bookmarkEnd w:id="284"/>
      <w:bookmarkEnd w:id="285"/>
    </w:p>
    <w:p w14:paraId="16E118F6" w14:textId="77777777" w:rsidR="004603B1" w:rsidRPr="000020F0" w:rsidRDefault="004603B1" w:rsidP="004603B1">
      <w:pPr>
        <w:spacing w:after="200" w:line="276" w:lineRule="auto"/>
        <w:rPr>
          <w:rFonts w:asciiTheme="majorHAnsi" w:hAnsiTheme="majorHAnsi" w:cstheme="majorHAnsi"/>
          <w:b/>
          <w:bCs/>
          <w:sz w:val="22"/>
          <w:szCs w:val="22"/>
        </w:rPr>
      </w:pPr>
      <w:r w:rsidRPr="000020F0">
        <w:rPr>
          <w:rFonts w:ascii="Arial" w:hAnsi="Arial" w:cs="Arial"/>
          <w:noProof/>
        </w:rPr>
        <w:drawing>
          <wp:inline distT="0" distB="0" distL="0" distR="0" wp14:anchorId="10D50068" wp14:editId="2B194484">
            <wp:extent cx="5568950" cy="3669606"/>
            <wp:effectExtent l="0" t="0" r="0" b="7620"/>
            <wp:docPr id="1610647595" name="Picture 16" descr="A map with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47595" name="Picture 16" descr="A map with a black circle&#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84157" cy="3679627"/>
                    </a:xfrm>
                    <a:prstGeom prst="rect">
                      <a:avLst/>
                    </a:prstGeom>
                    <a:noFill/>
                    <a:ln>
                      <a:noFill/>
                    </a:ln>
                  </pic:spPr>
                </pic:pic>
              </a:graphicData>
            </a:graphic>
          </wp:inline>
        </w:drawing>
      </w:r>
      <w:bookmarkStart w:id="286" w:name="_Toc1955837"/>
      <w:r w:rsidRPr="000020F0">
        <w:rPr>
          <w:rFonts w:asciiTheme="majorHAnsi" w:hAnsiTheme="majorHAnsi" w:cstheme="majorHAnsi"/>
          <w:sz w:val="22"/>
          <w:szCs w:val="22"/>
        </w:rPr>
        <w:br w:type="page"/>
      </w:r>
    </w:p>
    <w:p w14:paraId="54875521" w14:textId="1A4986D3" w:rsidR="004603B1" w:rsidRPr="000020F0" w:rsidRDefault="004603B1" w:rsidP="004603B1">
      <w:pPr>
        <w:pStyle w:val="Napis"/>
        <w:spacing w:line="276" w:lineRule="auto"/>
        <w:rPr>
          <w:rFonts w:asciiTheme="majorHAnsi" w:hAnsiTheme="majorHAnsi" w:cstheme="majorHAnsi"/>
          <w:color w:val="auto"/>
          <w:sz w:val="22"/>
          <w:szCs w:val="22"/>
        </w:rPr>
      </w:pPr>
      <w:bookmarkStart w:id="287" w:name="_Toc209029196"/>
      <w:bookmarkStart w:id="288" w:name="_Toc230882332"/>
      <w:r w:rsidRPr="000020F0">
        <w:rPr>
          <w:rFonts w:asciiTheme="majorHAnsi" w:hAnsiTheme="majorHAnsi" w:cstheme="majorHAnsi"/>
          <w:color w:val="auto"/>
          <w:sz w:val="22"/>
          <w:szCs w:val="22"/>
        </w:rPr>
        <w:lastRenderedPageBreak/>
        <w:t xml:space="preserve">Slika </w:t>
      </w:r>
      <w:r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Slika \* ARABIC </w:instrText>
      </w:r>
      <w:r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18</w:t>
      </w:r>
      <w:r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 xml:space="preserve">: </w:t>
      </w:r>
      <w:r w:rsidRPr="000020F0">
        <w:rPr>
          <w:rFonts w:asciiTheme="majorHAnsi" w:hAnsiTheme="majorHAnsi" w:cstheme="majorHAnsi"/>
          <w:b w:val="0"/>
          <w:color w:val="auto"/>
          <w:sz w:val="22"/>
          <w:szCs w:val="22"/>
        </w:rPr>
        <w:t>Mikrolokacija predmetne investicije</w:t>
      </w:r>
      <w:bookmarkEnd w:id="286"/>
      <w:bookmarkEnd w:id="287"/>
      <w:bookmarkEnd w:id="288"/>
    </w:p>
    <w:p w14:paraId="66D9C2EE" w14:textId="28220422" w:rsidR="004603B1" w:rsidRPr="000020F0" w:rsidRDefault="004520DF" w:rsidP="004603B1">
      <w:pPr>
        <w:spacing w:line="276" w:lineRule="auto"/>
        <w:jc w:val="both"/>
        <w:rPr>
          <w:rFonts w:asciiTheme="majorHAnsi" w:hAnsiTheme="majorHAnsi" w:cstheme="majorHAnsi"/>
        </w:rPr>
      </w:pPr>
      <w:r w:rsidRPr="000020F0">
        <w:rPr>
          <w:noProof/>
        </w:rPr>
        <w:drawing>
          <wp:inline distT="0" distB="0" distL="0" distR="0" wp14:anchorId="3C05479F" wp14:editId="0B3588AA">
            <wp:extent cx="3276600" cy="4823108"/>
            <wp:effectExtent l="0" t="0" r="0" b="0"/>
            <wp:docPr id="8308907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46207" name=""/>
                    <pic:cNvPicPr/>
                  </pic:nvPicPr>
                  <pic:blipFill>
                    <a:blip r:embed="rId86"/>
                    <a:stretch>
                      <a:fillRect/>
                    </a:stretch>
                  </pic:blipFill>
                  <pic:spPr>
                    <a:xfrm>
                      <a:off x="0" y="0"/>
                      <a:ext cx="3288270" cy="4840286"/>
                    </a:xfrm>
                    <a:prstGeom prst="rect">
                      <a:avLst/>
                    </a:prstGeom>
                  </pic:spPr>
                </pic:pic>
              </a:graphicData>
            </a:graphic>
          </wp:inline>
        </w:drawing>
      </w:r>
    </w:p>
    <w:p w14:paraId="4B180C89" w14:textId="77777777" w:rsidR="004603B1" w:rsidRPr="000020F0" w:rsidRDefault="004603B1" w:rsidP="004603B1">
      <w:pPr>
        <w:spacing w:line="276" w:lineRule="auto"/>
        <w:jc w:val="both"/>
        <w:rPr>
          <w:rFonts w:asciiTheme="majorHAnsi" w:hAnsiTheme="majorHAnsi" w:cstheme="majorHAnsi"/>
          <w:b/>
          <w:bCs/>
        </w:rPr>
      </w:pPr>
    </w:p>
    <w:p w14:paraId="74A5C912" w14:textId="582BA17B" w:rsidR="004603B1" w:rsidRPr="000020F0" w:rsidRDefault="00CA5A0D" w:rsidP="004603B1">
      <w:pPr>
        <w:pStyle w:val="Napis"/>
        <w:spacing w:line="276" w:lineRule="auto"/>
        <w:rPr>
          <w:rFonts w:asciiTheme="majorHAnsi" w:hAnsiTheme="majorHAnsi" w:cstheme="majorHAnsi"/>
          <w:b w:val="0"/>
          <w:color w:val="auto"/>
          <w:sz w:val="22"/>
          <w:szCs w:val="22"/>
        </w:rPr>
      </w:pPr>
      <w:bookmarkStart w:id="289" w:name="_Toc209029197"/>
      <w:bookmarkStart w:id="290" w:name="_Toc230882333"/>
      <w:r w:rsidRPr="000020F0">
        <w:rPr>
          <w:rFonts w:ascii="Arial" w:hAnsi="Arial" w:cs="Arial"/>
          <w:noProof/>
        </w:rPr>
        <w:drawing>
          <wp:anchor distT="0" distB="0" distL="114300" distR="114300" simplePos="0" relativeHeight="251677184" behindDoc="0" locked="0" layoutInCell="1" allowOverlap="1" wp14:anchorId="26491B82" wp14:editId="7EE65768">
            <wp:simplePos x="0" y="0"/>
            <wp:positionH relativeFrom="column">
              <wp:posOffset>4636770</wp:posOffset>
            </wp:positionH>
            <wp:positionV relativeFrom="paragraph">
              <wp:posOffset>446405</wp:posOffset>
            </wp:positionV>
            <wp:extent cx="1686160" cy="2876951"/>
            <wp:effectExtent l="0" t="0" r="9525" b="0"/>
            <wp:wrapSquare wrapText="bothSides"/>
            <wp:docPr id="12901732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73283" name="Picture 1" descr="A screenshot of a computer&#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1686160" cy="2876951"/>
                    </a:xfrm>
                    <a:prstGeom prst="rect">
                      <a:avLst/>
                    </a:prstGeom>
                  </pic:spPr>
                </pic:pic>
              </a:graphicData>
            </a:graphic>
          </wp:anchor>
        </w:drawing>
      </w:r>
      <w:r w:rsidRPr="000020F0">
        <w:rPr>
          <w:noProof/>
        </w:rPr>
        <w:drawing>
          <wp:anchor distT="0" distB="0" distL="114300" distR="114300" simplePos="0" relativeHeight="251678208" behindDoc="0" locked="0" layoutInCell="1" allowOverlap="1" wp14:anchorId="7C18BAC1" wp14:editId="3E103B5F">
            <wp:simplePos x="0" y="0"/>
            <wp:positionH relativeFrom="column">
              <wp:posOffset>-322580</wp:posOffset>
            </wp:positionH>
            <wp:positionV relativeFrom="paragraph">
              <wp:posOffset>248285</wp:posOffset>
            </wp:positionV>
            <wp:extent cx="4843748" cy="3360717"/>
            <wp:effectExtent l="0" t="0" r="0" b="0"/>
            <wp:wrapSquare wrapText="bothSides"/>
            <wp:docPr id="105198814" name="Picture 18"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8814" name="Picture 18" descr="A map of a neighborhood&#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43748" cy="3360717"/>
                    </a:xfrm>
                    <a:prstGeom prst="rect">
                      <a:avLst/>
                    </a:prstGeom>
                    <a:noFill/>
                    <a:ln>
                      <a:noFill/>
                    </a:ln>
                  </pic:spPr>
                </pic:pic>
              </a:graphicData>
            </a:graphic>
          </wp:anchor>
        </w:drawing>
      </w:r>
      <w:r w:rsidR="004603B1" w:rsidRPr="000020F0">
        <w:rPr>
          <w:rFonts w:asciiTheme="majorHAnsi" w:hAnsiTheme="majorHAnsi" w:cstheme="majorHAnsi"/>
          <w:color w:val="auto"/>
          <w:sz w:val="22"/>
          <w:szCs w:val="22"/>
        </w:rPr>
        <w:t xml:space="preserve">Slika </w:t>
      </w:r>
      <w:r w:rsidR="004603B1" w:rsidRPr="000020F0">
        <w:rPr>
          <w:rFonts w:asciiTheme="majorHAnsi" w:hAnsiTheme="majorHAnsi" w:cstheme="majorHAnsi"/>
          <w:color w:val="auto"/>
          <w:sz w:val="22"/>
          <w:szCs w:val="22"/>
        </w:rPr>
        <w:fldChar w:fldCharType="begin"/>
      </w:r>
      <w:r w:rsidR="004603B1" w:rsidRPr="000020F0">
        <w:rPr>
          <w:rFonts w:asciiTheme="majorHAnsi" w:hAnsiTheme="majorHAnsi" w:cstheme="majorHAnsi"/>
          <w:color w:val="auto"/>
          <w:sz w:val="22"/>
          <w:szCs w:val="22"/>
        </w:rPr>
        <w:instrText xml:space="preserve"> SEQ Slika \* ARABIC </w:instrText>
      </w:r>
      <w:r w:rsidR="004603B1"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19</w:t>
      </w:r>
      <w:r w:rsidR="004603B1" w:rsidRPr="000020F0">
        <w:rPr>
          <w:rFonts w:asciiTheme="majorHAnsi" w:hAnsiTheme="majorHAnsi" w:cstheme="majorHAnsi"/>
          <w:color w:val="auto"/>
          <w:sz w:val="22"/>
          <w:szCs w:val="22"/>
        </w:rPr>
        <w:fldChar w:fldCharType="end"/>
      </w:r>
      <w:r w:rsidR="004603B1" w:rsidRPr="000020F0">
        <w:rPr>
          <w:rFonts w:asciiTheme="majorHAnsi" w:hAnsiTheme="majorHAnsi" w:cstheme="majorHAnsi"/>
          <w:color w:val="auto"/>
          <w:sz w:val="22"/>
          <w:szCs w:val="22"/>
        </w:rPr>
        <w:t xml:space="preserve">: </w:t>
      </w:r>
      <w:r w:rsidR="004603B1" w:rsidRPr="000020F0">
        <w:rPr>
          <w:rFonts w:asciiTheme="majorHAnsi" w:hAnsiTheme="majorHAnsi" w:cstheme="majorHAnsi"/>
          <w:b w:val="0"/>
          <w:color w:val="auto"/>
          <w:sz w:val="22"/>
          <w:szCs w:val="22"/>
        </w:rPr>
        <w:t>Prostorska ureditev</w:t>
      </w:r>
      <w:bookmarkEnd w:id="289"/>
      <w:bookmarkEnd w:id="290"/>
    </w:p>
    <w:p w14:paraId="171FA78F" w14:textId="57A8E750" w:rsidR="004603B1" w:rsidRPr="000020F0" w:rsidRDefault="004603B1" w:rsidP="004603B1">
      <w:pPr>
        <w:spacing w:line="276" w:lineRule="auto"/>
      </w:pPr>
    </w:p>
    <w:p w14:paraId="29BE9E8B" w14:textId="4E227F0E" w:rsidR="004603B1" w:rsidRPr="000020F0" w:rsidRDefault="004603B1" w:rsidP="004603B1">
      <w:pPr>
        <w:spacing w:line="276" w:lineRule="auto"/>
        <w:jc w:val="both"/>
        <w:rPr>
          <w:rFonts w:ascii="Arial" w:hAnsi="Arial" w:cs="Arial"/>
        </w:rPr>
      </w:pPr>
    </w:p>
    <w:p w14:paraId="75F85FAB" w14:textId="77777777" w:rsidR="00C16CAC" w:rsidRPr="000020F0" w:rsidRDefault="00C16CAC"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291" w:name="_heading=h.1302m92" w:colFirst="0" w:colLast="0"/>
      <w:bookmarkStart w:id="292" w:name="_Toc131231600"/>
      <w:bookmarkStart w:id="293" w:name="_Toc230882235"/>
      <w:bookmarkEnd w:id="291"/>
      <w:r w:rsidRPr="000020F0">
        <w:rPr>
          <w:rFonts w:asciiTheme="majorHAnsi" w:eastAsiaTheme="majorEastAsia" w:hAnsiTheme="majorHAnsi" w:cstheme="majorHAnsi"/>
          <w:color w:val="244061" w:themeColor="accent1" w:themeShade="80"/>
        </w:rPr>
        <w:lastRenderedPageBreak/>
        <w:t>Prostorski ureditveni pogoji</w:t>
      </w:r>
      <w:bookmarkEnd w:id="292"/>
      <w:bookmarkEnd w:id="293"/>
    </w:p>
    <w:bookmarkEnd w:id="280"/>
    <w:p w14:paraId="73B1FD8E" w14:textId="0FD1A5FE" w:rsidR="004603B1" w:rsidRPr="000020F0" w:rsidRDefault="008D6666" w:rsidP="00BD1D20">
      <w:pPr>
        <w:spacing w:line="276" w:lineRule="auto"/>
        <w:rPr>
          <w:rFonts w:asciiTheme="majorHAnsi" w:hAnsiTheme="majorHAnsi" w:cstheme="majorHAnsi"/>
          <w:sz w:val="22"/>
          <w:szCs w:val="22"/>
        </w:rPr>
      </w:pPr>
      <w:r w:rsidRPr="000020F0">
        <w:rPr>
          <w:rFonts w:asciiTheme="majorHAnsi" w:hAnsiTheme="majorHAnsi" w:cstheme="majorHAnsi"/>
          <w:sz w:val="22"/>
          <w:szCs w:val="22"/>
        </w:rPr>
        <w:t>Na območju velja O</w:t>
      </w:r>
      <w:r w:rsidR="006009A2" w:rsidRPr="000020F0">
        <w:rPr>
          <w:rFonts w:asciiTheme="majorHAnsi" w:hAnsiTheme="majorHAnsi" w:cstheme="majorHAnsi"/>
          <w:sz w:val="22"/>
          <w:szCs w:val="22"/>
        </w:rPr>
        <w:t xml:space="preserve">dlok o prostorskem redu Občine Ig </w:t>
      </w:r>
      <w:r w:rsidR="00562D48" w:rsidRPr="000020F0">
        <w:rPr>
          <w:rFonts w:asciiTheme="majorHAnsi" w:hAnsiTheme="majorHAnsi" w:cstheme="majorHAnsi"/>
          <w:sz w:val="22"/>
          <w:szCs w:val="22"/>
        </w:rPr>
        <w:t xml:space="preserve">(Ur. list RS št. </w:t>
      </w:r>
      <w:r w:rsidR="00A26570" w:rsidRPr="000020F0">
        <w:rPr>
          <w:rFonts w:asciiTheme="majorHAnsi" w:hAnsiTheme="majorHAnsi" w:cstheme="majorHAnsi"/>
          <w:sz w:val="22"/>
          <w:szCs w:val="22"/>
        </w:rPr>
        <w:t>35/2012, 77/2012, 101/2013, 8/2015, 51/2018, 54/2018, 107/2020, 68/2025</w:t>
      </w:r>
      <w:r w:rsidR="00562D48" w:rsidRPr="000020F0">
        <w:rPr>
          <w:rFonts w:asciiTheme="majorHAnsi" w:hAnsiTheme="majorHAnsi" w:cstheme="majorHAnsi"/>
          <w:sz w:val="22"/>
          <w:szCs w:val="22"/>
        </w:rPr>
        <w:t>)</w:t>
      </w:r>
      <w:r w:rsidR="00A26570" w:rsidRPr="000020F0">
        <w:rPr>
          <w:rFonts w:asciiTheme="majorHAnsi" w:hAnsiTheme="majorHAnsi" w:cstheme="majorHAnsi"/>
          <w:sz w:val="22"/>
          <w:szCs w:val="22"/>
        </w:rPr>
        <w:t>, s katerim je projekt usklajen.</w:t>
      </w:r>
    </w:p>
    <w:p w14:paraId="1403ED85" w14:textId="0E593609" w:rsidR="00D12557" w:rsidRPr="000020F0" w:rsidRDefault="00D12557" w:rsidP="00BD1D20">
      <w:pPr>
        <w:spacing w:line="276" w:lineRule="auto"/>
        <w:rPr>
          <w:rFonts w:asciiTheme="majorHAnsi" w:hAnsiTheme="majorHAnsi" w:cstheme="majorHAnsi"/>
          <w:sz w:val="22"/>
          <w:szCs w:val="22"/>
        </w:rPr>
      </w:pPr>
      <w:r w:rsidRPr="000020F0">
        <w:rPr>
          <w:rFonts w:asciiTheme="majorHAnsi" w:hAnsiTheme="majorHAnsi" w:cstheme="majorHAnsi"/>
          <w:sz w:val="22"/>
          <w:szCs w:val="22"/>
        </w:rPr>
        <w:br w:type="page"/>
      </w:r>
    </w:p>
    <w:p w14:paraId="75BBD64A" w14:textId="77777777" w:rsidR="00072416" w:rsidRPr="000020F0" w:rsidRDefault="00072416" w:rsidP="00BD1D20">
      <w:pPr>
        <w:pStyle w:val="Naslov1"/>
        <w:numPr>
          <w:ilvl w:val="0"/>
          <w:numId w:val="3"/>
        </w:numPr>
        <w:rPr>
          <w:rFonts w:cstheme="majorHAnsi"/>
        </w:rPr>
      </w:pPr>
      <w:bookmarkStart w:id="294" w:name="_Toc230882236"/>
      <w:r w:rsidRPr="000020F0">
        <w:rPr>
          <w:rFonts w:cstheme="majorHAnsi"/>
        </w:rPr>
        <w:lastRenderedPageBreak/>
        <w:t>ANALIZA VPLIVOV INVESTICIJSKEGA PROJEKTA NA OKOLJE</w:t>
      </w:r>
      <w:bookmarkEnd w:id="294"/>
      <w:r w:rsidRPr="000020F0">
        <w:rPr>
          <w:rFonts w:cstheme="majorHAnsi"/>
        </w:rPr>
        <w:t xml:space="preserve"> </w:t>
      </w:r>
    </w:p>
    <w:p w14:paraId="4464E50C" w14:textId="459CE66C" w:rsidR="0037607E" w:rsidRPr="000020F0" w:rsidRDefault="0037607E" w:rsidP="0037607E">
      <w:pPr>
        <w:pStyle w:val="Naslov2"/>
        <w:numPr>
          <w:ilvl w:val="1"/>
          <w:numId w:val="1"/>
        </w:numPr>
        <w:spacing w:before="360" w:after="240"/>
        <w:rPr>
          <w:rFonts w:ascii="Arial" w:eastAsiaTheme="majorEastAsia" w:hAnsi="Arial" w:cs="Arial"/>
          <w:color w:val="244061" w:themeColor="accent1" w:themeShade="80"/>
          <w:szCs w:val="22"/>
        </w:rPr>
      </w:pPr>
      <w:bookmarkStart w:id="295" w:name="_Toc230882237"/>
      <w:proofErr w:type="spellStart"/>
      <w:r w:rsidRPr="000020F0">
        <w:rPr>
          <w:rFonts w:ascii="Arial" w:eastAsiaTheme="majorEastAsia" w:hAnsi="Arial" w:cs="Arial"/>
          <w:color w:val="244061" w:themeColor="accent1" w:themeShade="80"/>
          <w:szCs w:val="22"/>
        </w:rPr>
        <w:t>Okoljska</w:t>
      </w:r>
      <w:proofErr w:type="spellEnd"/>
      <w:r w:rsidRPr="000020F0">
        <w:rPr>
          <w:rFonts w:ascii="Arial" w:eastAsiaTheme="majorEastAsia" w:hAnsi="Arial" w:cs="Arial"/>
          <w:color w:val="244061" w:themeColor="accent1" w:themeShade="80"/>
          <w:szCs w:val="22"/>
        </w:rPr>
        <w:t xml:space="preserve"> sprejemljivost</w:t>
      </w:r>
      <w:bookmarkEnd w:id="295"/>
    </w:p>
    <w:p w14:paraId="558B8E14" w14:textId="14ACB059" w:rsidR="00803B86" w:rsidRPr="000020F0" w:rsidRDefault="00803B86" w:rsidP="00BD1D20">
      <w:pPr>
        <w:spacing w:after="120" w:line="276" w:lineRule="auto"/>
        <w:jc w:val="both"/>
        <w:rPr>
          <w:rFonts w:ascii="Arial" w:eastAsia="Arial" w:hAnsi="Arial" w:cs="Arial"/>
          <w:sz w:val="22"/>
          <w:szCs w:val="22"/>
        </w:rPr>
      </w:pPr>
      <w:r w:rsidRPr="000020F0">
        <w:rPr>
          <w:rFonts w:ascii="Arial" w:eastAsia="Arial" w:hAnsi="Arial" w:cs="Arial"/>
          <w:sz w:val="22"/>
          <w:szCs w:val="22"/>
        </w:rPr>
        <w:t xml:space="preserve">Projekt je torej </w:t>
      </w:r>
      <w:proofErr w:type="spellStart"/>
      <w:r w:rsidRPr="000020F0">
        <w:rPr>
          <w:rFonts w:ascii="Arial" w:eastAsia="Arial" w:hAnsi="Arial" w:cs="Arial"/>
          <w:sz w:val="22"/>
          <w:szCs w:val="22"/>
        </w:rPr>
        <w:t>okoljsko</w:t>
      </w:r>
      <w:proofErr w:type="spellEnd"/>
      <w:r w:rsidRPr="000020F0">
        <w:rPr>
          <w:rFonts w:ascii="Arial" w:eastAsia="Arial" w:hAnsi="Arial" w:cs="Arial"/>
          <w:sz w:val="22"/>
          <w:szCs w:val="22"/>
        </w:rPr>
        <w:t xml:space="preserve"> sprejemljiv, prostorsko učinkovit, regionalno razvojno usmerjen in skladen z načeli trajnostnega razvoja družbe, kot jih določajo veljavni zakoni:</w:t>
      </w:r>
    </w:p>
    <w:p w14:paraId="65D6874E" w14:textId="77777777" w:rsidR="00803B86" w:rsidRPr="000020F0" w:rsidRDefault="00803B86" w:rsidP="00BD1D20">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 xml:space="preserve">Zakon o varstvu okolja (ZVO-2), Uradni list RS, št. 44/22, 18/23 – ZDU-1O, 78/23 – ZUNPEOVE, 23/24, 21/25 – ZOPVOOV in 56/25 – </w:t>
      </w:r>
      <w:proofErr w:type="spellStart"/>
      <w:r w:rsidRPr="000020F0">
        <w:rPr>
          <w:rFonts w:ascii="Arial" w:eastAsia="Arial" w:hAnsi="Arial" w:cs="Arial"/>
          <w:sz w:val="22"/>
          <w:szCs w:val="22"/>
        </w:rPr>
        <w:t>PoZ</w:t>
      </w:r>
      <w:proofErr w:type="spellEnd"/>
    </w:p>
    <w:p w14:paraId="7211A6B5" w14:textId="77777777" w:rsidR="00803B86" w:rsidRPr="000020F0" w:rsidRDefault="00803B86" w:rsidP="00BD1D20">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 xml:space="preserve">Zakon o vodah (ZV-1), Uradni list RS, št. 67/02, 2/04 – ZZdrI-A, 41/04 – ZVO-1, 57/08, 57/12, 100/13, 40/14, 56/15, 65/20, 35/23 – </w:t>
      </w:r>
      <w:proofErr w:type="spellStart"/>
      <w:r w:rsidRPr="000020F0">
        <w:rPr>
          <w:rFonts w:ascii="Arial" w:eastAsia="Arial" w:hAnsi="Arial" w:cs="Arial"/>
          <w:sz w:val="22"/>
          <w:szCs w:val="22"/>
        </w:rPr>
        <w:t>odl</w:t>
      </w:r>
      <w:proofErr w:type="spellEnd"/>
      <w:r w:rsidRPr="000020F0">
        <w:rPr>
          <w:rFonts w:ascii="Arial" w:eastAsia="Arial" w:hAnsi="Arial" w:cs="Arial"/>
          <w:sz w:val="22"/>
          <w:szCs w:val="22"/>
        </w:rPr>
        <w:t xml:space="preserve">. US, 78/23 – ZUNPEOVE in 52/24 – </w:t>
      </w:r>
      <w:proofErr w:type="spellStart"/>
      <w:r w:rsidRPr="000020F0">
        <w:rPr>
          <w:rFonts w:ascii="Arial" w:eastAsia="Arial" w:hAnsi="Arial" w:cs="Arial"/>
          <w:sz w:val="22"/>
          <w:szCs w:val="22"/>
        </w:rPr>
        <w:t>odl</w:t>
      </w:r>
      <w:proofErr w:type="spellEnd"/>
      <w:r w:rsidRPr="000020F0">
        <w:rPr>
          <w:rFonts w:ascii="Arial" w:eastAsia="Arial" w:hAnsi="Arial" w:cs="Arial"/>
          <w:sz w:val="22"/>
          <w:szCs w:val="22"/>
        </w:rPr>
        <w:t xml:space="preserve">. US </w:t>
      </w:r>
    </w:p>
    <w:p w14:paraId="2A3552C2" w14:textId="77777777" w:rsidR="00803B86" w:rsidRPr="000020F0" w:rsidRDefault="00803B86" w:rsidP="00BD1D20">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 xml:space="preserve">Zakon o urejanju prostora (ZUreP-3), Uradni list RS, št. 199/21, 18/23 – ZDU-1O, 78/23 – ZUNPEOVE, 23/24, 109/24 in 25/25 – </w:t>
      </w:r>
      <w:proofErr w:type="spellStart"/>
      <w:r w:rsidRPr="000020F0">
        <w:rPr>
          <w:rFonts w:ascii="Arial" w:eastAsia="Arial" w:hAnsi="Arial" w:cs="Arial"/>
          <w:sz w:val="22"/>
          <w:szCs w:val="22"/>
        </w:rPr>
        <w:t>odl</w:t>
      </w:r>
      <w:proofErr w:type="spellEnd"/>
      <w:r w:rsidRPr="000020F0">
        <w:rPr>
          <w:rFonts w:ascii="Arial" w:eastAsia="Arial" w:hAnsi="Arial" w:cs="Arial"/>
          <w:sz w:val="22"/>
          <w:szCs w:val="22"/>
        </w:rPr>
        <w:t>. US</w:t>
      </w:r>
    </w:p>
    <w:p w14:paraId="5AB4B09F" w14:textId="77777777" w:rsidR="00803B86" w:rsidRPr="000020F0" w:rsidRDefault="00803B86" w:rsidP="00BD1D20">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 xml:space="preserve">Gradbeni zakon (GZ-1), Uradni list RS, št. 199/21, 105/22 – ZZNŠPP, 133/23, 85/24 – ZAID-A in 47/25 – </w:t>
      </w:r>
      <w:proofErr w:type="spellStart"/>
      <w:r w:rsidRPr="000020F0">
        <w:rPr>
          <w:rFonts w:ascii="Arial" w:eastAsia="Arial" w:hAnsi="Arial" w:cs="Arial"/>
          <w:sz w:val="22"/>
          <w:szCs w:val="22"/>
        </w:rPr>
        <w:t>odl</w:t>
      </w:r>
      <w:proofErr w:type="spellEnd"/>
      <w:r w:rsidRPr="000020F0">
        <w:rPr>
          <w:rFonts w:ascii="Arial" w:eastAsia="Arial" w:hAnsi="Arial" w:cs="Arial"/>
          <w:sz w:val="22"/>
          <w:szCs w:val="22"/>
        </w:rPr>
        <w:t>. US</w:t>
      </w:r>
    </w:p>
    <w:p w14:paraId="60E89CED" w14:textId="77777777" w:rsidR="00803B86" w:rsidRPr="000020F0" w:rsidRDefault="00803B86" w:rsidP="00BD1D20">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 xml:space="preserve">Zakon o ohranjanju narave (ZON), Uradni list RS, št. 96/04 – uradno prečiščeno besedilo, 61/06 – ZDru-1, 8/10 – ZSKZ-B, 46/14, 21/18 – </w:t>
      </w:r>
      <w:proofErr w:type="spellStart"/>
      <w:r w:rsidRPr="000020F0">
        <w:rPr>
          <w:rFonts w:ascii="Arial" w:eastAsia="Arial" w:hAnsi="Arial" w:cs="Arial"/>
          <w:sz w:val="22"/>
          <w:szCs w:val="22"/>
        </w:rPr>
        <w:t>ZNOrg</w:t>
      </w:r>
      <w:proofErr w:type="spellEnd"/>
      <w:r w:rsidRPr="000020F0">
        <w:rPr>
          <w:rFonts w:ascii="Arial" w:eastAsia="Arial" w:hAnsi="Arial" w:cs="Arial"/>
          <w:sz w:val="22"/>
          <w:szCs w:val="22"/>
        </w:rPr>
        <w:t xml:space="preserve">, 31/18, 82/20, 3/22 – </w:t>
      </w:r>
      <w:proofErr w:type="spellStart"/>
      <w:r w:rsidRPr="000020F0">
        <w:rPr>
          <w:rFonts w:ascii="Arial" w:eastAsia="Arial" w:hAnsi="Arial" w:cs="Arial"/>
          <w:sz w:val="22"/>
          <w:szCs w:val="22"/>
        </w:rPr>
        <w:t>ZDeb</w:t>
      </w:r>
      <w:proofErr w:type="spellEnd"/>
      <w:r w:rsidRPr="000020F0">
        <w:rPr>
          <w:rFonts w:ascii="Arial" w:eastAsia="Arial" w:hAnsi="Arial" w:cs="Arial"/>
          <w:sz w:val="22"/>
          <w:szCs w:val="22"/>
        </w:rPr>
        <w:t>, 105/22 – ZZNŠPP in 18/23 – ZDU-1O</w:t>
      </w:r>
    </w:p>
    <w:p w14:paraId="56D90FC8" w14:textId="77777777" w:rsidR="00803B86" w:rsidRPr="000020F0" w:rsidRDefault="00803B86" w:rsidP="00F57248">
      <w:pPr>
        <w:numPr>
          <w:ilvl w:val="0"/>
          <w:numId w:val="74"/>
        </w:numPr>
        <w:spacing w:after="120" w:line="276" w:lineRule="auto"/>
        <w:ind w:left="426"/>
        <w:contextualSpacing/>
        <w:jc w:val="both"/>
        <w:rPr>
          <w:rFonts w:ascii="Arial" w:eastAsia="Arial" w:hAnsi="Arial" w:cs="Arial"/>
          <w:sz w:val="22"/>
          <w:szCs w:val="22"/>
        </w:rPr>
      </w:pPr>
      <w:r w:rsidRPr="000020F0">
        <w:rPr>
          <w:rFonts w:ascii="Arial" w:eastAsia="Arial" w:hAnsi="Arial" w:cs="Arial"/>
          <w:sz w:val="22"/>
          <w:szCs w:val="22"/>
        </w:rPr>
        <w:t>in strateški dokumenti kot na primer SPRS, Strategija razvoja Slovenije 2030, Agenda 2030.</w:t>
      </w:r>
    </w:p>
    <w:p w14:paraId="06EF4AE6" w14:textId="7FB1D1E0" w:rsidR="00CF68D5" w:rsidRPr="000020F0" w:rsidRDefault="0037607E" w:rsidP="0037607E">
      <w:pPr>
        <w:pStyle w:val="Naslov2"/>
        <w:numPr>
          <w:ilvl w:val="1"/>
          <w:numId w:val="1"/>
        </w:numPr>
        <w:spacing w:before="360" w:after="240"/>
        <w:rPr>
          <w:rFonts w:ascii="Arial" w:eastAsiaTheme="majorEastAsia" w:hAnsi="Arial" w:cs="Arial"/>
          <w:color w:val="244061" w:themeColor="accent1" w:themeShade="80"/>
          <w:szCs w:val="22"/>
        </w:rPr>
      </w:pPr>
      <w:bookmarkStart w:id="296" w:name="_Toc230882238"/>
      <w:r w:rsidRPr="000020F0">
        <w:rPr>
          <w:rFonts w:ascii="Arial" w:eastAsiaTheme="majorEastAsia" w:hAnsi="Arial" w:cs="Arial"/>
          <w:color w:val="244061" w:themeColor="accent1" w:themeShade="80"/>
          <w:szCs w:val="22"/>
        </w:rPr>
        <w:t>Varstvo okolja</w:t>
      </w:r>
      <w:bookmarkEnd w:id="296"/>
    </w:p>
    <w:p w14:paraId="758B23B4"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1. Predvideni vplivi med izvedbo</w:t>
      </w:r>
    </w:p>
    <w:p w14:paraId="75E5B8E8"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Predvideni vplivi na okolje, ki bi nastali med izvajanjem investicije, bodo časovno omejeni izključno na dobo gradbenih del. Glavni vplivi bodo povezani z ureditvijo gradbišč, prisotnostjo gradbene mehanizacije in transportom materiala. Ocenjuje se, da bodo ti vplivi količinsko, prostorsko in časovno omejeni ter sprejemljivi za okolje. Zato stroški odprave negativnih vplivov niso predvideni.</w:t>
      </w:r>
    </w:p>
    <w:p w14:paraId="08F39AB0"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048215E7"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2. Vplivi po dokončanju investicije</w:t>
      </w:r>
    </w:p>
    <w:p w14:paraId="0D8EE8BB"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 xml:space="preserve">Po zaključku izvedbe investicija ne bo imela negativnih vplivov na okolje. Nasprotno, z izvedbo ukrepov se pričakuje pomembno zmanjšanje </w:t>
      </w:r>
      <w:proofErr w:type="spellStart"/>
      <w:r w:rsidRPr="000020F0">
        <w:rPr>
          <w:rFonts w:ascii="Arial" w:hAnsi="Arial" w:cs="Arial"/>
          <w:sz w:val="22"/>
          <w:szCs w:val="22"/>
        </w:rPr>
        <w:t>ogljičnega</w:t>
      </w:r>
      <w:proofErr w:type="spellEnd"/>
      <w:r w:rsidRPr="000020F0">
        <w:rPr>
          <w:rFonts w:ascii="Arial" w:hAnsi="Arial" w:cs="Arial"/>
          <w:sz w:val="22"/>
          <w:szCs w:val="22"/>
        </w:rPr>
        <w:t xml:space="preserve"> odtisa, izboljšanje kakovosti zraka in zmanjšanje hrupa v urbanem središču.</w:t>
      </w:r>
    </w:p>
    <w:p w14:paraId="3E830F0C"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44E51347"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3. Učinkovitost izrabe naravnih virov</w:t>
      </w:r>
    </w:p>
    <w:p w14:paraId="2321756B"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Projekt ne vključuje intenzivne rabe naravnih virov in nanje nima posebnega vpliva. Pri izvedbi bodo uporabljeni materiali in tehnike, ki omogočajo ponovno uporabo, recikliranje in lokalno pridobivanje surovin, kar zmanjšuje transportne obremenitve.</w:t>
      </w:r>
    </w:p>
    <w:p w14:paraId="55A24F8E"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4ED2D194"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 xml:space="preserve">4. </w:t>
      </w:r>
      <w:proofErr w:type="spellStart"/>
      <w:r w:rsidRPr="000020F0">
        <w:rPr>
          <w:rFonts w:ascii="Arial" w:hAnsi="Arial" w:cs="Arial"/>
          <w:b/>
          <w:bCs/>
          <w:sz w:val="22"/>
          <w:szCs w:val="22"/>
        </w:rPr>
        <w:t>Okoljska</w:t>
      </w:r>
      <w:proofErr w:type="spellEnd"/>
      <w:r w:rsidRPr="000020F0">
        <w:rPr>
          <w:rFonts w:ascii="Arial" w:hAnsi="Arial" w:cs="Arial"/>
          <w:b/>
          <w:bCs/>
          <w:sz w:val="22"/>
          <w:szCs w:val="22"/>
        </w:rPr>
        <w:t xml:space="preserve"> učinkovitost</w:t>
      </w:r>
    </w:p>
    <w:p w14:paraId="08BEF030"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 xml:space="preserve">Pri izvedbi del bo uporabljena najboljša razpoložljiva tehnika (»BAT – </w:t>
      </w:r>
      <w:proofErr w:type="spellStart"/>
      <w:r w:rsidRPr="000020F0">
        <w:rPr>
          <w:rFonts w:ascii="Arial" w:hAnsi="Arial" w:cs="Arial"/>
          <w:sz w:val="22"/>
          <w:szCs w:val="22"/>
        </w:rPr>
        <w:t>Best</w:t>
      </w:r>
      <w:proofErr w:type="spellEnd"/>
      <w:r w:rsidRPr="000020F0">
        <w:rPr>
          <w:rFonts w:ascii="Arial" w:hAnsi="Arial" w:cs="Arial"/>
          <w:sz w:val="22"/>
          <w:szCs w:val="22"/>
        </w:rPr>
        <w:t xml:space="preserve"> </w:t>
      </w:r>
      <w:proofErr w:type="spellStart"/>
      <w:r w:rsidRPr="000020F0">
        <w:rPr>
          <w:rFonts w:ascii="Arial" w:hAnsi="Arial" w:cs="Arial"/>
          <w:sz w:val="22"/>
          <w:szCs w:val="22"/>
        </w:rPr>
        <w:t>Available</w:t>
      </w:r>
      <w:proofErr w:type="spellEnd"/>
      <w:r w:rsidRPr="000020F0">
        <w:rPr>
          <w:rFonts w:ascii="Arial" w:hAnsi="Arial" w:cs="Arial"/>
          <w:sz w:val="22"/>
          <w:szCs w:val="22"/>
        </w:rPr>
        <w:t xml:space="preserve"> </w:t>
      </w:r>
      <w:proofErr w:type="spellStart"/>
      <w:r w:rsidRPr="000020F0">
        <w:rPr>
          <w:rFonts w:ascii="Arial" w:hAnsi="Arial" w:cs="Arial"/>
          <w:sz w:val="22"/>
          <w:szCs w:val="22"/>
        </w:rPr>
        <w:t>Technique</w:t>
      </w:r>
      <w:proofErr w:type="spellEnd"/>
      <w:r w:rsidRPr="000020F0">
        <w:rPr>
          <w:rFonts w:ascii="Arial" w:hAnsi="Arial" w:cs="Arial"/>
          <w:sz w:val="22"/>
          <w:szCs w:val="22"/>
        </w:rPr>
        <w:t xml:space="preserve">«). Zelena infrastruktura in ukrepi trajnostne mobilnosti so predvideni prav zaradi povečanja </w:t>
      </w:r>
      <w:proofErr w:type="spellStart"/>
      <w:r w:rsidRPr="000020F0">
        <w:rPr>
          <w:rFonts w:ascii="Arial" w:hAnsi="Arial" w:cs="Arial"/>
          <w:sz w:val="22"/>
          <w:szCs w:val="22"/>
        </w:rPr>
        <w:t>okoljske</w:t>
      </w:r>
      <w:proofErr w:type="spellEnd"/>
      <w:r w:rsidRPr="000020F0">
        <w:rPr>
          <w:rFonts w:ascii="Arial" w:hAnsi="Arial" w:cs="Arial"/>
          <w:sz w:val="22"/>
          <w:szCs w:val="22"/>
        </w:rPr>
        <w:t xml:space="preserve"> učinkovitosti: manjša raba energije, zmanjšanje emisij in dolgoročna odpornost na podnebne spremembe.</w:t>
      </w:r>
    </w:p>
    <w:p w14:paraId="2011179D"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4AC3A206"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5. Zmanjševanje vplivov na okolje</w:t>
      </w:r>
    </w:p>
    <w:p w14:paraId="4E2B9EAA"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lastRenderedPageBreak/>
        <w:t xml:space="preserve">Investicija bo prispevala k zmanjšanju </w:t>
      </w:r>
      <w:proofErr w:type="spellStart"/>
      <w:r w:rsidRPr="000020F0">
        <w:rPr>
          <w:rFonts w:ascii="Arial" w:hAnsi="Arial" w:cs="Arial"/>
          <w:sz w:val="22"/>
          <w:szCs w:val="22"/>
        </w:rPr>
        <w:t>ogljičnega</w:t>
      </w:r>
      <w:proofErr w:type="spellEnd"/>
      <w:r w:rsidRPr="000020F0">
        <w:rPr>
          <w:rFonts w:ascii="Arial" w:hAnsi="Arial" w:cs="Arial"/>
          <w:sz w:val="22"/>
          <w:szCs w:val="22"/>
        </w:rPr>
        <w:t xml:space="preserve"> odtisa in škodljivih vplivov motornega prometa. To bo doseženo z:</w:t>
      </w:r>
    </w:p>
    <w:p w14:paraId="7A72BB78" w14:textId="77777777" w:rsidR="00CF68D5" w:rsidRPr="000020F0" w:rsidRDefault="00CF68D5" w:rsidP="00CF68D5">
      <w:pPr>
        <w:numPr>
          <w:ilvl w:val="0"/>
          <w:numId w:val="146"/>
        </w:num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zmanjšanjem deleža površin namenjenih motoriziranemu prometu,</w:t>
      </w:r>
    </w:p>
    <w:p w14:paraId="1E8ED106" w14:textId="77777777" w:rsidR="00CF68D5" w:rsidRPr="000020F0" w:rsidRDefault="00CF68D5" w:rsidP="00CF68D5">
      <w:pPr>
        <w:numPr>
          <w:ilvl w:val="0"/>
          <w:numId w:val="146"/>
        </w:num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povečanjem deleža zelenih in prepustnih površin,</w:t>
      </w:r>
    </w:p>
    <w:p w14:paraId="67F59258" w14:textId="77777777" w:rsidR="00CF68D5" w:rsidRPr="000020F0" w:rsidRDefault="00CF68D5" w:rsidP="00CF68D5">
      <w:pPr>
        <w:numPr>
          <w:ilvl w:val="0"/>
          <w:numId w:val="146"/>
        </w:num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uvajanjem ponovne uporabe padavinskih voda,</w:t>
      </w:r>
    </w:p>
    <w:p w14:paraId="52FC1887" w14:textId="77777777" w:rsidR="00CF68D5" w:rsidRPr="000020F0" w:rsidRDefault="00CF68D5" w:rsidP="00CF68D5">
      <w:pPr>
        <w:numPr>
          <w:ilvl w:val="0"/>
          <w:numId w:val="146"/>
        </w:num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izboljšanjem pogojev za trajnostne oblike mobilnosti.</w:t>
      </w:r>
    </w:p>
    <w:p w14:paraId="2C45D5BA"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0E24FC84"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6. Posebna poročila in ocene</w:t>
      </w:r>
    </w:p>
    <w:p w14:paraId="3BF8136B"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 xml:space="preserve">Za predmetno investicijo posebna poročila o vplivih na okolje ali </w:t>
      </w:r>
      <w:proofErr w:type="spellStart"/>
      <w:r w:rsidRPr="000020F0">
        <w:rPr>
          <w:rFonts w:ascii="Arial" w:hAnsi="Arial" w:cs="Arial"/>
          <w:sz w:val="22"/>
          <w:szCs w:val="22"/>
        </w:rPr>
        <w:t>okoljske</w:t>
      </w:r>
      <w:proofErr w:type="spellEnd"/>
      <w:r w:rsidRPr="000020F0">
        <w:rPr>
          <w:rFonts w:ascii="Arial" w:hAnsi="Arial" w:cs="Arial"/>
          <w:sz w:val="22"/>
          <w:szCs w:val="22"/>
        </w:rPr>
        <w:t xml:space="preserve"> presoje skladno z veljavnimi predpisi niso potrebne.</w:t>
      </w:r>
    </w:p>
    <w:p w14:paraId="370DC3F1"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p>
    <w:p w14:paraId="2622C6C0" w14:textId="77777777" w:rsidR="00CF68D5" w:rsidRPr="000020F0" w:rsidRDefault="00CF68D5" w:rsidP="00CF68D5">
      <w:pPr>
        <w:autoSpaceDE w:val="0"/>
        <w:autoSpaceDN w:val="0"/>
        <w:adjustRightInd w:val="0"/>
        <w:spacing w:line="276" w:lineRule="auto"/>
        <w:jc w:val="both"/>
        <w:rPr>
          <w:rFonts w:ascii="Arial" w:hAnsi="Arial" w:cs="Arial"/>
          <w:b/>
          <w:bCs/>
          <w:sz w:val="22"/>
          <w:szCs w:val="22"/>
        </w:rPr>
      </w:pPr>
      <w:r w:rsidRPr="000020F0">
        <w:rPr>
          <w:rFonts w:ascii="Arial" w:hAnsi="Arial" w:cs="Arial"/>
          <w:b/>
          <w:bCs/>
          <w:sz w:val="22"/>
          <w:szCs w:val="22"/>
        </w:rPr>
        <w:t>7. Skladnost z varstvenimi režimi</w:t>
      </w:r>
    </w:p>
    <w:p w14:paraId="1F2F7132" w14:textId="77777777" w:rsidR="00CF68D5" w:rsidRPr="000020F0" w:rsidRDefault="00CF68D5" w:rsidP="00CF68D5">
      <w:pPr>
        <w:autoSpaceDE w:val="0"/>
        <w:autoSpaceDN w:val="0"/>
        <w:adjustRightInd w:val="0"/>
        <w:spacing w:line="276" w:lineRule="auto"/>
        <w:jc w:val="both"/>
        <w:rPr>
          <w:rFonts w:ascii="Arial" w:hAnsi="Arial" w:cs="Arial"/>
          <w:sz w:val="22"/>
          <w:szCs w:val="22"/>
        </w:rPr>
      </w:pPr>
      <w:r w:rsidRPr="000020F0">
        <w:rPr>
          <w:rFonts w:ascii="Arial" w:hAnsi="Arial" w:cs="Arial"/>
          <w:sz w:val="22"/>
          <w:szCs w:val="22"/>
        </w:rPr>
        <w:t xml:space="preserve">Ker se območje nahaja v vplivnem območju </w:t>
      </w:r>
      <w:r w:rsidRPr="000020F0">
        <w:rPr>
          <w:rFonts w:ascii="Arial" w:hAnsi="Arial" w:cs="Arial"/>
          <w:b/>
          <w:bCs/>
          <w:sz w:val="22"/>
          <w:szCs w:val="22"/>
        </w:rPr>
        <w:t>Krajinskega parka Ljubljansko barje</w:t>
      </w:r>
      <w:r w:rsidRPr="000020F0">
        <w:rPr>
          <w:rFonts w:ascii="Arial" w:hAnsi="Arial" w:cs="Arial"/>
          <w:sz w:val="22"/>
          <w:szCs w:val="22"/>
        </w:rPr>
        <w:t xml:space="preserve"> in območja Natura 2000, bodo vsi posegi izvedeni ob upoštevanju smernic varstva narave, biotske raznovrstnosti in kulturne dediščine. Projekt se s tem umešča v širše </w:t>
      </w:r>
      <w:proofErr w:type="spellStart"/>
      <w:r w:rsidRPr="000020F0">
        <w:rPr>
          <w:rFonts w:ascii="Arial" w:hAnsi="Arial" w:cs="Arial"/>
          <w:sz w:val="22"/>
          <w:szCs w:val="22"/>
        </w:rPr>
        <w:t>okoljske</w:t>
      </w:r>
      <w:proofErr w:type="spellEnd"/>
      <w:r w:rsidRPr="000020F0">
        <w:rPr>
          <w:rFonts w:ascii="Arial" w:hAnsi="Arial" w:cs="Arial"/>
          <w:sz w:val="22"/>
          <w:szCs w:val="22"/>
        </w:rPr>
        <w:t xml:space="preserve"> cilje ohranjanja narave ter trajnostnega razvoja prostora.</w:t>
      </w:r>
    </w:p>
    <w:p w14:paraId="0265DE58" w14:textId="6CFABA04" w:rsidR="00D81CDD" w:rsidRPr="000020F0" w:rsidRDefault="00533C55" w:rsidP="00D81CDD">
      <w:pPr>
        <w:pStyle w:val="Naslov2"/>
        <w:numPr>
          <w:ilvl w:val="2"/>
          <w:numId w:val="1"/>
        </w:numPr>
        <w:spacing w:before="360" w:after="240"/>
        <w:rPr>
          <w:rFonts w:ascii="Arial" w:eastAsiaTheme="majorEastAsia" w:hAnsi="Arial" w:cs="Arial"/>
          <w:color w:val="244061" w:themeColor="accent1" w:themeShade="80"/>
          <w:szCs w:val="22"/>
        </w:rPr>
      </w:pPr>
      <w:bookmarkStart w:id="297" w:name="_Ref230594353"/>
      <w:bookmarkStart w:id="298" w:name="_Toc230882239"/>
      <w:r w:rsidRPr="000020F0">
        <w:rPr>
          <w:rFonts w:ascii="Arial" w:eastAsiaTheme="majorEastAsia" w:hAnsi="Arial" w:cs="Arial"/>
          <w:color w:val="244061" w:themeColor="accent1" w:themeShade="80"/>
          <w:szCs w:val="22"/>
        </w:rPr>
        <w:t>Presoja podnebne odpornosti</w:t>
      </w:r>
      <w:bookmarkEnd w:id="297"/>
      <w:bookmarkEnd w:id="298"/>
    </w:p>
    <w:p w14:paraId="5E697830"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t>Središče Iga danes opravlja več različnih vlog hkrati: je prometni prehod skozi naselje, prostor vsakdanjih opravkov ter točka, kjer se srečujejo šola, občina, trgovine in storitve. Zaradi teh funkcij je območje močno obremenjeno z dnevnim prometom, posebej v času prihodov in odhodov otrok v šolo ter v popoldanskih konicah. Obstoječe površine za pešce in kolesarje so mestoma ozke ali nepovezane, prehodi niso vedno pregledni, avtobusna postajališča pa ne zagotavljajo dovolj zaščite pred vremenskimi vplivi. V poletnih mesecih se tlak in asfalt močno segrevata, dreves in sence je premalo, ob kratkih nalivih pa voda na nekaterih mestih zastaja, ker je odvodnjavanje zastarelo in obremenjeno. Kakovost bivanja v središču Iga je zato manjša od potenciala, ki ga ima kraj kot lokalno središče.</w:t>
      </w:r>
    </w:p>
    <w:p w14:paraId="0F34BCD5"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t xml:space="preserve">Predlagana celovita ureditev se na te izzive odziva s preoblikovanjem središča v prostor, ki daje prednost ljudem. Ulični profil se uravnoteži v korist pešcev in kolesarjev, pločniki postanejo širši in neprekinjeni, križišča ter prehodi so oblikovani bolj pregledno in varno. Ob avtobusnih peronih se postavijo nove nadstrešnice, ki omogočajo suho in senčno čakanje ter jasnejše prestopanje. Trg pred občino se uredi kot osrednji javni prostor, namenjen vsakdanji uporabi in prireditvam; umeščene so klopi, </w:t>
      </w:r>
      <w:proofErr w:type="spellStart"/>
      <w:r w:rsidRPr="000020F0">
        <w:rPr>
          <w:rFonts w:ascii="Arial" w:hAnsi="Arial" w:cs="Arial"/>
          <w:sz w:val="22"/>
          <w:szCs w:val="22"/>
        </w:rPr>
        <w:t>pitniki</w:t>
      </w:r>
      <w:proofErr w:type="spellEnd"/>
      <w:r w:rsidRPr="000020F0">
        <w:rPr>
          <w:rFonts w:ascii="Arial" w:hAnsi="Arial" w:cs="Arial"/>
          <w:sz w:val="22"/>
          <w:szCs w:val="22"/>
        </w:rPr>
        <w:t xml:space="preserve"> in enotna urbana oprema, ki daje območju prepoznaven, urejen videz. V bližini šole se promet umiri in organizira “odložišče” za kratek postanek vozil, da so poti otrok varnejše in bolj razumljive.</w:t>
      </w:r>
    </w:p>
    <w:p w14:paraId="753CE05D"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t xml:space="preserve">Ker se podnebje segreva in so nalivi pogostejši, je zasnova prilagojena tudi vremenu prihodnosti. Območje dobi več dreves in zelenih površin, ki ustvarjajo senco, hlad in prijetnejše </w:t>
      </w:r>
      <w:proofErr w:type="spellStart"/>
      <w:r w:rsidRPr="000020F0">
        <w:rPr>
          <w:rFonts w:ascii="Arial" w:hAnsi="Arial" w:cs="Arial"/>
          <w:sz w:val="22"/>
          <w:szCs w:val="22"/>
        </w:rPr>
        <w:t>mikroklimatske</w:t>
      </w:r>
      <w:proofErr w:type="spellEnd"/>
      <w:r w:rsidRPr="000020F0">
        <w:rPr>
          <w:rFonts w:ascii="Arial" w:hAnsi="Arial" w:cs="Arial"/>
          <w:sz w:val="22"/>
          <w:szCs w:val="22"/>
        </w:rPr>
        <w:t xml:space="preserve"> razmere. Strehe nadstrešnic ter utrjene površine zbirajo deževnico v zadrževalnike; voda se zadrži, deloma ponovno uporabi za zalivanje in sanitarije, presežek pa se kontrolirano odvaja v kanalizacijo. Takšna rešitev razbremeni sistem ob nalivih in zmanjšuje možnost lokalnega zastajanja vode. Elementi opreme in manjši objekti so zasnovani robustno, z materiali in pritrditvami, ki bolje prenesejo veter in točo, ter s predvidenim rednim vzdrževanjem. Na nadstrešnicah so predvideni sončni paneli, ki zagotavljajo del lastne porabe energije za razsvetljavo in opremo; s tem projekt prispeva k nižjim obratovalnim stroškom in zmanjšanju izpustov.</w:t>
      </w:r>
    </w:p>
    <w:p w14:paraId="3B783756"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lastRenderedPageBreak/>
        <w:t>Ureditve prinašajo neposredne koristi različnim skupinam uporabnikov. Otroci, starši in učitelji dobijo varnejše, krajše in bolj pregledne poti do šole. Starejši in gibalno ovirani imajo več ravnih površin, manj arhitekturnih ovir in več klopi na razdaljah, ki so primerne za počitek. Uporabniki avtobusov čakajo v zavetju pred soncem in dežjem, z bolj razumno postavljenimi postajališči. Kolesarji pridobijo jasnejše in varnejše povezave ter več stojal in kolesarnico. Za prebivalce in obiskovalce kraj dobi urejen osrednji prostor srečevanja, ki je primeren tako za vsakodnevne opravke kot za dogodke.</w:t>
      </w:r>
    </w:p>
    <w:p w14:paraId="0DEFB949"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t>Učinki se kažejo tudi širše: manj kratkih voženj z avtomobilom, več hoje in kolesarjenja ter bolj privlačen javni prevoz pomenijo manj hrupa in čistejši zrak v središču. Več zelenja in zadrževanje deževnice izboljšujeta odpornost območja na vročinske valove in nalive ter zmanjšujeta potrebo po pitni vodi za zalivanje. Enotna urbana oprema in premišljena osvetlitev prispevata k varnosti, urejenosti in prepoznavnosti kraja. Zasnova sledi veljavnim standardom in dobrim praksam, predviden je tudi režim rednega vzdrževanja (čiščenje rešetk in zadrževalnikov, nega drevja, pregledi pritrditev in nadstrešnic, spremljanje delovanja sončne elektrarne), saj trajnostni učinki nastanejo le, če sistem deluje zanesljivo skozi celotno življenjsko dobo.</w:t>
      </w:r>
    </w:p>
    <w:p w14:paraId="40A3CD3B" w14:textId="77777777" w:rsidR="00D81CDD" w:rsidRPr="000020F0" w:rsidRDefault="00D81CDD" w:rsidP="00D81CDD">
      <w:pPr>
        <w:autoSpaceDE w:val="0"/>
        <w:autoSpaceDN w:val="0"/>
        <w:adjustRightInd w:val="0"/>
        <w:spacing w:after="200" w:line="276" w:lineRule="auto"/>
        <w:jc w:val="both"/>
        <w:rPr>
          <w:rFonts w:ascii="Arial" w:hAnsi="Arial" w:cs="Arial"/>
          <w:sz w:val="22"/>
          <w:szCs w:val="22"/>
        </w:rPr>
      </w:pPr>
      <w:r w:rsidRPr="000020F0">
        <w:rPr>
          <w:rFonts w:ascii="Arial" w:hAnsi="Arial" w:cs="Arial"/>
          <w:sz w:val="22"/>
          <w:szCs w:val="22"/>
        </w:rPr>
        <w:t>Skupaj gledano projekt središče Iga premika iz prometnega hodnika v kakovosten javni prostor. Območje postane varnejše, bolj prijazno do pešcev, kolesarjev in uporabnikov javnega prevoza, hkrati pa je zasnovano tako, da bolje prenaša vročino, nalive, veter in točo. Investicija zato ne rešuje le današnjih težav, temveč tudi zmanjšuje prihodnja tveganja ter dviguje kakovost bivanja in podobo kraja.</w:t>
      </w:r>
    </w:p>
    <w:p w14:paraId="7A163C8A" w14:textId="77777777" w:rsidR="00CF68D5" w:rsidRPr="000020F0" w:rsidRDefault="00CF68D5" w:rsidP="00CF68D5">
      <w:pPr>
        <w:pStyle w:val="Naslov2"/>
        <w:numPr>
          <w:ilvl w:val="2"/>
          <w:numId w:val="1"/>
        </w:numPr>
        <w:spacing w:before="360" w:after="240"/>
        <w:rPr>
          <w:rFonts w:ascii="Arial" w:eastAsiaTheme="majorEastAsia" w:hAnsi="Arial" w:cs="Arial"/>
          <w:color w:val="244061" w:themeColor="accent1" w:themeShade="80"/>
          <w:szCs w:val="22"/>
        </w:rPr>
      </w:pPr>
      <w:bookmarkStart w:id="299" w:name="_Toc209029170"/>
      <w:bookmarkStart w:id="300" w:name="_Ref230594364"/>
      <w:bookmarkStart w:id="301" w:name="_Toc230882240"/>
      <w:r w:rsidRPr="000020F0">
        <w:rPr>
          <w:rFonts w:ascii="Arial" w:eastAsiaTheme="majorEastAsia" w:hAnsi="Arial" w:cs="Arial"/>
          <w:color w:val="244061" w:themeColor="accent1" w:themeShade="80"/>
          <w:szCs w:val="22"/>
        </w:rPr>
        <w:t>Upoštevanje načel »ne škoduj bistveno«</w:t>
      </w:r>
      <w:bookmarkStart w:id="302" w:name="_Toc131231652"/>
      <w:bookmarkStart w:id="303" w:name="_Toc167723083"/>
      <w:bookmarkStart w:id="304" w:name="_Toc172617308"/>
      <w:bookmarkEnd w:id="299"/>
      <w:bookmarkEnd w:id="300"/>
      <w:bookmarkEnd w:id="301"/>
    </w:p>
    <w:p w14:paraId="28C0D74D" w14:textId="7E7C36AC" w:rsidR="00FA1568" w:rsidRPr="000020F0" w:rsidRDefault="00C10FF1" w:rsidP="00FA1568">
      <w:pPr>
        <w:spacing w:after="120" w:line="276" w:lineRule="auto"/>
        <w:jc w:val="both"/>
        <w:rPr>
          <w:rFonts w:ascii="Arial" w:hAnsi="Arial" w:cs="Arial"/>
          <w:sz w:val="22"/>
          <w:szCs w:val="22"/>
        </w:rPr>
      </w:pPr>
      <w:bookmarkStart w:id="305" w:name="_Toc209029188"/>
      <w:r w:rsidRPr="000020F0">
        <w:rPr>
          <w:rFonts w:ascii="Arial" w:hAnsi="Arial" w:cs="Arial"/>
          <w:sz w:val="22"/>
          <w:szCs w:val="22"/>
        </w:rPr>
        <w:t>P</w:t>
      </w:r>
      <w:r w:rsidR="00FA1568" w:rsidRPr="000020F0">
        <w:rPr>
          <w:rFonts w:ascii="Arial" w:hAnsi="Arial" w:cs="Arial"/>
          <w:sz w:val="22"/>
          <w:szCs w:val="22"/>
        </w:rPr>
        <w:t xml:space="preserve">rojekt s prenovo trga, ulic in pripadajoče opreme v središču Iga neposredno podpira cilje trajnostne mobilnosti (več hoje, kolesarjenja in rabe JPP) ter je pripravljen v skladu z evropskim načelom DNSH, kot ga določajo smernice organa upravljanja in Uredba o taksonomiji (člen 17). Za ukrepe iz tega projekta se uporablja poenostavljen pristop DNSH, ker se vsebine ujemajo s področjem ukrepanja 083 – kolesarska infrastruktura, ki se v Programu EKP 2021–2027 šteje za 100-odstotni prispevek k podnebnim in </w:t>
      </w:r>
      <w:proofErr w:type="spellStart"/>
      <w:r w:rsidR="00FA1568" w:rsidRPr="000020F0">
        <w:rPr>
          <w:rFonts w:ascii="Arial" w:hAnsi="Arial" w:cs="Arial"/>
          <w:sz w:val="22"/>
          <w:szCs w:val="22"/>
        </w:rPr>
        <w:t>okoljskim</w:t>
      </w:r>
      <w:proofErr w:type="spellEnd"/>
      <w:r w:rsidR="00FA1568" w:rsidRPr="000020F0">
        <w:rPr>
          <w:rFonts w:ascii="Arial" w:hAnsi="Arial" w:cs="Arial"/>
          <w:sz w:val="22"/>
          <w:szCs w:val="22"/>
        </w:rPr>
        <w:t xml:space="preserve"> ciljem. Poleg tega dejavnost sodi pod točko 6.13 (infrastruktura za osebno mobilnost, peš in kolo) Delegirane uredbe (EU) 2021/2139, ki šteje med aktivnosti z bistvenim prispevkom k prilagajanju podnebnim spremembam. </w:t>
      </w:r>
    </w:p>
    <w:p w14:paraId="5490D4C4" w14:textId="7E4A5C84"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Ministrstvo za okolje, podnebje in energijo je z zavrženjem predhodnega postopka potrdilo, da za projekt ni treba izvesti PP ali PVO (torej ne gre za poseg, ki bi bil po predpisu PVO predmet presoje), kar kaže na omejenost in lokalnost vplivov. S tem DNSH ne nadomeščamo, temveč ga dopolnjujemo kot obvezno evropsko načelo. </w:t>
      </w:r>
    </w:p>
    <w:p w14:paraId="3CD63801" w14:textId="77777777" w:rsidR="00FA1568"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 xml:space="preserve">Šest </w:t>
      </w:r>
      <w:proofErr w:type="spellStart"/>
      <w:r w:rsidRPr="000020F0">
        <w:rPr>
          <w:rFonts w:ascii="Arial" w:hAnsi="Arial" w:cs="Arial"/>
          <w:b/>
          <w:bCs/>
          <w:sz w:val="22"/>
          <w:szCs w:val="22"/>
        </w:rPr>
        <w:t>okoljskih</w:t>
      </w:r>
      <w:proofErr w:type="spellEnd"/>
      <w:r w:rsidRPr="000020F0">
        <w:rPr>
          <w:rFonts w:ascii="Arial" w:hAnsi="Arial" w:cs="Arial"/>
          <w:b/>
          <w:bCs/>
          <w:sz w:val="22"/>
          <w:szCs w:val="22"/>
        </w:rPr>
        <w:t xml:space="preserve"> ciljev – vsebinska utemeljitev skladnosti</w:t>
      </w:r>
    </w:p>
    <w:p w14:paraId="56990911"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1) Blažitev podnebnih sprememb.</w:t>
      </w:r>
    </w:p>
    <w:p w14:paraId="012F5030" w14:textId="52037D8B"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Projekt zmanjšuje emisije predvsem z nadomeščanjem kratkih voženj z avtomobilom z varnimi in privlačnimi peš in kolesarskimi potmi ter z večjo rabo JPP. Vgradnja sončne elektrarne pomeni, da je letna proizvodnja elektrike večja od lastne porabe projektne opreme (razsvetljava ipd.). Ocenjeni obratovalni izpusti znašajo približno 4,64 t </w:t>
      </w:r>
      <w:proofErr w:type="spellStart"/>
      <w:r w:rsidRPr="000020F0">
        <w:rPr>
          <w:rFonts w:ascii="Arial" w:hAnsi="Arial" w:cs="Arial"/>
          <w:sz w:val="22"/>
          <w:szCs w:val="22"/>
        </w:rPr>
        <w:t>CO</w:t>
      </w:r>
      <w:r w:rsidRPr="000020F0">
        <w:rPr>
          <w:rFonts w:ascii="Cambria Math" w:hAnsi="Cambria Math" w:cs="Cambria Math"/>
          <w:sz w:val="22"/>
          <w:szCs w:val="22"/>
        </w:rPr>
        <w:t>₂</w:t>
      </w:r>
      <w:r w:rsidRPr="000020F0">
        <w:rPr>
          <w:rFonts w:ascii="Arial" w:hAnsi="Arial" w:cs="Arial"/>
          <w:sz w:val="22"/>
          <w:szCs w:val="22"/>
        </w:rPr>
        <w:t>e</w:t>
      </w:r>
      <w:proofErr w:type="spellEnd"/>
      <w:r w:rsidRPr="000020F0">
        <w:rPr>
          <w:rFonts w:ascii="Arial" w:hAnsi="Arial" w:cs="Arial"/>
          <w:sz w:val="22"/>
          <w:szCs w:val="22"/>
        </w:rPr>
        <w:t xml:space="preserve">/leto, prihranek zaradi </w:t>
      </w:r>
      <w:proofErr w:type="spellStart"/>
      <w:r w:rsidRPr="000020F0">
        <w:rPr>
          <w:rFonts w:ascii="Arial" w:hAnsi="Arial" w:cs="Arial"/>
          <w:sz w:val="22"/>
          <w:szCs w:val="22"/>
        </w:rPr>
        <w:t>fotovoltaike</w:t>
      </w:r>
      <w:proofErr w:type="spellEnd"/>
      <w:r w:rsidRPr="000020F0">
        <w:rPr>
          <w:rFonts w:ascii="Arial" w:hAnsi="Arial" w:cs="Arial"/>
          <w:sz w:val="22"/>
          <w:szCs w:val="22"/>
        </w:rPr>
        <w:t xml:space="preserve"> pa –15,31 t </w:t>
      </w:r>
      <w:proofErr w:type="spellStart"/>
      <w:r w:rsidRPr="000020F0">
        <w:rPr>
          <w:rFonts w:ascii="Arial" w:hAnsi="Arial" w:cs="Arial"/>
          <w:sz w:val="22"/>
          <w:szCs w:val="22"/>
        </w:rPr>
        <w:t>CO</w:t>
      </w:r>
      <w:r w:rsidRPr="000020F0">
        <w:rPr>
          <w:rFonts w:ascii="Cambria Math" w:hAnsi="Cambria Math" w:cs="Cambria Math"/>
          <w:sz w:val="22"/>
          <w:szCs w:val="22"/>
        </w:rPr>
        <w:t>₂</w:t>
      </w:r>
      <w:r w:rsidRPr="000020F0">
        <w:rPr>
          <w:rFonts w:ascii="Arial" w:hAnsi="Arial" w:cs="Arial"/>
          <w:sz w:val="22"/>
          <w:szCs w:val="22"/>
        </w:rPr>
        <w:t>e</w:t>
      </w:r>
      <w:proofErr w:type="spellEnd"/>
      <w:r w:rsidRPr="000020F0">
        <w:rPr>
          <w:rFonts w:ascii="Arial" w:hAnsi="Arial" w:cs="Arial"/>
          <w:sz w:val="22"/>
          <w:szCs w:val="22"/>
        </w:rPr>
        <w:t xml:space="preserve">/leto; neto učinek je torej –10,67 t </w:t>
      </w:r>
      <w:proofErr w:type="spellStart"/>
      <w:r w:rsidRPr="000020F0">
        <w:rPr>
          <w:rFonts w:ascii="Arial" w:hAnsi="Arial" w:cs="Arial"/>
          <w:sz w:val="22"/>
          <w:szCs w:val="22"/>
        </w:rPr>
        <w:t>CO</w:t>
      </w:r>
      <w:r w:rsidRPr="000020F0">
        <w:rPr>
          <w:rFonts w:ascii="Cambria Math" w:hAnsi="Cambria Math" w:cs="Cambria Math"/>
          <w:sz w:val="22"/>
          <w:szCs w:val="22"/>
        </w:rPr>
        <w:t>₂</w:t>
      </w:r>
      <w:r w:rsidRPr="000020F0">
        <w:rPr>
          <w:rFonts w:ascii="Arial" w:hAnsi="Arial" w:cs="Arial"/>
          <w:sz w:val="22"/>
          <w:szCs w:val="22"/>
        </w:rPr>
        <w:t>e</w:t>
      </w:r>
      <w:proofErr w:type="spellEnd"/>
      <w:r w:rsidRPr="000020F0">
        <w:rPr>
          <w:rFonts w:ascii="Arial" w:hAnsi="Arial" w:cs="Arial"/>
          <w:sz w:val="22"/>
          <w:szCs w:val="22"/>
        </w:rPr>
        <w:t xml:space="preserve">/leto, daleč pod pragom 20.000 t </w:t>
      </w:r>
      <w:proofErr w:type="spellStart"/>
      <w:r w:rsidRPr="000020F0">
        <w:rPr>
          <w:rFonts w:ascii="Arial" w:hAnsi="Arial" w:cs="Arial"/>
          <w:sz w:val="22"/>
          <w:szCs w:val="22"/>
        </w:rPr>
        <w:t>CO</w:t>
      </w:r>
      <w:r w:rsidRPr="000020F0">
        <w:rPr>
          <w:rFonts w:ascii="Cambria Math" w:hAnsi="Cambria Math" w:cs="Cambria Math"/>
          <w:sz w:val="22"/>
          <w:szCs w:val="22"/>
        </w:rPr>
        <w:t>₂</w:t>
      </w:r>
      <w:r w:rsidRPr="000020F0">
        <w:rPr>
          <w:rFonts w:ascii="Arial" w:hAnsi="Arial" w:cs="Arial"/>
          <w:sz w:val="22"/>
          <w:szCs w:val="22"/>
        </w:rPr>
        <w:t>e</w:t>
      </w:r>
      <w:proofErr w:type="spellEnd"/>
      <w:r w:rsidRPr="000020F0">
        <w:rPr>
          <w:rFonts w:ascii="Arial" w:hAnsi="Arial" w:cs="Arial"/>
          <w:sz w:val="22"/>
          <w:szCs w:val="22"/>
        </w:rPr>
        <w:t xml:space="preserve">, zato projekt bistveno ne prispeva k emisijam toplogrednih plinov. </w:t>
      </w:r>
      <w:r w:rsidRPr="000020F0">
        <w:rPr>
          <w:rFonts w:ascii="Arial" w:hAnsi="Arial" w:cs="Arial"/>
          <w:sz w:val="22"/>
          <w:szCs w:val="22"/>
        </w:rPr>
        <w:lastRenderedPageBreak/>
        <w:t xml:space="preserve">Predvideno je tudi redno spremljanje proizvodnje SE in porabe, da se učinek dokazuje v času obratovanja. </w:t>
      </w:r>
    </w:p>
    <w:p w14:paraId="743ADC82"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2) Prilagajanje podnebnim spremembam.</w:t>
      </w:r>
    </w:p>
    <w:p w14:paraId="737CEF66" w14:textId="112A4E1B"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Zasnova je skladna s presojo podnebne odpornosti in obravnava ključna tveganja: vročinske valove, kratkotrajne nalive ter veter/točo. V središče so vključeni drevoredi, park in senčenje, kar blaži poletno vročino, ter zadrževalniki padavinske vode s ponovno rabo za zalivanje in splakovanje sanitarij, ki razbremenijo kanalizacijo ob nalivih. Objekti in urbana oprema so robustno projektirani (pritrditev, strelovodna zaščita, vzdrževanje), da prenesejo veter in neurja. S tem projekt ne povečuje ranljivosti na podnebne vplive, temveč jo zmanjšuje. </w:t>
      </w:r>
    </w:p>
    <w:p w14:paraId="4DBDF9ED"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3) Trajnostna raba in varstvo voda.</w:t>
      </w:r>
    </w:p>
    <w:p w14:paraId="617774ED" w14:textId="0C29C886"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Območje leži na vodovarstvenem območju VVO III (VD Brest-1), zato so predvideni tehnični in organizacijski ukrepi: dimenzioniranje padavinske kanalizacije z upoštevanjem večjih nalivov, lovilniki olj za parkirne površine (SIST EN 858), zadrževanje in ponovna raba deževnice, ter stroga pravila za ravnanje na gradbišču (brez skladiščenja nevarnih snovi, kemične sanitarije, takojšnje ukrepanje ob morebitnem razlitju). Tako se ne poslabša stanje podzemnih ali površinskih voda. (V vlogi je evidentirano tudi pozitivno stališče DRSV v zvezi z upravljanjem z vodami.) </w:t>
      </w:r>
    </w:p>
    <w:p w14:paraId="783328C9"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4) Krožno gospodarstvo.</w:t>
      </w:r>
    </w:p>
    <w:p w14:paraId="72204AC1" w14:textId="5DB0A592"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V času izvedbe se uporabljajo načela snovne učinkovitosti: prednost recikliranim in lokalnim materialom, načrtovanje za vzdrževanje in razgradnjo, ter vsaj 70-odstotna materialna predelava (priprava za ponovno uporabo, reciklaža, zasipavanje) nenevarnih gradbenih odpadkov v skladu z nacionalnimi cilji. Ukrepi so zapisani v projektni dokumentaciji in se preverjajo pri izvajanju. </w:t>
      </w:r>
    </w:p>
    <w:p w14:paraId="69F1023E"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5) Preprečevanje in nadzor onesnaževanja.</w:t>
      </w:r>
    </w:p>
    <w:p w14:paraId="59BF721A" w14:textId="5DEFE807"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Med gradnjo se vplivi (prah, hrup, emisije) obvladujejo z rednim nadzorom, opremo gradbišča ter vodenimi postopki. V obratovanju pa se lokalno onesnaževanje zmanjšuje z zagotovljenimi kolesarnicami in postajo za (e)kolesa, kar podpira preusmeritev na čistejše oblike mobilnosti in zmanjšuje prometne emisije v središču kraja. </w:t>
      </w:r>
    </w:p>
    <w:p w14:paraId="075E59AE" w14:textId="77777777" w:rsidR="002E5575" w:rsidRPr="000020F0" w:rsidRDefault="00FA1568" w:rsidP="00FA1568">
      <w:pPr>
        <w:spacing w:after="120" w:line="276" w:lineRule="auto"/>
        <w:jc w:val="both"/>
        <w:rPr>
          <w:rFonts w:ascii="Arial" w:hAnsi="Arial" w:cs="Arial"/>
          <w:b/>
          <w:bCs/>
          <w:sz w:val="22"/>
          <w:szCs w:val="22"/>
        </w:rPr>
      </w:pPr>
      <w:r w:rsidRPr="000020F0">
        <w:rPr>
          <w:rFonts w:ascii="Arial" w:hAnsi="Arial" w:cs="Arial"/>
          <w:b/>
          <w:bCs/>
          <w:sz w:val="22"/>
          <w:szCs w:val="22"/>
        </w:rPr>
        <w:t>6) Biotska raznovrstnost in ekosistemi.</w:t>
      </w:r>
    </w:p>
    <w:p w14:paraId="4943C437" w14:textId="49A31099"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Projekt leži v vplivnem območju Krajinskega parka Ljubljansko barje (Natura 2000 SI3000271); Zavod RS za varstvo narave (OE Ljubljana) je izdal pozitivno mnenje in določil omilitvene ukrepe. Ključna zahteva je pravilna zunanja razsvetljava: uporabljajo se popolnoma zasenčena svetila, brez svetlobe nad vodoravnico, brez UV, z barvno temperaturo ≤ 2700 K, po možnosti s samodejnim vklopom/izklopom. Ob upoštevanju ukrepov je vpliv na kvalifikacijske vrste (npr. netopirji) nebistven (razred C) in gradnja sprejemljiva. Posegi se ne širijo v območje naravne vrednote </w:t>
      </w:r>
      <w:proofErr w:type="spellStart"/>
      <w:r w:rsidRPr="000020F0">
        <w:rPr>
          <w:rFonts w:ascii="Arial" w:hAnsi="Arial" w:cs="Arial"/>
          <w:sz w:val="22"/>
          <w:szCs w:val="22"/>
        </w:rPr>
        <w:t>Iščica</w:t>
      </w:r>
      <w:proofErr w:type="spellEnd"/>
      <w:r w:rsidRPr="000020F0">
        <w:rPr>
          <w:rFonts w:ascii="Arial" w:hAnsi="Arial" w:cs="Arial"/>
          <w:sz w:val="22"/>
          <w:szCs w:val="22"/>
        </w:rPr>
        <w:t xml:space="preserve"> (NV ID 8075). </w:t>
      </w:r>
    </w:p>
    <w:p w14:paraId="602246B0" w14:textId="46733BED" w:rsidR="00FA1568" w:rsidRPr="000020F0" w:rsidRDefault="00C10FF1" w:rsidP="00FA1568">
      <w:pPr>
        <w:spacing w:after="120" w:line="276" w:lineRule="auto"/>
        <w:jc w:val="both"/>
        <w:rPr>
          <w:rFonts w:ascii="Arial" w:hAnsi="Arial" w:cs="Arial"/>
          <w:b/>
          <w:bCs/>
          <w:sz w:val="22"/>
          <w:szCs w:val="22"/>
        </w:rPr>
      </w:pPr>
      <w:r w:rsidRPr="000020F0">
        <w:rPr>
          <w:rFonts w:ascii="Arial" w:hAnsi="Arial" w:cs="Arial"/>
          <w:b/>
          <w:bCs/>
          <w:sz w:val="22"/>
          <w:szCs w:val="22"/>
        </w:rPr>
        <w:t>Ugotovitve so podane na podlagi:</w:t>
      </w:r>
    </w:p>
    <w:p w14:paraId="788DA3ED" w14:textId="1F79B7E2"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 </w:t>
      </w:r>
      <w:r w:rsidRPr="000020F0">
        <w:rPr>
          <w:rFonts w:ascii="Arial" w:hAnsi="Arial" w:cs="Arial"/>
          <w:b/>
          <w:bCs/>
          <w:sz w:val="22"/>
          <w:szCs w:val="22"/>
        </w:rPr>
        <w:t>Sklep</w:t>
      </w:r>
      <w:r w:rsidR="00C10FF1" w:rsidRPr="000020F0">
        <w:rPr>
          <w:rFonts w:ascii="Arial" w:hAnsi="Arial" w:cs="Arial"/>
          <w:b/>
          <w:bCs/>
          <w:sz w:val="22"/>
          <w:szCs w:val="22"/>
        </w:rPr>
        <w:t>a</w:t>
      </w:r>
      <w:r w:rsidRPr="000020F0">
        <w:rPr>
          <w:rFonts w:ascii="Arial" w:hAnsi="Arial" w:cs="Arial"/>
          <w:b/>
          <w:bCs/>
          <w:sz w:val="22"/>
          <w:szCs w:val="22"/>
        </w:rPr>
        <w:t xml:space="preserve"> MOPE</w:t>
      </w:r>
      <w:r w:rsidRPr="000020F0">
        <w:rPr>
          <w:rFonts w:ascii="Arial" w:hAnsi="Arial" w:cs="Arial"/>
          <w:sz w:val="22"/>
          <w:szCs w:val="22"/>
        </w:rPr>
        <w:t xml:space="preserve"> o zavrženju predhodnega postopka (PP/PVO </w:t>
      </w:r>
      <w:r w:rsidRPr="000020F0">
        <w:rPr>
          <w:rFonts w:ascii="Arial" w:hAnsi="Arial" w:cs="Arial"/>
          <w:b/>
          <w:bCs/>
          <w:sz w:val="22"/>
          <w:szCs w:val="22"/>
        </w:rPr>
        <w:t>nista potrebna</w:t>
      </w:r>
      <w:r w:rsidRPr="000020F0">
        <w:rPr>
          <w:rFonts w:ascii="Arial" w:hAnsi="Arial" w:cs="Arial"/>
          <w:sz w:val="22"/>
          <w:szCs w:val="22"/>
        </w:rPr>
        <w:t xml:space="preserve">), kot dokaz, da projekt po naravi in obsegu </w:t>
      </w:r>
      <w:r w:rsidRPr="000020F0">
        <w:rPr>
          <w:rFonts w:ascii="Arial" w:hAnsi="Arial" w:cs="Arial"/>
          <w:b/>
          <w:bCs/>
          <w:sz w:val="22"/>
          <w:szCs w:val="22"/>
        </w:rPr>
        <w:t>ne sodi</w:t>
      </w:r>
      <w:r w:rsidRPr="000020F0">
        <w:rPr>
          <w:rFonts w:ascii="Arial" w:hAnsi="Arial" w:cs="Arial"/>
          <w:sz w:val="22"/>
          <w:szCs w:val="22"/>
        </w:rPr>
        <w:t xml:space="preserve"> med posege s pomembnimi vplivi, o katerih bi bilo treba odločati v PVO. </w:t>
      </w:r>
    </w:p>
    <w:p w14:paraId="00DCF8C3" w14:textId="70EEBD83"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t xml:space="preserve">– </w:t>
      </w:r>
      <w:r w:rsidRPr="000020F0">
        <w:rPr>
          <w:rFonts w:ascii="Arial" w:hAnsi="Arial" w:cs="Arial"/>
          <w:b/>
          <w:bCs/>
          <w:sz w:val="22"/>
          <w:szCs w:val="22"/>
        </w:rPr>
        <w:t>Mnenjem ZRSVN</w:t>
      </w:r>
      <w:r w:rsidRPr="000020F0">
        <w:rPr>
          <w:rFonts w:ascii="Arial" w:hAnsi="Arial" w:cs="Arial"/>
          <w:sz w:val="22"/>
          <w:szCs w:val="22"/>
        </w:rPr>
        <w:t xml:space="preserve">, ki potrjuje skladnost posega z varstvenimi zahtevami in določa </w:t>
      </w:r>
      <w:r w:rsidRPr="000020F0">
        <w:rPr>
          <w:rFonts w:ascii="Arial" w:hAnsi="Arial" w:cs="Arial"/>
          <w:b/>
          <w:bCs/>
          <w:sz w:val="22"/>
          <w:szCs w:val="22"/>
        </w:rPr>
        <w:t>pogoje za PZI, gradnjo in uporabo</w:t>
      </w:r>
      <w:r w:rsidRPr="000020F0">
        <w:rPr>
          <w:rFonts w:ascii="Arial" w:hAnsi="Arial" w:cs="Arial"/>
          <w:sz w:val="22"/>
          <w:szCs w:val="22"/>
        </w:rPr>
        <w:t xml:space="preserve">, zlasti v zvezi z razsvetljavo. </w:t>
      </w:r>
    </w:p>
    <w:p w14:paraId="0D53CDAF" w14:textId="45D0CAD2" w:rsidR="00FA1568" w:rsidRPr="000020F0" w:rsidRDefault="00FA1568" w:rsidP="00FA1568">
      <w:pPr>
        <w:spacing w:after="120" w:line="276" w:lineRule="auto"/>
        <w:jc w:val="both"/>
        <w:rPr>
          <w:rFonts w:ascii="Arial" w:hAnsi="Arial" w:cs="Arial"/>
          <w:sz w:val="22"/>
          <w:szCs w:val="22"/>
        </w:rPr>
      </w:pPr>
      <w:r w:rsidRPr="000020F0">
        <w:rPr>
          <w:rFonts w:ascii="Arial" w:hAnsi="Arial" w:cs="Arial"/>
          <w:sz w:val="22"/>
          <w:szCs w:val="22"/>
        </w:rPr>
        <w:lastRenderedPageBreak/>
        <w:t xml:space="preserve">Na podlagi navedenih pravnih podlag, tehničnih rešitev in mnenj pristojnih organov projekt </w:t>
      </w:r>
      <w:r w:rsidRPr="000020F0">
        <w:rPr>
          <w:rFonts w:ascii="Arial" w:hAnsi="Arial" w:cs="Arial"/>
          <w:b/>
          <w:bCs/>
          <w:sz w:val="22"/>
          <w:szCs w:val="22"/>
        </w:rPr>
        <w:t>izpolnjuje načelo DNSH</w:t>
      </w:r>
      <w:r w:rsidRPr="000020F0">
        <w:rPr>
          <w:rFonts w:ascii="Arial" w:hAnsi="Arial" w:cs="Arial"/>
          <w:sz w:val="22"/>
          <w:szCs w:val="22"/>
        </w:rPr>
        <w:t xml:space="preserve">. Vplivi na podnebje, vode, kroženje snovi, kakovost zraka/tal/voda ter biotsko raznovrstnost so </w:t>
      </w:r>
      <w:r w:rsidRPr="000020F0">
        <w:rPr>
          <w:rFonts w:ascii="Arial" w:hAnsi="Arial" w:cs="Arial"/>
          <w:b/>
          <w:bCs/>
          <w:sz w:val="22"/>
          <w:szCs w:val="22"/>
        </w:rPr>
        <w:t>bodisi pozitivni bodisi nebistveni</w:t>
      </w:r>
      <w:r w:rsidRPr="000020F0">
        <w:rPr>
          <w:rFonts w:ascii="Arial" w:hAnsi="Arial" w:cs="Arial"/>
          <w:sz w:val="22"/>
          <w:szCs w:val="22"/>
        </w:rPr>
        <w:t>, preostala tveganja pa so znižana z omilitvenimi ukrepi, ki bodo podrobno vključeni v PZI in nadzorovani v času gradnje ter obratovanja.</w:t>
      </w:r>
    </w:p>
    <w:p w14:paraId="421D6EDF" w14:textId="3877BAC8" w:rsidR="00CF68D5" w:rsidRPr="000020F0" w:rsidRDefault="00CF68D5" w:rsidP="00CF68D5">
      <w:pPr>
        <w:spacing w:after="120" w:line="276" w:lineRule="auto"/>
        <w:jc w:val="both"/>
        <w:rPr>
          <w:rFonts w:ascii="Arial" w:eastAsia="Arial" w:hAnsi="Arial" w:cs="Arial"/>
          <w:sz w:val="22"/>
          <w:szCs w:val="22"/>
        </w:rPr>
      </w:pPr>
      <w:bookmarkStart w:id="306" w:name="_Toc230882293"/>
      <w:r w:rsidRPr="000020F0">
        <w:rPr>
          <w:rFonts w:ascii="Arial" w:hAnsi="Arial" w:cs="Arial"/>
          <w:sz w:val="22"/>
          <w:szCs w:val="22"/>
        </w:rPr>
        <w:t xml:space="preserve">Tabela </w:t>
      </w:r>
      <w:r w:rsidRPr="000020F0">
        <w:rPr>
          <w:rFonts w:ascii="Arial" w:hAnsi="Arial" w:cs="Arial"/>
          <w:sz w:val="22"/>
          <w:szCs w:val="22"/>
        </w:rPr>
        <w:fldChar w:fldCharType="begin"/>
      </w:r>
      <w:r w:rsidRPr="000020F0">
        <w:rPr>
          <w:rFonts w:ascii="Arial" w:hAnsi="Arial" w:cs="Arial"/>
          <w:sz w:val="22"/>
          <w:szCs w:val="22"/>
        </w:rPr>
        <w:instrText xml:space="preserve"> SEQ Tabela \* ARABIC </w:instrText>
      </w:r>
      <w:r w:rsidRPr="000020F0">
        <w:rPr>
          <w:rFonts w:ascii="Arial" w:hAnsi="Arial" w:cs="Arial"/>
          <w:sz w:val="22"/>
          <w:szCs w:val="22"/>
        </w:rPr>
        <w:fldChar w:fldCharType="separate"/>
      </w:r>
      <w:r w:rsidR="00BB0C0C">
        <w:rPr>
          <w:rFonts w:ascii="Arial" w:hAnsi="Arial" w:cs="Arial"/>
          <w:noProof/>
          <w:sz w:val="22"/>
          <w:szCs w:val="22"/>
        </w:rPr>
        <w:t>13</w:t>
      </w:r>
      <w:r w:rsidRPr="000020F0">
        <w:rPr>
          <w:rFonts w:ascii="Arial" w:hAnsi="Arial" w:cs="Arial"/>
          <w:sz w:val="22"/>
          <w:szCs w:val="22"/>
        </w:rPr>
        <w:fldChar w:fldCharType="end"/>
      </w:r>
      <w:r w:rsidRPr="000020F0">
        <w:rPr>
          <w:rFonts w:ascii="Arial" w:hAnsi="Arial" w:cs="Arial"/>
          <w:sz w:val="22"/>
          <w:szCs w:val="22"/>
        </w:rPr>
        <w:t xml:space="preserve">: </w:t>
      </w:r>
      <w:bookmarkEnd w:id="302"/>
      <w:bookmarkEnd w:id="303"/>
      <w:bookmarkEnd w:id="304"/>
      <w:proofErr w:type="spellStart"/>
      <w:r w:rsidRPr="000020F0">
        <w:rPr>
          <w:rFonts w:ascii="Arial" w:eastAsia="Arial" w:hAnsi="Arial" w:cs="Arial"/>
          <w:sz w:val="22"/>
          <w:szCs w:val="22"/>
        </w:rPr>
        <w:t>Okoljski</w:t>
      </w:r>
      <w:proofErr w:type="spellEnd"/>
      <w:r w:rsidRPr="000020F0">
        <w:rPr>
          <w:rFonts w:ascii="Arial" w:eastAsia="Arial" w:hAnsi="Arial" w:cs="Arial"/>
          <w:sz w:val="22"/>
          <w:szCs w:val="22"/>
        </w:rPr>
        <w:t xml:space="preserve"> vplivi</w:t>
      </w:r>
      <w:bookmarkEnd w:id="305"/>
      <w:bookmarkEnd w:id="30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3"/>
        <w:gridCol w:w="915"/>
        <w:gridCol w:w="283"/>
        <w:gridCol w:w="574"/>
        <w:gridCol w:w="1276"/>
        <w:gridCol w:w="1276"/>
        <w:gridCol w:w="1410"/>
      </w:tblGrid>
      <w:tr w:rsidR="00CF68D5" w:rsidRPr="000020F0" w14:paraId="77289645" w14:textId="77777777" w:rsidTr="001F237C">
        <w:trPr>
          <w:trHeight w:val="541"/>
          <w:tblHeader/>
        </w:trPr>
        <w:tc>
          <w:tcPr>
            <w:tcW w:w="3333" w:type="dxa"/>
            <w:vMerge w:val="restart"/>
            <w:vAlign w:val="center"/>
          </w:tcPr>
          <w:p w14:paraId="7E333AD9" w14:textId="77777777" w:rsidR="00CF68D5" w:rsidRPr="000020F0" w:rsidRDefault="00CF68D5" w:rsidP="0093689D">
            <w:pPr>
              <w:jc w:val="both"/>
              <w:rPr>
                <w:rFonts w:ascii="Arial" w:hAnsi="Arial" w:cs="Arial"/>
                <w:b/>
                <w:bCs/>
                <w:sz w:val="20"/>
                <w:szCs w:val="20"/>
              </w:rPr>
            </w:pPr>
            <w:r w:rsidRPr="000020F0">
              <w:rPr>
                <w:rFonts w:ascii="Arial" w:hAnsi="Arial" w:cs="Arial"/>
                <w:b/>
                <w:bCs/>
                <w:sz w:val="20"/>
                <w:szCs w:val="20"/>
              </w:rPr>
              <w:t xml:space="preserve">Oznaka projekta, ukrepa ali davčnega izdatka </w:t>
            </w:r>
          </w:p>
        </w:tc>
        <w:tc>
          <w:tcPr>
            <w:tcW w:w="1198" w:type="dxa"/>
            <w:gridSpan w:val="2"/>
            <w:shd w:val="clear" w:color="auto" w:fill="FDE9D9" w:themeFill="accent6" w:themeFillTint="33"/>
            <w:vAlign w:val="center"/>
          </w:tcPr>
          <w:p w14:paraId="0E658EDF" w14:textId="77777777" w:rsidR="00CF68D5" w:rsidRPr="000020F0" w:rsidRDefault="00CF68D5" w:rsidP="0093689D">
            <w:pPr>
              <w:jc w:val="center"/>
              <w:rPr>
                <w:rFonts w:ascii="Arial" w:hAnsi="Arial" w:cs="Arial"/>
                <w:b/>
                <w:bCs/>
                <w:color w:val="000000"/>
                <w:sz w:val="20"/>
                <w:szCs w:val="20"/>
              </w:rPr>
            </w:pPr>
            <w:r w:rsidRPr="000020F0">
              <w:rPr>
                <w:rFonts w:ascii="Arial" w:hAnsi="Arial" w:cs="Arial"/>
                <w:b/>
                <w:bCs/>
                <w:color w:val="000000"/>
                <w:sz w:val="20"/>
                <w:szCs w:val="20"/>
              </w:rPr>
              <w:t>Ugoden</w:t>
            </w:r>
          </w:p>
        </w:tc>
        <w:tc>
          <w:tcPr>
            <w:tcW w:w="574" w:type="dxa"/>
            <w:shd w:val="clear" w:color="auto" w:fill="5F497A" w:themeFill="accent4" w:themeFillShade="BF"/>
            <w:vAlign w:val="center"/>
          </w:tcPr>
          <w:p w14:paraId="6926B430" w14:textId="77777777" w:rsidR="00CF68D5" w:rsidRPr="000020F0" w:rsidRDefault="00CF68D5" w:rsidP="0093689D">
            <w:pPr>
              <w:jc w:val="center"/>
              <w:rPr>
                <w:rFonts w:ascii="Arial" w:hAnsi="Arial" w:cs="Arial"/>
                <w:b/>
                <w:bCs/>
                <w:color w:val="FFFFFF" w:themeColor="background1"/>
                <w:sz w:val="20"/>
                <w:szCs w:val="20"/>
              </w:rPr>
            </w:pPr>
            <w:r w:rsidRPr="000020F0">
              <w:rPr>
                <w:rFonts w:ascii="Arial" w:hAnsi="Arial" w:cs="Arial"/>
                <w:b/>
                <w:bCs/>
                <w:color w:val="FFFFFF" w:themeColor="background1"/>
                <w:sz w:val="20"/>
                <w:szCs w:val="20"/>
              </w:rPr>
              <w:t>Mešan</w:t>
            </w:r>
          </w:p>
        </w:tc>
        <w:tc>
          <w:tcPr>
            <w:tcW w:w="1276" w:type="dxa"/>
            <w:shd w:val="clear" w:color="auto" w:fill="E36C0A"/>
            <w:vAlign w:val="center"/>
          </w:tcPr>
          <w:p w14:paraId="0CDB719A" w14:textId="77777777" w:rsidR="00CF68D5" w:rsidRPr="000020F0" w:rsidRDefault="00CF68D5" w:rsidP="0093689D">
            <w:pPr>
              <w:jc w:val="center"/>
              <w:rPr>
                <w:rFonts w:ascii="Arial" w:hAnsi="Arial" w:cs="Arial"/>
                <w:b/>
                <w:bCs/>
                <w:color w:val="FFFFFF" w:themeColor="background1"/>
                <w:sz w:val="20"/>
                <w:szCs w:val="20"/>
              </w:rPr>
            </w:pPr>
            <w:r w:rsidRPr="000020F0">
              <w:rPr>
                <w:rFonts w:ascii="Arial" w:hAnsi="Arial" w:cs="Arial"/>
                <w:b/>
                <w:bCs/>
                <w:color w:val="FFFFFF" w:themeColor="background1"/>
                <w:sz w:val="20"/>
                <w:szCs w:val="20"/>
              </w:rPr>
              <w:t xml:space="preserve"> Neugoden</w:t>
            </w:r>
          </w:p>
        </w:tc>
        <w:tc>
          <w:tcPr>
            <w:tcW w:w="1276" w:type="dxa"/>
            <w:shd w:val="clear" w:color="auto" w:fill="D9D9D9" w:themeFill="background1" w:themeFillShade="D9"/>
            <w:vAlign w:val="center"/>
          </w:tcPr>
          <w:p w14:paraId="59A1E474" w14:textId="77777777" w:rsidR="00CF68D5" w:rsidRPr="000020F0" w:rsidRDefault="00CF68D5" w:rsidP="0093689D">
            <w:pPr>
              <w:jc w:val="center"/>
              <w:rPr>
                <w:rFonts w:ascii="Arial" w:hAnsi="Arial" w:cs="Arial"/>
                <w:b/>
                <w:bCs/>
                <w:color w:val="000000"/>
                <w:sz w:val="20"/>
                <w:szCs w:val="20"/>
              </w:rPr>
            </w:pPr>
            <w:r w:rsidRPr="000020F0">
              <w:rPr>
                <w:rFonts w:ascii="Arial" w:hAnsi="Arial" w:cs="Arial"/>
                <w:b/>
                <w:bCs/>
                <w:color w:val="000000"/>
                <w:sz w:val="20"/>
                <w:szCs w:val="20"/>
              </w:rPr>
              <w:t>Nevtralen</w:t>
            </w:r>
          </w:p>
        </w:tc>
        <w:tc>
          <w:tcPr>
            <w:tcW w:w="1410" w:type="dxa"/>
            <w:shd w:val="clear" w:color="auto" w:fill="D9D9D9" w:themeFill="background1" w:themeFillShade="D9"/>
            <w:vAlign w:val="center"/>
          </w:tcPr>
          <w:p w14:paraId="32C6293B" w14:textId="77777777" w:rsidR="00CF68D5" w:rsidRPr="000020F0" w:rsidRDefault="00CF68D5" w:rsidP="0093689D">
            <w:pPr>
              <w:jc w:val="center"/>
              <w:rPr>
                <w:rFonts w:ascii="Arial" w:hAnsi="Arial" w:cs="Arial"/>
                <w:b/>
                <w:bCs/>
                <w:color w:val="000000"/>
                <w:sz w:val="20"/>
                <w:szCs w:val="20"/>
              </w:rPr>
            </w:pPr>
            <w:r w:rsidRPr="000020F0">
              <w:rPr>
                <w:rFonts w:ascii="Arial" w:hAnsi="Arial" w:cs="Arial"/>
                <w:b/>
                <w:bCs/>
                <w:color w:val="000000"/>
                <w:sz w:val="20"/>
                <w:szCs w:val="20"/>
              </w:rPr>
              <w:t>Neznan</w:t>
            </w:r>
          </w:p>
        </w:tc>
      </w:tr>
      <w:tr w:rsidR="00CF68D5" w:rsidRPr="000020F0" w14:paraId="1A83F0A1" w14:textId="77777777" w:rsidTr="001F237C">
        <w:trPr>
          <w:trHeight w:val="576"/>
          <w:tblHeader/>
        </w:trPr>
        <w:tc>
          <w:tcPr>
            <w:tcW w:w="3333" w:type="dxa"/>
            <w:vMerge/>
            <w:tcBorders>
              <w:bottom w:val="single" w:sz="4" w:space="0" w:color="auto"/>
            </w:tcBorders>
          </w:tcPr>
          <w:p w14:paraId="6B19CD19" w14:textId="77777777" w:rsidR="00CF68D5" w:rsidRPr="000020F0" w:rsidRDefault="00CF68D5" w:rsidP="0093689D">
            <w:pPr>
              <w:jc w:val="both"/>
              <w:rPr>
                <w:rFonts w:ascii="Arial" w:hAnsi="Arial" w:cs="Arial"/>
                <w:b/>
                <w:bCs/>
                <w:sz w:val="20"/>
                <w:szCs w:val="20"/>
              </w:rPr>
            </w:pPr>
          </w:p>
        </w:tc>
        <w:tc>
          <w:tcPr>
            <w:tcW w:w="1198" w:type="dxa"/>
            <w:gridSpan w:val="2"/>
            <w:vAlign w:val="center"/>
          </w:tcPr>
          <w:p w14:paraId="57DE37FC" w14:textId="77777777" w:rsidR="00CF68D5" w:rsidRPr="000020F0" w:rsidRDefault="00CF68D5" w:rsidP="0093689D">
            <w:pPr>
              <w:jc w:val="both"/>
              <w:rPr>
                <w:rFonts w:ascii="Arial" w:hAnsi="Arial" w:cs="Arial"/>
                <w:b/>
                <w:i/>
                <w:color w:val="000000"/>
                <w:sz w:val="20"/>
                <w:szCs w:val="20"/>
              </w:rPr>
            </w:pPr>
            <w:r w:rsidRPr="000020F0">
              <w:rPr>
                <w:rFonts w:ascii="Arial" w:hAnsi="Arial" w:cs="Arial"/>
                <w:b/>
                <w:i/>
                <w:color w:val="000000"/>
                <w:sz w:val="20"/>
                <w:szCs w:val="20"/>
              </w:rPr>
              <w:t>X</w:t>
            </w:r>
          </w:p>
        </w:tc>
        <w:tc>
          <w:tcPr>
            <w:tcW w:w="574" w:type="dxa"/>
            <w:vAlign w:val="center"/>
          </w:tcPr>
          <w:p w14:paraId="03169ACA" w14:textId="77777777" w:rsidR="00CF68D5" w:rsidRPr="000020F0" w:rsidRDefault="00CF68D5" w:rsidP="0093689D">
            <w:pPr>
              <w:jc w:val="both"/>
              <w:rPr>
                <w:rFonts w:ascii="Arial" w:hAnsi="Arial" w:cs="Arial"/>
                <w:b/>
                <w:bCs/>
                <w:color w:val="000000" w:themeColor="text1"/>
                <w:sz w:val="20"/>
                <w:szCs w:val="20"/>
              </w:rPr>
            </w:pPr>
          </w:p>
        </w:tc>
        <w:tc>
          <w:tcPr>
            <w:tcW w:w="1276" w:type="dxa"/>
            <w:vAlign w:val="center"/>
          </w:tcPr>
          <w:p w14:paraId="153CDB80" w14:textId="77777777" w:rsidR="00CF68D5" w:rsidRPr="000020F0" w:rsidRDefault="00CF68D5" w:rsidP="0093689D">
            <w:pPr>
              <w:jc w:val="both"/>
              <w:rPr>
                <w:rFonts w:ascii="Arial" w:hAnsi="Arial" w:cs="Arial"/>
                <w:b/>
                <w:bCs/>
                <w:color w:val="000000"/>
                <w:sz w:val="20"/>
                <w:szCs w:val="20"/>
              </w:rPr>
            </w:pPr>
          </w:p>
        </w:tc>
        <w:tc>
          <w:tcPr>
            <w:tcW w:w="1276" w:type="dxa"/>
            <w:vAlign w:val="center"/>
          </w:tcPr>
          <w:p w14:paraId="5ABD861B" w14:textId="77777777" w:rsidR="00CF68D5" w:rsidRPr="000020F0" w:rsidRDefault="00CF68D5" w:rsidP="0093689D">
            <w:pPr>
              <w:jc w:val="both"/>
              <w:rPr>
                <w:rFonts w:ascii="Arial" w:hAnsi="Arial" w:cs="Arial"/>
                <w:b/>
                <w:bCs/>
                <w:color w:val="000000"/>
                <w:sz w:val="20"/>
                <w:szCs w:val="20"/>
              </w:rPr>
            </w:pPr>
          </w:p>
        </w:tc>
        <w:tc>
          <w:tcPr>
            <w:tcW w:w="1410" w:type="dxa"/>
            <w:vAlign w:val="center"/>
          </w:tcPr>
          <w:p w14:paraId="33CEAB07" w14:textId="77777777" w:rsidR="00CF68D5" w:rsidRPr="000020F0" w:rsidRDefault="00CF68D5" w:rsidP="0093689D">
            <w:pPr>
              <w:jc w:val="both"/>
              <w:rPr>
                <w:rFonts w:ascii="Arial" w:hAnsi="Arial" w:cs="Arial"/>
                <w:b/>
                <w:bCs/>
                <w:color w:val="000000"/>
                <w:sz w:val="20"/>
                <w:szCs w:val="20"/>
              </w:rPr>
            </w:pPr>
          </w:p>
        </w:tc>
      </w:tr>
      <w:tr w:rsidR="00CF68D5" w:rsidRPr="000020F0" w14:paraId="117E83CD" w14:textId="77777777" w:rsidTr="001F237C">
        <w:trPr>
          <w:trHeight w:val="847"/>
        </w:trPr>
        <w:tc>
          <w:tcPr>
            <w:tcW w:w="3333" w:type="dxa"/>
            <w:shd w:val="clear" w:color="auto" w:fill="FDE9D9" w:themeFill="accent6" w:themeFillTint="33"/>
            <w:vAlign w:val="center"/>
          </w:tcPr>
          <w:p w14:paraId="52B31619" w14:textId="77777777" w:rsidR="00CF68D5" w:rsidRPr="000020F0" w:rsidRDefault="00CF68D5" w:rsidP="0093689D">
            <w:pPr>
              <w:jc w:val="both"/>
              <w:rPr>
                <w:rFonts w:ascii="Arial" w:hAnsi="Arial" w:cs="Arial"/>
                <w:b/>
                <w:bCs/>
                <w:color w:val="000000"/>
                <w:sz w:val="20"/>
                <w:szCs w:val="20"/>
              </w:rPr>
            </w:pPr>
            <w:proofErr w:type="spellStart"/>
            <w:r w:rsidRPr="000020F0">
              <w:rPr>
                <w:rFonts w:ascii="Arial" w:hAnsi="Arial" w:cs="Arial"/>
                <w:b/>
                <w:bCs/>
                <w:color w:val="000000"/>
                <w:sz w:val="20"/>
                <w:szCs w:val="20"/>
              </w:rPr>
              <w:t>Okoljski</w:t>
            </w:r>
            <w:proofErr w:type="spellEnd"/>
            <w:r w:rsidRPr="000020F0">
              <w:rPr>
                <w:rFonts w:ascii="Arial" w:hAnsi="Arial" w:cs="Arial"/>
                <w:b/>
                <w:bCs/>
                <w:color w:val="000000"/>
                <w:sz w:val="20"/>
                <w:szCs w:val="20"/>
              </w:rPr>
              <w:t xml:space="preserve"> cilji</w:t>
            </w:r>
          </w:p>
        </w:tc>
        <w:tc>
          <w:tcPr>
            <w:tcW w:w="915" w:type="dxa"/>
            <w:shd w:val="clear" w:color="auto" w:fill="D9D9D9"/>
            <w:vAlign w:val="center"/>
          </w:tcPr>
          <w:p w14:paraId="3B638D1B" w14:textId="77777777" w:rsidR="00CF68D5" w:rsidRPr="000020F0" w:rsidRDefault="00CF68D5" w:rsidP="0093689D">
            <w:pPr>
              <w:autoSpaceDE w:val="0"/>
              <w:autoSpaceDN w:val="0"/>
              <w:adjustRightInd w:val="0"/>
              <w:jc w:val="center"/>
              <w:rPr>
                <w:rFonts w:ascii="Arial" w:hAnsi="Arial" w:cs="Arial"/>
                <w:b/>
                <w:bCs/>
                <w:color w:val="000000"/>
                <w:sz w:val="20"/>
                <w:szCs w:val="20"/>
              </w:rPr>
            </w:pPr>
            <w:r w:rsidRPr="000020F0">
              <w:rPr>
                <w:rFonts w:ascii="Arial" w:hAnsi="Arial" w:cs="Arial"/>
                <w:b/>
                <w:bCs/>
                <w:color w:val="000000"/>
                <w:sz w:val="20"/>
                <w:szCs w:val="20"/>
              </w:rPr>
              <w:t>Vpliv</w:t>
            </w:r>
          </w:p>
          <w:p w14:paraId="75291E58" w14:textId="77777777" w:rsidR="00CF68D5" w:rsidRPr="000020F0" w:rsidRDefault="00CF68D5" w:rsidP="0093689D">
            <w:pPr>
              <w:autoSpaceDE w:val="0"/>
              <w:autoSpaceDN w:val="0"/>
              <w:adjustRightInd w:val="0"/>
              <w:jc w:val="center"/>
              <w:rPr>
                <w:rFonts w:ascii="Arial" w:hAnsi="Arial" w:cs="Arial"/>
                <w:b/>
                <w:bCs/>
                <w:color w:val="000000"/>
                <w:sz w:val="20"/>
                <w:szCs w:val="20"/>
              </w:rPr>
            </w:pPr>
            <w:r w:rsidRPr="000020F0">
              <w:rPr>
                <w:rFonts w:ascii="Arial" w:hAnsi="Arial" w:cs="Arial"/>
                <w:b/>
                <w:bCs/>
                <w:color w:val="000000"/>
                <w:sz w:val="20"/>
                <w:szCs w:val="20"/>
              </w:rPr>
              <w:t>+1 / 0 / -1 / -2</w:t>
            </w:r>
          </w:p>
        </w:tc>
        <w:tc>
          <w:tcPr>
            <w:tcW w:w="4819" w:type="dxa"/>
            <w:gridSpan w:val="5"/>
            <w:shd w:val="clear" w:color="auto" w:fill="D9D9D9"/>
            <w:vAlign w:val="center"/>
          </w:tcPr>
          <w:p w14:paraId="457E187E" w14:textId="77777777" w:rsidR="00CF68D5" w:rsidRPr="000020F0" w:rsidRDefault="00CF68D5" w:rsidP="0093689D">
            <w:pPr>
              <w:jc w:val="center"/>
              <w:rPr>
                <w:rFonts w:ascii="Arial" w:hAnsi="Arial" w:cs="Arial"/>
                <w:b/>
                <w:bCs/>
                <w:color w:val="000000"/>
                <w:sz w:val="20"/>
                <w:szCs w:val="20"/>
              </w:rPr>
            </w:pPr>
            <w:r w:rsidRPr="000020F0">
              <w:rPr>
                <w:rFonts w:ascii="Arial" w:hAnsi="Arial" w:cs="Arial"/>
                <w:b/>
                <w:bCs/>
                <w:color w:val="000000"/>
                <w:sz w:val="20"/>
                <w:szCs w:val="20"/>
              </w:rPr>
              <w:t>Pojasnilo vpliva</w:t>
            </w:r>
          </w:p>
        </w:tc>
      </w:tr>
      <w:tr w:rsidR="00CF68D5" w:rsidRPr="000020F0" w14:paraId="5AEA9493" w14:textId="77777777" w:rsidTr="001F237C">
        <w:trPr>
          <w:trHeight w:val="847"/>
        </w:trPr>
        <w:tc>
          <w:tcPr>
            <w:tcW w:w="3333" w:type="dxa"/>
            <w:shd w:val="clear" w:color="auto" w:fill="FDE9D9" w:themeFill="accent6" w:themeFillTint="33"/>
            <w:vAlign w:val="center"/>
          </w:tcPr>
          <w:p w14:paraId="3D9303C6"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t>1. Blažitev podnebnih sprememb</w:t>
            </w:r>
          </w:p>
        </w:tc>
        <w:tc>
          <w:tcPr>
            <w:tcW w:w="915" w:type="dxa"/>
            <w:vAlign w:val="center"/>
          </w:tcPr>
          <w:p w14:paraId="4C049487" w14:textId="77777777" w:rsidR="00CF68D5" w:rsidRPr="000020F0" w:rsidRDefault="00CF68D5" w:rsidP="0093689D">
            <w:pPr>
              <w:jc w:val="both"/>
              <w:rPr>
                <w:rFonts w:ascii="Arial" w:hAnsi="Arial" w:cs="Arial"/>
                <w:bCs/>
                <w:iCs/>
                <w:color w:val="000000"/>
                <w:sz w:val="20"/>
                <w:szCs w:val="20"/>
              </w:rPr>
            </w:pPr>
            <w:r w:rsidRPr="000020F0">
              <w:rPr>
                <w:rFonts w:ascii="Arial" w:hAnsi="Arial" w:cs="Arial"/>
                <w:bCs/>
                <w:iCs/>
                <w:color w:val="000000"/>
                <w:sz w:val="20"/>
                <w:szCs w:val="20"/>
              </w:rPr>
              <w:t>+1</w:t>
            </w:r>
          </w:p>
        </w:tc>
        <w:tc>
          <w:tcPr>
            <w:tcW w:w="4819" w:type="dxa"/>
            <w:gridSpan w:val="5"/>
            <w:vAlign w:val="center"/>
          </w:tcPr>
          <w:p w14:paraId="66C2D176" w14:textId="77777777" w:rsidR="00CF68D5" w:rsidRPr="000020F0" w:rsidRDefault="00CF68D5" w:rsidP="0093689D">
            <w:pPr>
              <w:jc w:val="both"/>
              <w:rPr>
                <w:rFonts w:ascii="Arial" w:hAnsi="Arial" w:cs="Arial"/>
                <w:bCs/>
                <w:iCs/>
                <w:color w:val="000000"/>
                <w:sz w:val="20"/>
                <w:szCs w:val="20"/>
              </w:rPr>
            </w:pPr>
            <w:r w:rsidRPr="000020F0">
              <w:rPr>
                <w:rFonts w:ascii="Arial" w:hAnsi="Arial" w:cs="Arial"/>
                <w:bCs/>
                <w:iCs/>
                <w:color w:val="000000"/>
                <w:sz w:val="20"/>
                <w:szCs w:val="20"/>
              </w:rPr>
              <w:t>Ukrepi v okviru Celovite ureditve centra Ig prispevajo k zmanjšanju emisij toplogrednih plinov predvsem posredno, preko spodbujanja trajnostne mobilnosti in zmanjševanja avtomobilskega prometa v centru. Ureditev osrednjega trga ter izgradnja kolesarnic in urbane opreme spodbujata hojo, kolesarjenje in uporabo javnega prostora brez avtomobilov, kar zmanjšuje prometne emisije CO</w:t>
            </w:r>
            <w:r w:rsidRPr="000020F0">
              <w:rPr>
                <w:rFonts w:ascii="Cambria Math" w:hAnsi="Cambria Math" w:cs="Cambria Math"/>
                <w:bCs/>
                <w:iCs/>
                <w:color w:val="000000"/>
                <w:sz w:val="20"/>
                <w:szCs w:val="20"/>
              </w:rPr>
              <w:t>₂</w:t>
            </w:r>
            <w:r w:rsidRPr="000020F0">
              <w:rPr>
                <w:rFonts w:ascii="Arial" w:hAnsi="Arial" w:cs="Arial"/>
                <w:bCs/>
                <w:iCs/>
                <w:color w:val="000000"/>
                <w:sz w:val="20"/>
                <w:szCs w:val="20"/>
              </w:rPr>
              <w:t xml:space="preserve"> ter onesnaženost zraka. Drugi ukrepi (drenažni sistemi, modularna gradnja, pritrjena urbana oprema) neposredno ne vplivajo na zmanjšanje emisij, a prispevajo k odpornosti in trajnosti infrastrukture, kar dolgoročno podpira podnebno nevtralnost.</w:t>
            </w:r>
          </w:p>
        </w:tc>
      </w:tr>
      <w:tr w:rsidR="00CF68D5" w:rsidRPr="000020F0" w14:paraId="6317B65D" w14:textId="77777777" w:rsidTr="001F237C">
        <w:trPr>
          <w:trHeight w:val="737"/>
        </w:trPr>
        <w:tc>
          <w:tcPr>
            <w:tcW w:w="3333" w:type="dxa"/>
            <w:shd w:val="clear" w:color="auto" w:fill="FDE9D9" w:themeFill="accent6" w:themeFillTint="33"/>
            <w:vAlign w:val="center"/>
          </w:tcPr>
          <w:p w14:paraId="7452BD24"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t>2. Prilagajanje podnebnim spremembam</w:t>
            </w:r>
          </w:p>
        </w:tc>
        <w:tc>
          <w:tcPr>
            <w:tcW w:w="915" w:type="dxa"/>
            <w:vAlign w:val="center"/>
          </w:tcPr>
          <w:p w14:paraId="252F03F1"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+1</w:t>
            </w:r>
          </w:p>
        </w:tc>
        <w:tc>
          <w:tcPr>
            <w:tcW w:w="4819" w:type="dxa"/>
            <w:gridSpan w:val="5"/>
            <w:vAlign w:val="center"/>
          </w:tcPr>
          <w:p w14:paraId="17B703C1"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Projekt vsebuje več ukrepov, ki bistveno prispevajo k prilagajanju na podnebne spremembe. Izboljšana ureditev drenažnih sistemov in zadrževalniki padavinske vode zmanjšujejo tveganje poplav, zastajanja vode in škod ob ekstremnih padavinah. Modularni objekti iz robustnih materialov in kritine, odporne proti toči, povečujejo odpornost stavb na neurja, vročinske valove in druge ekstremne vremenske pojave. Pritrjena urbana oprema zmanjšuje nevarnost poškodb ob močnem vetru, nevihtah ali snežnih padavinah. Skupno ti ukrepi izboljšujejo varnost, zmanjšujejo stroške škode in prispevajo k dolgoročni odpornosti naselja na vplive podnebnih sprememb.</w:t>
            </w:r>
          </w:p>
        </w:tc>
      </w:tr>
      <w:tr w:rsidR="00CF68D5" w:rsidRPr="000020F0" w14:paraId="43A49ADE" w14:textId="77777777" w:rsidTr="001F237C">
        <w:trPr>
          <w:trHeight w:val="847"/>
        </w:trPr>
        <w:tc>
          <w:tcPr>
            <w:tcW w:w="3333" w:type="dxa"/>
            <w:shd w:val="clear" w:color="auto" w:fill="FDE9D9" w:themeFill="accent6" w:themeFillTint="33"/>
            <w:vAlign w:val="center"/>
          </w:tcPr>
          <w:p w14:paraId="1FBBF0EB"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t>3. Trajnostna raba ter varstvo vodnih in morskih virov</w:t>
            </w:r>
          </w:p>
        </w:tc>
        <w:tc>
          <w:tcPr>
            <w:tcW w:w="915" w:type="dxa"/>
            <w:vAlign w:val="center"/>
          </w:tcPr>
          <w:p w14:paraId="081626C4"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+1</w:t>
            </w:r>
          </w:p>
        </w:tc>
        <w:tc>
          <w:tcPr>
            <w:tcW w:w="4819" w:type="dxa"/>
            <w:gridSpan w:val="5"/>
            <w:vAlign w:val="center"/>
          </w:tcPr>
          <w:p w14:paraId="54D9D3F1"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Največji prispevek k varstvu vodnih virov prinaša ureditev drenažnih sistemov in zadrževalnikov padavinske vode, saj omogočajo zadrževanje in počasnejše odvajanje meteorne vode, kar zmanjšuje tveganje poplav ter izboljšuje lokalno vodno bilanco. Ukrepi preprečujejo nenadzorovan odtok in s tem zmanjšujejo možnost onesnaženja površinskih voda. Ostali ukrepi (osrednji trg, kolesarnice, modularni objekti in pritrjena urbana oprema) nimajo pomembnih neposrednih vplivov na vodo, lahko pa posredno prispevajo k boljši kakovosti okolja, saj urejena infrastruktura zmanjšuje razpršene vplive.</w:t>
            </w:r>
          </w:p>
        </w:tc>
      </w:tr>
      <w:tr w:rsidR="00CF68D5" w:rsidRPr="000020F0" w14:paraId="3C6C4FFF" w14:textId="77777777" w:rsidTr="001F237C">
        <w:trPr>
          <w:trHeight w:val="847"/>
        </w:trPr>
        <w:tc>
          <w:tcPr>
            <w:tcW w:w="3333" w:type="dxa"/>
            <w:shd w:val="clear" w:color="auto" w:fill="FDE9D9" w:themeFill="accent6" w:themeFillTint="33"/>
            <w:vAlign w:val="center"/>
          </w:tcPr>
          <w:p w14:paraId="1CD61A15"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t>4. Prehod na krožno gospodarstvo</w:t>
            </w:r>
          </w:p>
        </w:tc>
        <w:tc>
          <w:tcPr>
            <w:tcW w:w="915" w:type="dxa"/>
            <w:vAlign w:val="center"/>
          </w:tcPr>
          <w:p w14:paraId="5CB34C87"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+1</w:t>
            </w:r>
          </w:p>
        </w:tc>
        <w:tc>
          <w:tcPr>
            <w:tcW w:w="4819" w:type="dxa"/>
            <w:gridSpan w:val="5"/>
            <w:vAlign w:val="center"/>
          </w:tcPr>
          <w:p w14:paraId="658BBA05"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 xml:space="preserve">Projekt vključuje nekatere elemente, ki prispevajo k prehodu na krožno gospodarstvo, zlasti pri uporabi modularnih objektov. Modularna gradnja omogoča lažje vzdrževanje, razgradnjo in ponovno uporabo materialov, kar zmanjšuje nastajanje gradbenih </w:t>
            </w:r>
            <w:r w:rsidRPr="000020F0">
              <w:rPr>
                <w:rFonts w:ascii="Arial" w:hAnsi="Arial" w:cs="Arial"/>
                <w:bCs/>
                <w:color w:val="000000"/>
                <w:sz w:val="20"/>
                <w:szCs w:val="20"/>
              </w:rPr>
              <w:lastRenderedPageBreak/>
              <w:t>odpadkov in spodbuja učinkovito rabo virov. Pri preureditvi osrednjega trga in postavitvi urbane opreme obstaja možnost uporabe trajnostnih oziroma recikliranih materialov, vendar ta vpliv ostaja omejen in ni bistven za celoten projekt. Vpliv na krožno gospodarstvo je tako pozitiven, a zmeren.</w:t>
            </w:r>
          </w:p>
        </w:tc>
      </w:tr>
      <w:tr w:rsidR="00CF68D5" w:rsidRPr="000020F0" w14:paraId="11EC90D2" w14:textId="77777777" w:rsidTr="001F237C">
        <w:trPr>
          <w:trHeight w:val="889"/>
        </w:trPr>
        <w:tc>
          <w:tcPr>
            <w:tcW w:w="3333" w:type="dxa"/>
            <w:shd w:val="clear" w:color="auto" w:fill="FDE9D9" w:themeFill="accent6" w:themeFillTint="33"/>
            <w:vAlign w:val="center"/>
          </w:tcPr>
          <w:p w14:paraId="2245BEFB"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lastRenderedPageBreak/>
              <w:t>5. Preprečevanje in nadzorovanje onesnaževanja</w:t>
            </w:r>
          </w:p>
        </w:tc>
        <w:tc>
          <w:tcPr>
            <w:tcW w:w="915" w:type="dxa"/>
            <w:vAlign w:val="center"/>
          </w:tcPr>
          <w:p w14:paraId="68BC78C0"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+1</w:t>
            </w:r>
          </w:p>
        </w:tc>
        <w:tc>
          <w:tcPr>
            <w:tcW w:w="4819" w:type="dxa"/>
            <w:gridSpan w:val="5"/>
            <w:vAlign w:val="center"/>
          </w:tcPr>
          <w:p w14:paraId="2171483A"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 xml:space="preserve">Projekt ima posreden pozitiven vpliv na zmanjšanje onesnaževanja, predvsem zaradi spodbujanja trajnostne mobilnosti. Ureditev osrednjega trga ter postavitev kolesarnic omogočata večjo uporabo koles in hoje namesto osebnih vozil, kar zmanjšuje emisije onesnaževal v zrak (npr. </w:t>
            </w:r>
            <w:proofErr w:type="spellStart"/>
            <w:r w:rsidRPr="000020F0">
              <w:rPr>
                <w:rFonts w:ascii="Arial" w:hAnsi="Arial" w:cs="Arial"/>
                <w:bCs/>
                <w:color w:val="000000"/>
                <w:sz w:val="20"/>
                <w:szCs w:val="20"/>
              </w:rPr>
              <w:t>NOx</w:t>
            </w:r>
            <w:proofErr w:type="spellEnd"/>
            <w:r w:rsidRPr="000020F0">
              <w:rPr>
                <w:rFonts w:ascii="Arial" w:hAnsi="Arial" w:cs="Arial"/>
                <w:bCs/>
                <w:color w:val="000000"/>
                <w:sz w:val="20"/>
                <w:szCs w:val="20"/>
              </w:rPr>
              <w:t>, prašni delci) in hrup v centru naselja. Ostali ukrepi, kot so drenažni sistemi, modularna gradnja in pritrjena urbana oprema, nimajo neposrednih učinkov na onesnaževanje, vendar prispevajo k bolj urejenemu in varnemu urbanemu okolju.</w:t>
            </w:r>
          </w:p>
        </w:tc>
      </w:tr>
      <w:tr w:rsidR="00CF68D5" w:rsidRPr="000020F0" w14:paraId="604F5507" w14:textId="77777777" w:rsidTr="001F237C">
        <w:trPr>
          <w:trHeight w:val="871"/>
        </w:trPr>
        <w:tc>
          <w:tcPr>
            <w:tcW w:w="3333" w:type="dxa"/>
            <w:shd w:val="clear" w:color="auto" w:fill="FDE9D9" w:themeFill="accent6" w:themeFillTint="33"/>
            <w:vAlign w:val="center"/>
          </w:tcPr>
          <w:p w14:paraId="3B7C8129" w14:textId="77777777" w:rsidR="00CF68D5" w:rsidRPr="000020F0" w:rsidRDefault="00CF68D5" w:rsidP="0093689D">
            <w:pPr>
              <w:rPr>
                <w:rFonts w:ascii="Arial" w:hAnsi="Arial" w:cs="Arial"/>
                <w:bCs/>
                <w:color w:val="000000"/>
                <w:sz w:val="20"/>
                <w:szCs w:val="20"/>
              </w:rPr>
            </w:pPr>
            <w:r w:rsidRPr="000020F0">
              <w:rPr>
                <w:rFonts w:ascii="Arial" w:hAnsi="Arial" w:cs="Arial"/>
                <w:bCs/>
                <w:color w:val="000000"/>
                <w:sz w:val="20"/>
                <w:szCs w:val="20"/>
              </w:rPr>
              <w:t>6. Varstvo in obnova biotske raznovrstnosti in ekosistemov</w:t>
            </w:r>
          </w:p>
        </w:tc>
        <w:tc>
          <w:tcPr>
            <w:tcW w:w="915" w:type="dxa"/>
            <w:vAlign w:val="center"/>
          </w:tcPr>
          <w:p w14:paraId="3273D691"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0</w:t>
            </w:r>
          </w:p>
        </w:tc>
        <w:tc>
          <w:tcPr>
            <w:tcW w:w="4819" w:type="dxa"/>
            <w:gridSpan w:val="5"/>
            <w:vAlign w:val="center"/>
          </w:tcPr>
          <w:p w14:paraId="20FB35E5" w14:textId="77777777" w:rsidR="00CF68D5" w:rsidRPr="000020F0" w:rsidRDefault="00CF68D5" w:rsidP="0093689D">
            <w:pPr>
              <w:jc w:val="both"/>
              <w:rPr>
                <w:rFonts w:ascii="Arial" w:hAnsi="Arial" w:cs="Arial"/>
                <w:bCs/>
                <w:color w:val="000000"/>
                <w:sz w:val="20"/>
                <w:szCs w:val="20"/>
              </w:rPr>
            </w:pPr>
            <w:r w:rsidRPr="000020F0">
              <w:rPr>
                <w:rFonts w:ascii="Arial" w:hAnsi="Arial" w:cs="Arial"/>
                <w:bCs/>
                <w:color w:val="000000"/>
                <w:sz w:val="20"/>
                <w:szCs w:val="20"/>
              </w:rPr>
              <w:t>Predvideni ukrepi se izvajajo v urbanem središču in so usmerjeni predvsem v prenovo obstoječe infrastrukture ter izboljšanje varnosti in odpornosti naselja. Zato nimajo neposrednih vplivov na biotsko raznovrstnost ali naravne habitate. Ukrepi, kot so drenažni sistemi, modularna gradnja in pritrjena urbana oprema, so tehnične narave in ne posegajo v naravna območja. Projekt tako ostaja v celoti znotraj obstoječih urbanih površin, brez izgube habitatov ali vplivov na ekosisteme.</w:t>
            </w:r>
          </w:p>
        </w:tc>
      </w:tr>
    </w:tbl>
    <w:p w14:paraId="5E7DC848" w14:textId="77777777" w:rsidR="00CF68D5" w:rsidRPr="000020F0" w:rsidRDefault="00CF68D5" w:rsidP="00CF68D5">
      <w:pPr>
        <w:spacing w:after="120" w:line="276" w:lineRule="auto"/>
        <w:jc w:val="both"/>
        <w:rPr>
          <w:rFonts w:ascii="Arial" w:eastAsia="Arial" w:hAnsi="Arial" w:cs="Arial"/>
          <w:sz w:val="22"/>
          <w:szCs w:val="22"/>
        </w:rPr>
      </w:pPr>
    </w:p>
    <w:p w14:paraId="1A794AB9" w14:textId="77777777" w:rsidR="00CF68D5" w:rsidRPr="000020F0" w:rsidRDefault="00CF68D5" w:rsidP="00CF68D5">
      <w:pPr>
        <w:spacing w:after="120" w:line="276" w:lineRule="auto"/>
        <w:jc w:val="both"/>
        <w:rPr>
          <w:rFonts w:ascii="Arial" w:eastAsia="Arial" w:hAnsi="Arial" w:cs="Arial"/>
          <w:sz w:val="22"/>
          <w:szCs w:val="22"/>
        </w:rPr>
      </w:pPr>
      <w:r w:rsidRPr="000020F0">
        <w:rPr>
          <w:rFonts w:ascii="Arial" w:eastAsia="Arial" w:hAnsi="Arial" w:cs="Arial"/>
          <w:sz w:val="22"/>
          <w:szCs w:val="22"/>
        </w:rPr>
        <w:t xml:space="preserve">Projekt </w:t>
      </w:r>
      <w:r w:rsidRPr="000020F0">
        <w:rPr>
          <w:rFonts w:ascii="Arial" w:eastAsia="Arial" w:hAnsi="Arial" w:cs="Arial"/>
          <w:i/>
          <w:iCs/>
          <w:sz w:val="22"/>
          <w:szCs w:val="22"/>
        </w:rPr>
        <w:t>Celovita ureditev centra Ig – trajnostna mobilnost</w:t>
      </w:r>
      <w:r w:rsidRPr="000020F0">
        <w:rPr>
          <w:rFonts w:ascii="Arial" w:eastAsia="Arial" w:hAnsi="Arial" w:cs="Arial"/>
          <w:sz w:val="22"/>
          <w:szCs w:val="22"/>
        </w:rPr>
        <w:t xml:space="preserve"> je v celoti usmerjen v izboljšanje kakovosti bivanja v urbanem središču z ukrepi, ki spodbujajo trajnostno mobilnost, zmanjšujejo emisije toplogrednih plinov in onesnaževali zraka, povečujejo odpornost na podnebne spremembe ter prispevajo k učinkovitejšemu upravljanju z vodnimi viri. S svojo zasnovo, ki vključuje modularno gradnjo, izboljšane drenažne sisteme, zadrževalnike padavinske vode in ustrezno pritrditev urbane opreme, projekt neposredno krepi varnost in odpornost naselja na vremenske ekstreme, hkrati pa posredno prispeva k doseganju dolgoročnih ciljev podnebne nevtralnosti. Posegi se izvajajo izključno v obstoječem urbanem prostoru, brez vplivov na naravne habitate ali biotsko raznovrstnost, s čimer se preprečuje nastanek negativnih učinkov na ekosisteme. Skupna presoja zato ugotavlja, da projekt izkazuje več ugodnih vplivov na blažitev in prilagajanje podnebnim spremembam, trajnostno rabo vodnih virov, krožno gospodarstvo ter preprečevanje onesnaževanja, pri čemer niso bili prepoznani pomembni negativni vplivi. Na tej podlagi je projekt ocenjen kot </w:t>
      </w:r>
      <w:proofErr w:type="spellStart"/>
      <w:r w:rsidRPr="000020F0">
        <w:rPr>
          <w:rFonts w:ascii="Arial" w:eastAsia="Arial" w:hAnsi="Arial" w:cs="Arial"/>
          <w:b/>
          <w:bCs/>
          <w:sz w:val="22"/>
          <w:szCs w:val="22"/>
        </w:rPr>
        <w:t>okoljsko</w:t>
      </w:r>
      <w:proofErr w:type="spellEnd"/>
      <w:r w:rsidRPr="000020F0">
        <w:rPr>
          <w:rFonts w:ascii="Arial" w:eastAsia="Arial" w:hAnsi="Arial" w:cs="Arial"/>
          <w:b/>
          <w:bCs/>
          <w:sz w:val="22"/>
          <w:szCs w:val="22"/>
        </w:rPr>
        <w:t xml:space="preserve"> ugoden</w:t>
      </w:r>
      <w:r w:rsidRPr="000020F0">
        <w:rPr>
          <w:rFonts w:ascii="Arial" w:eastAsia="Arial" w:hAnsi="Arial" w:cs="Arial"/>
          <w:sz w:val="22"/>
          <w:szCs w:val="22"/>
        </w:rPr>
        <w:t>.</w:t>
      </w:r>
    </w:p>
    <w:p w14:paraId="07C072F3" w14:textId="77777777" w:rsidR="00CF68D5" w:rsidRPr="000020F0" w:rsidRDefault="00CF68D5" w:rsidP="00CF68D5">
      <w:pPr>
        <w:pStyle w:val="Naslov2"/>
        <w:numPr>
          <w:ilvl w:val="2"/>
          <w:numId w:val="1"/>
        </w:numPr>
        <w:spacing w:before="360" w:after="240"/>
        <w:rPr>
          <w:rFonts w:ascii="Arial" w:eastAsiaTheme="majorEastAsia" w:hAnsi="Arial" w:cs="Arial"/>
          <w:color w:val="244061" w:themeColor="accent1" w:themeShade="80"/>
          <w:szCs w:val="22"/>
        </w:rPr>
      </w:pPr>
      <w:bookmarkStart w:id="307" w:name="_Toc209029171"/>
      <w:bookmarkStart w:id="308" w:name="_Ref230594371"/>
      <w:bookmarkStart w:id="309" w:name="_Toc230882241"/>
      <w:r w:rsidRPr="000020F0">
        <w:rPr>
          <w:rFonts w:ascii="Arial" w:eastAsiaTheme="majorEastAsia" w:hAnsi="Arial" w:cs="Arial"/>
          <w:color w:val="244061" w:themeColor="accent1" w:themeShade="80"/>
          <w:szCs w:val="22"/>
        </w:rPr>
        <w:t>Skladnost z načelo »Novega evropskega Bauhausa«</w:t>
      </w:r>
      <w:bookmarkEnd w:id="307"/>
      <w:bookmarkEnd w:id="308"/>
      <w:bookmarkEnd w:id="309"/>
    </w:p>
    <w:p w14:paraId="7D069C21"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Projekt zasleduje načela Novega evropskega Bauhausa (NEB), pobude Evropske komisije, ki povezuje trajnost, estetiko in vključevanje.</w:t>
      </w:r>
    </w:p>
    <w:p w14:paraId="01A0A59D" w14:textId="77777777" w:rsidR="00CF68D5" w:rsidRPr="000020F0" w:rsidRDefault="00CF68D5" w:rsidP="00CF68D5">
      <w:pPr>
        <w:numPr>
          <w:ilvl w:val="0"/>
          <w:numId w:val="147"/>
        </w:numPr>
        <w:tabs>
          <w:tab w:val="clear" w:pos="720"/>
        </w:tabs>
        <w:spacing w:after="120" w:line="276" w:lineRule="auto"/>
        <w:ind w:left="426"/>
        <w:jc w:val="both"/>
        <w:rPr>
          <w:rFonts w:ascii="Arial" w:hAnsi="Arial" w:cs="Arial"/>
          <w:sz w:val="22"/>
          <w:szCs w:val="22"/>
        </w:rPr>
      </w:pPr>
      <w:r w:rsidRPr="000020F0">
        <w:rPr>
          <w:rFonts w:ascii="Arial" w:hAnsi="Arial" w:cs="Arial"/>
          <w:b/>
          <w:sz w:val="22"/>
          <w:szCs w:val="22"/>
        </w:rPr>
        <w:t>Trajnost</w:t>
      </w:r>
      <w:r w:rsidRPr="000020F0">
        <w:rPr>
          <w:rFonts w:ascii="Arial" w:hAnsi="Arial" w:cs="Arial"/>
          <w:sz w:val="22"/>
          <w:szCs w:val="22"/>
        </w:rPr>
        <w:t xml:space="preserve">: projekt zmanjšuje </w:t>
      </w:r>
      <w:proofErr w:type="spellStart"/>
      <w:r w:rsidRPr="000020F0">
        <w:rPr>
          <w:rFonts w:ascii="Arial" w:hAnsi="Arial" w:cs="Arial"/>
          <w:sz w:val="22"/>
          <w:szCs w:val="22"/>
        </w:rPr>
        <w:t>ogljični</w:t>
      </w:r>
      <w:proofErr w:type="spellEnd"/>
      <w:r w:rsidRPr="000020F0">
        <w:rPr>
          <w:rFonts w:ascii="Arial" w:hAnsi="Arial" w:cs="Arial"/>
          <w:sz w:val="22"/>
          <w:szCs w:val="22"/>
        </w:rPr>
        <w:t xml:space="preserve"> odtis prometa z izboljšanjem pogojev za hojo, kolesarjenje in uporabo javnega potniškega prometa. Zelena in modra infrastruktura (drevoredi, zelene površine, prepustne povrhnje plasti, ponikanje meteorne vode, </w:t>
      </w:r>
      <w:r w:rsidRPr="000020F0">
        <w:rPr>
          <w:rFonts w:ascii="Arial" w:hAnsi="Arial" w:cs="Arial"/>
          <w:sz w:val="22"/>
          <w:szCs w:val="22"/>
        </w:rPr>
        <w:lastRenderedPageBreak/>
        <w:t>ponovno zbiranje padavinske vode) povečujejo odpornost prostora na podnebne spremembe in prispevajo k izboljšanju kakovosti zraka in bivanja.</w:t>
      </w:r>
    </w:p>
    <w:p w14:paraId="0AFE22D3" w14:textId="77777777" w:rsidR="00CF68D5" w:rsidRPr="000020F0" w:rsidRDefault="00CF68D5" w:rsidP="00CF68D5">
      <w:pPr>
        <w:numPr>
          <w:ilvl w:val="0"/>
          <w:numId w:val="147"/>
        </w:numPr>
        <w:tabs>
          <w:tab w:val="clear" w:pos="720"/>
        </w:tabs>
        <w:spacing w:after="120" w:line="276" w:lineRule="auto"/>
        <w:ind w:left="426"/>
        <w:jc w:val="both"/>
        <w:rPr>
          <w:rFonts w:ascii="Arial" w:hAnsi="Arial" w:cs="Arial"/>
          <w:sz w:val="22"/>
          <w:szCs w:val="22"/>
        </w:rPr>
      </w:pPr>
      <w:r w:rsidRPr="000020F0">
        <w:rPr>
          <w:rFonts w:ascii="Arial" w:hAnsi="Arial" w:cs="Arial"/>
          <w:b/>
          <w:sz w:val="22"/>
          <w:szCs w:val="22"/>
        </w:rPr>
        <w:t>Estetika:</w:t>
      </w:r>
      <w:r w:rsidRPr="000020F0">
        <w:rPr>
          <w:rFonts w:ascii="Arial" w:hAnsi="Arial" w:cs="Arial"/>
          <w:sz w:val="22"/>
          <w:szCs w:val="22"/>
        </w:rPr>
        <w:t xml:space="preserve"> z urejanjem skupnih prometnih površin, zasaditvijo drevoredov, ozelenitvijo in sodobno urbano opremo bo središče Iga pridobilo urejen in vizualno privlačen javni prostor. Prenovljene površine bodo skladno povezale javne objekte (šola, občina, cerkev, </w:t>
      </w:r>
      <w:proofErr w:type="spellStart"/>
      <w:r w:rsidRPr="000020F0">
        <w:rPr>
          <w:rFonts w:ascii="Arial" w:hAnsi="Arial" w:cs="Arial"/>
          <w:sz w:val="22"/>
          <w:szCs w:val="22"/>
        </w:rPr>
        <w:t>Morostig</w:t>
      </w:r>
      <w:proofErr w:type="spellEnd"/>
      <w:r w:rsidRPr="000020F0">
        <w:rPr>
          <w:rFonts w:ascii="Arial" w:hAnsi="Arial" w:cs="Arial"/>
          <w:sz w:val="22"/>
          <w:szCs w:val="22"/>
        </w:rPr>
        <w:t>, pošta) ter dvignile prostorski in estetski standard naselja.</w:t>
      </w:r>
    </w:p>
    <w:p w14:paraId="528AA144" w14:textId="77777777" w:rsidR="00CF68D5" w:rsidRPr="000020F0" w:rsidRDefault="00CF68D5" w:rsidP="00CF68D5">
      <w:pPr>
        <w:numPr>
          <w:ilvl w:val="0"/>
          <w:numId w:val="147"/>
        </w:numPr>
        <w:tabs>
          <w:tab w:val="clear" w:pos="720"/>
        </w:tabs>
        <w:spacing w:after="120" w:line="276" w:lineRule="auto"/>
        <w:ind w:left="426"/>
        <w:jc w:val="both"/>
        <w:rPr>
          <w:rFonts w:ascii="Arial" w:hAnsi="Arial" w:cs="Arial"/>
          <w:sz w:val="22"/>
          <w:szCs w:val="22"/>
        </w:rPr>
      </w:pPr>
      <w:r w:rsidRPr="000020F0">
        <w:rPr>
          <w:rFonts w:ascii="Arial" w:hAnsi="Arial" w:cs="Arial"/>
          <w:b/>
          <w:sz w:val="22"/>
          <w:szCs w:val="22"/>
        </w:rPr>
        <w:t>Vključevanje:</w:t>
      </w:r>
      <w:r w:rsidRPr="000020F0">
        <w:rPr>
          <w:rFonts w:ascii="Arial" w:hAnsi="Arial" w:cs="Arial"/>
          <w:sz w:val="22"/>
          <w:szCs w:val="22"/>
        </w:rPr>
        <w:t xml:space="preserve"> prenova javnih površin bo zagotovila dostopnost za vse uporabnike, vključno z otroki, starejšimi in gibalno oviranimi osebami. Novi prostori bodo omogočali medgeneracijsko druženje, kulturne in rekreativne aktivnosti ter izboljšali kakovost življenja prebivalcev in izkušnjo obiskovalcev ter turistov.</w:t>
      </w:r>
    </w:p>
    <w:p w14:paraId="2B597DEA"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Na ta način projekt ne zasleduje le minimalnih tehničnih zahtev, ampak se vpenja v širšo evropsko vizijo kakovostne, trajnostne in vključujoče prostorske prenove.</w:t>
      </w:r>
    </w:p>
    <w:p w14:paraId="234051D3" w14:textId="77777777" w:rsidR="00CF68D5" w:rsidRPr="000020F0" w:rsidRDefault="00CF68D5" w:rsidP="00CF68D5">
      <w:pPr>
        <w:pStyle w:val="Naslov2"/>
        <w:numPr>
          <w:ilvl w:val="1"/>
          <w:numId w:val="1"/>
        </w:numPr>
        <w:spacing w:before="360" w:after="240"/>
        <w:ind w:left="578" w:hanging="578"/>
        <w:rPr>
          <w:rFonts w:ascii="Arial" w:eastAsiaTheme="majorEastAsia" w:hAnsi="Arial" w:cs="Arial"/>
          <w:color w:val="244061" w:themeColor="accent1" w:themeShade="80"/>
          <w:szCs w:val="22"/>
        </w:rPr>
      </w:pPr>
      <w:bookmarkStart w:id="310" w:name="_Toc1955817"/>
      <w:bookmarkStart w:id="311" w:name="_Toc209029172"/>
      <w:bookmarkStart w:id="312" w:name="_Ref230594428"/>
      <w:bookmarkStart w:id="313" w:name="_Toc230882242"/>
      <w:r w:rsidRPr="000020F0">
        <w:rPr>
          <w:rFonts w:ascii="Arial" w:eastAsiaTheme="majorEastAsia" w:hAnsi="Arial" w:cs="Arial"/>
          <w:color w:val="244061" w:themeColor="accent1" w:themeShade="80"/>
          <w:szCs w:val="22"/>
        </w:rPr>
        <w:t>Organizacija izvajanja projekta in način spremljanja izvedbe projekta</w:t>
      </w:r>
      <w:bookmarkEnd w:id="310"/>
      <w:bookmarkEnd w:id="311"/>
      <w:bookmarkEnd w:id="312"/>
      <w:bookmarkEnd w:id="313"/>
    </w:p>
    <w:p w14:paraId="758FE0FE"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 xml:space="preserve">Zaradi izvedbe projekta se ne predvideva dodatnih zaposlitev. Občina bo ob upoštevanju </w:t>
      </w:r>
      <w:proofErr w:type="spellStart"/>
      <w:r w:rsidRPr="000020F0">
        <w:rPr>
          <w:rFonts w:ascii="Arial" w:hAnsi="Arial" w:cs="Arial"/>
          <w:sz w:val="22"/>
          <w:szCs w:val="22"/>
        </w:rPr>
        <w:t>javnonaročniške</w:t>
      </w:r>
      <w:proofErr w:type="spellEnd"/>
      <w:r w:rsidRPr="000020F0">
        <w:rPr>
          <w:rFonts w:ascii="Arial" w:hAnsi="Arial" w:cs="Arial"/>
          <w:sz w:val="22"/>
          <w:szCs w:val="22"/>
        </w:rPr>
        <w:t xml:space="preserve"> zakonodaje izbrala zunanjega izvajalca za gradnjo in nadzor. Občina bo z aktivnim vključevanjem zaposlenih prispevala k izvedbi projekta. </w:t>
      </w:r>
    </w:p>
    <w:p w14:paraId="2BB76C35"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 xml:space="preserve">Občina Ig bo za vodenje projekta in nadzor pri izvedbi investicije izvedla z obstoječim kadrom in zunanjimi sodelavci ter pomočjo in znanjem občine. Vodja projekta bo odgovoren za uspešno izvedbo določenih nalog projekta, pravočasna pridobitev projektne dokumentacije in upravne dokumentacije. Vodja projekta bo odgovoren tudi za zagon projekta, koordinacijo izvajanja projekta in izvajanje strokovnega nadzora ter ustrezno ukrepanje v primeru odstopanj, ocenjevanje doseženih rezultatov projekta glede na zastavljene cilje, razreševanje problemov in spremljanje finančnega plana. Vodja projekta bo svoje funkcije izvajal preko vodje gradbišča, projektanta in bo odgovoren za načrtovanje vseh izvedbenih del, napredovanje del, strokovni gradbeni nadzor, kontrolo kakovosti in poročanje o stanju del. </w:t>
      </w:r>
    </w:p>
    <w:p w14:paraId="36BEF184"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Za spremljanje in poročanje ter pripravo zahtevkov za plačilo bo odgovorna občinska uprava. Njihova naloga bo ob zaključku projekta pripraviti celotno tako vsebinsko in finančno poročilo v skladu z zahtevami projektne skupine, hkrati pa bo tudi skrbela za vodenje računov in finančno analizo o stanju projekta v času njegovega izvajanja. Finančno računovodska služba bo poskrbela za ustrezno knjiženje listin in dogodkov ter zagotovitvi ločenega računovodstva.</w:t>
      </w:r>
    </w:p>
    <w:p w14:paraId="56441AA3" w14:textId="77777777" w:rsidR="00CF68D5" w:rsidRPr="000020F0" w:rsidRDefault="00CF68D5" w:rsidP="00CF68D5">
      <w:pPr>
        <w:spacing w:after="120" w:line="276" w:lineRule="auto"/>
        <w:jc w:val="both"/>
        <w:rPr>
          <w:rFonts w:ascii="Arial" w:hAnsi="Arial" w:cs="Arial"/>
          <w:sz w:val="22"/>
          <w:szCs w:val="22"/>
        </w:rPr>
      </w:pPr>
      <w:r w:rsidRPr="000020F0">
        <w:rPr>
          <w:rFonts w:ascii="Arial" w:hAnsi="Arial" w:cs="Arial"/>
          <w:sz w:val="22"/>
          <w:szCs w:val="22"/>
        </w:rPr>
        <w:t>V izdelavo projektne dokumentacije bo vključen pooblaščeni krajinski arhitekt.</w:t>
      </w:r>
    </w:p>
    <w:p w14:paraId="0DBEB636" w14:textId="77777777" w:rsidR="00CF68D5" w:rsidRPr="000020F0" w:rsidRDefault="00CF68D5" w:rsidP="00CF68D5">
      <w:pPr>
        <w:pStyle w:val="Naslov2"/>
        <w:numPr>
          <w:ilvl w:val="1"/>
          <w:numId w:val="1"/>
        </w:numPr>
        <w:spacing w:before="360" w:after="240"/>
        <w:ind w:left="578" w:hanging="578"/>
        <w:rPr>
          <w:rFonts w:ascii="Arial" w:eastAsiaTheme="majorEastAsia" w:hAnsi="Arial" w:cs="Arial"/>
          <w:color w:val="244061" w:themeColor="accent1" w:themeShade="80"/>
          <w:szCs w:val="22"/>
        </w:rPr>
      </w:pPr>
      <w:bookmarkStart w:id="314" w:name="_Toc1955818"/>
      <w:bookmarkStart w:id="315" w:name="_Toc209029173"/>
      <w:bookmarkStart w:id="316" w:name="_Toc230882243"/>
      <w:r w:rsidRPr="000020F0">
        <w:rPr>
          <w:rFonts w:ascii="Arial" w:eastAsiaTheme="majorEastAsia" w:hAnsi="Arial" w:cs="Arial"/>
          <w:color w:val="244061" w:themeColor="accent1" w:themeShade="80"/>
          <w:szCs w:val="22"/>
        </w:rPr>
        <w:t>Ekonomska upravičenost projekta</w:t>
      </w:r>
      <w:bookmarkEnd w:id="314"/>
      <w:bookmarkEnd w:id="315"/>
      <w:bookmarkEnd w:id="316"/>
    </w:p>
    <w:p w14:paraId="6860E4AC" w14:textId="5A4F5152"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 xml:space="preserve">Ekonomska upravičenost projekta temelji na ugotovitvi, da koristi za prebivalce, obiskovalce in širšo družbo bistveno presegajo stroške izvedbe. Projekt naslavlja ključne razvojne in </w:t>
      </w:r>
      <w:proofErr w:type="spellStart"/>
      <w:r w:rsidRPr="000020F0">
        <w:rPr>
          <w:rFonts w:ascii="Arial" w:hAnsi="Arial" w:cs="Arial"/>
          <w:sz w:val="22"/>
          <w:szCs w:val="22"/>
        </w:rPr>
        <w:t>okoljske</w:t>
      </w:r>
      <w:proofErr w:type="spellEnd"/>
      <w:r w:rsidRPr="000020F0">
        <w:rPr>
          <w:rFonts w:ascii="Arial" w:hAnsi="Arial" w:cs="Arial"/>
          <w:sz w:val="22"/>
          <w:szCs w:val="22"/>
        </w:rPr>
        <w:t xml:space="preserve"> izzive v središču Občine Ig ter neposredno zasleduje namen in cilje javnega razpisa JR EKP UTM 202</w:t>
      </w:r>
      <w:r w:rsidR="001262E7" w:rsidRPr="000020F0">
        <w:rPr>
          <w:rFonts w:ascii="Arial" w:hAnsi="Arial" w:cs="Arial"/>
          <w:sz w:val="22"/>
          <w:szCs w:val="22"/>
        </w:rPr>
        <w:t>5</w:t>
      </w:r>
      <w:r w:rsidRPr="000020F0">
        <w:rPr>
          <w:rFonts w:ascii="Arial" w:hAnsi="Arial" w:cs="Arial"/>
          <w:sz w:val="22"/>
          <w:szCs w:val="22"/>
        </w:rPr>
        <w:t>.</w:t>
      </w:r>
    </w:p>
    <w:p w14:paraId="68317705" w14:textId="77777777" w:rsidR="00CF68D5" w:rsidRPr="000020F0" w:rsidRDefault="00CF68D5" w:rsidP="00CF68D5">
      <w:pPr>
        <w:spacing w:line="276" w:lineRule="auto"/>
        <w:jc w:val="both"/>
        <w:rPr>
          <w:rFonts w:ascii="Arial" w:hAnsi="Arial" w:cs="Arial"/>
          <w:sz w:val="22"/>
          <w:szCs w:val="22"/>
        </w:rPr>
      </w:pPr>
    </w:p>
    <w:p w14:paraId="4CAFE12B"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r w:rsidRPr="000020F0">
        <w:rPr>
          <w:rFonts w:ascii="Arial" w:hAnsi="Arial" w:cs="Arial"/>
          <w:i/>
          <w:iCs/>
          <w:u w:val="single"/>
        </w:rPr>
        <w:t>Prispevek k trajnostni mobilnosti in zmanjšanju stroškov prometa</w:t>
      </w:r>
    </w:p>
    <w:p w14:paraId="125E0D1C" w14:textId="77777777"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Z ureditvijo varnih peš in kolesarskih poti, izboljšanjem pogojev za uporabo javnega potniškega prometa in vzpostavitvijo skupnih prometnih prostorov se bo zmanjšala odvisnost prebivalcev od osebnih vozil. Posledično se pričakuje:</w:t>
      </w:r>
    </w:p>
    <w:p w14:paraId="3D29A085" w14:textId="77777777" w:rsidR="00CF68D5" w:rsidRPr="000020F0" w:rsidRDefault="00CF68D5" w:rsidP="00CF68D5">
      <w:pPr>
        <w:numPr>
          <w:ilvl w:val="0"/>
          <w:numId w:val="148"/>
        </w:numPr>
        <w:spacing w:line="276" w:lineRule="auto"/>
        <w:jc w:val="both"/>
        <w:rPr>
          <w:rFonts w:ascii="Arial" w:hAnsi="Arial" w:cs="Arial"/>
          <w:sz w:val="22"/>
          <w:szCs w:val="22"/>
        </w:rPr>
      </w:pPr>
      <w:r w:rsidRPr="000020F0">
        <w:rPr>
          <w:rFonts w:ascii="Arial" w:hAnsi="Arial" w:cs="Arial"/>
          <w:sz w:val="22"/>
          <w:szCs w:val="22"/>
        </w:rPr>
        <w:t>zmanjšanje stroškov gospodinjstev za gorivo in vzdrževanje osebnih vozil,</w:t>
      </w:r>
    </w:p>
    <w:p w14:paraId="00FFF4BF" w14:textId="77777777" w:rsidR="00CF68D5" w:rsidRPr="000020F0" w:rsidRDefault="00CF68D5" w:rsidP="00CF68D5">
      <w:pPr>
        <w:numPr>
          <w:ilvl w:val="0"/>
          <w:numId w:val="148"/>
        </w:numPr>
        <w:spacing w:line="276" w:lineRule="auto"/>
        <w:jc w:val="both"/>
        <w:rPr>
          <w:rFonts w:ascii="Arial" w:hAnsi="Arial" w:cs="Arial"/>
          <w:sz w:val="22"/>
          <w:szCs w:val="22"/>
        </w:rPr>
      </w:pPr>
      <w:r w:rsidRPr="000020F0">
        <w:rPr>
          <w:rFonts w:ascii="Arial" w:hAnsi="Arial" w:cs="Arial"/>
          <w:sz w:val="22"/>
          <w:szCs w:val="22"/>
        </w:rPr>
        <w:lastRenderedPageBreak/>
        <w:t>izboljšanje dostopnosti do javnih storitev, šole in turističnih točk brez uporabe avtomobila,</w:t>
      </w:r>
    </w:p>
    <w:p w14:paraId="765D0279" w14:textId="77777777" w:rsidR="00CF68D5" w:rsidRPr="000020F0" w:rsidRDefault="00CF68D5" w:rsidP="00CF68D5">
      <w:pPr>
        <w:numPr>
          <w:ilvl w:val="0"/>
          <w:numId w:val="148"/>
        </w:numPr>
        <w:spacing w:line="276" w:lineRule="auto"/>
        <w:jc w:val="both"/>
        <w:rPr>
          <w:rFonts w:ascii="Arial" w:hAnsi="Arial" w:cs="Arial"/>
          <w:sz w:val="22"/>
          <w:szCs w:val="22"/>
        </w:rPr>
      </w:pPr>
      <w:r w:rsidRPr="000020F0">
        <w:rPr>
          <w:rFonts w:ascii="Arial" w:hAnsi="Arial" w:cs="Arial"/>
          <w:sz w:val="22"/>
          <w:szCs w:val="22"/>
        </w:rPr>
        <w:t>povečanje prometne varnosti ter manj stroškov povezanih s prometnimi nesrečami.</w:t>
      </w:r>
    </w:p>
    <w:p w14:paraId="6934D9E9" w14:textId="77777777" w:rsidR="00CF68D5" w:rsidRPr="000020F0" w:rsidRDefault="00CF68D5" w:rsidP="00CF68D5">
      <w:pPr>
        <w:spacing w:line="276" w:lineRule="auto"/>
        <w:jc w:val="both"/>
        <w:rPr>
          <w:rFonts w:ascii="Arial" w:hAnsi="Arial" w:cs="Arial"/>
          <w:sz w:val="22"/>
          <w:szCs w:val="22"/>
        </w:rPr>
      </w:pPr>
    </w:p>
    <w:p w14:paraId="2B98B210"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proofErr w:type="spellStart"/>
      <w:r w:rsidRPr="000020F0">
        <w:rPr>
          <w:rFonts w:ascii="Arial" w:hAnsi="Arial" w:cs="Arial"/>
          <w:i/>
          <w:iCs/>
          <w:u w:val="single"/>
        </w:rPr>
        <w:t>Okoljske</w:t>
      </w:r>
      <w:proofErr w:type="spellEnd"/>
      <w:r w:rsidRPr="000020F0">
        <w:rPr>
          <w:rFonts w:ascii="Arial" w:hAnsi="Arial" w:cs="Arial"/>
          <w:i/>
          <w:iCs/>
          <w:u w:val="single"/>
        </w:rPr>
        <w:t xml:space="preserve"> koristi</w:t>
      </w:r>
    </w:p>
    <w:p w14:paraId="1BF3D14D" w14:textId="77777777"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Projekt bo imel merljive pozitivne učinke na okolje:</w:t>
      </w:r>
    </w:p>
    <w:p w14:paraId="73B1475E" w14:textId="77777777" w:rsidR="00CF68D5" w:rsidRPr="000020F0" w:rsidRDefault="00CF68D5" w:rsidP="00CF68D5">
      <w:pPr>
        <w:numPr>
          <w:ilvl w:val="0"/>
          <w:numId w:val="149"/>
        </w:numPr>
        <w:spacing w:line="276" w:lineRule="auto"/>
        <w:jc w:val="both"/>
        <w:rPr>
          <w:rFonts w:ascii="Arial" w:hAnsi="Arial" w:cs="Arial"/>
          <w:sz w:val="22"/>
          <w:szCs w:val="22"/>
        </w:rPr>
      </w:pPr>
      <w:r w:rsidRPr="000020F0">
        <w:rPr>
          <w:rFonts w:ascii="Arial" w:hAnsi="Arial" w:cs="Arial"/>
          <w:sz w:val="22"/>
          <w:szCs w:val="22"/>
        </w:rPr>
        <w:t>zmanjšanje emisij toplogrednih plinov in prašnih delcev v središču kraja,</w:t>
      </w:r>
    </w:p>
    <w:p w14:paraId="730BDD87" w14:textId="77777777" w:rsidR="00CF68D5" w:rsidRPr="000020F0" w:rsidRDefault="00CF68D5" w:rsidP="00CF68D5">
      <w:pPr>
        <w:numPr>
          <w:ilvl w:val="0"/>
          <w:numId w:val="149"/>
        </w:numPr>
        <w:spacing w:line="276" w:lineRule="auto"/>
        <w:jc w:val="both"/>
        <w:rPr>
          <w:rFonts w:ascii="Arial" w:hAnsi="Arial" w:cs="Arial"/>
          <w:sz w:val="22"/>
          <w:szCs w:val="22"/>
        </w:rPr>
      </w:pPr>
      <w:r w:rsidRPr="000020F0">
        <w:rPr>
          <w:rFonts w:ascii="Arial" w:hAnsi="Arial" w:cs="Arial"/>
          <w:sz w:val="22"/>
          <w:szCs w:val="22"/>
        </w:rPr>
        <w:t>izboljšanje kakovosti zraka in zmanjšanje hrupa,</w:t>
      </w:r>
    </w:p>
    <w:p w14:paraId="293E71F7" w14:textId="77777777" w:rsidR="00CF68D5" w:rsidRPr="000020F0" w:rsidRDefault="00CF68D5" w:rsidP="00CF68D5">
      <w:pPr>
        <w:numPr>
          <w:ilvl w:val="0"/>
          <w:numId w:val="149"/>
        </w:numPr>
        <w:spacing w:line="276" w:lineRule="auto"/>
        <w:jc w:val="both"/>
        <w:rPr>
          <w:rFonts w:ascii="Arial" w:hAnsi="Arial" w:cs="Arial"/>
          <w:sz w:val="22"/>
          <w:szCs w:val="22"/>
        </w:rPr>
      </w:pPr>
      <w:r w:rsidRPr="000020F0">
        <w:rPr>
          <w:rFonts w:ascii="Arial" w:hAnsi="Arial" w:cs="Arial"/>
          <w:sz w:val="22"/>
          <w:szCs w:val="22"/>
        </w:rPr>
        <w:t>zmanjšanje stroškov povezanih z zdravstvenimi obremenitvami zaradi onesnaženega zraka,</w:t>
      </w:r>
    </w:p>
    <w:p w14:paraId="5BA6D630" w14:textId="77777777" w:rsidR="00CF68D5" w:rsidRPr="000020F0" w:rsidRDefault="00CF68D5" w:rsidP="00CF68D5">
      <w:pPr>
        <w:numPr>
          <w:ilvl w:val="0"/>
          <w:numId w:val="149"/>
        </w:numPr>
        <w:spacing w:line="276" w:lineRule="auto"/>
        <w:jc w:val="both"/>
        <w:rPr>
          <w:rFonts w:ascii="Arial" w:hAnsi="Arial" w:cs="Arial"/>
          <w:sz w:val="22"/>
          <w:szCs w:val="22"/>
        </w:rPr>
      </w:pPr>
      <w:r w:rsidRPr="000020F0">
        <w:rPr>
          <w:rFonts w:ascii="Arial" w:hAnsi="Arial" w:cs="Arial"/>
          <w:sz w:val="22"/>
          <w:szCs w:val="22"/>
        </w:rPr>
        <w:t>dolgoročno zmanjšanje stroškov vzdrževanja kanalizacije z zadrževanjem in ponovno uporabo padavinskih voda.</w:t>
      </w:r>
    </w:p>
    <w:p w14:paraId="2A73D7E4" w14:textId="77777777" w:rsidR="00CF68D5" w:rsidRPr="000020F0" w:rsidRDefault="00CF68D5" w:rsidP="00CF68D5">
      <w:pPr>
        <w:spacing w:line="276" w:lineRule="auto"/>
        <w:jc w:val="both"/>
        <w:rPr>
          <w:rFonts w:ascii="Arial" w:hAnsi="Arial" w:cs="Arial"/>
          <w:sz w:val="22"/>
          <w:szCs w:val="22"/>
        </w:rPr>
      </w:pPr>
    </w:p>
    <w:p w14:paraId="392E013F"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r w:rsidRPr="000020F0">
        <w:rPr>
          <w:rFonts w:ascii="Arial" w:hAnsi="Arial" w:cs="Arial"/>
          <w:i/>
          <w:iCs/>
          <w:u w:val="single"/>
        </w:rPr>
        <w:t>Socialne koristi in dvig kakovosti življenja</w:t>
      </w:r>
    </w:p>
    <w:p w14:paraId="34F2A94D" w14:textId="77777777"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Projekt bo izboljšal življenjske pogoje za prebivalce in obiskovalce:</w:t>
      </w:r>
    </w:p>
    <w:p w14:paraId="5C55B986" w14:textId="77777777" w:rsidR="00CF68D5" w:rsidRPr="000020F0" w:rsidRDefault="00CF68D5" w:rsidP="00CF68D5">
      <w:pPr>
        <w:numPr>
          <w:ilvl w:val="0"/>
          <w:numId w:val="150"/>
        </w:numPr>
        <w:spacing w:line="276" w:lineRule="auto"/>
        <w:jc w:val="both"/>
        <w:rPr>
          <w:rFonts w:ascii="Arial" w:hAnsi="Arial" w:cs="Arial"/>
          <w:sz w:val="22"/>
          <w:szCs w:val="22"/>
        </w:rPr>
      </w:pPr>
      <w:r w:rsidRPr="000020F0">
        <w:rPr>
          <w:rFonts w:ascii="Arial" w:hAnsi="Arial" w:cs="Arial"/>
          <w:sz w:val="22"/>
          <w:szCs w:val="22"/>
        </w:rPr>
        <w:t>povečana varnost otrok na poti v šolo in drugih ranljivih skupin,</w:t>
      </w:r>
    </w:p>
    <w:p w14:paraId="5FBB3F9D" w14:textId="77777777" w:rsidR="00CF68D5" w:rsidRPr="000020F0" w:rsidRDefault="00CF68D5" w:rsidP="00CF68D5">
      <w:pPr>
        <w:numPr>
          <w:ilvl w:val="0"/>
          <w:numId w:val="150"/>
        </w:numPr>
        <w:spacing w:line="276" w:lineRule="auto"/>
        <w:jc w:val="both"/>
        <w:rPr>
          <w:rFonts w:ascii="Arial" w:hAnsi="Arial" w:cs="Arial"/>
          <w:sz w:val="22"/>
          <w:szCs w:val="22"/>
        </w:rPr>
      </w:pPr>
      <w:r w:rsidRPr="000020F0">
        <w:rPr>
          <w:rFonts w:ascii="Arial" w:hAnsi="Arial" w:cs="Arial"/>
          <w:sz w:val="22"/>
          <w:szCs w:val="22"/>
        </w:rPr>
        <w:t>ustvarjanje prostorov za druženje, rekreacijo in kulturne aktivnosti,</w:t>
      </w:r>
    </w:p>
    <w:p w14:paraId="2D84667E" w14:textId="77777777" w:rsidR="00CF68D5" w:rsidRPr="000020F0" w:rsidRDefault="00CF68D5" w:rsidP="00CF68D5">
      <w:pPr>
        <w:numPr>
          <w:ilvl w:val="0"/>
          <w:numId w:val="150"/>
        </w:numPr>
        <w:spacing w:line="276" w:lineRule="auto"/>
        <w:jc w:val="both"/>
        <w:rPr>
          <w:rFonts w:ascii="Arial" w:hAnsi="Arial" w:cs="Arial"/>
          <w:sz w:val="22"/>
          <w:szCs w:val="22"/>
        </w:rPr>
      </w:pPr>
      <w:r w:rsidRPr="000020F0">
        <w:rPr>
          <w:rFonts w:ascii="Arial" w:hAnsi="Arial" w:cs="Arial"/>
          <w:sz w:val="22"/>
          <w:szCs w:val="22"/>
        </w:rPr>
        <w:t>večja privlačnost prostora za obiskovalce in turiste, kar pomeni dodatne prihodke lokalnega gospodarstva (turizem, gostinstvo, trgovina).</w:t>
      </w:r>
    </w:p>
    <w:p w14:paraId="4B5CBE4C" w14:textId="77777777" w:rsidR="00CF68D5" w:rsidRPr="000020F0" w:rsidRDefault="00CF68D5" w:rsidP="00CF68D5">
      <w:pPr>
        <w:spacing w:line="276" w:lineRule="auto"/>
        <w:jc w:val="both"/>
        <w:rPr>
          <w:rFonts w:ascii="Arial" w:hAnsi="Arial" w:cs="Arial"/>
          <w:sz w:val="22"/>
          <w:szCs w:val="22"/>
        </w:rPr>
      </w:pPr>
    </w:p>
    <w:p w14:paraId="3FFD513C"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r w:rsidRPr="000020F0">
        <w:rPr>
          <w:rFonts w:ascii="Arial" w:hAnsi="Arial" w:cs="Arial"/>
          <w:i/>
          <w:iCs/>
          <w:u w:val="single"/>
        </w:rPr>
        <w:t>Gospodarski učinki</w:t>
      </w:r>
    </w:p>
    <w:p w14:paraId="74224CA6" w14:textId="77777777"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Izvedba projekta bo imela neposredne in posredne gospodarske učinke:</w:t>
      </w:r>
    </w:p>
    <w:p w14:paraId="62E3850C" w14:textId="77777777" w:rsidR="00CF68D5" w:rsidRPr="000020F0" w:rsidRDefault="00CF68D5" w:rsidP="00CF68D5">
      <w:pPr>
        <w:numPr>
          <w:ilvl w:val="0"/>
          <w:numId w:val="151"/>
        </w:numPr>
        <w:spacing w:line="276" w:lineRule="auto"/>
        <w:jc w:val="both"/>
        <w:rPr>
          <w:rFonts w:ascii="Arial" w:hAnsi="Arial" w:cs="Arial"/>
          <w:sz w:val="22"/>
          <w:szCs w:val="22"/>
        </w:rPr>
      </w:pPr>
      <w:r w:rsidRPr="000020F0">
        <w:rPr>
          <w:rFonts w:ascii="Arial" w:hAnsi="Arial" w:cs="Arial"/>
          <w:sz w:val="22"/>
          <w:szCs w:val="22"/>
        </w:rPr>
        <w:t>angažma gradbenih podjetij, projektantov in dobaviteljev pri izvedbi del,</w:t>
      </w:r>
    </w:p>
    <w:p w14:paraId="4D740A3B" w14:textId="77777777" w:rsidR="00CF68D5" w:rsidRPr="000020F0" w:rsidRDefault="00CF68D5" w:rsidP="00CF68D5">
      <w:pPr>
        <w:numPr>
          <w:ilvl w:val="0"/>
          <w:numId w:val="151"/>
        </w:numPr>
        <w:spacing w:line="276" w:lineRule="auto"/>
        <w:jc w:val="both"/>
        <w:rPr>
          <w:rFonts w:ascii="Arial" w:hAnsi="Arial" w:cs="Arial"/>
          <w:sz w:val="22"/>
          <w:szCs w:val="22"/>
        </w:rPr>
      </w:pPr>
      <w:r w:rsidRPr="000020F0">
        <w:rPr>
          <w:rFonts w:ascii="Arial" w:hAnsi="Arial" w:cs="Arial"/>
          <w:sz w:val="22"/>
          <w:szCs w:val="22"/>
        </w:rPr>
        <w:t>dvig vrednosti nepremičnin v središču naselja zaradi izboljšanega javnega prostora,</w:t>
      </w:r>
    </w:p>
    <w:p w14:paraId="77B95059" w14:textId="77777777" w:rsidR="00CF68D5" w:rsidRPr="000020F0" w:rsidRDefault="00CF68D5" w:rsidP="00CF68D5">
      <w:pPr>
        <w:numPr>
          <w:ilvl w:val="0"/>
          <w:numId w:val="151"/>
        </w:numPr>
        <w:spacing w:line="276" w:lineRule="auto"/>
        <w:jc w:val="both"/>
        <w:rPr>
          <w:rFonts w:ascii="Arial" w:hAnsi="Arial" w:cs="Arial"/>
          <w:sz w:val="22"/>
          <w:szCs w:val="22"/>
        </w:rPr>
      </w:pPr>
      <w:r w:rsidRPr="000020F0">
        <w:rPr>
          <w:rFonts w:ascii="Arial" w:hAnsi="Arial" w:cs="Arial"/>
          <w:sz w:val="22"/>
          <w:szCs w:val="22"/>
        </w:rPr>
        <w:t>povečanje konkurenčnosti kraja kot privlačne lokacije za bivanje in obisk,</w:t>
      </w:r>
    </w:p>
    <w:p w14:paraId="1B4C5B26" w14:textId="77777777" w:rsidR="00CF68D5" w:rsidRPr="000020F0" w:rsidRDefault="00CF68D5" w:rsidP="00CF68D5">
      <w:pPr>
        <w:numPr>
          <w:ilvl w:val="0"/>
          <w:numId w:val="151"/>
        </w:numPr>
        <w:spacing w:line="276" w:lineRule="auto"/>
        <w:jc w:val="both"/>
        <w:rPr>
          <w:rFonts w:ascii="Arial" w:hAnsi="Arial" w:cs="Arial"/>
          <w:sz w:val="22"/>
          <w:szCs w:val="22"/>
        </w:rPr>
      </w:pPr>
      <w:r w:rsidRPr="000020F0">
        <w:rPr>
          <w:rFonts w:ascii="Arial" w:hAnsi="Arial" w:cs="Arial"/>
          <w:sz w:val="22"/>
          <w:szCs w:val="22"/>
        </w:rPr>
        <w:t xml:space="preserve">razvoj lokalne turistične ponudbe v povezavi z </w:t>
      </w:r>
      <w:proofErr w:type="spellStart"/>
      <w:r w:rsidRPr="000020F0">
        <w:rPr>
          <w:rFonts w:ascii="Arial" w:hAnsi="Arial" w:cs="Arial"/>
          <w:sz w:val="22"/>
          <w:szCs w:val="22"/>
        </w:rPr>
        <w:t>interpretacijskim</w:t>
      </w:r>
      <w:proofErr w:type="spellEnd"/>
      <w:r w:rsidRPr="000020F0">
        <w:rPr>
          <w:rFonts w:ascii="Arial" w:hAnsi="Arial" w:cs="Arial"/>
          <w:sz w:val="22"/>
          <w:szCs w:val="22"/>
        </w:rPr>
        <w:t xml:space="preserve"> centrom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in naravnim okoljem Ljubljanskega barja.</w:t>
      </w:r>
    </w:p>
    <w:p w14:paraId="5B517B2C" w14:textId="77777777" w:rsidR="00CF68D5" w:rsidRPr="000020F0" w:rsidRDefault="00CF68D5" w:rsidP="00CF68D5">
      <w:pPr>
        <w:spacing w:line="276" w:lineRule="auto"/>
        <w:jc w:val="both"/>
        <w:rPr>
          <w:rFonts w:ascii="Arial" w:hAnsi="Arial" w:cs="Arial"/>
          <w:sz w:val="22"/>
          <w:szCs w:val="22"/>
        </w:rPr>
      </w:pPr>
    </w:p>
    <w:p w14:paraId="5FEF33EE"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r w:rsidRPr="000020F0">
        <w:rPr>
          <w:rFonts w:ascii="Arial" w:hAnsi="Arial" w:cs="Arial"/>
          <w:i/>
          <w:iCs/>
          <w:u w:val="single"/>
        </w:rPr>
        <w:t>Usklajenost z razpisnimi cilji</w:t>
      </w:r>
    </w:p>
    <w:p w14:paraId="76A80F58" w14:textId="77777777" w:rsidR="00CF68D5" w:rsidRPr="000020F0" w:rsidRDefault="00CF68D5" w:rsidP="00CF68D5">
      <w:pPr>
        <w:spacing w:line="276" w:lineRule="auto"/>
        <w:jc w:val="both"/>
        <w:rPr>
          <w:rFonts w:ascii="Arial" w:hAnsi="Arial" w:cs="Arial"/>
          <w:sz w:val="22"/>
          <w:szCs w:val="22"/>
        </w:rPr>
      </w:pPr>
      <w:r w:rsidRPr="000020F0">
        <w:rPr>
          <w:rFonts w:ascii="Arial" w:hAnsi="Arial" w:cs="Arial"/>
          <w:sz w:val="22"/>
          <w:szCs w:val="22"/>
        </w:rPr>
        <w:t>Projekt neposredno sledi namenu razpisa JR EKP UTM 2025, saj:</w:t>
      </w:r>
    </w:p>
    <w:p w14:paraId="286193AA" w14:textId="77777777" w:rsidR="00CF68D5" w:rsidRPr="000020F0" w:rsidRDefault="00CF68D5" w:rsidP="00CF68D5">
      <w:pPr>
        <w:numPr>
          <w:ilvl w:val="0"/>
          <w:numId w:val="152"/>
        </w:numPr>
        <w:spacing w:line="276" w:lineRule="auto"/>
        <w:jc w:val="both"/>
        <w:rPr>
          <w:rFonts w:ascii="Arial" w:hAnsi="Arial" w:cs="Arial"/>
          <w:sz w:val="22"/>
          <w:szCs w:val="22"/>
        </w:rPr>
      </w:pPr>
      <w:r w:rsidRPr="000020F0">
        <w:rPr>
          <w:rFonts w:ascii="Arial" w:hAnsi="Arial" w:cs="Arial"/>
          <w:sz w:val="22"/>
          <w:szCs w:val="22"/>
        </w:rPr>
        <w:t>zmanjšuje emisije toplogrednih plinov in izboljšuje kakovost zraka in bivanja,</w:t>
      </w:r>
    </w:p>
    <w:p w14:paraId="426A9B6D" w14:textId="77777777" w:rsidR="00CF68D5" w:rsidRPr="000020F0" w:rsidRDefault="00CF68D5" w:rsidP="00CF68D5">
      <w:pPr>
        <w:numPr>
          <w:ilvl w:val="0"/>
          <w:numId w:val="152"/>
        </w:numPr>
        <w:spacing w:line="276" w:lineRule="auto"/>
        <w:jc w:val="both"/>
        <w:rPr>
          <w:rFonts w:ascii="Arial" w:hAnsi="Arial" w:cs="Arial"/>
          <w:sz w:val="22"/>
          <w:szCs w:val="22"/>
        </w:rPr>
      </w:pPr>
      <w:r w:rsidRPr="000020F0">
        <w:rPr>
          <w:rFonts w:ascii="Arial" w:hAnsi="Arial" w:cs="Arial"/>
          <w:sz w:val="22"/>
          <w:szCs w:val="22"/>
        </w:rPr>
        <w:t>spodbuja aktivne oblike mobilnosti (hoja, kolesarjenje) in uporabo javnega potniškega prometa,</w:t>
      </w:r>
    </w:p>
    <w:p w14:paraId="0ED9870F" w14:textId="77777777" w:rsidR="00CF68D5" w:rsidRPr="000020F0" w:rsidRDefault="00CF68D5" w:rsidP="00CF68D5">
      <w:pPr>
        <w:numPr>
          <w:ilvl w:val="0"/>
          <w:numId w:val="152"/>
        </w:numPr>
        <w:spacing w:line="276" w:lineRule="auto"/>
        <w:jc w:val="both"/>
        <w:rPr>
          <w:rFonts w:ascii="Arial" w:hAnsi="Arial" w:cs="Arial"/>
          <w:sz w:val="22"/>
          <w:szCs w:val="22"/>
        </w:rPr>
      </w:pPr>
      <w:r w:rsidRPr="000020F0">
        <w:rPr>
          <w:rFonts w:ascii="Arial" w:hAnsi="Arial" w:cs="Arial"/>
          <w:sz w:val="22"/>
          <w:szCs w:val="22"/>
        </w:rPr>
        <w:t>razvija zeleno in modro infrastrukturo kot podporni element trajnostnega prometa,</w:t>
      </w:r>
    </w:p>
    <w:p w14:paraId="4A1EF17D" w14:textId="77777777" w:rsidR="00CF68D5" w:rsidRPr="000020F0" w:rsidRDefault="00CF68D5" w:rsidP="00CF68D5">
      <w:pPr>
        <w:numPr>
          <w:ilvl w:val="0"/>
          <w:numId w:val="152"/>
        </w:numPr>
        <w:spacing w:line="276" w:lineRule="auto"/>
        <w:jc w:val="both"/>
        <w:rPr>
          <w:rFonts w:ascii="Arial" w:hAnsi="Arial" w:cs="Arial"/>
          <w:sz w:val="22"/>
          <w:szCs w:val="22"/>
        </w:rPr>
      </w:pPr>
      <w:r w:rsidRPr="000020F0">
        <w:rPr>
          <w:rFonts w:ascii="Arial" w:hAnsi="Arial" w:cs="Arial"/>
          <w:sz w:val="22"/>
          <w:szCs w:val="22"/>
        </w:rPr>
        <w:t>sledi načelom krožnega gospodarstva in trajnostne gradnje,</w:t>
      </w:r>
    </w:p>
    <w:p w14:paraId="2023143D" w14:textId="77777777" w:rsidR="00CF68D5" w:rsidRPr="000020F0" w:rsidRDefault="00CF68D5" w:rsidP="00CF68D5">
      <w:pPr>
        <w:numPr>
          <w:ilvl w:val="0"/>
          <w:numId w:val="152"/>
        </w:numPr>
        <w:spacing w:line="276" w:lineRule="auto"/>
        <w:jc w:val="both"/>
        <w:rPr>
          <w:rFonts w:ascii="Arial" w:hAnsi="Arial" w:cs="Arial"/>
          <w:sz w:val="22"/>
          <w:szCs w:val="22"/>
        </w:rPr>
      </w:pPr>
      <w:r w:rsidRPr="000020F0">
        <w:rPr>
          <w:rFonts w:ascii="Arial" w:hAnsi="Arial" w:cs="Arial"/>
          <w:sz w:val="22"/>
          <w:szCs w:val="22"/>
        </w:rPr>
        <w:t>povečuje prometno varnost in vključuje vse družbene skupine.</w:t>
      </w:r>
    </w:p>
    <w:p w14:paraId="7CCC3B1A" w14:textId="77777777" w:rsidR="00CF68D5" w:rsidRPr="000020F0" w:rsidRDefault="00CF68D5" w:rsidP="00CF68D5">
      <w:pPr>
        <w:spacing w:line="276" w:lineRule="auto"/>
        <w:jc w:val="both"/>
        <w:rPr>
          <w:rFonts w:ascii="Arial" w:hAnsi="Arial" w:cs="Arial"/>
          <w:sz w:val="22"/>
          <w:szCs w:val="22"/>
        </w:rPr>
      </w:pPr>
    </w:p>
    <w:p w14:paraId="42045792" w14:textId="77777777" w:rsidR="00CF68D5" w:rsidRPr="000020F0" w:rsidRDefault="00CF68D5" w:rsidP="00CF68D5">
      <w:pPr>
        <w:pStyle w:val="Odstavekseznama"/>
        <w:numPr>
          <w:ilvl w:val="0"/>
          <w:numId w:val="153"/>
        </w:numPr>
        <w:spacing w:after="0"/>
        <w:ind w:left="426"/>
        <w:jc w:val="both"/>
        <w:rPr>
          <w:rFonts w:ascii="Arial" w:hAnsi="Arial" w:cs="Arial"/>
          <w:i/>
          <w:iCs/>
          <w:u w:val="single"/>
        </w:rPr>
      </w:pPr>
      <w:r w:rsidRPr="000020F0">
        <w:rPr>
          <w:rFonts w:ascii="Arial" w:hAnsi="Arial" w:cs="Arial"/>
          <w:i/>
          <w:iCs/>
          <w:u w:val="single"/>
        </w:rPr>
        <w:t>Stroškovna učinkovitost</w:t>
      </w:r>
    </w:p>
    <w:p w14:paraId="29D9AAF5" w14:textId="3BA05115" w:rsidR="00CF68D5" w:rsidRPr="000020F0" w:rsidRDefault="00CF68D5" w:rsidP="00CF68D5">
      <w:pPr>
        <w:spacing w:line="276" w:lineRule="auto"/>
        <w:jc w:val="both"/>
        <w:rPr>
          <w:rFonts w:asciiTheme="majorHAnsi" w:eastAsiaTheme="majorEastAsia" w:hAnsiTheme="majorHAnsi" w:cstheme="majorHAnsi"/>
          <w:sz w:val="22"/>
          <w:szCs w:val="22"/>
          <w:highlight w:val="yellow"/>
        </w:rPr>
      </w:pPr>
      <w:r w:rsidRPr="000020F0">
        <w:rPr>
          <w:rFonts w:ascii="Arial" w:hAnsi="Arial" w:cs="Arial"/>
          <w:sz w:val="22"/>
          <w:szCs w:val="22"/>
        </w:rPr>
        <w:t>S pridobitvijo sofinanciranja iz evropskih sredstev bo občina bistveno zmanjšala obremenitev občinskega proračuna. Pričakovane koristi – nižji stroški prometa, manj zdravstvenih obremenitev, višja kakovost bivanja, večja turistična privlačnost – dolgoročno presežejo stroške investicije, zato je projekt ekonomsko utemeljen in učinkovit.</w:t>
      </w:r>
    </w:p>
    <w:p w14:paraId="3BE2F20D" w14:textId="77777777" w:rsidR="00CF68D5" w:rsidRPr="000020F0" w:rsidRDefault="00CF68D5" w:rsidP="00BD1D20">
      <w:pPr>
        <w:spacing w:line="276" w:lineRule="auto"/>
        <w:jc w:val="both"/>
        <w:rPr>
          <w:rFonts w:asciiTheme="majorHAnsi" w:eastAsiaTheme="majorEastAsia" w:hAnsiTheme="majorHAnsi" w:cstheme="majorHAnsi"/>
          <w:sz w:val="22"/>
          <w:szCs w:val="22"/>
          <w:highlight w:val="yellow"/>
        </w:rPr>
      </w:pPr>
    </w:p>
    <w:p w14:paraId="2A66C1C4" w14:textId="77777777" w:rsidR="006E795F" w:rsidRPr="000020F0" w:rsidRDefault="006E795F" w:rsidP="00BD1D20">
      <w:pPr>
        <w:spacing w:line="276" w:lineRule="auto"/>
        <w:jc w:val="both"/>
        <w:rPr>
          <w:rFonts w:asciiTheme="majorHAnsi" w:eastAsiaTheme="majorEastAsia" w:hAnsiTheme="majorHAnsi" w:cstheme="majorHAnsi"/>
          <w:b/>
          <w:bCs/>
          <w:color w:val="365F91" w:themeColor="accent1" w:themeShade="BF"/>
          <w:sz w:val="28"/>
          <w:szCs w:val="28"/>
          <w:highlight w:val="yellow"/>
        </w:rPr>
      </w:pPr>
    </w:p>
    <w:p w14:paraId="5604693D" w14:textId="55B1217B" w:rsidR="006E795F" w:rsidRPr="000020F0" w:rsidRDefault="006E795F" w:rsidP="00BD1D20">
      <w:pPr>
        <w:spacing w:line="276" w:lineRule="auto"/>
        <w:jc w:val="both"/>
        <w:rPr>
          <w:rFonts w:asciiTheme="majorHAnsi" w:eastAsiaTheme="majorEastAsia" w:hAnsiTheme="majorHAnsi" w:cstheme="majorHAnsi"/>
          <w:b/>
          <w:bCs/>
          <w:color w:val="365F91" w:themeColor="accent1" w:themeShade="BF"/>
          <w:sz w:val="28"/>
          <w:szCs w:val="28"/>
          <w:highlight w:val="yellow"/>
        </w:rPr>
        <w:sectPr w:rsidR="006E795F" w:rsidRPr="000020F0" w:rsidSect="00480057">
          <w:headerReference w:type="default" r:id="rId89"/>
          <w:headerReference w:type="first" r:id="rId90"/>
          <w:pgSz w:w="11906" w:h="16838"/>
          <w:pgMar w:top="1134" w:right="1417" w:bottom="1417" w:left="1418" w:header="708" w:footer="708" w:gutter="0"/>
          <w:cols w:space="708"/>
          <w:titlePg/>
          <w:docGrid w:linePitch="360"/>
        </w:sectPr>
      </w:pPr>
    </w:p>
    <w:p w14:paraId="0246251A" w14:textId="77777777" w:rsidR="00072416" w:rsidRPr="000020F0" w:rsidRDefault="00072416" w:rsidP="00BD1D20">
      <w:pPr>
        <w:pStyle w:val="Naslov1"/>
        <w:numPr>
          <w:ilvl w:val="0"/>
          <w:numId w:val="3"/>
        </w:numPr>
        <w:rPr>
          <w:rFonts w:cstheme="majorHAnsi"/>
        </w:rPr>
      </w:pPr>
      <w:bookmarkStart w:id="317" w:name="_Toc230882244"/>
      <w:r w:rsidRPr="000020F0">
        <w:rPr>
          <w:rFonts w:cstheme="majorHAnsi"/>
        </w:rPr>
        <w:lastRenderedPageBreak/>
        <w:t>ČASOVNI NAČRT IZVEDBE INVESTICIJE</w:t>
      </w:r>
      <w:bookmarkEnd w:id="317"/>
      <w:r w:rsidRPr="000020F0">
        <w:rPr>
          <w:rFonts w:cstheme="majorHAnsi"/>
        </w:rPr>
        <w:t xml:space="preserve"> </w:t>
      </w:r>
    </w:p>
    <w:p w14:paraId="580A050D" w14:textId="77777777" w:rsidR="00072416" w:rsidRPr="000020F0" w:rsidRDefault="00072416" w:rsidP="00BD1D20">
      <w:pPr>
        <w:spacing w:after="120" w:line="276" w:lineRule="auto"/>
        <w:rPr>
          <w:rFonts w:asciiTheme="majorHAnsi" w:hAnsiTheme="majorHAnsi" w:cstheme="majorHAnsi"/>
          <w:sz w:val="22"/>
          <w:szCs w:val="22"/>
          <w:highlight w:val="yellow"/>
        </w:rPr>
      </w:pPr>
    </w:p>
    <w:p w14:paraId="13709CD1" w14:textId="15E3BD2D" w:rsidR="00654ABF" w:rsidRPr="000020F0" w:rsidRDefault="00B32D26" w:rsidP="00BD1D20">
      <w:pPr>
        <w:spacing w:before="120" w:after="120" w:line="276" w:lineRule="auto"/>
        <w:jc w:val="both"/>
        <w:rPr>
          <w:rFonts w:asciiTheme="majorHAnsi" w:eastAsia="Arial" w:hAnsiTheme="majorHAnsi" w:cstheme="majorHAnsi"/>
          <w:sz w:val="22"/>
          <w:szCs w:val="22"/>
        </w:rPr>
      </w:pPr>
      <w:r w:rsidRPr="000020F0">
        <w:rPr>
          <w:rFonts w:asciiTheme="majorHAnsi" w:eastAsia="Arial" w:hAnsiTheme="majorHAnsi" w:cstheme="majorHAnsi"/>
          <w:sz w:val="22"/>
          <w:szCs w:val="22"/>
        </w:rPr>
        <w:t>Iz časovnega načrta izvedbe investicijskega projekta je razvidno,</w:t>
      </w:r>
      <w:r w:rsidR="007F1D47" w:rsidRPr="000020F0">
        <w:rPr>
          <w:rFonts w:asciiTheme="majorHAnsi" w:eastAsia="Arial" w:hAnsiTheme="majorHAnsi" w:cstheme="majorHAnsi"/>
          <w:sz w:val="22"/>
          <w:szCs w:val="22"/>
        </w:rPr>
        <w:t xml:space="preserve"> da ima investicijski projekt v</w:t>
      </w:r>
      <w:r w:rsidRPr="000020F0">
        <w:rPr>
          <w:rFonts w:asciiTheme="majorHAnsi" w:eastAsia="Arial" w:hAnsiTheme="majorHAnsi" w:cstheme="majorHAnsi"/>
          <w:sz w:val="22"/>
          <w:szCs w:val="22"/>
        </w:rPr>
        <w:t xml:space="preserve">naprej določeno trajanje ter določen začetek in konec. </w:t>
      </w:r>
    </w:p>
    <w:p w14:paraId="529C355B" w14:textId="29BA9667" w:rsidR="001D6099" w:rsidRPr="000020F0" w:rsidRDefault="001D6099" w:rsidP="00BD1D20">
      <w:pPr>
        <w:spacing w:after="120" w:line="276" w:lineRule="auto"/>
        <w:jc w:val="both"/>
        <w:rPr>
          <w:rFonts w:ascii="Arial" w:hAnsi="Arial" w:cs="Arial"/>
          <w:sz w:val="22"/>
          <w:szCs w:val="22"/>
          <w:lang w:eastAsia="en-US"/>
        </w:rPr>
      </w:pPr>
      <w:bookmarkStart w:id="318" w:name="_Toc65090452"/>
      <w:bookmarkStart w:id="319" w:name="_Toc172121002"/>
      <w:bookmarkStart w:id="320" w:name="_Toc206863441"/>
      <w:bookmarkStart w:id="321" w:name="_Toc230882294"/>
      <w:r w:rsidRPr="000020F0">
        <w:rPr>
          <w:rFonts w:ascii="Arial" w:hAnsi="Arial" w:cs="Arial"/>
          <w:b/>
          <w:sz w:val="22"/>
          <w:szCs w:val="22"/>
          <w:lang w:eastAsia="en-US"/>
        </w:rPr>
        <w:t xml:space="preserve">Tabela </w:t>
      </w:r>
      <w:r w:rsidRPr="000020F0">
        <w:rPr>
          <w:rFonts w:ascii="Arial" w:hAnsi="Arial" w:cs="Arial"/>
          <w:b/>
          <w:sz w:val="22"/>
          <w:szCs w:val="22"/>
          <w:lang w:eastAsia="en-US"/>
        </w:rPr>
        <w:fldChar w:fldCharType="begin"/>
      </w:r>
      <w:r w:rsidRPr="000020F0">
        <w:rPr>
          <w:rFonts w:ascii="Arial" w:hAnsi="Arial" w:cs="Arial"/>
          <w:b/>
          <w:sz w:val="22"/>
          <w:szCs w:val="22"/>
          <w:lang w:eastAsia="en-US"/>
        </w:rPr>
        <w:instrText xml:space="preserve"> SEQ Tabela \* ARABIC </w:instrText>
      </w:r>
      <w:r w:rsidRPr="000020F0">
        <w:rPr>
          <w:rFonts w:ascii="Arial" w:hAnsi="Arial" w:cs="Arial"/>
          <w:b/>
          <w:sz w:val="22"/>
          <w:szCs w:val="22"/>
          <w:lang w:eastAsia="en-US"/>
        </w:rPr>
        <w:fldChar w:fldCharType="separate"/>
      </w:r>
      <w:r w:rsidR="00BB0C0C">
        <w:rPr>
          <w:rFonts w:ascii="Arial" w:hAnsi="Arial" w:cs="Arial"/>
          <w:b/>
          <w:noProof/>
          <w:sz w:val="22"/>
          <w:szCs w:val="22"/>
          <w:lang w:eastAsia="en-US"/>
        </w:rPr>
        <w:t>14</w:t>
      </w:r>
      <w:r w:rsidRPr="000020F0">
        <w:rPr>
          <w:rFonts w:ascii="Arial" w:hAnsi="Arial" w:cs="Arial"/>
          <w:b/>
          <w:sz w:val="22"/>
          <w:szCs w:val="22"/>
          <w:lang w:eastAsia="en-US"/>
        </w:rPr>
        <w:fldChar w:fldCharType="end"/>
      </w:r>
      <w:r w:rsidRPr="000020F0">
        <w:rPr>
          <w:rFonts w:ascii="Arial" w:hAnsi="Arial" w:cs="Arial"/>
          <w:b/>
          <w:sz w:val="22"/>
          <w:szCs w:val="22"/>
          <w:lang w:eastAsia="en-US"/>
        </w:rPr>
        <w:t xml:space="preserve">: </w:t>
      </w:r>
      <w:r w:rsidRPr="000020F0">
        <w:rPr>
          <w:rFonts w:ascii="Arial" w:hAnsi="Arial" w:cs="Arial"/>
          <w:sz w:val="22"/>
          <w:szCs w:val="22"/>
          <w:lang w:eastAsia="en-US"/>
        </w:rPr>
        <w:t>Terminski plan izvajanja projekta</w:t>
      </w:r>
      <w:bookmarkEnd w:id="318"/>
      <w:bookmarkEnd w:id="319"/>
      <w:bookmarkEnd w:id="320"/>
      <w:bookmarkEnd w:id="321"/>
    </w:p>
    <w:tbl>
      <w:tblPr>
        <w:tblW w:w="9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1842"/>
        <w:gridCol w:w="1984"/>
      </w:tblGrid>
      <w:tr w:rsidR="006154DD" w:rsidRPr="000020F0" w14:paraId="1CBC3FB2" w14:textId="77777777" w:rsidTr="0093689D">
        <w:trPr>
          <w:tblHeader/>
        </w:trPr>
        <w:tc>
          <w:tcPr>
            <w:tcW w:w="5665" w:type="dxa"/>
            <w:shd w:val="clear" w:color="auto" w:fill="B8CCE4"/>
          </w:tcPr>
          <w:p w14:paraId="013F91E3"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ČASOVNI NAČRT IZVEDBE – Aktivnosti</w:t>
            </w:r>
          </w:p>
        </w:tc>
        <w:tc>
          <w:tcPr>
            <w:tcW w:w="1842" w:type="dxa"/>
            <w:shd w:val="clear" w:color="auto" w:fill="B8CCE4"/>
          </w:tcPr>
          <w:p w14:paraId="7ECC5940"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Začetek</w:t>
            </w:r>
          </w:p>
        </w:tc>
        <w:tc>
          <w:tcPr>
            <w:tcW w:w="1984" w:type="dxa"/>
            <w:shd w:val="clear" w:color="auto" w:fill="B8CCE4"/>
          </w:tcPr>
          <w:p w14:paraId="0088D767"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Zaključek</w:t>
            </w:r>
          </w:p>
        </w:tc>
      </w:tr>
      <w:tr w:rsidR="006154DD" w:rsidRPr="000020F0" w14:paraId="385AF889" w14:textId="77777777" w:rsidTr="0093689D">
        <w:tc>
          <w:tcPr>
            <w:tcW w:w="5665" w:type="dxa"/>
            <w:shd w:val="clear" w:color="auto" w:fill="DBE5F1"/>
          </w:tcPr>
          <w:p w14:paraId="7CE448C2"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Izdelava investicijske dokumentacije</w:t>
            </w:r>
          </w:p>
        </w:tc>
        <w:tc>
          <w:tcPr>
            <w:tcW w:w="1842" w:type="dxa"/>
            <w:shd w:val="clear" w:color="auto" w:fill="DBE5F1"/>
          </w:tcPr>
          <w:p w14:paraId="5CC82F8D"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08/2024</w:t>
            </w:r>
          </w:p>
        </w:tc>
        <w:tc>
          <w:tcPr>
            <w:tcW w:w="1984" w:type="dxa"/>
            <w:shd w:val="clear" w:color="auto" w:fill="DBE5F1"/>
          </w:tcPr>
          <w:p w14:paraId="06D51A34" w14:textId="52801DC6" w:rsidR="006154DD" w:rsidRPr="000020F0" w:rsidRDefault="002852BA"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05</w:t>
            </w:r>
            <w:r w:rsidR="006154DD" w:rsidRPr="000020F0">
              <w:rPr>
                <w:rFonts w:ascii="Arial" w:eastAsia="Arial" w:hAnsi="Arial" w:cs="Arial"/>
                <w:b/>
                <w:sz w:val="22"/>
                <w:szCs w:val="22"/>
                <w:lang w:eastAsia="en-US"/>
              </w:rPr>
              <w:t>/202</w:t>
            </w:r>
            <w:r w:rsidRPr="000020F0">
              <w:rPr>
                <w:rFonts w:ascii="Arial" w:eastAsia="Arial" w:hAnsi="Arial" w:cs="Arial"/>
                <w:b/>
                <w:sz w:val="22"/>
                <w:szCs w:val="22"/>
                <w:lang w:eastAsia="en-US"/>
              </w:rPr>
              <w:t>6</w:t>
            </w:r>
          </w:p>
        </w:tc>
      </w:tr>
      <w:tr w:rsidR="006154DD" w:rsidRPr="000020F0" w14:paraId="168410AA" w14:textId="77777777" w:rsidTr="0093689D">
        <w:tc>
          <w:tcPr>
            <w:tcW w:w="5665" w:type="dxa"/>
          </w:tcPr>
          <w:p w14:paraId="14FD69BA"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dokumenta identifikacije investicijskega projekta (celovit projekt)</w:t>
            </w:r>
          </w:p>
        </w:tc>
        <w:tc>
          <w:tcPr>
            <w:tcW w:w="1842" w:type="dxa"/>
          </w:tcPr>
          <w:p w14:paraId="58CDC2C2"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08/2024</w:t>
            </w:r>
          </w:p>
        </w:tc>
        <w:tc>
          <w:tcPr>
            <w:tcW w:w="1984" w:type="dxa"/>
          </w:tcPr>
          <w:p w14:paraId="68B58389"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08/2024</w:t>
            </w:r>
          </w:p>
        </w:tc>
      </w:tr>
      <w:tr w:rsidR="006154DD" w:rsidRPr="000020F0" w14:paraId="6C471781" w14:textId="77777777" w:rsidTr="0093689D">
        <w:tc>
          <w:tcPr>
            <w:tcW w:w="5665" w:type="dxa"/>
          </w:tcPr>
          <w:p w14:paraId="638000D4"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dokumenta identifikacije investicijskega projekta (trajnostna mobilnost)</w:t>
            </w:r>
          </w:p>
        </w:tc>
        <w:tc>
          <w:tcPr>
            <w:tcW w:w="1842" w:type="dxa"/>
          </w:tcPr>
          <w:p w14:paraId="40ACB243"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08/2025</w:t>
            </w:r>
          </w:p>
        </w:tc>
        <w:tc>
          <w:tcPr>
            <w:tcW w:w="1984" w:type="dxa"/>
          </w:tcPr>
          <w:p w14:paraId="3C3F87BC"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r>
      <w:tr w:rsidR="006154DD" w:rsidRPr="000020F0" w14:paraId="3DCF2D66" w14:textId="77777777" w:rsidTr="0093689D">
        <w:tc>
          <w:tcPr>
            <w:tcW w:w="5665" w:type="dxa"/>
          </w:tcPr>
          <w:p w14:paraId="7E5D9264"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predinvesticijske zasnove</w:t>
            </w:r>
          </w:p>
        </w:tc>
        <w:tc>
          <w:tcPr>
            <w:tcW w:w="1842" w:type="dxa"/>
          </w:tcPr>
          <w:p w14:paraId="66C60122"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c>
          <w:tcPr>
            <w:tcW w:w="1984" w:type="dxa"/>
          </w:tcPr>
          <w:p w14:paraId="55266A77"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r>
      <w:tr w:rsidR="006154DD" w:rsidRPr="000020F0" w14:paraId="09B06351" w14:textId="77777777" w:rsidTr="0093689D">
        <w:tc>
          <w:tcPr>
            <w:tcW w:w="5665" w:type="dxa"/>
          </w:tcPr>
          <w:p w14:paraId="500D778C"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investicijskega programa</w:t>
            </w:r>
          </w:p>
        </w:tc>
        <w:tc>
          <w:tcPr>
            <w:tcW w:w="1842" w:type="dxa"/>
          </w:tcPr>
          <w:p w14:paraId="2FB0195E"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c>
          <w:tcPr>
            <w:tcW w:w="1984" w:type="dxa"/>
          </w:tcPr>
          <w:p w14:paraId="11C9E705"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r>
      <w:tr w:rsidR="00361D71" w:rsidRPr="000020F0" w14:paraId="5F936736" w14:textId="77777777" w:rsidTr="0093689D">
        <w:tc>
          <w:tcPr>
            <w:tcW w:w="5665" w:type="dxa"/>
          </w:tcPr>
          <w:p w14:paraId="68CB9833" w14:textId="14357B38" w:rsidR="00361D71" w:rsidRPr="000020F0" w:rsidRDefault="00361D71" w:rsidP="0093689D">
            <w:pPr>
              <w:spacing w:before="120" w:after="120" w:line="276" w:lineRule="auto"/>
              <w:rPr>
                <w:rFonts w:ascii="Arial" w:eastAsia="Arial" w:hAnsi="Arial" w:cs="Arial"/>
                <w:sz w:val="22"/>
                <w:szCs w:val="22"/>
                <w:lang w:eastAsia="en-US"/>
              </w:rPr>
            </w:pPr>
            <w:r w:rsidRPr="000020F0">
              <w:rPr>
                <w:rFonts w:asciiTheme="majorHAnsi" w:eastAsia="Arial Unicode MS" w:hAnsiTheme="majorHAnsi" w:cstheme="majorHAnsi"/>
                <w:sz w:val="22"/>
                <w:szCs w:val="22"/>
                <w:lang w:eastAsia="zh-TW"/>
              </w:rPr>
              <w:t xml:space="preserve">Izdelava </w:t>
            </w:r>
            <w:proofErr w:type="spellStart"/>
            <w:r w:rsidRPr="000020F0">
              <w:rPr>
                <w:rFonts w:asciiTheme="majorHAnsi" w:eastAsia="Arial Unicode MS" w:hAnsiTheme="majorHAnsi" w:cstheme="majorHAnsi"/>
                <w:sz w:val="22"/>
                <w:szCs w:val="22"/>
                <w:lang w:eastAsia="zh-TW"/>
              </w:rPr>
              <w:t>novelacije</w:t>
            </w:r>
            <w:proofErr w:type="spellEnd"/>
            <w:r w:rsidRPr="000020F0">
              <w:rPr>
                <w:rFonts w:asciiTheme="majorHAnsi" w:eastAsia="Arial Unicode MS" w:hAnsiTheme="majorHAnsi" w:cstheme="majorHAnsi"/>
                <w:sz w:val="22"/>
                <w:szCs w:val="22"/>
                <w:lang w:eastAsia="zh-TW"/>
              </w:rPr>
              <w:t xml:space="preserve"> investicijskega programa št. 1</w:t>
            </w:r>
          </w:p>
        </w:tc>
        <w:tc>
          <w:tcPr>
            <w:tcW w:w="1842" w:type="dxa"/>
          </w:tcPr>
          <w:p w14:paraId="659ADB01" w14:textId="0693231B" w:rsidR="00361D71" w:rsidRPr="000020F0" w:rsidRDefault="006F5616"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05/2026</w:t>
            </w:r>
          </w:p>
        </w:tc>
        <w:tc>
          <w:tcPr>
            <w:tcW w:w="1984" w:type="dxa"/>
          </w:tcPr>
          <w:p w14:paraId="00D0A696" w14:textId="07A6D05F" w:rsidR="00361D71" w:rsidRPr="000020F0" w:rsidRDefault="006F5616"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05/2026</w:t>
            </w:r>
          </w:p>
        </w:tc>
      </w:tr>
      <w:tr w:rsidR="006154DD" w:rsidRPr="000020F0" w14:paraId="3239D4A7" w14:textId="77777777" w:rsidTr="0093689D">
        <w:tc>
          <w:tcPr>
            <w:tcW w:w="5665" w:type="dxa"/>
            <w:shd w:val="clear" w:color="auto" w:fill="DBE5F1"/>
          </w:tcPr>
          <w:p w14:paraId="4EDECC41"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 xml:space="preserve">Izdelava projektne dokumentacije </w:t>
            </w:r>
          </w:p>
        </w:tc>
        <w:tc>
          <w:tcPr>
            <w:tcW w:w="1842" w:type="dxa"/>
            <w:shd w:val="clear" w:color="auto" w:fill="DBE5F1"/>
          </w:tcPr>
          <w:p w14:paraId="544EAB6F"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06/2025</w:t>
            </w:r>
          </w:p>
        </w:tc>
        <w:tc>
          <w:tcPr>
            <w:tcW w:w="1984" w:type="dxa"/>
            <w:shd w:val="clear" w:color="auto" w:fill="DBE5F1"/>
          </w:tcPr>
          <w:p w14:paraId="6913A8A6"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09/2025</w:t>
            </w:r>
          </w:p>
        </w:tc>
      </w:tr>
      <w:tr w:rsidR="006154DD" w:rsidRPr="000020F0" w14:paraId="12E87E0D" w14:textId="77777777" w:rsidTr="0093689D">
        <w:tc>
          <w:tcPr>
            <w:tcW w:w="5665" w:type="dxa"/>
          </w:tcPr>
          <w:p w14:paraId="6F9FD72B"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projektne dokumentacije DGD</w:t>
            </w:r>
          </w:p>
        </w:tc>
        <w:tc>
          <w:tcPr>
            <w:tcW w:w="1842" w:type="dxa"/>
          </w:tcPr>
          <w:p w14:paraId="620E77EB"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06/2025</w:t>
            </w:r>
          </w:p>
        </w:tc>
        <w:tc>
          <w:tcPr>
            <w:tcW w:w="1984" w:type="dxa"/>
          </w:tcPr>
          <w:p w14:paraId="601B5068"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09/2025</w:t>
            </w:r>
          </w:p>
        </w:tc>
      </w:tr>
      <w:tr w:rsidR="006154DD" w:rsidRPr="000020F0" w14:paraId="3BABCDC2" w14:textId="77777777" w:rsidTr="0093689D">
        <w:tc>
          <w:tcPr>
            <w:tcW w:w="5665" w:type="dxa"/>
          </w:tcPr>
          <w:p w14:paraId="7C386B25"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Izdelava projektne dokumentacije PZI</w:t>
            </w:r>
          </w:p>
        </w:tc>
        <w:tc>
          <w:tcPr>
            <w:tcW w:w="1842" w:type="dxa"/>
          </w:tcPr>
          <w:p w14:paraId="1B737403" w14:textId="77777777"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08/2025</w:t>
            </w:r>
          </w:p>
        </w:tc>
        <w:tc>
          <w:tcPr>
            <w:tcW w:w="1984" w:type="dxa"/>
          </w:tcPr>
          <w:p w14:paraId="37365D73" w14:textId="3CEC7BAD" w:rsidR="006154DD" w:rsidRPr="000020F0" w:rsidRDefault="006154DD" w:rsidP="0093689D">
            <w:pPr>
              <w:spacing w:before="120" w:after="120" w:line="276" w:lineRule="auto"/>
              <w:rPr>
                <w:rFonts w:ascii="Arial" w:eastAsia="Arial" w:hAnsi="Arial" w:cs="Arial"/>
                <w:bCs/>
                <w:sz w:val="22"/>
                <w:szCs w:val="22"/>
                <w:lang w:eastAsia="en-US"/>
              </w:rPr>
            </w:pPr>
            <w:r w:rsidRPr="000020F0">
              <w:rPr>
                <w:rFonts w:ascii="Arial" w:eastAsia="Arial" w:hAnsi="Arial" w:cs="Arial"/>
                <w:bCs/>
                <w:sz w:val="22"/>
                <w:szCs w:val="22"/>
                <w:lang w:eastAsia="en-US"/>
              </w:rPr>
              <w:t>0</w:t>
            </w:r>
            <w:r w:rsidR="0087014C" w:rsidRPr="000020F0">
              <w:rPr>
                <w:rFonts w:ascii="Arial" w:eastAsia="Arial" w:hAnsi="Arial" w:cs="Arial"/>
                <w:bCs/>
                <w:sz w:val="22"/>
                <w:szCs w:val="22"/>
                <w:lang w:eastAsia="en-US"/>
              </w:rPr>
              <w:t>5</w:t>
            </w:r>
            <w:r w:rsidR="003100D8" w:rsidRPr="000020F0">
              <w:rPr>
                <w:rFonts w:ascii="Arial" w:eastAsia="Arial" w:hAnsi="Arial" w:cs="Arial"/>
                <w:bCs/>
                <w:sz w:val="22"/>
                <w:szCs w:val="22"/>
                <w:lang w:eastAsia="en-US"/>
              </w:rPr>
              <w:t>/</w:t>
            </w:r>
            <w:r w:rsidRPr="000020F0">
              <w:rPr>
                <w:rFonts w:ascii="Arial" w:eastAsia="Arial" w:hAnsi="Arial" w:cs="Arial"/>
                <w:bCs/>
                <w:sz w:val="22"/>
                <w:szCs w:val="22"/>
                <w:lang w:eastAsia="en-US"/>
              </w:rPr>
              <w:t>202</w:t>
            </w:r>
            <w:r w:rsidR="0087014C" w:rsidRPr="000020F0">
              <w:rPr>
                <w:rFonts w:ascii="Arial" w:eastAsia="Arial" w:hAnsi="Arial" w:cs="Arial"/>
                <w:bCs/>
                <w:sz w:val="22"/>
                <w:szCs w:val="22"/>
                <w:lang w:eastAsia="en-US"/>
              </w:rPr>
              <w:t>6</w:t>
            </w:r>
          </w:p>
        </w:tc>
      </w:tr>
      <w:tr w:rsidR="006154DD" w:rsidRPr="000020F0" w14:paraId="1D9955AB" w14:textId="77777777" w:rsidTr="0093689D">
        <w:tc>
          <w:tcPr>
            <w:tcW w:w="5665" w:type="dxa"/>
            <w:shd w:val="clear" w:color="auto" w:fill="DBE5F1"/>
          </w:tcPr>
          <w:p w14:paraId="4901622B"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IZVEDBA investicijskega projekta in predaja izvedenih del namenu</w:t>
            </w:r>
          </w:p>
        </w:tc>
        <w:tc>
          <w:tcPr>
            <w:tcW w:w="1842" w:type="dxa"/>
            <w:shd w:val="clear" w:color="auto" w:fill="DBE5F1"/>
          </w:tcPr>
          <w:p w14:paraId="551FEB87" w14:textId="5B9BE5AB"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01/202</w:t>
            </w:r>
            <w:r w:rsidR="002A00C5" w:rsidRPr="000020F0">
              <w:rPr>
                <w:rFonts w:ascii="Arial" w:eastAsia="Arial" w:hAnsi="Arial" w:cs="Arial"/>
                <w:b/>
                <w:sz w:val="22"/>
                <w:szCs w:val="22"/>
                <w:lang w:eastAsia="en-US"/>
              </w:rPr>
              <w:t>7</w:t>
            </w:r>
          </w:p>
        </w:tc>
        <w:tc>
          <w:tcPr>
            <w:tcW w:w="1984" w:type="dxa"/>
            <w:shd w:val="clear" w:color="auto" w:fill="DBE5F1"/>
          </w:tcPr>
          <w:p w14:paraId="449B8710" w14:textId="47EA2B6A" w:rsidR="006154DD" w:rsidRPr="000020F0" w:rsidRDefault="0076154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09</w:t>
            </w:r>
            <w:r w:rsidR="006154DD" w:rsidRPr="000020F0">
              <w:rPr>
                <w:rFonts w:ascii="Arial" w:eastAsia="Arial" w:hAnsi="Arial" w:cs="Arial"/>
                <w:b/>
                <w:sz w:val="22"/>
                <w:szCs w:val="22"/>
                <w:lang w:eastAsia="en-US"/>
              </w:rPr>
              <w:t>/2029</w:t>
            </w:r>
          </w:p>
        </w:tc>
      </w:tr>
      <w:tr w:rsidR="006154DD" w:rsidRPr="000020F0" w14:paraId="163F1D48" w14:textId="77777777" w:rsidTr="0093689D">
        <w:tc>
          <w:tcPr>
            <w:tcW w:w="5665" w:type="dxa"/>
            <w:shd w:val="clear" w:color="auto" w:fill="D9D9D9"/>
          </w:tcPr>
          <w:p w14:paraId="1E784755"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Izvedba gradbeno obrtniških in instalacijskih del</w:t>
            </w:r>
          </w:p>
        </w:tc>
        <w:tc>
          <w:tcPr>
            <w:tcW w:w="1842" w:type="dxa"/>
            <w:shd w:val="clear" w:color="auto" w:fill="D9D9D9"/>
          </w:tcPr>
          <w:p w14:paraId="075542ED" w14:textId="129BA2DF"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01/202</w:t>
            </w:r>
            <w:r w:rsidR="002A00C5" w:rsidRPr="000020F0">
              <w:rPr>
                <w:rFonts w:ascii="Arial" w:eastAsia="Arial" w:hAnsi="Arial" w:cs="Arial"/>
                <w:b/>
                <w:sz w:val="22"/>
                <w:szCs w:val="22"/>
                <w:lang w:eastAsia="en-US"/>
              </w:rPr>
              <w:t>7</w:t>
            </w:r>
          </w:p>
        </w:tc>
        <w:tc>
          <w:tcPr>
            <w:tcW w:w="1984" w:type="dxa"/>
            <w:shd w:val="clear" w:color="auto" w:fill="D9D9D9"/>
          </w:tcPr>
          <w:p w14:paraId="6CF536AB"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03/2029</w:t>
            </w:r>
          </w:p>
        </w:tc>
      </w:tr>
      <w:tr w:rsidR="006154DD" w:rsidRPr="000020F0" w14:paraId="136F3424" w14:textId="77777777" w:rsidTr="0093689D">
        <w:tc>
          <w:tcPr>
            <w:tcW w:w="5665" w:type="dxa"/>
          </w:tcPr>
          <w:p w14:paraId="0E532103"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Izvedba postopka JN za izbor izvajalca GOI del</w:t>
            </w:r>
          </w:p>
        </w:tc>
        <w:tc>
          <w:tcPr>
            <w:tcW w:w="1842" w:type="dxa"/>
          </w:tcPr>
          <w:p w14:paraId="26261901" w14:textId="37CC9ACB"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01/202</w:t>
            </w:r>
            <w:r w:rsidR="002A00C5" w:rsidRPr="000020F0">
              <w:rPr>
                <w:rFonts w:ascii="Arial" w:eastAsia="Arial" w:hAnsi="Arial" w:cs="Arial"/>
                <w:sz w:val="22"/>
                <w:szCs w:val="22"/>
                <w:lang w:eastAsia="en-US"/>
              </w:rPr>
              <w:t>7</w:t>
            </w:r>
          </w:p>
        </w:tc>
        <w:tc>
          <w:tcPr>
            <w:tcW w:w="1984" w:type="dxa"/>
          </w:tcPr>
          <w:p w14:paraId="1E99F596" w14:textId="23EBEF62"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06/202</w:t>
            </w:r>
            <w:r w:rsidR="00361D71" w:rsidRPr="000020F0">
              <w:rPr>
                <w:rFonts w:ascii="Arial" w:eastAsia="Arial" w:hAnsi="Arial" w:cs="Arial"/>
                <w:sz w:val="22"/>
                <w:szCs w:val="22"/>
                <w:lang w:eastAsia="en-US"/>
              </w:rPr>
              <w:t>7</w:t>
            </w:r>
          </w:p>
        </w:tc>
      </w:tr>
      <w:tr w:rsidR="006154DD" w:rsidRPr="000020F0" w14:paraId="1E597BA1" w14:textId="77777777" w:rsidTr="0093689D">
        <w:tc>
          <w:tcPr>
            <w:tcW w:w="5665" w:type="dxa"/>
          </w:tcPr>
          <w:p w14:paraId="2C3008D8"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Podpis gradbene pogodbe z izvajalcem GOI del</w:t>
            </w:r>
          </w:p>
        </w:tc>
        <w:tc>
          <w:tcPr>
            <w:tcW w:w="1842" w:type="dxa"/>
          </w:tcPr>
          <w:p w14:paraId="49D0100C" w14:textId="28A71038"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06/202</w:t>
            </w:r>
            <w:r w:rsidR="002A00C5" w:rsidRPr="000020F0">
              <w:rPr>
                <w:rFonts w:ascii="Arial" w:eastAsia="Arial" w:hAnsi="Arial" w:cs="Arial"/>
                <w:sz w:val="22"/>
                <w:szCs w:val="22"/>
                <w:lang w:eastAsia="en-US"/>
              </w:rPr>
              <w:t>7</w:t>
            </w:r>
          </w:p>
        </w:tc>
        <w:tc>
          <w:tcPr>
            <w:tcW w:w="1984" w:type="dxa"/>
          </w:tcPr>
          <w:p w14:paraId="4E04846F" w14:textId="362E7761"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06/202</w:t>
            </w:r>
            <w:r w:rsidR="00361D71" w:rsidRPr="000020F0">
              <w:rPr>
                <w:rFonts w:ascii="Arial" w:eastAsia="Arial" w:hAnsi="Arial" w:cs="Arial"/>
                <w:sz w:val="22"/>
                <w:szCs w:val="22"/>
                <w:lang w:eastAsia="en-US"/>
              </w:rPr>
              <w:t>7</w:t>
            </w:r>
          </w:p>
        </w:tc>
      </w:tr>
      <w:tr w:rsidR="006154DD" w:rsidRPr="000020F0" w14:paraId="63DA7E71" w14:textId="77777777" w:rsidTr="0093689D">
        <w:tc>
          <w:tcPr>
            <w:tcW w:w="5665" w:type="dxa"/>
          </w:tcPr>
          <w:p w14:paraId="69E89924"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Uvedba izvajalca GOI del v delo</w:t>
            </w:r>
          </w:p>
        </w:tc>
        <w:tc>
          <w:tcPr>
            <w:tcW w:w="1842" w:type="dxa"/>
          </w:tcPr>
          <w:p w14:paraId="1B47E920" w14:textId="48269356"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07/202</w:t>
            </w:r>
            <w:r w:rsidR="002A00C5" w:rsidRPr="000020F0">
              <w:rPr>
                <w:rFonts w:ascii="Arial" w:eastAsia="Arial" w:hAnsi="Arial" w:cs="Arial"/>
                <w:sz w:val="22"/>
                <w:szCs w:val="22"/>
                <w:lang w:eastAsia="en-US"/>
              </w:rPr>
              <w:t>7</w:t>
            </w:r>
          </w:p>
        </w:tc>
        <w:tc>
          <w:tcPr>
            <w:tcW w:w="1984" w:type="dxa"/>
          </w:tcPr>
          <w:p w14:paraId="30C72B72" w14:textId="498FF945"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07/202</w:t>
            </w:r>
            <w:r w:rsidR="00361D71" w:rsidRPr="000020F0">
              <w:rPr>
                <w:rFonts w:ascii="Arial" w:eastAsia="Arial" w:hAnsi="Arial" w:cs="Arial"/>
                <w:sz w:val="22"/>
                <w:szCs w:val="22"/>
                <w:lang w:eastAsia="en-US"/>
              </w:rPr>
              <w:t>7</w:t>
            </w:r>
          </w:p>
        </w:tc>
      </w:tr>
      <w:tr w:rsidR="006154DD" w:rsidRPr="000020F0" w14:paraId="1F0D15E9" w14:textId="77777777" w:rsidTr="0093689D">
        <w:tc>
          <w:tcPr>
            <w:tcW w:w="5665" w:type="dxa"/>
          </w:tcPr>
          <w:p w14:paraId="5031A092"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Izvedba GOI del</w:t>
            </w:r>
          </w:p>
        </w:tc>
        <w:tc>
          <w:tcPr>
            <w:tcW w:w="1842" w:type="dxa"/>
          </w:tcPr>
          <w:p w14:paraId="1AE9F3FB" w14:textId="139E476D"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07/202</w:t>
            </w:r>
            <w:r w:rsidR="002A00C5" w:rsidRPr="000020F0">
              <w:rPr>
                <w:rFonts w:ascii="Arial" w:eastAsia="Arial" w:hAnsi="Arial" w:cs="Arial"/>
                <w:sz w:val="22"/>
                <w:szCs w:val="22"/>
                <w:lang w:eastAsia="en-US"/>
              </w:rPr>
              <w:t>7</w:t>
            </w:r>
          </w:p>
        </w:tc>
        <w:tc>
          <w:tcPr>
            <w:tcW w:w="1984" w:type="dxa"/>
          </w:tcPr>
          <w:p w14:paraId="1C41B017"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01/2029</w:t>
            </w:r>
          </w:p>
        </w:tc>
      </w:tr>
      <w:tr w:rsidR="006154DD" w:rsidRPr="000020F0" w14:paraId="618CABF6" w14:textId="77777777" w:rsidTr="0093689D">
        <w:tc>
          <w:tcPr>
            <w:tcW w:w="5665" w:type="dxa"/>
          </w:tcPr>
          <w:p w14:paraId="540E3DEC"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Priprava dokumentacije za tehnični pregled in izvedba tehničnega pregleda</w:t>
            </w:r>
          </w:p>
        </w:tc>
        <w:tc>
          <w:tcPr>
            <w:tcW w:w="1842" w:type="dxa"/>
          </w:tcPr>
          <w:p w14:paraId="416A5C01"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01/2029</w:t>
            </w:r>
          </w:p>
        </w:tc>
        <w:tc>
          <w:tcPr>
            <w:tcW w:w="1984" w:type="dxa"/>
          </w:tcPr>
          <w:p w14:paraId="285860F7"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02/2029</w:t>
            </w:r>
          </w:p>
        </w:tc>
      </w:tr>
      <w:tr w:rsidR="006154DD" w:rsidRPr="000020F0" w14:paraId="7A20DCEB" w14:textId="77777777" w:rsidTr="0093689D">
        <w:tc>
          <w:tcPr>
            <w:tcW w:w="5665" w:type="dxa"/>
          </w:tcPr>
          <w:p w14:paraId="6CADDA1A"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Primopredaja izvedenih del</w:t>
            </w:r>
          </w:p>
        </w:tc>
        <w:tc>
          <w:tcPr>
            <w:tcW w:w="1842" w:type="dxa"/>
          </w:tcPr>
          <w:p w14:paraId="6494FA33"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03/2029</w:t>
            </w:r>
          </w:p>
        </w:tc>
        <w:tc>
          <w:tcPr>
            <w:tcW w:w="1984" w:type="dxa"/>
          </w:tcPr>
          <w:p w14:paraId="424F5FF4" w14:textId="77777777" w:rsidR="006154DD" w:rsidRPr="000020F0" w:rsidRDefault="006154DD" w:rsidP="0093689D">
            <w:pPr>
              <w:spacing w:before="120" w:after="120" w:line="276" w:lineRule="auto"/>
              <w:rPr>
                <w:rFonts w:ascii="Arial" w:eastAsia="Arial" w:hAnsi="Arial" w:cs="Arial"/>
                <w:sz w:val="22"/>
                <w:szCs w:val="22"/>
                <w:lang w:eastAsia="en-US"/>
              </w:rPr>
            </w:pPr>
            <w:r w:rsidRPr="000020F0">
              <w:rPr>
                <w:rFonts w:ascii="Arial" w:eastAsia="Arial" w:hAnsi="Arial" w:cs="Arial"/>
                <w:sz w:val="22"/>
                <w:szCs w:val="22"/>
                <w:lang w:eastAsia="en-US"/>
              </w:rPr>
              <w:t>03/2029</w:t>
            </w:r>
          </w:p>
        </w:tc>
      </w:tr>
      <w:tr w:rsidR="006154DD" w:rsidRPr="000020F0" w14:paraId="3F0F2A75" w14:textId="77777777" w:rsidTr="0093689D">
        <w:tc>
          <w:tcPr>
            <w:tcW w:w="5665" w:type="dxa"/>
            <w:shd w:val="clear" w:color="auto" w:fill="D9D9D9"/>
          </w:tcPr>
          <w:p w14:paraId="59C815EF"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Predaja izvedenih del namenu (prenos v uporabo)</w:t>
            </w:r>
          </w:p>
        </w:tc>
        <w:tc>
          <w:tcPr>
            <w:tcW w:w="1842" w:type="dxa"/>
            <w:shd w:val="clear" w:color="auto" w:fill="D9D9D9"/>
          </w:tcPr>
          <w:p w14:paraId="6BFE67AF"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03/2029</w:t>
            </w:r>
          </w:p>
        </w:tc>
        <w:tc>
          <w:tcPr>
            <w:tcW w:w="1984" w:type="dxa"/>
            <w:shd w:val="clear" w:color="auto" w:fill="D9D9D9"/>
          </w:tcPr>
          <w:p w14:paraId="19DC9A10" w14:textId="77777777" w:rsidR="006154DD" w:rsidRPr="000020F0" w:rsidRDefault="006154DD" w:rsidP="0093689D">
            <w:pPr>
              <w:spacing w:before="120" w:after="120" w:line="276" w:lineRule="auto"/>
              <w:rPr>
                <w:rFonts w:ascii="Arial" w:eastAsia="Arial" w:hAnsi="Arial" w:cs="Arial"/>
                <w:b/>
                <w:sz w:val="22"/>
                <w:szCs w:val="22"/>
                <w:lang w:eastAsia="en-US"/>
              </w:rPr>
            </w:pPr>
          </w:p>
        </w:tc>
      </w:tr>
      <w:tr w:rsidR="006154DD" w:rsidRPr="000020F0" w14:paraId="6CC5459D" w14:textId="77777777" w:rsidTr="0093689D">
        <w:tc>
          <w:tcPr>
            <w:tcW w:w="5665" w:type="dxa"/>
            <w:shd w:val="clear" w:color="auto" w:fill="DBE5F1"/>
          </w:tcPr>
          <w:p w14:paraId="43DCB1C1"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lastRenderedPageBreak/>
              <w:t>ZAKLJUČEK PROJEKTA (zaključek vseh aktivnosti v okviru projekta in financiranja in priprava Končnega poročila)</w:t>
            </w:r>
          </w:p>
        </w:tc>
        <w:tc>
          <w:tcPr>
            <w:tcW w:w="1842" w:type="dxa"/>
            <w:shd w:val="clear" w:color="auto" w:fill="DBE5F1"/>
          </w:tcPr>
          <w:p w14:paraId="049C1E7F" w14:textId="77777777" w:rsidR="006154DD" w:rsidRPr="000020F0" w:rsidRDefault="006154DD" w:rsidP="0093689D">
            <w:pPr>
              <w:spacing w:before="120" w:after="120" w:line="276" w:lineRule="auto"/>
              <w:rPr>
                <w:rFonts w:ascii="Arial" w:eastAsia="Arial" w:hAnsi="Arial" w:cs="Arial"/>
                <w:b/>
                <w:sz w:val="22"/>
                <w:szCs w:val="22"/>
                <w:lang w:eastAsia="en-US"/>
              </w:rPr>
            </w:pPr>
          </w:p>
        </w:tc>
        <w:tc>
          <w:tcPr>
            <w:tcW w:w="1984" w:type="dxa"/>
            <w:shd w:val="clear" w:color="auto" w:fill="DBE5F1"/>
          </w:tcPr>
          <w:p w14:paraId="744A9865" w14:textId="77777777" w:rsidR="006154DD" w:rsidRPr="000020F0" w:rsidRDefault="006154DD" w:rsidP="0093689D">
            <w:pPr>
              <w:spacing w:before="120" w:after="120" w:line="276" w:lineRule="auto"/>
              <w:rPr>
                <w:rFonts w:ascii="Arial" w:eastAsia="Arial" w:hAnsi="Arial" w:cs="Arial"/>
                <w:b/>
                <w:sz w:val="22"/>
                <w:szCs w:val="22"/>
                <w:lang w:eastAsia="en-US"/>
              </w:rPr>
            </w:pPr>
            <w:r w:rsidRPr="000020F0">
              <w:rPr>
                <w:rFonts w:ascii="Arial" w:eastAsia="Arial" w:hAnsi="Arial" w:cs="Arial"/>
                <w:b/>
                <w:sz w:val="22"/>
                <w:szCs w:val="22"/>
                <w:lang w:eastAsia="en-US"/>
              </w:rPr>
              <w:t>09/2029</w:t>
            </w:r>
          </w:p>
        </w:tc>
      </w:tr>
    </w:tbl>
    <w:p w14:paraId="670C79AA" w14:textId="77777777" w:rsidR="006154DD" w:rsidRPr="000020F0" w:rsidRDefault="006154DD" w:rsidP="006154DD">
      <w:pPr>
        <w:spacing w:after="120" w:line="276" w:lineRule="auto"/>
        <w:jc w:val="both"/>
        <w:rPr>
          <w:rFonts w:ascii="Arial" w:hAnsi="Arial" w:cs="Arial"/>
          <w:sz w:val="22"/>
          <w:szCs w:val="22"/>
          <w:lang w:eastAsia="en-US"/>
        </w:rPr>
      </w:pPr>
    </w:p>
    <w:p w14:paraId="64A462AC" w14:textId="77777777" w:rsidR="006154DD" w:rsidRPr="000020F0" w:rsidRDefault="006154DD" w:rsidP="006154DD">
      <w:pPr>
        <w:spacing w:after="120" w:line="276" w:lineRule="auto"/>
        <w:jc w:val="both"/>
        <w:rPr>
          <w:rFonts w:ascii="Arial" w:hAnsi="Arial" w:cs="Arial"/>
          <w:sz w:val="22"/>
          <w:szCs w:val="22"/>
        </w:rPr>
      </w:pPr>
      <w:r w:rsidRPr="000020F0">
        <w:rPr>
          <w:rFonts w:ascii="Arial" w:hAnsi="Arial" w:cs="Arial"/>
          <w:sz w:val="22"/>
          <w:szCs w:val="22"/>
        </w:rPr>
        <w:t>Celotna izvedba investicije na obravnavanem območju se je začela z odkupom nepremičnine ob Govekarjevi v letu 2023 in se bo izvajala do predvidoma marca 2029, ko se predvideva zaključek projekta in predaja namenu.</w:t>
      </w:r>
    </w:p>
    <w:p w14:paraId="116A3A40" w14:textId="70754F00" w:rsidR="006154DD" w:rsidRPr="000020F0" w:rsidRDefault="00A40F9D" w:rsidP="006154DD">
      <w:pPr>
        <w:spacing w:after="120" w:line="276" w:lineRule="auto"/>
        <w:jc w:val="both"/>
        <w:rPr>
          <w:rFonts w:ascii="Arial" w:hAnsi="Arial" w:cs="Arial"/>
          <w:sz w:val="22"/>
          <w:szCs w:val="22"/>
        </w:rPr>
      </w:pPr>
      <w:r w:rsidRPr="000020F0">
        <w:rPr>
          <w:rFonts w:ascii="Arial" w:hAnsi="Arial" w:cs="Arial"/>
          <w:sz w:val="22"/>
          <w:szCs w:val="22"/>
        </w:rPr>
        <w:t>V letih 2024 do 2026</w:t>
      </w:r>
      <w:r w:rsidR="006154DD" w:rsidRPr="000020F0">
        <w:rPr>
          <w:rFonts w:ascii="Arial" w:hAnsi="Arial" w:cs="Arial"/>
          <w:sz w:val="22"/>
          <w:szCs w:val="22"/>
        </w:rPr>
        <w:t xml:space="preserve"> je predvidena izdelava projektne dokumentacije in vloge za pridobitev nepovratnih sredstev. V letu 202</w:t>
      </w:r>
      <w:r w:rsidR="006F5616" w:rsidRPr="000020F0">
        <w:rPr>
          <w:rFonts w:ascii="Arial" w:hAnsi="Arial" w:cs="Arial"/>
          <w:sz w:val="22"/>
          <w:szCs w:val="22"/>
        </w:rPr>
        <w:t>7</w:t>
      </w:r>
      <w:r w:rsidR="006154DD" w:rsidRPr="000020F0">
        <w:rPr>
          <w:rFonts w:ascii="Arial" w:hAnsi="Arial" w:cs="Arial"/>
          <w:sz w:val="22"/>
          <w:szCs w:val="22"/>
        </w:rPr>
        <w:t xml:space="preserve"> sledi objava javnih naročil in izbire izvajalcev ter začetek fizične izvedbe investicije. Sama izvedba po posameznih ukrepih je odvisna tudi od organizacija izbranega izvajalca GOI del. V prvi </w:t>
      </w:r>
      <w:r w:rsidR="0076154D" w:rsidRPr="000020F0">
        <w:rPr>
          <w:rFonts w:ascii="Arial" w:hAnsi="Arial" w:cs="Arial"/>
          <w:sz w:val="22"/>
          <w:szCs w:val="22"/>
        </w:rPr>
        <w:t>tretjini</w:t>
      </w:r>
      <w:r w:rsidR="006154DD" w:rsidRPr="000020F0">
        <w:rPr>
          <w:rFonts w:ascii="Arial" w:hAnsi="Arial" w:cs="Arial"/>
          <w:sz w:val="22"/>
          <w:szCs w:val="22"/>
        </w:rPr>
        <w:t xml:space="preserve"> leta 2029 je predviden zaključek gradbenih posegov in predaja objekta namenu.</w:t>
      </w:r>
    </w:p>
    <w:p w14:paraId="334973F4" w14:textId="77777777" w:rsidR="006154DD" w:rsidRPr="000020F0" w:rsidRDefault="006154DD" w:rsidP="006154DD">
      <w:pPr>
        <w:spacing w:after="120" w:line="276" w:lineRule="auto"/>
        <w:jc w:val="both"/>
        <w:rPr>
          <w:rFonts w:ascii="Arial" w:hAnsi="Arial" w:cs="Arial"/>
          <w:sz w:val="22"/>
          <w:szCs w:val="22"/>
        </w:rPr>
      </w:pPr>
    </w:p>
    <w:p w14:paraId="23F23527" w14:textId="77777777" w:rsidR="006154DD" w:rsidRPr="000020F0" w:rsidRDefault="006154DD" w:rsidP="006154DD">
      <w:pPr>
        <w:spacing w:after="120" w:line="276" w:lineRule="auto"/>
        <w:ind w:left="1410" w:hanging="1410"/>
        <w:jc w:val="both"/>
        <w:rPr>
          <w:rFonts w:ascii="Arial" w:hAnsi="Arial" w:cs="Arial"/>
          <w:b/>
          <w:sz w:val="22"/>
          <w:szCs w:val="22"/>
        </w:rPr>
        <w:sectPr w:rsidR="006154DD" w:rsidRPr="000020F0" w:rsidSect="006154DD">
          <w:pgSz w:w="11906" w:h="16838" w:code="9"/>
          <w:pgMar w:top="1134" w:right="1417" w:bottom="1417" w:left="1134" w:header="708" w:footer="708" w:gutter="0"/>
          <w:cols w:space="708"/>
          <w:titlePg/>
          <w:docGrid w:linePitch="360"/>
        </w:sectPr>
      </w:pPr>
      <w:bookmarkStart w:id="322" w:name="_Toc1955845"/>
    </w:p>
    <w:p w14:paraId="1DEDE705" w14:textId="64BE6BE5" w:rsidR="006154DD" w:rsidRPr="000020F0" w:rsidRDefault="006154DD" w:rsidP="006154DD">
      <w:pPr>
        <w:spacing w:after="120" w:line="276" w:lineRule="auto"/>
        <w:ind w:left="1410" w:hanging="1410"/>
        <w:jc w:val="both"/>
        <w:rPr>
          <w:rFonts w:ascii="Arial" w:hAnsi="Arial" w:cs="Arial"/>
          <w:sz w:val="22"/>
          <w:szCs w:val="22"/>
        </w:rPr>
      </w:pPr>
      <w:bookmarkStart w:id="323" w:name="_Toc209029184"/>
      <w:bookmarkStart w:id="324" w:name="_Toc209277216"/>
      <w:bookmarkStart w:id="325" w:name="_Toc230882295"/>
      <w:r w:rsidRPr="000020F0">
        <w:rPr>
          <w:rFonts w:ascii="Arial" w:hAnsi="Arial" w:cs="Arial"/>
          <w:b/>
          <w:sz w:val="22"/>
          <w:szCs w:val="22"/>
        </w:rPr>
        <w:lastRenderedPageBreak/>
        <w:t xml:space="preserve">Tabela </w:t>
      </w:r>
      <w:r w:rsidRPr="000020F0">
        <w:rPr>
          <w:rFonts w:ascii="Arial" w:hAnsi="Arial" w:cs="Arial"/>
          <w:b/>
          <w:sz w:val="22"/>
          <w:szCs w:val="22"/>
        </w:rPr>
        <w:fldChar w:fldCharType="begin"/>
      </w:r>
      <w:r w:rsidRPr="000020F0">
        <w:rPr>
          <w:rFonts w:ascii="Arial" w:hAnsi="Arial" w:cs="Arial"/>
          <w:b/>
          <w:sz w:val="22"/>
          <w:szCs w:val="22"/>
        </w:rPr>
        <w:instrText xml:space="preserve"> SEQ Tabela \* ARABIC </w:instrText>
      </w:r>
      <w:r w:rsidRPr="000020F0">
        <w:rPr>
          <w:rFonts w:ascii="Arial" w:hAnsi="Arial" w:cs="Arial"/>
          <w:b/>
          <w:sz w:val="22"/>
          <w:szCs w:val="22"/>
        </w:rPr>
        <w:fldChar w:fldCharType="separate"/>
      </w:r>
      <w:r w:rsidR="00BB0C0C">
        <w:rPr>
          <w:rFonts w:ascii="Arial" w:hAnsi="Arial" w:cs="Arial"/>
          <w:b/>
          <w:noProof/>
          <w:sz w:val="22"/>
          <w:szCs w:val="22"/>
        </w:rPr>
        <w:t>15</w:t>
      </w:r>
      <w:r w:rsidRPr="000020F0">
        <w:rPr>
          <w:rFonts w:ascii="Arial" w:hAnsi="Arial" w:cs="Arial"/>
          <w:b/>
          <w:sz w:val="22"/>
          <w:szCs w:val="22"/>
        </w:rPr>
        <w:fldChar w:fldCharType="end"/>
      </w:r>
      <w:r w:rsidRPr="000020F0">
        <w:rPr>
          <w:rFonts w:ascii="Arial" w:hAnsi="Arial" w:cs="Arial"/>
          <w:b/>
          <w:sz w:val="22"/>
          <w:szCs w:val="22"/>
        </w:rPr>
        <w:t xml:space="preserve">: </w:t>
      </w:r>
      <w:r w:rsidRPr="000020F0">
        <w:rPr>
          <w:rFonts w:ascii="Arial" w:hAnsi="Arial" w:cs="Arial"/>
          <w:sz w:val="22"/>
          <w:szCs w:val="22"/>
        </w:rPr>
        <w:t>Finančni terminski plan investicije</w:t>
      </w:r>
      <w:bookmarkEnd w:id="322"/>
      <w:r w:rsidRPr="000020F0">
        <w:rPr>
          <w:rFonts w:ascii="Arial" w:hAnsi="Arial" w:cs="Arial"/>
          <w:sz w:val="22"/>
          <w:szCs w:val="22"/>
        </w:rPr>
        <w:t xml:space="preserve"> v stalnih cenah</w:t>
      </w:r>
      <w:bookmarkEnd w:id="323"/>
      <w:bookmarkEnd w:id="324"/>
      <w:bookmarkEnd w:id="325"/>
      <w:r w:rsidRPr="000020F0">
        <w:rPr>
          <w:rFonts w:ascii="Arial" w:hAnsi="Arial" w:cs="Arial"/>
          <w:sz w:val="22"/>
          <w:szCs w:val="22"/>
        </w:rPr>
        <w:t xml:space="preserve"> </w:t>
      </w:r>
    </w:p>
    <w:tbl>
      <w:tblPr>
        <w:tblW w:w="13887" w:type="dxa"/>
        <w:tblLook w:val="04A0" w:firstRow="1" w:lastRow="0" w:firstColumn="1" w:lastColumn="0" w:noHBand="0" w:noVBand="1"/>
      </w:tblPr>
      <w:tblGrid>
        <w:gridCol w:w="3114"/>
        <w:gridCol w:w="1560"/>
        <w:gridCol w:w="1417"/>
        <w:gridCol w:w="1275"/>
        <w:gridCol w:w="1276"/>
        <w:gridCol w:w="1134"/>
        <w:gridCol w:w="1418"/>
        <w:gridCol w:w="1501"/>
        <w:gridCol w:w="1192"/>
      </w:tblGrid>
      <w:tr w:rsidR="00876F7C" w:rsidRPr="000020F0" w14:paraId="213C5969" w14:textId="77777777" w:rsidTr="006935EA">
        <w:trPr>
          <w:trHeight w:val="280"/>
          <w:tblHeader/>
        </w:trPr>
        <w:tc>
          <w:tcPr>
            <w:tcW w:w="3114"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06687E98" w14:textId="77777777" w:rsidR="00876F7C" w:rsidRPr="000020F0" w:rsidRDefault="00876F7C">
            <w:pPr>
              <w:rPr>
                <w:rFonts w:ascii="Arial" w:hAnsi="Arial" w:cs="Arial"/>
                <w:b/>
                <w:bCs/>
                <w:color w:val="FFFFFF"/>
                <w:sz w:val="20"/>
                <w:szCs w:val="20"/>
              </w:rPr>
            </w:pPr>
            <w:r w:rsidRPr="000020F0">
              <w:rPr>
                <w:rFonts w:ascii="Arial" w:hAnsi="Arial" w:cs="Arial"/>
                <w:b/>
                <w:bCs/>
                <w:color w:val="FFFFFF"/>
                <w:sz w:val="20"/>
                <w:szCs w:val="20"/>
              </w:rPr>
              <w:t>Postavka</w:t>
            </w:r>
          </w:p>
        </w:tc>
        <w:tc>
          <w:tcPr>
            <w:tcW w:w="1560" w:type="dxa"/>
            <w:tcBorders>
              <w:top w:val="single" w:sz="4" w:space="0" w:color="auto"/>
              <w:left w:val="nil"/>
              <w:bottom w:val="single" w:sz="4" w:space="0" w:color="auto"/>
              <w:right w:val="single" w:sz="4" w:space="0" w:color="auto"/>
            </w:tcBorders>
            <w:shd w:val="clear" w:color="000000" w:fill="153D64"/>
            <w:noWrap/>
            <w:vAlign w:val="bottom"/>
            <w:hideMark/>
          </w:tcPr>
          <w:p w14:paraId="71CD34C7" w14:textId="77777777" w:rsidR="00876F7C" w:rsidRPr="000020F0" w:rsidRDefault="00876F7C">
            <w:pPr>
              <w:rPr>
                <w:rFonts w:ascii="Arial" w:hAnsi="Arial" w:cs="Arial"/>
                <w:b/>
                <w:bCs/>
                <w:color w:val="FFFFFF"/>
                <w:sz w:val="20"/>
                <w:szCs w:val="20"/>
              </w:rPr>
            </w:pPr>
            <w:r w:rsidRPr="000020F0">
              <w:rPr>
                <w:rFonts w:ascii="Arial" w:hAnsi="Arial" w:cs="Arial"/>
                <w:b/>
                <w:bCs/>
                <w:color w:val="FFFFFF"/>
                <w:sz w:val="20"/>
                <w:szCs w:val="20"/>
              </w:rPr>
              <w:t>Vrednost</w:t>
            </w:r>
          </w:p>
        </w:tc>
        <w:tc>
          <w:tcPr>
            <w:tcW w:w="1417" w:type="dxa"/>
            <w:tcBorders>
              <w:top w:val="single" w:sz="4" w:space="0" w:color="auto"/>
              <w:left w:val="nil"/>
              <w:bottom w:val="single" w:sz="4" w:space="0" w:color="auto"/>
              <w:right w:val="single" w:sz="4" w:space="0" w:color="auto"/>
            </w:tcBorders>
            <w:shd w:val="clear" w:color="000000" w:fill="153D64"/>
            <w:noWrap/>
            <w:vAlign w:val="bottom"/>
            <w:hideMark/>
          </w:tcPr>
          <w:p w14:paraId="686EB2E6" w14:textId="77777777" w:rsidR="00876F7C" w:rsidRPr="000020F0" w:rsidRDefault="00876F7C">
            <w:pPr>
              <w:rPr>
                <w:rFonts w:ascii="Arial" w:hAnsi="Arial" w:cs="Arial"/>
                <w:b/>
                <w:bCs/>
                <w:color w:val="FFFFFF"/>
                <w:sz w:val="20"/>
                <w:szCs w:val="20"/>
              </w:rPr>
            </w:pPr>
            <w:r w:rsidRPr="000020F0">
              <w:rPr>
                <w:rFonts w:ascii="Arial" w:hAnsi="Arial" w:cs="Arial"/>
                <w:b/>
                <w:bCs/>
                <w:color w:val="FFFFFF"/>
                <w:sz w:val="20"/>
                <w:szCs w:val="20"/>
              </w:rPr>
              <w:t>Delež</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79D1FE17"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080D9EB6"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134" w:type="dxa"/>
            <w:tcBorders>
              <w:top w:val="single" w:sz="4" w:space="0" w:color="auto"/>
              <w:left w:val="nil"/>
              <w:bottom w:val="single" w:sz="4" w:space="0" w:color="auto"/>
              <w:right w:val="single" w:sz="4" w:space="0" w:color="auto"/>
            </w:tcBorders>
            <w:shd w:val="clear" w:color="000000" w:fill="153D64"/>
            <w:noWrap/>
            <w:vAlign w:val="bottom"/>
            <w:hideMark/>
          </w:tcPr>
          <w:p w14:paraId="0D8E6464"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418" w:type="dxa"/>
            <w:tcBorders>
              <w:top w:val="single" w:sz="4" w:space="0" w:color="auto"/>
              <w:left w:val="nil"/>
              <w:bottom w:val="single" w:sz="4" w:space="0" w:color="auto"/>
              <w:right w:val="single" w:sz="4" w:space="0" w:color="auto"/>
            </w:tcBorders>
            <w:shd w:val="clear" w:color="000000" w:fill="153D64"/>
            <w:noWrap/>
            <w:vAlign w:val="bottom"/>
            <w:hideMark/>
          </w:tcPr>
          <w:p w14:paraId="2AAE139E"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501" w:type="dxa"/>
            <w:tcBorders>
              <w:top w:val="single" w:sz="4" w:space="0" w:color="auto"/>
              <w:left w:val="nil"/>
              <w:bottom w:val="single" w:sz="4" w:space="0" w:color="auto"/>
              <w:right w:val="single" w:sz="4" w:space="0" w:color="auto"/>
            </w:tcBorders>
            <w:shd w:val="clear" w:color="000000" w:fill="153D64"/>
            <w:noWrap/>
            <w:vAlign w:val="bottom"/>
            <w:hideMark/>
          </w:tcPr>
          <w:p w14:paraId="73334C38"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192" w:type="dxa"/>
            <w:tcBorders>
              <w:top w:val="single" w:sz="4" w:space="0" w:color="auto"/>
              <w:left w:val="nil"/>
              <w:bottom w:val="single" w:sz="4" w:space="0" w:color="auto"/>
              <w:right w:val="single" w:sz="4" w:space="0" w:color="auto"/>
            </w:tcBorders>
            <w:shd w:val="clear" w:color="000000" w:fill="153D64"/>
            <w:noWrap/>
            <w:vAlign w:val="bottom"/>
            <w:hideMark/>
          </w:tcPr>
          <w:p w14:paraId="11FFE68D" w14:textId="77777777" w:rsidR="00876F7C" w:rsidRPr="000020F0" w:rsidRDefault="00876F7C">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436BE7" w:rsidRPr="000020F0" w14:paraId="65CCE2C5"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33ECEBD"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Govekarjeva cesta</w:t>
            </w:r>
          </w:p>
        </w:tc>
        <w:tc>
          <w:tcPr>
            <w:tcW w:w="1560" w:type="dxa"/>
            <w:tcBorders>
              <w:top w:val="nil"/>
              <w:left w:val="nil"/>
              <w:bottom w:val="single" w:sz="4" w:space="0" w:color="auto"/>
              <w:right w:val="single" w:sz="4" w:space="0" w:color="auto"/>
            </w:tcBorders>
            <w:shd w:val="clear" w:color="000000" w:fill="FFFFFF"/>
            <w:noWrap/>
            <w:vAlign w:val="bottom"/>
            <w:hideMark/>
          </w:tcPr>
          <w:p w14:paraId="3B8DE7FA" w14:textId="0FA5B41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856.955,69</w:t>
            </w:r>
          </w:p>
        </w:tc>
        <w:tc>
          <w:tcPr>
            <w:tcW w:w="1417" w:type="dxa"/>
            <w:tcBorders>
              <w:top w:val="nil"/>
              <w:left w:val="nil"/>
              <w:bottom w:val="single" w:sz="4" w:space="0" w:color="auto"/>
              <w:right w:val="single" w:sz="4" w:space="0" w:color="auto"/>
            </w:tcBorders>
            <w:shd w:val="clear" w:color="000000" w:fill="FFFFFF"/>
            <w:noWrap/>
            <w:vAlign w:val="bottom"/>
            <w:hideMark/>
          </w:tcPr>
          <w:p w14:paraId="4E0927F4" w14:textId="21C8242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26,15%</w:t>
            </w:r>
          </w:p>
        </w:tc>
        <w:tc>
          <w:tcPr>
            <w:tcW w:w="1275" w:type="dxa"/>
            <w:tcBorders>
              <w:top w:val="nil"/>
              <w:left w:val="nil"/>
              <w:bottom w:val="single" w:sz="4" w:space="0" w:color="auto"/>
              <w:right w:val="single" w:sz="4" w:space="0" w:color="auto"/>
            </w:tcBorders>
            <w:shd w:val="clear" w:color="000000" w:fill="FFFFFF"/>
            <w:noWrap/>
            <w:vAlign w:val="bottom"/>
            <w:hideMark/>
          </w:tcPr>
          <w:p w14:paraId="504E9614" w14:textId="511D899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1E06051" w14:textId="6A94655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47DC0893" w14:textId="02DEBF6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F41C0B3" w14:textId="78602C0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788A6FEF" w14:textId="3B1E7FE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809.556,69</w:t>
            </w:r>
          </w:p>
        </w:tc>
        <w:tc>
          <w:tcPr>
            <w:tcW w:w="1192" w:type="dxa"/>
            <w:tcBorders>
              <w:top w:val="nil"/>
              <w:left w:val="nil"/>
              <w:bottom w:val="single" w:sz="4" w:space="0" w:color="auto"/>
              <w:right w:val="single" w:sz="4" w:space="0" w:color="auto"/>
            </w:tcBorders>
            <w:shd w:val="clear" w:color="000000" w:fill="FFFFFF"/>
            <w:noWrap/>
            <w:vAlign w:val="bottom"/>
            <w:hideMark/>
          </w:tcPr>
          <w:p w14:paraId="71F52D04" w14:textId="360BFE8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47.399,00</w:t>
            </w:r>
          </w:p>
        </w:tc>
      </w:tr>
      <w:tr w:rsidR="00436BE7" w:rsidRPr="000020F0" w14:paraId="7391845F"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0248433"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Troštova ulica</w:t>
            </w:r>
          </w:p>
        </w:tc>
        <w:tc>
          <w:tcPr>
            <w:tcW w:w="1560" w:type="dxa"/>
            <w:tcBorders>
              <w:top w:val="nil"/>
              <w:left w:val="nil"/>
              <w:bottom w:val="single" w:sz="4" w:space="0" w:color="auto"/>
              <w:right w:val="single" w:sz="4" w:space="0" w:color="auto"/>
            </w:tcBorders>
            <w:shd w:val="clear" w:color="000000" w:fill="FFFFFF"/>
            <w:noWrap/>
            <w:vAlign w:val="bottom"/>
            <w:hideMark/>
          </w:tcPr>
          <w:p w14:paraId="13F049D5" w14:textId="532E743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48.950,81</w:t>
            </w:r>
          </w:p>
        </w:tc>
        <w:tc>
          <w:tcPr>
            <w:tcW w:w="1417" w:type="dxa"/>
            <w:tcBorders>
              <w:top w:val="nil"/>
              <w:left w:val="nil"/>
              <w:bottom w:val="single" w:sz="4" w:space="0" w:color="auto"/>
              <w:right w:val="single" w:sz="4" w:space="0" w:color="auto"/>
            </w:tcBorders>
            <w:shd w:val="clear" w:color="000000" w:fill="FFFFFF"/>
            <w:noWrap/>
            <w:vAlign w:val="bottom"/>
            <w:hideMark/>
          </w:tcPr>
          <w:p w14:paraId="044D37CA" w14:textId="324FB5B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1,49%</w:t>
            </w:r>
          </w:p>
        </w:tc>
        <w:tc>
          <w:tcPr>
            <w:tcW w:w="1275" w:type="dxa"/>
            <w:tcBorders>
              <w:top w:val="nil"/>
              <w:left w:val="nil"/>
              <w:bottom w:val="single" w:sz="4" w:space="0" w:color="auto"/>
              <w:right w:val="single" w:sz="4" w:space="0" w:color="auto"/>
            </w:tcBorders>
            <w:shd w:val="clear" w:color="000000" w:fill="FFFFFF"/>
            <w:noWrap/>
            <w:vAlign w:val="bottom"/>
            <w:hideMark/>
          </w:tcPr>
          <w:p w14:paraId="21620633" w14:textId="2F24D55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489498F1" w14:textId="4B7D2A8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07BC2D5F" w14:textId="3B3491C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925447E" w14:textId="3AA3895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05C16B58" w14:textId="512ECE1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48.950,81</w:t>
            </w:r>
          </w:p>
        </w:tc>
        <w:tc>
          <w:tcPr>
            <w:tcW w:w="1192" w:type="dxa"/>
            <w:tcBorders>
              <w:top w:val="nil"/>
              <w:left w:val="nil"/>
              <w:bottom w:val="single" w:sz="4" w:space="0" w:color="auto"/>
              <w:right w:val="single" w:sz="4" w:space="0" w:color="auto"/>
            </w:tcBorders>
            <w:shd w:val="clear" w:color="000000" w:fill="FFFFFF"/>
            <w:noWrap/>
            <w:vAlign w:val="bottom"/>
            <w:hideMark/>
          </w:tcPr>
          <w:p w14:paraId="683FD314" w14:textId="5B8A8DE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0FBE2E10"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3090361C"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560" w:type="dxa"/>
            <w:tcBorders>
              <w:top w:val="nil"/>
              <w:left w:val="nil"/>
              <w:bottom w:val="single" w:sz="4" w:space="0" w:color="auto"/>
              <w:right w:val="single" w:sz="4" w:space="0" w:color="auto"/>
            </w:tcBorders>
            <w:shd w:val="clear" w:color="000000" w:fill="FFFFFF"/>
            <w:noWrap/>
            <w:vAlign w:val="bottom"/>
            <w:hideMark/>
          </w:tcPr>
          <w:p w14:paraId="2778A4EB" w14:textId="62B7A25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60.000,00</w:t>
            </w:r>
          </w:p>
        </w:tc>
        <w:tc>
          <w:tcPr>
            <w:tcW w:w="1417" w:type="dxa"/>
            <w:tcBorders>
              <w:top w:val="nil"/>
              <w:left w:val="nil"/>
              <w:bottom w:val="single" w:sz="4" w:space="0" w:color="auto"/>
              <w:right w:val="single" w:sz="4" w:space="0" w:color="auto"/>
            </w:tcBorders>
            <w:shd w:val="clear" w:color="000000" w:fill="FFFFFF"/>
            <w:noWrap/>
            <w:vAlign w:val="bottom"/>
            <w:hideMark/>
          </w:tcPr>
          <w:p w14:paraId="5A5B8F8E" w14:textId="709DC91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1,83%</w:t>
            </w:r>
          </w:p>
        </w:tc>
        <w:tc>
          <w:tcPr>
            <w:tcW w:w="1275" w:type="dxa"/>
            <w:tcBorders>
              <w:top w:val="nil"/>
              <w:left w:val="nil"/>
              <w:bottom w:val="single" w:sz="4" w:space="0" w:color="auto"/>
              <w:right w:val="single" w:sz="4" w:space="0" w:color="auto"/>
            </w:tcBorders>
            <w:shd w:val="clear" w:color="000000" w:fill="FFFFFF"/>
            <w:noWrap/>
            <w:vAlign w:val="bottom"/>
            <w:hideMark/>
          </w:tcPr>
          <w:p w14:paraId="059F1FAB" w14:textId="344350F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448E97DF" w14:textId="5971878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2D651B0F" w14:textId="35631EA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1ACBC826" w14:textId="3850F74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6CA080A" w14:textId="4C69B03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60.000,00</w:t>
            </w:r>
          </w:p>
        </w:tc>
        <w:tc>
          <w:tcPr>
            <w:tcW w:w="1192" w:type="dxa"/>
            <w:tcBorders>
              <w:top w:val="nil"/>
              <w:left w:val="nil"/>
              <w:bottom w:val="single" w:sz="4" w:space="0" w:color="auto"/>
              <w:right w:val="single" w:sz="4" w:space="0" w:color="auto"/>
            </w:tcBorders>
            <w:shd w:val="clear" w:color="000000" w:fill="FFFFFF"/>
            <w:noWrap/>
            <w:vAlign w:val="bottom"/>
            <w:hideMark/>
          </w:tcPr>
          <w:p w14:paraId="5FA31DE1" w14:textId="529ED8A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28DD1323"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DF9CFD1"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560" w:type="dxa"/>
            <w:tcBorders>
              <w:top w:val="nil"/>
              <w:left w:val="nil"/>
              <w:bottom w:val="single" w:sz="4" w:space="0" w:color="auto"/>
              <w:right w:val="single" w:sz="4" w:space="0" w:color="auto"/>
            </w:tcBorders>
            <w:shd w:val="clear" w:color="000000" w:fill="FFFFFF"/>
            <w:noWrap/>
            <w:vAlign w:val="bottom"/>
            <w:hideMark/>
          </w:tcPr>
          <w:p w14:paraId="43A63AA6" w14:textId="5BCC5B8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41.574,32</w:t>
            </w:r>
          </w:p>
        </w:tc>
        <w:tc>
          <w:tcPr>
            <w:tcW w:w="1417" w:type="dxa"/>
            <w:tcBorders>
              <w:top w:val="nil"/>
              <w:left w:val="nil"/>
              <w:bottom w:val="single" w:sz="4" w:space="0" w:color="auto"/>
              <w:right w:val="single" w:sz="4" w:space="0" w:color="auto"/>
            </w:tcBorders>
            <w:shd w:val="clear" w:color="000000" w:fill="FFFFFF"/>
            <w:noWrap/>
            <w:vAlign w:val="bottom"/>
            <w:hideMark/>
          </w:tcPr>
          <w:p w14:paraId="5B24D535" w14:textId="53529E4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1,27%</w:t>
            </w:r>
          </w:p>
        </w:tc>
        <w:tc>
          <w:tcPr>
            <w:tcW w:w="1275" w:type="dxa"/>
            <w:tcBorders>
              <w:top w:val="nil"/>
              <w:left w:val="nil"/>
              <w:bottom w:val="single" w:sz="4" w:space="0" w:color="auto"/>
              <w:right w:val="single" w:sz="4" w:space="0" w:color="auto"/>
            </w:tcBorders>
            <w:shd w:val="clear" w:color="000000" w:fill="FFFFFF"/>
            <w:noWrap/>
            <w:vAlign w:val="bottom"/>
            <w:hideMark/>
          </w:tcPr>
          <w:p w14:paraId="2F144977" w14:textId="4808420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85333B2" w14:textId="7872FB9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AF308DB" w14:textId="76F3557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8A7A78F" w14:textId="59C6BBC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22D3BEF1" w14:textId="3BD0720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41.574,32</w:t>
            </w:r>
          </w:p>
        </w:tc>
        <w:tc>
          <w:tcPr>
            <w:tcW w:w="1192" w:type="dxa"/>
            <w:tcBorders>
              <w:top w:val="nil"/>
              <w:left w:val="nil"/>
              <w:bottom w:val="single" w:sz="4" w:space="0" w:color="auto"/>
              <w:right w:val="single" w:sz="4" w:space="0" w:color="auto"/>
            </w:tcBorders>
            <w:shd w:val="clear" w:color="000000" w:fill="FFFFFF"/>
            <w:noWrap/>
            <w:vAlign w:val="bottom"/>
            <w:hideMark/>
          </w:tcPr>
          <w:p w14:paraId="3050DA8D" w14:textId="60D3255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4A86FA8D"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433FD3B"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560" w:type="dxa"/>
            <w:tcBorders>
              <w:top w:val="nil"/>
              <w:left w:val="nil"/>
              <w:bottom w:val="single" w:sz="4" w:space="0" w:color="auto"/>
              <w:right w:val="single" w:sz="4" w:space="0" w:color="auto"/>
            </w:tcBorders>
            <w:shd w:val="clear" w:color="000000" w:fill="FFFFFF"/>
            <w:noWrap/>
            <w:vAlign w:val="bottom"/>
            <w:hideMark/>
          </w:tcPr>
          <w:p w14:paraId="1986A045" w14:textId="477CB9B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13.464,91</w:t>
            </w:r>
          </w:p>
        </w:tc>
        <w:tc>
          <w:tcPr>
            <w:tcW w:w="1417" w:type="dxa"/>
            <w:tcBorders>
              <w:top w:val="nil"/>
              <w:left w:val="nil"/>
              <w:bottom w:val="single" w:sz="4" w:space="0" w:color="auto"/>
              <w:right w:val="single" w:sz="4" w:space="0" w:color="auto"/>
            </w:tcBorders>
            <w:shd w:val="clear" w:color="000000" w:fill="FFFFFF"/>
            <w:noWrap/>
            <w:vAlign w:val="bottom"/>
            <w:hideMark/>
          </w:tcPr>
          <w:p w14:paraId="5CBF36C1" w14:textId="315B768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0,41%</w:t>
            </w:r>
          </w:p>
        </w:tc>
        <w:tc>
          <w:tcPr>
            <w:tcW w:w="1275" w:type="dxa"/>
            <w:tcBorders>
              <w:top w:val="nil"/>
              <w:left w:val="nil"/>
              <w:bottom w:val="single" w:sz="4" w:space="0" w:color="auto"/>
              <w:right w:val="single" w:sz="4" w:space="0" w:color="auto"/>
            </w:tcBorders>
            <w:shd w:val="clear" w:color="000000" w:fill="FFFFFF"/>
            <w:noWrap/>
            <w:vAlign w:val="bottom"/>
            <w:hideMark/>
          </w:tcPr>
          <w:p w14:paraId="2EA47317" w14:textId="49A6F36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5DFFF30" w14:textId="2F07978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2D4DB95E" w14:textId="76E79F4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19CD1867" w14:textId="7F8B3D0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6C2DE54E" w14:textId="4ED370F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13.464,91</w:t>
            </w:r>
          </w:p>
        </w:tc>
        <w:tc>
          <w:tcPr>
            <w:tcW w:w="1192" w:type="dxa"/>
            <w:tcBorders>
              <w:top w:val="nil"/>
              <w:left w:val="nil"/>
              <w:bottom w:val="single" w:sz="4" w:space="0" w:color="auto"/>
              <w:right w:val="single" w:sz="4" w:space="0" w:color="auto"/>
            </w:tcBorders>
            <w:shd w:val="clear" w:color="000000" w:fill="FFFFFF"/>
            <w:noWrap/>
            <w:vAlign w:val="bottom"/>
            <w:hideMark/>
          </w:tcPr>
          <w:p w14:paraId="37C2E2E3" w14:textId="5E31617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1C719DAA"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3746D621"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560" w:type="dxa"/>
            <w:tcBorders>
              <w:top w:val="nil"/>
              <w:left w:val="nil"/>
              <w:bottom w:val="single" w:sz="4" w:space="0" w:color="auto"/>
              <w:right w:val="single" w:sz="4" w:space="0" w:color="auto"/>
            </w:tcBorders>
            <w:shd w:val="clear" w:color="000000" w:fill="FFFFFF"/>
            <w:noWrap/>
            <w:vAlign w:val="bottom"/>
            <w:hideMark/>
          </w:tcPr>
          <w:p w14:paraId="339180D6" w14:textId="6B83304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9.540,90</w:t>
            </w:r>
          </w:p>
        </w:tc>
        <w:tc>
          <w:tcPr>
            <w:tcW w:w="1417" w:type="dxa"/>
            <w:tcBorders>
              <w:top w:val="nil"/>
              <w:left w:val="nil"/>
              <w:bottom w:val="single" w:sz="4" w:space="0" w:color="auto"/>
              <w:right w:val="single" w:sz="4" w:space="0" w:color="auto"/>
            </w:tcBorders>
            <w:shd w:val="clear" w:color="000000" w:fill="FFFFFF"/>
            <w:noWrap/>
            <w:vAlign w:val="bottom"/>
            <w:hideMark/>
          </w:tcPr>
          <w:p w14:paraId="70086B34" w14:textId="05D138F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0E05A573" w14:textId="3D361A4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9A8F47D" w14:textId="50D785D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1B80C5E" w14:textId="0A7F2E5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7CBF4B62" w14:textId="1DBDC70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51BBFB9E" w14:textId="0B477F9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9.540,90</w:t>
            </w:r>
          </w:p>
        </w:tc>
        <w:tc>
          <w:tcPr>
            <w:tcW w:w="1192" w:type="dxa"/>
            <w:tcBorders>
              <w:top w:val="nil"/>
              <w:left w:val="nil"/>
              <w:bottom w:val="single" w:sz="4" w:space="0" w:color="auto"/>
              <w:right w:val="single" w:sz="4" w:space="0" w:color="auto"/>
            </w:tcBorders>
            <w:shd w:val="clear" w:color="000000" w:fill="FFFFFF"/>
            <w:noWrap/>
            <w:vAlign w:val="bottom"/>
            <w:hideMark/>
          </w:tcPr>
          <w:p w14:paraId="33B0B08B" w14:textId="0EB08F4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77DF7D35"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DBA3C14" w14:textId="10EE7101"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560" w:type="dxa"/>
            <w:tcBorders>
              <w:top w:val="nil"/>
              <w:left w:val="nil"/>
              <w:bottom w:val="single" w:sz="4" w:space="0" w:color="auto"/>
              <w:right w:val="single" w:sz="4" w:space="0" w:color="auto"/>
            </w:tcBorders>
            <w:shd w:val="clear" w:color="000000" w:fill="FFFFFF"/>
            <w:noWrap/>
            <w:vAlign w:val="bottom"/>
            <w:hideMark/>
          </w:tcPr>
          <w:p w14:paraId="7C9FA361" w14:textId="7D0B069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9.540,90</w:t>
            </w:r>
          </w:p>
        </w:tc>
        <w:tc>
          <w:tcPr>
            <w:tcW w:w="1417" w:type="dxa"/>
            <w:tcBorders>
              <w:top w:val="nil"/>
              <w:left w:val="nil"/>
              <w:bottom w:val="single" w:sz="4" w:space="0" w:color="auto"/>
              <w:right w:val="single" w:sz="4" w:space="0" w:color="auto"/>
            </w:tcBorders>
            <w:shd w:val="clear" w:color="000000" w:fill="FFFFFF"/>
            <w:noWrap/>
            <w:vAlign w:val="bottom"/>
            <w:hideMark/>
          </w:tcPr>
          <w:p w14:paraId="134BB175" w14:textId="14E69D8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59E39AA9" w14:textId="157129C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BB13857" w14:textId="4B93E4D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28CB0725" w14:textId="550E2FF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FDDF05C" w14:textId="0CBCB12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505AABB3" w14:textId="3E13A95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9.540,90</w:t>
            </w:r>
          </w:p>
        </w:tc>
        <w:tc>
          <w:tcPr>
            <w:tcW w:w="1192" w:type="dxa"/>
            <w:tcBorders>
              <w:top w:val="nil"/>
              <w:left w:val="nil"/>
              <w:bottom w:val="single" w:sz="4" w:space="0" w:color="auto"/>
              <w:right w:val="single" w:sz="4" w:space="0" w:color="auto"/>
            </w:tcBorders>
            <w:shd w:val="clear" w:color="000000" w:fill="FFFFFF"/>
            <w:noWrap/>
            <w:vAlign w:val="bottom"/>
            <w:hideMark/>
          </w:tcPr>
          <w:p w14:paraId="4179C74C" w14:textId="3F954AB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6D32C464"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53D348D9"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560" w:type="dxa"/>
            <w:tcBorders>
              <w:top w:val="nil"/>
              <w:left w:val="nil"/>
              <w:bottom w:val="single" w:sz="4" w:space="0" w:color="auto"/>
              <w:right w:val="single" w:sz="4" w:space="0" w:color="auto"/>
            </w:tcBorders>
            <w:shd w:val="clear" w:color="000000" w:fill="FFFFFF"/>
            <w:noWrap/>
            <w:vAlign w:val="bottom"/>
            <w:hideMark/>
          </w:tcPr>
          <w:p w14:paraId="6B9E8A91" w14:textId="6D03725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68.411,77</w:t>
            </w:r>
          </w:p>
        </w:tc>
        <w:tc>
          <w:tcPr>
            <w:tcW w:w="1417" w:type="dxa"/>
            <w:tcBorders>
              <w:top w:val="nil"/>
              <w:left w:val="nil"/>
              <w:bottom w:val="single" w:sz="4" w:space="0" w:color="auto"/>
              <w:right w:val="single" w:sz="4" w:space="0" w:color="auto"/>
            </w:tcBorders>
            <w:shd w:val="clear" w:color="000000" w:fill="FFFFFF"/>
            <w:noWrap/>
            <w:vAlign w:val="bottom"/>
            <w:hideMark/>
          </w:tcPr>
          <w:p w14:paraId="3C36BF6F" w14:textId="20EA37F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2,09%</w:t>
            </w:r>
          </w:p>
        </w:tc>
        <w:tc>
          <w:tcPr>
            <w:tcW w:w="1275" w:type="dxa"/>
            <w:tcBorders>
              <w:top w:val="nil"/>
              <w:left w:val="nil"/>
              <w:bottom w:val="single" w:sz="4" w:space="0" w:color="auto"/>
              <w:right w:val="single" w:sz="4" w:space="0" w:color="auto"/>
            </w:tcBorders>
            <w:shd w:val="clear" w:color="000000" w:fill="FFFFFF"/>
            <w:noWrap/>
            <w:vAlign w:val="bottom"/>
            <w:hideMark/>
          </w:tcPr>
          <w:p w14:paraId="1B5AC863" w14:textId="390DD1C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4C64740" w14:textId="51A7740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45A80817" w14:textId="588709B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A4B29C7" w14:textId="3A5C927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08EA5D1" w14:textId="37D9947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68.411,77</w:t>
            </w:r>
          </w:p>
        </w:tc>
        <w:tc>
          <w:tcPr>
            <w:tcW w:w="1192" w:type="dxa"/>
            <w:tcBorders>
              <w:top w:val="nil"/>
              <w:left w:val="nil"/>
              <w:bottom w:val="single" w:sz="4" w:space="0" w:color="auto"/>
              <w:right w:val="single" w:sz="4" w:space="0" w:color="auto"/>
            </w:tcBorders>
            <w:shd w:val="clear" w:color="000000" w:fill="FFFFFF"/>
            <w:noWrap/>
            <w:vAlign w:val="bottom"/>
            <w:hideMark/>
          </w:tcPr>
          <w:p w14:paraId="4B7BF354" w14:textId="783A961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36F73303"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FA5193A" w14:textId="71DBCCCC"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1560" w:type="dxa"/>
            <w:tcBorders>
              <w:top w:val="nil"/>
              <w:left w:val="nil"/>
              <w:bottom w:val="single" w:sz="4" w:space="0" w:color="auto"/>
              <w:right w:val="single" w:sz="4" w:space="0" w:color="auto"/>
            </w:tcBorders>
            <w:shd w:val="clear" w:color="000000" w:fill="FFFFFF"/>
            <w:noWrap/>
            <w:vAlign w:val="bottom"/>
            <w:hideMark/>
          </w:tcPr>
          <w:p w14:paraId="0BC5AB4D" w14:textId="7845C4E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9.540,91</w:t>
            </w:r>
          </w:p>
        </w:tc>
        <w:tc>
          <w:tcPr>
            <w:tcW w:w="1417" w:type="dxa"/>
            <w:tcBorders>
              <w:top w:val="nil"/>
              <w:left w:val="nil"/>
              <w:bottom w:val="single" w:sz="4" w:space="0" w:color="auto"/>
              <w:right w:val="single" w:sz="4" w:space="0" w:color="auto"/>
            </w:tcBorders>
            <w:shd w:val="clear" w:color="000000" w:fill="FFFFFF"/>
            <w:noWrap/>
            <w:vAlign w:val="bottom"/>
            <w:hideMark/>
          </w:tcPr>
          <w:p w14:paraId="39496BA9" w14:textId="2333BF8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50B3FF32" w14:textId="2F9F690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245201F9" w14:textId="0F30BF3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79227B01" w14:textId="64F7626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3AD5D57E" w14:textId="6028540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386C0DA1" w14:textId="4C7ED2E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9.540,91</w:t>
            </w:r>
          </w:p>
        </w:tc>
        <w:tc>
          <w:tcPr>
            <w:tcW w:w="1192" w:type="dxa"/>
            <w:tcBorders>
              <w:top w:val="nil"/>
              <w:left w:val="nil"/>
              <w:bottom w:val="single" w:sz="4" w:space="0" w:color="auto"/>
              <w:right w:val="single" w:sz="4" w:space="0" w:color="auto"/>
            </w:tcBorders>
            <w:shd w:val="clear" w:color="000000" w:fill="FFFFFF"/>
            <w:noWrap/>
            <w:vAlign w:val="bottom"/>
            <w:hideMark/>
          </w:tcPr>
          <w:p w14:paraId="24539E93" w14:textId="7B7D45F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67577D9B"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46CCA1D"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Parkirišča za kolesa - park</w:t>
            </w:r>
          </w:p>
        </w:tc>
        <w:tc>
          <w:tcPr>
            <w:tcW w:w="1560" w:type="dxa"/>
            <w:tcBorders>
              <w:top w:val="nil"/>
              <w:left w:val="nil"/>
              <w:bottom w:val="single" w:sz="4" w:space="0" w:color="auto"/>
              <w:right w:val="single" w:sz="4" w:space="0" w:color="auto"/>
            </w:tcBorders>
            <w:shd w:val="clear" w:color="000000" w:fill="FFFFFF"/>
            <w:noWrap/>
            <w:vAlign w:val="bottom"/>
            <w:hideMark/>
          </w:tcPr>
          <w:p w14:paraId="1C929414" w14:textId="7F7FFE3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12.180,49</w:t>
            </w:r>
          </w:p>
        </w:tc>
        <w:tc>
          <w:tcPr>
            <w:tcW w:w="1417" w:type="dxa"/>
            <w:tcBorders>
              <w:top w:val="nil"/>
              <w:left w:val="nil"/>
              <w:bottom w:val="single" w:sz="4" w:space="0" w:color="auto"/>
              <w:right w:val="single" w:sz="4" w:space="0" w:color="auto"/>
            </w:tcBorders>
            <w:shd w:val="clear" w:color="000000" w:fill="FFFFFF"/>
            <w:noWrap/>
            <w:vAlign w:val="bottom"/>
            <w:hideMark/>
          </w:tcPr>
          <w:p w14:paraId="3E477911" w14:textId="4F24C3F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0,37%</w:t>
            </w:r>
          </w:p>
        </w:tc>
        <w:tc>
          <w:tcPr>
            <w:tcW w:w="1275" w:type="dxa"/>
            <w:tcBorders>
              <w:top w:val="nil"/>
              <w:left w:val="nil"/>
              <w:bottom w:val="single" w:sz="4" w:space="0" w:color="auto"/>
              <w:right w:val="single" w:sz="4" w:space="0" w:color="auto"/>
            </w:tcBorders>
            <w:shd w:val="clear" w:color="000000" w:fill="FFFFFF"/>
            <w:noWrap/>
            <w:vAlign w:val="bottom"/>
            <w:hideMark/>
          </w:tcPr>
          <w:p w14:paraId="56FC44AF" w14:textId="18D6440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26E3E0AA" w14:textId="4E9B02B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0F2EB39A" w14:textId="453A218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DACC642" w14:textId="5300E66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383E8501" w14:textId="3676E2E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12.180,49</w:t>
            </w:r>
          </w:p>
        </w:tc>
        <w:tc>
          <w:tcPr>
            <w:tcW w:w="1192" w:type="dxa"/>
            <w:tcBorders>
              <w:top w:val="nil"/>
              <w:left w:val="nil"/>
              <w:bottom w:val="single" w:sz="4" w:space="0" w:color="auto"/>
              <w:right w:val="single" w:sz="4" w:space="0" w:color="auto"/>
            </w:tcBorders>
            <w:shd w:val="clear" w:color="000000" w:fill="FFFFFF"/>
            <w:noWrap/>
            <w:vAlign w:val="bottom"/>
            <w:hideMark/>
          </w:tcPr>
          <w:p w14:paraId="51814596" w14:textId="3FA7FD5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3F202FB1" w14:textId="77777777" w:rsidTr="006935EA">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27A95A7" w14:textId="77777777" w:rsidR="00436BE7" w:rsidRPr="000020F0" w:rsidRDefault="00436BE7" w:rsidP="00436BE7">
            <w:pPr>
              <w:rPr>
                <w:rFonts w:ascii="Roboto" w:hAnsi="Roboto"/>
                <w:color w:val="000000"/>
                <w:sz w:val="20"/>
                <w:szCs w:val="20"/>
              </w:rPr>
            </w:pPr>
            <w:r w:rsidRPr="000020F0">
              <w:rPr>
                <w:rFonts w:ascii="Roboto" w:hAnsi="Roboto"/>
                <w:color w:val="000000"/>
                <w:sz w:val="20"/>
                <w:szCs w:val="20"/>
              </w:rPr>
              <w:t>Avtobusno postajališče - nivo ceste</w:t>
            </w:r>
          </w:p>
        </w:tc>
        <w:tc>
          <w:tcPr>
            <w:tcW w:w="1560" w:type="dxa"/>
            <w:tcBorders>
              <w:top w:val="nil"/>
              <w:left w:val="nil"/>
              <w:bottom w:val="single" w:sz="4" w:space="0" w:color="auto"/>
              <w:right w:val="single" w:sz="4" w:space="0" w:color="auto"/>
            </w:tcBorders>
            <w:shd w:val="clear" w:color="000000" w:fill="FFFFFF"/>
            <w:noWrap/>
            <w:vAlign w:val="bottom"/>
            <w:hideMark/>
          </w:tcPr>
          <w:p w14:paraId="53CBE230" w14:textId="66D5D08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310.725,31</w:t>
            </w:r>
          </w:p>
        </w:tc>
        <w:tc>
          <w:tcPr>
            <w:tcW w:w="1417" w:type="dxa"/>
            <w:tcBorders>
              <w:top w:val="nil"/>
              <w:left w:val="nil"/>
              <w:bottom w:val="single" w:sz="4" w:space="0" w:color="auto"/>
              <w:right w:val="single" w:sz="4" w:space="0" w:color="auto"/>
            </w:tcBorders>
            <w:shd w:val="clear" w:color="000000" w:fill="FFFFFF"/>
            <w:noWrap/>
            <w:vAlign w:val="bottom"/>
            <w:hideMark/>
          </w:tcPr>
          <w:p w14:paraId="4FB11FF5" w14:textId="1DA8765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9,48%</w:t>
            </w:r>
          </w:p>
        </w:tc>
        <w:tc>
          <w:tcPr>
            <w:tcW w:w="1275" w:type="dxa"/>
            <w:tcBorders>
              <w:top w:val="nil"/>
              <w:left w:val="nil"/>
              <w:bottom w:val="single" w:sz="4" w:space="0" w:color="auto"/>
              <w:right w:val="single" w:sz="4" w:space="0" w:color="auto"/>
            </w:tcBorders>
            <w:shd w:val="clear" w:color="000000" w:fill="FFFFFF"/>
            <w:noWrap/>
            <w:vAlign w:val="bottom"/>
            <w:hideMark/>
          </w:tcPr>
          <w:p w14:paraId="5923CFA5" w14:textId="158A705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4DE1DE62" w14:textId="1BE4032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D1D2F97" w14:textId="07CFF81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13B79378" w14:textId="7A4E59C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310.725,31</w:t>
            </w:r>
          </w:p>
        </w:tc>
        <w:tc>
          <w:tcPr>
            <w:tcW w:w="1501" w:type="dxa"/>
            <w:tcBorders>
              <w:top w:val="nil"/>
              <w:left w:val="nil"/>
              <w:bottom w:val="single" w:sz="4" w:space="0" w:color="auto"/>
              <w:right w:val="single" w:sz="4" w:space="0" w:color="auto"/>
            </w:tcBorders>
            <w:shd w:val="clear" w:color="000000" w:fill="FFFFFF"/>
            <w:noWrap/>
            <w:vAlign w:val="bottom"/>
            <w:hideMark/>
          </w:tcPr>
          <w:p w14:paraId="04A10D62" w14:textId="4AD15EF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shd w:val="clear" w:color="000000" w:fill="FFFFFF"/>
            <w:noWrap/>
            <w:vAlign w:val="bottom"/>
            <w:hideMark/>
          </w:tcPr>
          <w:p w14:paraId="318B1137" w14:textId="7AB3C12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2E52CF3D" w14:textId="77777777" w:rsidTr="006935EA">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50D2626E"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Sanitarije</w:t>
            </w:r>
          </w:p>
        </w:tc>
        <w:tc>
          <w:tcPr>
            <w:tcW w:w="1560" w:type="dxa"/>
            <w:tcBorders>
              <w:top w:val="nil"/>
              <w:left w:val="nil"/>
              <w:bottom w:val="single" w:sz="4" w:space="0" w:color="auto"/>
              <w:right w:val="single" w:sz="4" w:space="0" w:color="auto"/>
            </w:tcBorders>
            <w:shd w:val="clear" w:color="000000" w:fill="FFFFFF"/>
            <w:noWrap/>
            <w:vAlign w:val="bottom"/>
            <w:hideMark/>
          </w:tcPr>
          <w:p w14:paraId="3216FA97" w14:textId="27FEE723"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92.284,99</w:t>
            </w:r>
          </w:p>
        </w:tc>
        <w:tc>
          <w:tcPr>
            <w:tcW w:w="1417" w:type="dxa"/>
            <w:tcBorders>
              <w:top w:val="nil"/>
              <w:left w:val="nil"/>
              <w:bottom w:val="single" w:sz="4" w:space="0" w:color="auto"/>
              <w:right w:val="single" w:sz="4" w:space="0" w:color="auto"/>
            </w:tcBorders>
            <w:shd w:val="clear" w:color="000000" w:fill="FFFFFF"/>
            <w:noWrap/>
            <w:vAlign w:val="bottom"/>
            <w:hideMark/>
          </w:tcPr>
          <w:p w14:paraId="36984A86" w14:textId="0CB78104"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2,82%</w:t>
            </w:r>
          </w:p>
        </w:tc>
        <w:tc>
          <w:tcPr>
            <w:tcW w:w="1275" w:type="dxa"/>
            <w:tcBorders>
              <w:top w:val="nil"/>
              <w:left w:val="nil"/>
              <w:bottom w:val="single" w:sz="4" w:space="0" w:color="auto"/>
              <w:right w:val="single" w:sz="4" w:space="0" w:color="auto"/>
            </w:tcBorders>
            <w:shd w:val="clear" w:color="000000" w:fill="FFFFFF"/>
            <w:noWrap/>
            <w:vAlign w:val="bottom"/>
            <w:hideMark/>
          </w:tcPr>
          <w:p w14:paraId="0B6FBE17" w14:textId="206D00CE"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8DC2FCD" w14:textId="60F14FF0"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1222B533" w14:textId="7487E4F3"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88E2451" w14:textId="3C53EEC8"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60141981" w14:textId="39A736A1"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92.284,99</w:t>
            </w:r>
          </w:p>
        </w:tc>
        <w:tc>
          <w:tcPr>
            <w:tcW w:w="1192" w:type="dxa"/>
            <w:tcBorders>
              <w:top w:val="nil"/>
              <w:left w:val="nil"/>
              <w:bottom w:val="single" w:sz="4" w:space="0" w:color="auto"/>
              <w:right w:val="single" w:sz="4" w:space="0" w:color="auto"/>
            </w:tcBorders>
            <w:shd w:val="clear" w:color="000000" w:fill="FFFFFF"/>
            <w:noWrap/>
            <w:vAlign w:val="bottom"/>
            <w:hideMark/>
          </w:tcPr>
          <w:p w14:paraId="7E236125" w14:textId="776F4D4E" w:rsidR="00436BE7" w:rsidRPr="000020F0" w:rsidRDefault="00436BE7" w:rsidP="00436BE7">
            <w:pPr>
              <w:jc w:val="right"/>
              <w:rPr>
                <w:rFonts w:ascii="Arial" w:hAnsi="Arial" w:cs="Arial"/>
                <w:i/>
                <w:iCs/>
                <w:color w:val="000000"/>
                <w:sz w:val="20"/>
                <w:szCs w:val="20"/>
              </w:rPr>
            </w:pPr>
            <w:r w:rsidRPr="000020F0">
              <w:rPr>
                <w:rFonts w:ascii="Arial" w:hAnsi="Arial" w:cs="Arial"/>
                <w:i/>
                <w:iCs/>
                <w:color w:val="000000"/>
                <w:sz w:val="20"/>
                <w:szCs w:val="20"/>
              </w:rPr>
              <w:t>0,00</w:t>
            </w:r>
          </w:p>
        </w:tc>
      </w:tr>
      <w:tr w:rsidR="00436BE7" w:rsidRPr="000020F0" w14:paraId="23869A88" w14:textId="77777777" w:rsidTr="006935EA">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39E5284F" w14:textId="77777777" w:rsidR="00436BE7" w:rsidRPr="000020F0" w:rsidRDefault="00436BE7" w:rsidP="00436BE7">
            <w:pPr>
              <w:rPr>
                <w:rFonts w:ascii="Roboto" w:hAnsi="Roboto"/>
                <w:color w:val="000000"/>
                <w:sz w:val="20"/>
                <w:szCs w:val="20"/>
              </w:rPr>
            </w:pPr>
            <w:r w:rsidRPr="000020F0">
              <w:rPr>
                <w:rFonts w:ascii="Roboto" w:hAnsi="Roboto"/>
                <w:color w:val="000000"/>
                <w:sz w:val="20"/>
                <w:szCs w:val="20"/>
              </w:rPr>
              <w:t>Avtobusno postajališče - nadstrešnica</w:t>
            </w:r>
          </w:p>
        </w:tc>
        <w:tc>
          <w:tcPr>
            <w:tcW w:w="1560" w:type="dxa"/>
            <w:tcBorders>
              <w:top w:val="nil"/>
              <w:left w:val="nil"/>
              <w:bottom w:val="single" w:sz="4" w:space="0" w:color="auto"/>
              <w:right w:val="single" w:sz="4" w:space="0" w:color="auto"/>
            </w:tcBorders>
            <w:shd w:val="clear" w:color="000000" w:fill="FFFFFF"/>
            <w:noWrap/>
            <w:vAlign w:val="bottom"/>
            <w:hideMark/>
          </w:tcPr>
          <w:p w14:paraId="27482DAD" w14:textId="7E7692E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271.249,66</w:t>
            </w:r>
          </w:p>
        </w:tc>
        <w:tc>
          <w:tcPr>
            <w:tcW w:w="1417" w:type="dxa"/>
            <w:tcBorders>
              <w:top w:val="nil"/>
              <w:left w:val="nil"/>
              <w:bottom w:val="single" w:sz="4" w:space="0" w:color="auto"/>
              <w:right w:val="single" w:sz="4" w:space="0" w:color="auto"/>
            </w:tcBorders>
            <w:shd w:val="clear" w:color="000000" w:fill="FFFFFF"/>
            <w:noWrap/>
            <w:vAlign w:val="bottom"/>
            <w:hideMark/>
          </w:tcPr>
          <w:p w14:paraId="170D0A8F" w14:textId="63523D2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8,28%</w:t>
            </w:r>
          </w:p>
        </w:tc>
        <w:tc>
          <w:tcPr>
            <w:tcW w:w="1275" w:type="dxa"/>
            <w:tcBorders>
              <w:top w:val="nil"/>
              <w:left w:val="nil"/>
              <w:bottom w:val="single" w:sz="4" w:space="0" w:color="auto"/>
              <w:right w:val="single" w:sz="4" w:space="0" w:color="auto"/>
            </w:tcBorders>
            <w:shd w:val="clear" w:color="000000" w:fill="FFFFFF"/>
            <w:noWrap/>
            <w:vAlign w:val="bottom"/>
            <w:hideMark/>
          </w:tcPr>
          <w:p w14:paraId="6A5AD914" w14:textId="6B0FE23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A46B8E5" w14:textId="01F2A1F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463000DC" w14:textId="550819E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3A9DBF54" w14:textId="082E7A4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271.249,66</w:t>
            </w:r>
          </w:p>
        </w:tc>
        <w:tc>
          <w:tcPr>
            <w:tcW w:w="1501" w:type="dxa"/>
            <w:tcBorders>
              <w:top w:val="nil"/>
              <w:left w:val="nil"/>
              <w:bottom w:val="single" w:sz="4" w:space="0" w:color="auto"/>
              <w:right w:val="single" w:sz="4" w:space="0" w:color="auto"/>
            </w:tcBorders>
            <w:shd w:val="clear" w:color="000000" w:fill="FFFFFF"/>
            <w:noWrap/>
            <w:vAlign w:val="bottom"/>
            <w:hideMark/>
          </w:tcPr>
          <w:p w14:paraId="50C1D753" w14:textId="05710A5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shd w:val="clear" w:color="000000" w:fill="FFFFFF"/>
            <w:noWrap/>
            <w:vAlign w:val="bottom"/>
            <w:hideMark/>
          </w:tcPr>
          <w:p w14:paraId="376E74E1" w14:textId="19D958D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21BC7D11" w14:textId="77777777" w:rsidTr="006935EA">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7DE30F1F"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Parkirišče z vhodom v šolo</w:t>
            </w:r>
          </w:p>
        </w:tc>
        <w:tc>
          <w:tcPr>
            <w:tcW w:w="1560" w:type="dxa"/>
            <w:tcBorders>
              <w:top w:val="nil"/>
              <w:left w:val="nil"/>
              <w:bottom w:val="single" w:sz="4" w:space="0" w:color="auto"/>
              <w:right w:val="single" w:sz="4" w:space="0" w:color="auto"/>
            </w:tcBorders>
            <w:shd w:val="clear" w:color="000000" w:fill="FFFFFF"/>
            <w:noWrap/>
            <w:vAlign w:val="bottom"/>
            <w:hideMark/>
          </w:tcPr>
          <w:p w14:paraId="0AC80F8D" w14:textId="1047CD8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397.454,42</w:t>
            </w:r>
          </w:p>
        </w:tc>
        <w:tc>
          <w:tcPr>
            <w:tcW w:w="1417" w:type="dxa"/>
            <w:tcBorders>
              <w:top w:val="nil"/>
              <w:left w:val="nil"/>
              <w:bottom w:val="single" w:sz="4" w:space="0" w:color="auto"/>
              <w:right w:val="single" w:sz="4" w:space="0" w:color="auto"/>
            </w:tcBorders>
            <w:noWrap/>
            <w:vAlign w:val="bottom"/>
            <w:hideMark/>
          </w:tcPr>
          <w:p w14:paraId="38094E4B" w14:textId="2FEF0D7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12,13%</w:t>
            </w:r>
          </w:p>
        </w:tc>
        <w:tc>
          <w:tcPr>
            <w:tcW w:w="1275" w:type="dxa"/>
            <w:tcBorders>
              <w:top w:val="nil"/>
              <w:left w:val="nil"/>
              <w:bottom w:val="single" w:sz="4" w:space="0" w:color="auto"/>
              <w:right w:val="single" w:sz="4" w:space="0" w:color="auto"/>
            </w:tcBorders>
            <w:noWrap/>
            <w:vAlign w:val="bottom"/>
            <w:hideMark/>
          </w:tcPr>
          <w:p w14:paraId="580D6451" w14:textId="2C15E8E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4CE65CC" w14:textId="6DFC940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4D240BF0" w14:textId="6A493AC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AEAE54E" w14:textId="47E16D5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206BC97D" w14:textId="1DB1CB5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397.454,42</w:t>
            </w:r>
          </w:p>
        </w:tc>
        <w:tc>
          <w:tcPr>
            <w:tcW w:w="1192" w:type="dxa"/>
            <w:tcBorders>
              <w:top w:val="nil"/>
              <w:left w:val="nil"/>
              <w:bottom w:val="single" w:sz="4" w:space="0" w:color="auto"/>
              <w:right w:val="single" w:sz="4" w:space="0" w:color="auto"/>
            </w:tcBorders>
            <w:noWrap/>
            <w:vAlign w:val="bottom"/>
            <w:hideMark/>
          </w:tcPr>
          <w:p w14:paraId="621D8677" w14:textId="6E2BB00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044ACF0F"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DAE9F8"/>
            <w:noWrap/>
            <w:vAlign w:val="bottom"/>
            <w:hideMark/>
          </w:tcPr>
          <w:p w14:paraId="5716B5FD" w14:textId="77777777" w:rsidR="00436BE7" w:rsidRPr="000020F0" w:rsidRDefault="00436BE7" w:rsidP="00436BE7">
            <w:pPr>
              <w:rPr>
                <w:rFonts w:ascii="Arial" w:hAnsi="Arial" w:cs="Arial"/>
                <w:b/>
                <w:bCs/>
                <w:i/>
                <w:iCs/>
                <w:color w:val="000000"/>
                <w:sz w:val="20"/>
                <w:szCs w:val="20"/>
              </w:rPr>
            </w:pPr>
            <w:r w:rsidRPr="000020F0">
              <w:rPr>
                <w:rFonts w:ascii="Arial" w:hAnsi="Arial" w:cs="Arial"/>
                <w:b/>
                <w:bCs/>
                <w:i/>
                <w:iCs/>
                <w:color w:val="000000"/>
                <w:sz w:val="20"/>
                <w:szCs w:val="20"/>
              </w:rPr>
              <w:t>Skupaj GOI dela</w:t>
            </w:r>
          </w:p>
        </w:tc>
        <w:tc>
          <w:tcPr>
            <w:tcW w:w="1560" w:type="dxa"/>
            <w:tcBorders>
              <w:top w:val="nil"/>
              <w:left w:val="nil"/>
              <w:bottom w:val="single" w:sz="4" w:space="0" w:color="auto"/>
              <w:right w:val="single" w:sz="4" w:space="0" w:color="auto"/>
            </w:tcBorders>
            <w:shd w:val="clear" w:color="000000" w:fill="DAE9F8"/>
            <w:noWrap/>
            <w:vAlign w:val="bottom"/>
            <w:hideMark/>
          </w:tcPr>
          <w:p w14:paraId="1D508952" w14:textId="71608626"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2.201.875,08</w:t>
            </w:r>
          </w:p>
        </w:tc>
        <w:tc>
          <w:tcPr>
            <w:tcW w:w="1417" w:type="dxa"/>
            <w:tcBorders>
              <w:top w:val="nil"/>
              <w:left w:val="nil"/>
              <w:bottom w:val="single" w:sz="4" w:space="0" w:color="auto"/>
              <w:right w:val="single" w:sz="4" w:space="0" w:color="auto"/>
            </w:tcBorders>
            <w:shd w:val="clear" w:color="000000" w:fill="DAE9F8"/>
            <w:noWrap/>
            <w:vAlign w:val="bottom"/>
            <w:hideMark/>
          </w:tcPr>
          <w:p w14:paraId="35B0E389" w14:textId="797698FC"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67,19%</w:t>
            </w:r>
          </w:p>
        </w:tc>
        <w:tc>
          <w:tcPr>
            <w:tcW w:w="1275" w:type="dxa"/>
            <w:tcBorders>
              <w:top w:val="nil"/>
              <w:left w:val="nil"/>
              <w:bottom w:val="single" w:sz="4" w:space="0" w:color="auto"/>
              <w:right w:val="single" w:sz="4" w:space="0" w:color="auto"/>
            </w:tcBorders>
            <w:shd w:val="clear" w:color="000000" w:fill="DAE9F8"/>
            <w:noWrap/>
            <w:vAlign w:val="bottom"/>
            <w:hideMark/>
          </w:tcPr>
          <w:p w14:paraId="5E15C2F4" w14:textId="5857F84A"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276" w:type="dxa"/>
            <w:tcBorders>
              <w:top w:val="nil"/>
              <w:left w:val="nil"/>
              <w:bottom w:val="single" w:sz="4" w:space="0" w:color="auto"/>
              <w:right w:val="single" w:sz="4" w:space="0" w:color="auto"/>
            </w:tcBorders>
            <w:shd w:val="clear" w:color="000000" w:fill="DAE9F8"/>
            <w:noWrap/>
            <w:vAlign w:val="bottom"/>
            <w:hideMark/>
          </w:tcPr>
          <w:p w14:paraId="03E4EFB9" w14:textId="58090E5A"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134" w:type="dxa"/>
            <w:tcBorders>
              <w:top w:val="nil"/>
              <w:left w:val="nil"/>
              <w:bottom w:val="single" w:sz="4" w:space="0" w:color="auto"/>
              <w:right w:val="single" w:sz="4" w:space="0" w:color="auto"/>
            </w:tcBorders>
            <w:shd w:val="clear" w:color="000000" w:fill="DAE9F8"/>
            <w:noWrap/>
            <w:vAlign w:val="bottom"/>
            <w:hideMark/>
          </w:tcPr>
          <w:p w14:paraId="00CD40F6" w14:textId="1E38E650"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418" w:type="dxa"/>
            <w:tcBorders>
              <w:top w:val="nil"/>
              <w:left w:val="nil"/>
              <w:bottom w:val="single" w:sz="4" w:space="0" w:color="auto"/>
              <w:right w:val="single" w:sz="4" w:space="0" w:color="auto"/>
            </w:tcBorders>
            <w:shd w:val="clear" w:color="000000" w:fill="DAE9F8"/>
            <w:noWrap/>
            <w:vAlign w:val="bottom"/>
            <w:hideMark/>
          </w:tcPr>
          <w:p w14:paraId="5D41CC0C" w14:textId="7620E9DE"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581.974,97</w:t>
            </w:r>
          </w:p>
        </w:tc>
        <w:tc>
          <w:tcPr>
            <w:tcW w:w="1501" w:type="dxa"/>
            <w:tcBorders>
              <w:top w:val="nil"/>
              <w:left w:val="nil"/>
              <w:bottom w:val="single" w:sz="4" w:space="0" w:color="auto"/>
              <w:right w:val="single" w:sz="4" w:space="0" w:color="auto"/>
            </w:tcBorders>
            <w:shd w:val="clear" w:color="000000" w:fill="DAE9F8"/>
            <w:noWrap/>
            <w:vAlign w:val="bottom"/>
            <w:hideMark/>
          </w:tcPr>
          <w:p w14:paraId="403DC86B" w14:textId="3AB3F02B"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1.572.501,11</w:t>
            </w:r>
          </w:p>
        </w:tc>
        <w:tc>
          <w:tcPr>
            <w:tcW w:w="1192" w:type="dxa"/>
            <w:tcBorders>
              <w:top w:val="nil"/>
              <w:left w:val="nil"/>
              <w:bottom w:val="single" w:sz="4" w:space="0" w:color="auto"/>
              <w:right w:val="single" w:sz="4" w:space="0" w:color="auto"/>
            </w:tcBorders>
            <w:shd w:val="clear" w:color="000000" w:fill="DAE9F8"/>
            <w:noWrap/>
            <w:vAlign w:val="bottom"/>
            <w:hideMark/>
          </w:tcPr>
          <w:p w14:paraId="1D3E90EE" w14:textId="4DA61072" w:rsidR="00436BE7" w:rsidRPr="000020F0" w:rsidRDefault="00436BE7" w:rsidP="00436BE7">
            <w:pPr>
              <w:jc w:val="right"/>
              <w:rPr>
                <w:rFonts w:ascii="Arial" w:hAnsi="Arial" w:cs="Arial"/>
                <w:b/>
                <w:bCs/>
                <w:i/>
                <w:iCs/>
                <w:color w:val="000000"/>
                <w:sz w:val="20"/>
                <w:szCs w:val="20"/>
              </w:rPr>
            </w:pPr>
            <w:r w:rsidRPr="000020F0">
              <w:rPr>
                <w:rFonts w:ascii="Arial" w:hAnsi="Arial" w:cs="Arial"/>
                <w:b/>
                <w:bCs/>
                <w:i/>
                <w:iCs/>
                <w:color w:val="000000"/>
                <w:sz w:val="20"/>
                <w:szCs w:val="20"/>
              </w:rPr>
              <w:t>47.399,00</w:t>
            </w:r>
          </w:p>
        </w:tc>
      </w:tr>
      <w:tr w:rsidR="00436BE7" w:rsidRPr="000020F0" w14:paraId="07871EFE"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44F628B3"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Strokovni nadzor</w:t>
            </w:r>
          </w:p>
        </w:tc>
        <w:tc>
          <w:tcPr>
            <w:tcW w:w="1560" w:type="dxa"/>
            <w:tcBorders>
              <w:top w:val="nil"/>
              <w:left w:val="nil"/>
              <w:bottom w:val="single" w:sz="4" w:space="0" w:color="auto"/>
              <w:right w:val="single" w:sz="4" w:space="0" w:color="auto"/>
            </w:tcBorders>
            <w:noWrap/>
            <w:vAlign w:val="bottom"/>
            <w:hideMark/>
          </w:tcPr>
          <w:p w14:paraId="328421FC" w14:textId="6624A37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66.056,25</w:t>
            </w:r>
          </w:p>
        </w:tc>
        <w:tc>
          <w:tcPr>
            <w:tcW w:w="1417" w:type="dxa"/>
            <w:tcBorders>
              <w:top w:val="nil"/>
              <w:left w:val="nil"/>
              <w:bottom w:val="single" w:sz="4" w:space="0" w:color="auto"/>
              <w:right w:val="single" w:sz="4" w:space="0" w:color="auto"/>
            </w:tcBorders>
            <w:noWrap/>
            <w:vAlign w:val="bottom"/>
            <w:hideMark/>
          </w:tcPr>
          <w:p w14:paraId="12189AEA" w14:textId="7DA0F4C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2,02%</w:t>
            </w:r>
          </w:p>
        </w:tc>
        <w:tc>
          <w:tcPr>
            <w:tcW w:w="1275" w:type="dxa"/>
            <w:tcBorders>
              <w:top w:val="nil"/>
              <w:left w:val="nil"/>
              <w:bottom w:val="single" w:sz="4" w:space="0" w:color="auto"/>
              <w:right w:val="single" w:sz="4" w:space="0" w:color="auto"/>
            </w:tcBorders>
            <w:noWrap/>
            <w:vAlign w:val="bottom"/>
            <w:hideMark/>
          </w:tcPr>
          <w:p w14:paraId="54FBB8BB" w14:textId="4B574DE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7EAC0D6" w14:textId="1431C2C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3F4C8F4" w14:textId="0E24785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40CE121B" w14:textId="655B986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17.459,25</w:t>
            </w:r>
          </w:p>
        </w:tc>
        <w:tc>
          <w:tcPr>
            <w:tcW w:w="1501" w:type="dxa"/>
            <w:tcBorders>
              <w:top w:val="nil"/>
              <w:left w:val="nil"/>
              <w:bottom w:val="single" w:sz="4" w:space="0" w:color="auto"/>
              <w:right w:val="single" w:sz="4" w:space="0" w:color="auto"/>
            </w:tcBorders>
            <w:noWrap/>
            <w:vAlign w:val="bottom"/>
            <w:hideMark/>
          </w:tcPr>
          <w:p w14:paraId="3C996B01" w14:textId="242439E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47.175,03</w:t>
            </w:r>
          </w:p>
        </w:tc>
        <w:tc>
          <w:tcPr>
            <w:tcW w:w="1192" w:type="dxa"/>
            <w:tcBorders>
              <w:top w:val="nil"/>
              <w:left w:val="nil"/>
              <w:bottom w:val="single" w:sz="4" w:space="0" w:color="auto"/>
              <w:right w:val="single" w:sz="4" w:space="0" w:color="auto"/>
            </w:tcBorders>
            <w:noWrap/>
            <w:vAlign w:val="bottom"/>
            <w:hideMark/>
          </w:tcPr>
          <w:p w14:paraId="64AACCFE" w14:textId="402CFE9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1.421,97</w:t>
            </w:r>
          </w:p>
        </w:tc>
      </w:tr>
      <w:tr w:rsidR="00436BE7" w:rsidRPr="000020F0" w14:paraId="50A1C1C5"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65BCAD45"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Projektna dokumentacija</w:t>
            </w:r>
          </w:p>
        </w:tc>
        <w:tc>
          <w:tcPr>
            <w:tcW w:w="1560" w:type="dxa"/>
            <w:tcBorders>
              <w:top w:val="nil"/>
              <w:left w:val="nil"/>
              <w:bottom w:val="single" w:sz="4" w:space="0" w:color="auto"/>
              <w:right w:val="single" w:sz="4" w:space="0" w:color="auto"/>
            </w:tcBorders>
            <w:noWrap/>
            <w:vAlign w:val="bottom"/>
            <w:hideMark/>
          </w:tcPr>
          <w:p w14:paraId="12501659" w14:textId="6CF40D0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105.095,33</w:t>
            </w:r>
          </w:p>
        </w:tc>
        <w:tc>
          <w:tcPr>
            <w:tcW w:w="1417" w:type="dxa"/>
            <w:tcBorders>
              <w:top w:val="nil"/>
              <w:left w:val="nil"/>
              <w:bottom w:val="single" w:sz="4" w:space="0" w:color="auto"/>
              <w:right w:val="single" w:sz="4" w:space="0" w:color="auto"/>
            </w:tcBorders>
            <w:noWrap/>
            <w:vAlign w:val="bottom"/>
            <w:hideMark/>
          </w:tcPr>
          <w:p w14:paraId="2576057D" w14:textId="579DA98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3,21%</w:t>
            </w:r>
          </w:p>
        </w:tc>
        <w:tc>
          <w:tcPr>
            <w:tcW w:w="1275" w:type="dxa"/>
            <w:tcBorders>
              <w:top w:val="nil"/>
              <w:left w:val="nil"/>
              <w:bottom w:val="single" w:sz="4" w:space="0" w:color="auto"/>
              <w:right w:val="single" w:sz="4" w:space="0" w:color="auto"/>
            </w:tcBorders>
            <w:noWrap/>
            <w:vAlign w:val="bottom"/>
            <w:hideMark/>
          </w:tcPr>
          <w:p w14:paraId="3BBD45E1" w14:textId="12BA2B1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7.200,00</w:t>
            </w:r>
          </w:p>
        </w:tc>
        <w:tc>
          <w:tcPr>
            <w:tcW w:w="1276" w:type="dxa"/>
            <w:tcBorders>
              <w:top w:val="nil"/>
              <w:left w:val="nil"/>
              <w:bottom w:val="single" w:sz="4" w:space="0" w:color="auto"/>
              <w:right w:val="single" w:sz="4" w:space="0" w:color="auto"/>
            </w:tcBorders>
            <w:noWrap/>
            <w:vAlign w:val="bottom"/>
            <w:hideMark/>
          </w:tcPr>
          <w:p w14:paraId="672EAECA" w14:textId="293533E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67.622,95</w:t>
            </w:r>
          </w:p>
        </w:tc>
        <w:tc>
          <w:tcPr>
            <w:tcW w:w="1134" w:type="dxa"/>
            <w:tcBorders>
              <w:top w:val="nil"/>
              <w:left w:val="nil"/>
              <w:bottom w:val="single" w:sz="4" w:space="0" w:color="auto"/>
              <w:right w:val="single" w:sz="4" w:space="0" w:color="auto"/>
            </w:tcBorders>
            <w:noWrap/>
            <w:vAlign w:val="bottom"/>
            <w:hideMark/>
          </w:tcPr>
          <w:p w14:paraId="04F4645C" w14:textId="1F344AD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21.372,38</w:t>
            </w:r>
          </w:p>
        </w:tc>
        <w:tc>
          <w:tcPr>
            <w:tcW w:w="1418" w:type="dxa"/>
            <w:tcBorders>
              <w:top w:val="nil"/>
              <w:left w:val="nil"/>
              <w:bottom w:val="single" w:sz="4" w:space="0" w:color="auto"/>
              <w:right w:val="single" w:sz="4" w:space="0" w:color="auto"/>
            </w:tcBorders>
            <w:noWrap/>
            <w:vAlign w:val="bottom"/>
            <w:hideMark/>
          </w:tcPr>
          <w:p w14:paraId="2EBAE342" w14:textId="19CCC2C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3.856,67</w:t>
            </w:r>
          </w:p>
        </w:tc>
        <w:tc>
          <w:tcPr>
            <w:tcW w:w="1501" w:type="dxa"/>
            <w:tcBorders>
              <w:top w:val="nil"/>
              <w:left w:val="nil"/>
              <w:bottom w:val="single" w:sz="4" w:space="0" w:color="auto"/>
              <w:right w:val="single" w:sz="4" w:space="0" w:color="auto"/>
            </w:tcBorders>
            <w:noWrap/>
            <w:vAlign w:val="bottom"/>
            <w:hideMark/>
          </w:tcPr>
          <w:p w14:paraId="52AD198A" w14:textId="6D1DCD8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3.856,67</w:t>
            </w:r>
          </w:p>
        </w:tc>
        <w:tc>
          <w:tcPr>
            <w:tcW w:w="1192" w:type="dxa"/>
            <w:tcBorders>
              <w:top w:val="nil"/>
              <w:left w:val="nil"/>
              <w:bottom w:val="single" w:sz="4" w:space="0" w:color="auto"/>
              <w:right w:val="single" w:sz="4" w:space="0" w:color="auto"/>
            </w:tcBorders>
            <w:noWrap/>
            <w:vAlign w:val="bottom"/>
            <w:hideMark/>
          </w:tcPr>
          <w:p w14:paraId="55B9B6AC" w14:textId="7A215FF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1.186,67</w:t>
            </w:r>
          </w:p>
        </w:tc>
      </w:tr>
      <w:tr w:rsidR="00436BE7" w:rsidRPr="000020F0" w14:paraId="381D24FE"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689381DF"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Svetovalni inženiring</w:t>
            </w:r>
          </w:p>
        </w:tc>
        <w:tc>
          <w:tcPr>
            <w:tcW w:w="1560" w:type="dxa"/>
            <w:tcBorders>
              <w:top w:val="nil"/>
              <w:left w:val="nil"/>
              <w:bottom w:val="single" w:sz="4" w:space="0" w:color="auto"/>
              <w:right w:val="single" w:sz="4" w:space="0" w:color="auto"/>
            </w:tcBorders>
            <w:noWrap/>
            <w:vAlign w:val="bottom"/>
            <w:hideMark/>
          </w:tcPr>
          <w:p w14:paraId="7DEA4A02" w14:textId="2881848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22.018,75</w:t>
            </w:r>
          </w:p>
        </w:tc>
        <w:tc>
          <w:tcPr>
            <w:tcW w:w="1417" w:type="dxa"/>
            <w:tcBorders>
              <w:top w:val="nil"/>
              <w:left w:val="nil"/>
              <w:bottom w:val="single" w:sz="4" w:space="0" w:color="auto"/>
              <w:right w:val="single" w:sz="4" w:space="0" w:color="auto"/>
            </w:tcBorders>
            <w:noWrap/>
            <w:vAlign w:val="bottom"/>
            <w:hideMark/>
          </w:tcPr>
          <w:p w14:paraId="2026348D" w14:textId="45DFA85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0,67%</w:t>
            </w:r>
          </w:p>
        </w:tc>
        <w:tc>
          <w:tcPr>
            <w:tcW w:w="1275" w:type="dxa"/>
            <w:tcBorders>
              <w:top w:val="nil"/>
              <w:left w:val="nil"/>
              <w:bottom w:val="single" w:sz="4" w:space="0" w:color="auto"/>
              <w:right w:val="single" w:sz="4" w:space="0" w:color="auto"/>
            </w:tcBorders>
            <w:noWrap/>
            <w:vAlign w:val="bottom"/>
            <w:hideMark/>
          </w:tcPr>
          <w:p w14:paraId="74BAC895" w14:textId="0C19DE1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CADE148" w14:textId="6AB2B23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75A86962" w14:textId="09162FC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58DFD9D3" w14:textId="72669E2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5.819,75</w:t>
            </w:r>
          </w:p>
        </w:tc>
        <w:tc>
          <w:tcPr>
            <w:tcW w:w="1501" w:type="dxa"/>
            <w:tcBorders>
              <w:top w:val="nil"/>
              <w:left w:val="nil"/>
              <w:bottom w:val="single" w:sz="4" w:space="0" w:color="auto"/>
              <w:right w:val="single" w:sz="4" w:space="0" w:color="auto"/>
            </w:tcBorders>
            <w:noWrap/>
            <w:vAlign w:val="bottom"/>
            <w:hideMark/>
          </w:tcPr>
          <w:p w14:paraId="1EB44BFF" w14:textId="4F90197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15.725,01</w:t>
            </w:r>
          </w:p>
        </w:tc>
        <w:tc>
          <w:tcPr>
            <w:tcW w:w="1192" w:type="dxa"/>
            <w:tcBorders>
              <w:top w:val="nil"/>
              <w:left w:val="nil"/>
              <w:bottom w:val="single" w:sz="4" w:space="0" w:color="auto"/>
              <w:right w:val="single" w:sz="4" w:space="0" w:color="auto"/>
            </w:tcBorders>
            <w:noWrap/>
            <w:vAlign w:val="bottom"/>
            <w:hideMark/>
          </w:tcPr>
          <w:p w14:paraId="05D42F09" w14:textId="1A14A2E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473,99</w:t>
            </w:r>
          </w:p>
        </w:tc>
      </w:tr>
      <w:tr w:rsidR="00436BE7" w:rsidRPr="000020F0" w14:paraId="165653CA" w14:textId="77777777" w:rsidTr="006935EA">
        <w:trPr>
          <w:trHeight w:val="290"/>
        </w:trPr>
        <w:tc>
          <w:tcPr>
            <w:tcW w:w="3114" w:type="dxa"/>
            <w:tcBorders>
              <w:top w:val="nil"/>
              <w:left w:val="single" w:sz="4" w:space="0" w:color="auto"/>
              <w:bottom w:val="single" w:sz="4" w:space="0" w:color="auto"/>
              <w:right w:val="single" w:sz="4" w:space="0" w:color="auto"/>
            </w:tcBorders>
            <w:noWrap/>
            <w:vAlign w:val="bottom"/>
            <w:hideMark/>
          </w:tcPr>
          <w:p w14:paraId="5120EB01"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Obveščanje javnosti</w:t>
            </w:r>
          </w:p>
        </w:tc>
        <w:tc>
          <w:tcPr>
            <w:tcW w:w="1560" w:type="dxa"/>
            <w:tcBorders>
              <w:top w:val="nil"/>
              <w:left w:val="nil"/>
              <w:bottom w:val="single" w:sz="4" w:space="0" w:color="auto"/>
              <w:right w:val="single" w:sz="4" w:space="0" w:color="auto"/>
            </w:tcBorders>
            <w:noWrap/>
            <w:vAlign w:val="bottom"/>
            <w:hideMark/>
          </w:tcPr>
          <w:p w14:paraId="76E4712F" w14:textId="7994709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4.098,36</w:t>
            </w:r>
          </w:p>
        </w:tc>
        <w:tc>
          <w:tcPr>
            <w:tcW w:w="1417" w:type="dxa"/>
            <w:tcBorders>
              <w:top w:val="nil"/>
              <w:left w:val="nil"/>
              <w:bottom w:val="single" w:sz="4" w:space="0" w:color="auto"/>
              <w:right w:val="single" w:sz="4" w:space="0" w:color="auto"/>
            </w:tcBorders>
            <w:noWrap/>
            <w:vAlign w:val="bottom"/>
            <w:hideMark/>
          </w:tcPr>
          <w:p w14:paraId="34D70086" w14:textId="65B97B2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0,13%</w:t>
            </w:r>
          </w:p>
        </w:tc>
        <w:tc>
          <w:tcPr>
            <w:tcW w:w="1275" w:type="dxa"/>
            <w:tcBorders>
              <w:top w:val="nil"/>
              <w:left w:val="nil"/>
              <w:bottom w:val="single" w:sz="4" w:space="0" w:color="auto"/>
              <w:right w:val="single" w:sz="4" w:space="0" w:color="auto"/>
            </w:tcBorders>
            <w:noWrap/>
            <w:vAlign w:val="bottom"/>
            <w:hideMark/>
          </w:tcPr>
          <w:p w14:paraId="373BF69D" w14:textId="7D5B340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270A806" w14:textId="72E5F35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06EAB07F" w14:textId="73C232F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481A218" w14:textId="6C9D8C6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2.049,18</w:t>
            </w:r>
          </w:p>
        </w:tc>
        <w:tc>
          <w:tcPr>
            <w:tcW w:w="1501" w:type="dxa"/>
            <w:tcBorders>
              <w:top w:val="nil"/>
              <w:left w:val="nil"/>
              <w:bottom w:val="single" w:sz="4" w:space="0" w:color="auto"/>
              <w:right w:val="single" w:sz="4" w:space="0" w:color="auto"/>
            </w:tcBorders>
            <w:noWrap/>
            <w:vAlign w:val="bottom"/>
            <w:hideMark/>
          </w:tcPr>
          <w:p w14:paraId="2C346822" w14:textId="474A400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409,84</w:t>
            </w:r>
          </w:p>
        </w:tc>
        <w:tc>
          <w:tcPr>
            <w:tcW w:w="1192" w:type="dxa"/>
            <w:tcBorders>
              <w:top w:val="nil"/>
              <w:left w:val="nil"/>
              <w:bottom w:val="single" w:sz="4" w:space="0" w:color="auto"/>
              <w:right w:val="single" w:sz="4" w:space="0" w:color="auto"/>
            </w:tcBorders>
            <w:noWrap/>
            <w:vAlign w:val="bottom"/>
            <w:hideMark/>
          </w:tcPr>
          <w:p w14:paraId="718BAC1A" w14:textId="6A67B96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1.639,34</w:t>
            </w:r>
          </w:p>
        </w:tc>
      </w:tr>
      <w:tr w:rsidR="00436BE7" w:rsidRPr="000020F0" w14:paraId="1C336ED4"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08D9270E"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560" w:type="dxa"/>
            <w:tcBorders>
              <w:top w:val="nil"/>
              <w:left w:val="nil"/>
              <w:bottom w:val="single" w:sz="4" w:space="0" w:color="auto"/>
              <w:right w:val="single" w:sz="4" w:space="0" w:color="auto"/>
            </w:tcBorders>
            <w:noWrap/>
            <w:vAlign w:val="bottom"/>
            <w:hideMark/>
          </w:tcPr>
          <w:p w14:paraId="0DBC002F" w14:textId="34E653C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21.650,00</w:t>
            </w:r>
          </w:p>
        </w:tc>
        <w:tc>
          <w:tcPr>
            <w:tcW w:w="1417" w:type="dxa"/>
            <w:tcBorders>
              <w:top w:val="nil"/>
              <w:left w:val="nil"/>
              <w:bottom w:val="single" w:sz="4" w:space="0" w:color="auto"/>
              <w:right w:val="single" w:sz="4" w:space="0" w:color="auto"/>
            </w:tcBorders>
            <w:noWrap/>
            <w:vAlign w:val="bottom"/>
            <w:hideMark/>
          </w:tcPr>
          <w:p w14:paraId="005FB21E" w14:textId="42CAABB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0,66%</w:t>
            </w:r>
          </w:p>
        </w:tc>
        <w:tc>
          <w:tcPr>
            <w:tcW w:w="1275" w:type="dxa"/>
            <w:tcBorders>
              <w:top w:val="nil"/>
              <w:left w:val="nil"/>
              <w:bottom w:val="single" w:sz="4" w:space="0" w:color="auto"/>
              <w:right w:val="single" w:sz="4" w:space="0" w:color="auto"/>
            </w:tcBorders>
            <w:noWrap/>
            <w:vAlign w:val="bottom"/>
            <w:hideMark/>
          </w:tcPr>
          <w:p w14:paraId="7240CE5C" w14:textId="7F6B4FC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700,00</w:t>
            </w:r>
          </w:p>
        </w:tc>
        <w:tc>
          <w:tcPr>
            <w:tcW w:w="1276" w:type="dxa"/>
            <w:tcBorders>
              <w:top w:val="nil"/>
              <w:left w:val="nil"/>
              <w:bottom w:val="single" w:sz="4" w:space="0" w:color="auto"/>
              <w:right w:val="single" w:sz="4" w:space="0" w:color="auto"/>
            </w:tcBorders>
            <w:noWrap/>
            <w:vAlign w:val="bottom"/>
            <w:hideMark/>
          </w:tcPr>
          <w:p w14:paraId="3B3998BC" w14:textId="6903ABC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9.150,00</w:t>
            </w:r>
          </w:p>
        </w:tc>
        <w:tc>
          <w:tcPr>
            <w:tcW w:w="1134" w:type="dxa"/>
            <w:tcBorders>
              <w:top w:val="nil"/>
              <w:left w:val="nil"/>
              <w:bottom w:val="single" w:sz="4" w:space="0" w:color="auto"/>
              <w:right w:val="single" w:sz="4" w:space="0" w:color="auto"/>
            </w:tcBorders>
            <w:noWrap/>
            <w:vAlign w:val="bottom"/>
            <w:hideMark/>
          </w:tcPr>
          <w:p w14:paraId="2BA52928" w14:textId="6FAA1D8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11.800,00</w:t>
            </w:r>
          </w:p>
        </w:tc>
        <w:tc>
          <w:tcPr>
            <w:tcW w:w="1418" w:type="dxa"/>
            <w:tcBorders>
              <w:top w:val="nil"/>
              <w:left w:val="nil"/>
              <w:bottom w:val="single" w:sz="4" w:space="0" w:color="auto"/>
              <w:right w:val="single" w:sz="4" w:space="0" w:color="auto"/>
            </w:tcBorders>
            <w:noWrap/>
            <w:vAlign w:val="bottom"/>
            <w:hideMark/>
          </w:tcPr>
          <w:p w14:paraId="7A28BA98" w14:textId="5669DD6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78B5BF9" w14:textId="6AEAB6B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08541196" w14:textId="58381AF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10DCC8DE"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7C2F6B7E"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Stroški varnosti pri delu</w:t>
            </w:r>
          </w:p>
        </w:tc>
        <w:tc>
          <w:tcPr>
            <w:tcW w:w="1560" w:type="dxa"/>
            <w:tcBorders>
              <w:top w:val="nil"/>
              <w:left w:val="nil"/>
              <w:bottom w:val="single" w:sz="4" w:space="0" w:color="auto"/>
              <w:right w:val="single" w:sz="4" w:space="0" w:color="auto"/>
            </w:tcBorders>
            <w:noWrap/>
            <w:vAlign w:val="bottom"/>
            <w:hideMark/>
          </w:tcPr>
          <w:p w14:paraId="423BAE9E" w14:textId="55F3515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6.979,18</w:t>
            </w:r>
          </w:p>
        </w:tc>
        <w:tc>
          <w:tcPr>
            <w:tcW w:w="1417" w:type="dxa"/>
            <w:tcBorders>
              <w:top w:val="nil"/>
              <w:left w:val="nil"/>
              <w:bottom w:val="single" w:sz="4" w:space="0" w:color="auto"/>
              <w:right w:val="single" w:sz="4" w:space="0" w:color="auto"/>
            </w:tcBorders>
            <w:noWrap/>
            <w:vAlign w:val="bottom"/>
            <w:hideMark/>
          </w:tcPr>
          <w:p w14:paraId="06A6C855" w14:textId="39FA5D1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0,21%</w:t>
            </w:r>
          </w:p>
        </w:tc>
        <w:tc>
          <w:tcPr>
            <w:tcW w:w="1275" w:type="dxa"/>
            <w:tcBorders>
              <w:top w:val="nil"/>
              <w:left w:val="nil"/>
              <w:bottom w:val="single" w:sz="4" w:space="0" w:color="auto"/>
              <w:right w:val="single" w:sz="4" w:space="0" w:color="auto"/>
            </w:tcBorders>
            <w:noWrap/>
            <w:vAlign w:val="bottom"/>
            <w:hideMark/>
          </w:tcPr>
          <w:p w14:paraId="47600BB1" w14:textId="6E746C4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AAD6296" w14:textId="614F59F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78ABF3CC" w14:textId="7433294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7B4DB1B" w14:textId="391099C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2.785,38</w:t>
            </w:r>
          </w:p>
        </w:tc>
        <w:tc>
          <w:tcPr>
            <w:tcW w:w="1501" w:type="dxa"/>
            <w:tcBorders>
              <w:top w:val="nil"/>
              <w:left w:val="nil"/>
              <w:bottom w:val="single" w:sz="4" w:space="0" w:color="auto"/>
              <w:right w:val="single" w:sz="4" w:space="0" w:color="auto"/>
            </w:tcBorders>
            <w:noWrap/>
            <w:vAlign w:val="bottom"/>
            <w:hideMark/>
          </w:tcPr>
          <w:p w14:paraId="7046A0B4" w14:textId="7875B88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1.545,33</w:t>
            </w:r>
          </w:p>
        </w:tc>
        <w:tc>
          <w:tcPr>
            <w:tcW w:w="1192" w:type="dxa"/>
            <w:tcBorders>
              <w:top w:val="nil"/>
              <w:left w:val="nil"/>
              <w:bottom w:val="single" w:sz="4" w:space="0" w:color="auto"/>
              <w:right w:val="single" w:sz="4" w:space="0" w:color="auto"/>
            </w:tcBorders>
            <w:noWrap/>
            <w:vAlign w:val="bottom"/>
            <w:hideMark/>
          </w:tcPr>
          <w:p w14:paraId="60900A02" w14:textId="12429D2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2.648,47</w:t>
            </w:r>
          </w:p>
        </w:tc>
      </w:tr>
      <w:tr w:rsidR="00436BE7" w:rsidRPr="000020F0" w14:paraId="42DF6D0A"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0112B3D6"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Arheologija</w:t>
            </w:r>
          </w:p>
        </w:tc>
        <w:tc>
          <w:tcPr>
            <w:tcW w:w="1560" w:type="dxa"/>
            <w:tcBorders>
              <w:top w:val="nil"/>
              <w:left w:val="nil"/>
              <w:bottom w:val="single" w:sz="4" w:space="0" w:color="auto"/>
              <w:right w:val="single" w:sz="4" w:space="0" w:color="auto"/>
            </w:tcBorders>
            <w:noWrap/>
            <w:vAlign w:val="bottom"/>
            <w:hideMark/>
          </w:tcPr>
          <w:p w14:paraId="4589BB49" w14:textId="5DED33B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15.011,81</w:t>
            </w:r>
          </w:p>
        </w:tc>
        <w:tc>
          <w:tcPr>
            <w:tcW w:w="1417" w:type="dxa"/>
            <w:tcBorders>
              <w:top w:val="nil"/>
              <w:left w:val="nil"/>
              <w:bottom w:val="single" w:sz="4" w:space="0" w:color="auto"/>
              <w:right w:val="single" w:sz="4" w:space="0" w:color="auto"/>
            </w:tcBorders>
            <w:noWrap/>
            <w:vAlign w:val="bottom"/>
            <w:hideMark/>
          </w:tcPr>
          <w:p w14:paraId="4FE2AF3E" w14:textId="7C3418B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0,46%</w:t>
            </w:r>
          </w:p>
        </w:tc>
        <w:tc>
          <w:tcPr>
            <w:tcW w:w="1275" w:type="dxa"/>
            <w:tcBorders>
              <w:top w:val="nil"/>
              <w:left w:val="nil"/>
              <w:bottom w:val="single" w:sz="4" w:space="0" w:color="auto"/>
              <w:right w:val="single" w:sz="4" w:space="0" w:color="auto"/>
            </w:tcBorders>
            <w:noWrap/>
            <w:vAlign w:val="bottom"/>
            <w:hideMark/>
          </w:tcPr>
          <w:p w14:paraId="4669CD04" w14:textId="45419F6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3EAF714" w14:textId="0359A34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4815B84B" w14:textId="7F21275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44C0305" w14:textId="23DF4DD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1.968,98</w:t>
            </w:r>
          </w:p>
        </w:tc>
        <w:tc>
          <w:tcPr>
            <w:tcW w:w="1501" w:type="dxa"/>
            <w:tcBorders>
              <w:top w:val="nil"/>
              <w:left w:val="nil"/>
              <w:bottom w:val="single" w:sz="4" w:space="0" w:color="auto"/>
              <w:right w:val="single" w:sz="4" w:space="0" w:color="auto"/>
            </w:tcBorders>
            <w:noWrap/>
            <w:vAlign w:val="bottom"/>
            <w:hideMark/>
          </w:tcPr>
          <w:p w14:paraId="731C8E43" w14:textId="7C8BA10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10.114,31</w:t>
            </w:r>
          </w:p>
        </w:tc>
        <w:tc>
          <w:tcPr>
            <w:tcW w:w="1192" w:type="dxa"/>
            <w:tcBorders>
              <w:top w:val="nil"/>
              <w:left w:val="nil"/>
              <w:bottom w:val="single" w:sz="4" w:space="0" w:color="auto"/>
              <w:right w:val="single" w:sz="4" w:space="0" w:color="auto"/>
            </w:tcBorders>
            <w:noWrap/>
            <w:vAlign w:val="bottom"/>
            <w:hideMark/>
          </w:tcPr>
          <w:p w14:paraId="298A8A11" w14:textId="6672652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2.928,52</w:t>
            </w:r>
          </w:p>
        </w:tc>
      </w:tr>
      <w:tr w:rsidR="00436BE7" w:rsidRPr="000020F0" w14:paraId="3EFEF92C"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106701AF"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560" w:type="dxa"/>
            <w:tcBorders>
              <w:top w:val="nil"/>
              <w:left w:val="nil"/>
              <w:bottom w:val="single" w:sz="4" w:space="0" w:color="auto"/>
              <w:right w:val="single" w:sz="4" w:space="0" w:color="auto"/>
            </w:tcBorders>
            <w:noWrap/>
            <w:vAlign w:val="bottom"/>
            <w:hideMark/>
          </w:tcPr>
          <w:p w14:paraId="5AB86360" w14:textId="673B66F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3.280,00</w:t>
            </w:r>
          </w:p>
        </w:tc>
        <w:tc>
          <w:tcPr>
            <w:tcW w:w="1417" w:type="dxa"/>
            <w:tcBorders>
              <w:top w:val="nil"/>
              <w:left w:val="nil"/>
              <w:bottom w:val="single" w:sz="4" w:space="0" w:color="auto"/>
              <w:right w:val="single" w:sz="4" w:space="0" w:color="auto"/>
            </w:tcBorders>
            <w:noWrap/>
            <w:vAlign w:val="bottom"/>
            <w:hideMark/>
          </w:tcPr>
          <w:p w14:paraId="6EC93AAE" w14:textId="61FF943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0,10%</w:t>
            </w:r>
          </w:p>
        </w:tc>
        <w:tc>
          <w:tcPr>
            <w:tcW w:w="1275" w:type="dxa"/>
            <w:tcBorders>
              <w:top w:val="nil"/>
              <w:left w:val="nil"/>
              <w:bottom w:val="single" w:sz="4" w:space="0" w:color="auto"/>
              <w:right w:val="single" w:sz="4" w:space="0" w:color="auto"/>
            </w:tcBorders>
            <w:noWrap/>
            <w:vAlign w:val="bottom"/>
            <w:hideMark/>
          </w:tcPr>
          <w:p w14:paraId="38DD1920" w14:textId="478A1F2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519BA78" w14:textId="2ACACB5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171338E8" w14:textId="22DF76D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577ACF4E" w14:textId="73CC74F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3.280,00</w:t>
            </w:r>
          </w:p>
        </w:tc>
        <w:tc>
          <w:tcPr>
            <w:tcW w:w="1501" w:type="dxa"/>
            <w:tcBorders>
              <w:top w:val="nil"/>
              <w:left w:val="nil"/>
              <w:bottom w:val="single" w:sz="4" w:space="0" w:color="auto"/>
              <w:right w:val="single" w:sz="4" w:space="0" w:color="auto"/>
            </w:tcBorders>
            <w:noWrap/>
            <w:vAlign w:val="bottom"/>
            <w:hideMark/>
          </w:tcPr>
          <w:p w14:paraId="1D6FD7ED" w14:textId="3B55D24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66BB6AD9" w14:textId="251C8C6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0F2D2623"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56A9EDDE"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lastRenderedPageBreak/>
              <w:t>Nakup nepremičnine</w:t>
            </w:r>
          </w:p>
        </w:tc>
        <w:tc>
          <w:tcPr>
            <w:tcW w:w="1560" w:type="dxa"/>
            <w:tcBorders>
              <w:top w:val="nil"/>
              <w:left w:val="nil"/>
              <w:bottom w:val="single" w:sz="4" w:space="0" w:color="auto"/>
              <w:right w:val="single" w:sz="4" w:space="0" w:color="auto"/>
            </w:tcBorders>
            <w:noWrap/>
            <w:vAlign w:val="bottom"/>
            <w:hideMark/>
          </w:tcPr>
          <w:p w14:paraId="5017322B" w14:textId="3388654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280.000,00</w:t>
            </w:r>
          </w:p>
        </w:tc>
        <w:tc>
          <w:tcPr>
            <w:tcW w:w="1417" w:type="dxa"/>
            <w:tcBorders>
              <w:top w:val="nil"/>
              <w:left w:val="nil"/>
              <w:bottom w:val="single" w:sz="4" w:space="0" w:color="auto"/>
              <w:right w:val="single" w:sz="4" w:space="0" w:color="auto"/>
            </w:tcBorders>
            <w:noWrap/>
            <w:vAlign w:val="bottom"/>
            <w:hideMark/>
          </w:tcPr>
          <w:p w14:paraId="24EC7144" w14:textId="4BD9303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8,54%</w:t>
            </w:r>
          </w:p>
        </w:tc>
        <w:tc>
          <w:tcPr>
            <w:tcW w:w="1275" w:type="dxa"/>
            <w:tcBorders>
              <w:top w:val="nil"/>
              <w:left w:val="nil"/>
              <w:bottom w:val="single" w:sz="4" w:space="0" w:color="auto"/>
              <w:right w:val="single" w:sz="4" w:space="0" w:color="auto"/>
            </w:tcBorders>
            <w:noWrap/>
            <w:vAlign w:val="bottom"/>
            <w:hideMark/>
          </w:tcPr>
          <w:p w14:paraId="1DC208C9" w14:textId="23CF63B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280.000,00</w:t>
            </w:r>
          </w:p>
        </w:tc>
        <w:tc>
          <w:tcPr>
            <w:tcW w:w="1276" w:type="dxa"/>
            <w:tcBorders>
              <w:top w:val="nil"/>
              <w:left w:val="nil"/>
              <w:bottom w:val="single" w:sz="4" w:space="0" w:color="auto"/>
              <w:right w:val="single" w:sz="4" w:space="0" w:color="auto"/>
            </w:tcBorders>
            <w:noWrap/>
            <w:vAlign w:val="bottom"/>
            <w:hideMark/>
          </w:tcPr>
          <w:p w14:paraId="37D7BAA5" w14:textId="36F15F4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A202B8C" w14:textId="34BA591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6F33915E" w14:textId="172518C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285CB87D" w14:textId="42C7A27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081E5846" w14:textId="5C63671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6B516CC3" w14:textId="77777777" w:rsidTr="006935EA">
        <w:trPr>
          <w:trHeight w:val="290"/>
        </w:trPr>
        <w:tc>
          <w:tcPr>
            <w:tcW w:w="3114" w:type="dxa"/>
            <w:tcBorders>
              <w:top w:val="nil"/>
              <w:left w:val="single" w:sz="4" w:space="0" w:color="auto"/>
              <w:bottom w:val="single" w:sz="4" w:space="0" w:color="auto"/>
              <w:right w:val="single" w:sz="4" w:space="0" w:color="auto"/>
            </w:tcBorders>
            <w:noWrap/>
            <w:vAlign w:val="bottom"/>
            <w:hideMark/>
          </w:tcPr>
          <w:p w14:paraId="521CC2BD" w14:textId="77777777" w:rsidR="00436BE7" w:rsidRPr="000020F0" w:rsidRDefault="00436BE7" w:rsidP="00436BE7">
            <w:pPr>
              <w:rPr>
                <w:rFonts w:ascii="Roboto" w:hAnsi="Roboto"/>
                <w:color w:val="000000"/>
                <w:sz w:val="20"/>
                <w:szCs w:val="20"/>
              </w:rPr>
            </w:pPr>
            <w:r w:rsidRPr="000020F0">
              <w:rPr>
                <w:rFonts w:ascii="Roboto" w:hAnsi="Roboto"/>
                <w:color w:val="000000"/>
                <w:sz w:val="20"/>
                <w:szCs w:val="20"/>
              </w:rPr>
              <w:t>Druga dela ob rušenju objekta (neobdavčeno)</w:t>
            </w:r>
          </w:p>
        </w:tc>
        <w:tc>
          <w:tcPr>
            <w:tcW w:w="1560" w:type="dxa"/>
            <w:tcBorders>
              <w:top w:val="nil"/>
              <w:left w:val="nil"/>
              <w:bottom w:val="single" w:sz="4" w:space="0" w:color="auto"/>
              <w:right w:val="single" w:sz="4" w:space="0" w:color="auto"/>
            </w:tcBorders>
            <w:noWrap/>
            <w:vAlign w:val="bottom"/>
            <w:hideMark/>
          </w:tcPr>
          <w:p w14:paraId="3467A514" w14:textId="18E1AC9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776,00</w:t>
            </w:r>
          </w:p>
        </w:tc>
        <w:tc>
          <w:tcPr>
            <w:tcW w:w="1417" w:type="dxa"/>
            <w:tcBorders>
              <w:top w:val="nil"/>
              <w:left w:val="nil"/>
              <w:bottom w:val="single" w:sz="4" w:space="0" w:color="auto"/>
              <w:right w:val="single" w:sz="4" w:space="0" w:color="auto"/>
            </w:tcBorders>
            <w:noWrap/>
            <w:vAlign w:val="bottom"/>
            <w:hideMark/>
          </w:tcPr>
          <w:p w14:paraId="0734B0A2" w14:textId="4C7CC60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0,02%</w:t>
            </w:r>
          </w:p>
        </w:tc>
        <w:tc>
          <w:tcPr>
            <w:tcW w:w="1275" w:type="dxa"/>
            <w:tcBorders>
              <w:top w:val="nil"/>
              <w:left w:val="nil"/>
              <w:bottom w:val="single" w:sz="4" w:space="0" w:color="auto"/>
              <w:right w:val="single" w:sz="4" w:space="0" w:color="auto"/>
            </w:tcBorders>
            <w:noWrap/>
            <w:vAlign w:val="bottom"/>
            <w:hideMark/>
          </w:tcPr>
          <w:p w14:paraId="0B68EB74" w14:textId="6463516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776,00</w:t>
            </w:r>
          </w:p>
        </w:tc>
        <w:tc>
          <w:tcPr>
            <w:tcW w:w="1276" w:type="dxa"/>
            <w:tcBorders>
              <w:top w:val="nil"/>
              <w:left w:val="nil"/>
              <w:bottom w:val="single" w:sz="4" w:space="0" w:color="auto"/>
              <w:right w:val="single" w:sz="4" w:space="0" w:color="auto"/>
            </w:tcBorders>
            <w:noWrap/>
            <w:vAlign w:val="bottom"/>
            <w:hideMark/>
          </w:tcPr>
          <w:p w14:paraId="531D883F" w14:textId="63B77E7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2F00C130" w14:textId="3888FA8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4B002248" w14:textId="66F358A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5F3007CF" w14:textId="5AD7E39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50A8805E" w14:textId="3FF0F01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66DC06CA" w14:textId="77777777" w:rsidTr="006935EA">
        <w:trPr>
          <w:trHeight w:val="290"/>
        </w:trPr>
        <w:tc>
          <w:tcPr>
            <w:tcW w:w="3114" w:type="dxa"/>
            <w:tcBorders>
              <w:top w:val="nil"/>
              <w:left w:val="single" w:sz="4" w:space="0" w:color="auto"/>
              <w:bottom w:val="single" w:sz="4" w:space="0" w:color="auto"/>
              <w:right w:val="single" w:sz="4" w:space="0" w:color="auto"/>
            </w:tcBorders>
            <w:noWrap/>
            <w:vAlign w:val="bottom"/>
            <w:hideMark/>
          </w:tcPr>
          <w:p w14:paraId="2DC67425" w14:textId="77777777" w:rsidR="00436BE7" w:rsidRPr="000020F0" w:rsidRDefault="00436BE7" w:rsidP="00436BE7">
            <w:pPr>
              <w:rPr>
                <w:rFonts w:ascii="Roboto" w:hAnsi="Roboto"/>
                <w:color w:val="000000"/>
                <w:sz w:val="20"/>
                <w:szCs w:val="20"/>
              </w:rPr>
            </w:pPr>
            <w:r w:rsidRPr="000020F0">
              <w:rPr>
                <w:rFonts w:ascii="Roboto" w:hAnsi="Roboto"/>
                <w:color w:val="000000"/>
                <w:sz w:val="20"/>
                <w:szCs w:val="20"/>
              </w:rPr>
              <w:t>Druga dela ob rušenju objekta (9,5% DDV)</w:t>
            </w:r>
          </w:p>
        </w:tc>
        <w:tc>
          <w:tcPr>
            <w:tcW w:w="1560" w:type="dxa"/>
            <w:tcBorders>
              <w:top w:val="nil"/>
              <w:left w:val="nil"/>
              <w:bottom w:val="single" w:sz="4" w:space="0" w:color="auto"/>
              <w:right w:val="single" w:sz="4" w:space="0" w:color="auto"/>
            </w:tcBorders>
            <w:noWrap/>
            <w:vAlign w:val="bottom"/>
            <w:hideMark/>
          </w:tcPr>
          <w:p w14:paraId="31627A4C" w14:textId="0B3DE1C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545,96</w:t>
            </w:r>
          </w:p>
        </w:tc>
        <w:tc>
          <w:tcPr>
            <w:tcW w:w="1417" w:type="dxa"/>
            <w:tcBorders>
              <w:top w:val="nil"/>
              <w:left w:val="nil"/>
              <w:bottom w:val="single" w:sz="4" w:space="0" w:color="auto"/>
              <w:right w:val="single" w:sz="4" w:space="0" w:color="auto"/>
            </w:tcBorders>
            <w:noWrap/>
            <w:vAlign w:val="bottom"/>
            <w:hideMark/>
          </w:tcPr>
          <w:p w14:paraId="29FA7AB2" w14:textId="0BE777F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0,02%</w:t>
            </w:r>
          </w:p>
        </w:tc>
        <w:tc>
          <w:tcPr>
            <w:tcW w:w="1275" w:type="dxa"/>
            <w:tcBorders>
              <w:top w:val="nil"/>
              <w:left w:val="nil"/>
              <w:bottom w:val="single" w:sz="4" w:space="0" w:color="auto"/>
              <w:right w:val="single" w:sz="4" w:space="0" w:color="auto"/>
            </w:tcBorders>
            <w:noWrap/>
            <w:vAlign w:val="bottom"/>
            <w:hideMark/>
          </w:tcPr>
          <w:p w14:paraId="0941C447" w14:textId="0A015EF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545,96</w:t>
            </w:r>
          </w:p>
        </w:tc>
        <w:tc>
          <w:tcPr>
            <w:tcW w:w="1276" w:type="dxa"/>
            <w:tcBorders>
              <w:top w:val="nil"/>
              <w:left w:val="nil"/>
              <w:bottom w:val="single" w:sz="4" w:space="0" w:color="auto"/>
              <w:right w:val="single" w:sz="4" w:space="0" w:color="auto"/>
            </w:tcBorders>
            <w:noWrap/>
            <w:vAlign w:val="bottom"/>
            <w:hideMark/>
          </w:tcPr>
          <w:p w14:paraId="3B138174" w14:textId="6F9E72EA"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765A18AD" w14:textId="481BA9F4"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971A75F" w14:textId="7106A1F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182ED18A" w14:textId="2B99FA1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57294F82" w14:textId="4AC7D573"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50065984" w14:textId="77777777" w:rsidTr="006935EA">
        <w:trPr>
          <w:trHeight w:val="290"/>
        </w:trPr>
        <w:tc>
          <w:tcPr>
            <w:tcW w:w="3114" w:type="dxa"/>
            <w:tcBorders>
              <w:top w:val="nil"/>
              <w:left w:val="single" w:sz="4" w:space="0" w:color="auto"/>
              <w:bottom w:val="single" w:sz="4" w:space="0" w:color="auto"/>
              <w:right w:val="single" w:sz="4" w:space="0" w:color="auto"/>
            </w:tcBorders>
            <w:noWrap/>
            <w:vAlign w:val="bottom"/>
            <w:hideMark/>
          </w:tcPr>
          <w:p w14:paraId="21FD680C" w14:textId="77777777" w:rsidR="00436BE7" w:rsidRPr="000020F0" w:rsidRDefault="00436BE7" w:rsidP="00436BE7">
            <w:pPr>
              <w:rPr>
                <w:rFonts w:ascii="Roboto" w:hAnsi="Roboto"/>
                <w:color w:val="000000"/>
                <w:sz w:val="20"/>
                <w:szCs w:val="20"/>
              </w:rPr>
            </w:pPr>
            <w:r w:rsidRPr="000020F0">
              <w:rPr>
                <w:rFonts w:ascii="Roboto" w:hAnsi="Roboto"/>
                <w:color w:val="000000"/>
                <w:sz w:val="20"/>
                <w:szCs w:val="20"/>
              </w:rPr>
              <w:t>Druga dela ob rušenju objekta</w:t>
            </w:r>
          </w:p>
        </w:tc>
        <w:tc>
          <w:tcPr>
            <w:tcW w:w="1560" w:type="dxa"/>
            <w:tcBorders>
              <w:top w:val="nil"/>
              <w:left w:val="nil"/>
              <w:bottom w:val="single" w:sz="4" w:space="0" w:color="auto"/>
              <w:right w:val="single" w:sz="4" w:space="0" w:color="auto"/>
            </w:tcBorders>
            <w:noWrap/>
            <w:vAlign w:val="bottom"/>
            <w:hideMark/>
          </w:tcPr>
          <w:p w14:paraId="118D6715" w14:textId="146BD33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5.483,07</w:t>
            </w:r>
          </w:p>
        </w:tc>
        <w:tc>
          <w:tcPr>
            <w:tcW w:w="1417" w:type="dxa"/>
            <w:tcBorders>
              <w:top w:val="nil"/>
              <w:left w:val="nil"/>
              <w:bottom w:val="single" w:sz="4" w:space="0" w:color="auto"/>
              <w:right w:val="single" w:sz="4" w:space="0" w:color="auto"/>
            </w:tcBorders>
            <w:noWrap/>
            <w:vAlign w:val="bottom"/>
            <w:hideMark/>
          </w:tcPr>
          <w:p w14:paraId="78B8587B" w14:textId="77C249E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0,17%</w:t>
            </w:r>
          </w:p>
        </w:tc>
        <w:tc>
          <w:tcPr>
            <w:tcW w:w="1275" w:type="dxa"/>
            <w:tcBorders>
              <w:top w:val="nil"/>
              <w:left w:val="nil"/>
              <w:bottom w:val="single" w:sz="4" w:space="0" w:color="auto"/>
              <w:right w:val="single" w:sz="4" w:space="0" w:color="auto"/>
            </w:tcBorders>
            <w:noWrap/>
            <w:vAlign w:val="bottom"/>
            <w:hideMark/>
          </w:tcPr>
          <w:p w14:paraId="53276E4E" w14:textId="5A0B6C8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5.483,07</w:t>
            </w:r>
          </w:p>
        </w:tc>
        <w:tc>
          <w:tcPr>
            <w:tcW w:w="1276" w:type="dxa"/>
            <w:tcBorders>
              <w:top w:val="nil"/>
              <w:left w:val="nil"/>
              <w:bottom w:val="single" w:sz="4" w:space="0" w:color="auto"/>
              <w:right w:val="single" w:sz="4" w:space="0" w:color="auto"/>
            </w:tcBorders>
            <w:noWrap/>
            <w:vAlign w:val="bottom"/>
            <w:hideMark/>
          </w:tcPr>
          <w:p w14:paraId="2ABF777C" w14:textId="3CAFB52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0E579F06" w14:textId="4F3F660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527C6DE3" w14:textId="1FB78CE8"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A908CF6" w14:textId="666B158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667C77A1" w14:textId="2585C04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3F8ED442"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1EA50ABA"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Vpis v kataster</w:t>
            </w:r>
          </w:p>
        </w:tc>
        <w:tc>
          <w:tcPr>
            <w:tcW w:w="1560" w:type="dxa"/>
            <w:tcBorders>
              <w:top w:val="nil"/>
              <w:left w:val="nil"/>
              <w:bottom w:val="single" w:sz="4" w:space="0" w:color="auto"/>
              <w:right w:val="single" w:sz="4" w:space="0" w:color="auto"/>
            </w:tcBorders>
            <w:noWrap/>
            <w:vAlign w:val="bottom"/>
            <w:hideMark/>
          </w:tcPr>
          <w:p w14:paraId="3C993905" w14:textId="3D7E9CF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930,55</w:t>
            </w:r>
          </w:p>
        </w:tc>
        <w:tc>
          <w:tcPr>
            <w:tcW w:w="1417" w:type="dxa"/>
            <w:tcBorders>
              <w:top w:val="nil"/>
              <w:left w:val="nil"/>
              <w:bottom w:val="single" w:sz="4" w:space="0" w:color="auto"/>
              <w:right w:val="single" w:sz="4" w:space="0" w:color="auto"/>
            </w:tcBorders>
            <w:noWrap/>
            <w:vAlign w:val="bottom"/>
            <w:hideMark/>
          </w:tcPr>
          <w:p w14:paraId="5D2D382D" w14:textId="2192B87B"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0,03%</w:t>
            </w:r>
          </w:p>
        </w:tc>
        <w:tc>
          <w:tcPr>
            <w:tcW w:w="1275" w:type="dxa"/>
            <w:tcBorders>
              <w:top w:val="nil"/>
              <w:left w:val="nil"/>
              <w:bottom w:val="single" w:sz="4" w:space="0" w:color="auto"/>
              <w:right w:val="single" w:sz="4" w:space="0" w:color="auto"/>
            </w:tcBorders>
            <w:noWrap/>
            <w:vAlign w:val="bottom"/>
            <w:hideMark/>
          </w:tcPr>
          <w:p w14:paraId="2AD0FB81" w14:textId="0CCBCDC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E4D3F95" w14:textId="5FC9005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48D080D" w14:textId="16A6CE1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117ABB29" w14:textId="4ED0761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2C6ABE9B" w14:textId="5ECDE08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161F0851" w14:textId="1FA5CE9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930,55</w:t>
            </w:r>
          </w:p>
        </w:tc>
      </w:tr>
      <w:tr w:rsidR="00436BE7" w:rsidRPr="000020F0" w14:paraId="0BB6F356"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6571B0BB"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Geodetski načrt</w:t>
            </w:r>
          </w:p>
        </w:tc>
        <w:tc>
          <w:tcPr>
            <w:tcW w:w="1560" w:type="dxa"/>
            <w:tcBorders>
              <w:top w:val="nil"/>
              <w:left w:val="nil"/>
              <w:bottom w:val="single" w:sz="4" w:space="0" w:color="auto"/>
              <w:right w:val="single" w:sz="4" w:space="0" w:color="auto"/>
            </w:tcBorders>
            <w:noWrap/>
            <w:vAlign w:val="bottom"/>
            <w:hideMark/>
          </w:tcPr>
          <w:p w14:paraId="5595DE15" w14:textId="25450340"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2.261,75</w:t>
            </w:r>
          </w:p>
        </w:tc>
        <w:tc>
          <w:tcPr>
            <w:tcW w:w="1417" w:type="dxa"/>
            <w:tcBorders>
              <w:top w:val="nil"/>
              <w:left w:val="nil"/>
              <w:bottom w:val="single" w:sz="4" w:space="0" w:color="auto"/>
              <w:right w:val="single" w:sz="4" w:space="0" w:color="auto"/>
            </w:tcBorders>
            <w:noWrap/>
            <w:vAlign w:val="bottom"/>
            <w:hideMark/>
          </w:tcPr>
          <w:p w14:paraId="7175B7E6" w14:textId="3533A7C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0,07%</w:t>
            </w:r>
          </w:p>
        </w:tc>
        <w:tc>
          <w:tcPr>
            <w:tcW w:w="1275" w:type="dxa"/>
            <w:tcBorders>
              <w:top w:val="nil"/>
              <w:left w:val="nil"/>
              <w:bottom w:val="single" w:sz="4" w:space="0" w:color="auto"/>
              <w:right w:val="single" w:sz="4" w:space="0" w:color="auto"/>
            </w:tcBorders>
            <w:noWrap/>
            <w:vAlign w:val="bottom"/>
            <w:hideMark/>
          </w:tcPr>
          <w:p w14:paraId="4C1CDE73" w14:textId="4DC01E5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A8ED133" w14:textId="3D72178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1.846,75</w:t>
            </w:r>
          </w:p>
        </w:tc>
        <w:tc>
          <w:tcPr>
            <w:tcW w:w="1134" w:type="dxa"/>
            <w:tcBorders>
              <w:top w:val="nil"/>
              <w:left w:val="nil"/>
              <w:bottom w:val="single" w:sz="4" w:space="0" w:color="auto"/>
              <w:right w:val="single" w:sz="4" w:space="0" w:color="auto"/>
            </w:tcBorders>
            <w:noWrap/>
            <w:vAlign w:val="bottom"/>
            <w:hideMark/>
          </w:tcPr>
          <w:p w14:paraId="23FC48D4" w14:textId="79D25DD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415,00</w:t>
            </w:r>
          </w:p>
        </w:tc>
        <w:tc>
          <w:tcPr>
            <w:tcW w:w="1418" w:type="dxa"/>
            <w:tcBorders>
              <w:top w:val="nil"/>
              <w:left w:val="nil"/>
              <w:bottom w:val="single" w:sz="4" w:space="0" w:color="auto"/>
              <w:right w:val="single" w:sz="4" w:space="0" w:color="auto"/>
            </w:tcBorders>
            <w:noWrap/>
            <w:vAlign w:val="bottom"/>
            <w:hideMark/>
          </w:tcPr>
          <w:p w14:paraId="2082A271" w14:textId="63F26C57"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4E9E9015" w14:textId="54D0ECFD"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340A56F6" w14:textId="6EC6667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7BE37B7E"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04A1E72A"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Baza cestnih podatkov</w:t>
            </w:r>
          </w:p>
        </w:tc>
        <w:tc>
          <w:tcPr>
            <w:tcW w:w="1560" w:type="dxa"/>
            <w:tcBorders>
              <w:top w:val="nil"/>
              <w:left w:val="nil"/>
              <w:bottom w:val="single" w:sz="4" w:space="0" w:color="auto"/>
              <w:right w:val="single" w:sz="4" w:space="0" w:color="auto"/>
            </w:tcBorders>
            <w:noWrap/>
            <w:vAlign w:val="bottom"/>
            <w:hideMark/>
          </w:tcPr>
          <w:p w14:paraId="522DDD38" w14:textId="7927776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819,67</w:t>
            </w:r>
          </w:p>
        </w:tc>
        <w:tc>
          <w:tcPr>
            <w:tcW w:w="1417" w:type="dxa"/>
            <w:tcBorders>
              <w:top w:val="nil"/>
              <w:left w:val="nil"/>
              <w:bottom w:val="single" w:sz="4" w:space="0" w:color="auto"/>
              <w:right w:val="single" w:sz="4" w:space="0" w:color="auto"/>
            </w:tcBorders>
            <w:noWrap/>
            <w:vAlign w:val="bottom"/>
            <w:hideMark/>
          </w:tcPr>
          <w:p w14:paraId="448C9891" w14:textId="682FA58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0,03%</w:t>
            </w:r>
          </w:p>
        </w:tc>
        <w:tc>
          <w:tcPr>
            <w:tcW w:w="1275" w:type="dxa"/>
            <w:tcBorders>
              <w:top w:val="nil"/>
              <w:left w:val="nil"/>
              <w:bottom w:val="single" w:sz="4" w:space="0" w:color="auto"/>
              <w:right w:val="single" w:sz="4" w:space="0" w:color="auto"/>
            </w:tcBorders>
            <w:noWrap/>
            <w:vAlign w:val="bottom"/>
            <w:hideMark/>
          </w:tcPr>
          <w:p w14:paraId="60C5C9BE" w14:textId="145F107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ED95A6A" w14:textId="0FAE2A7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136E4690" w14:textId="674DB4C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895C2AE" w14:textId="10AB2BF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745A41CF" w14:textId="4D4E2DF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819,67</w:t>
            </w:r>
          </w:p>
        </w:tc>
        <w:tc>
          <w:tcPr>
            <w:tcW w:w="1192" w:type="dxa"/>
            <w:tcBorders>
              <w:top w:val="nil"/>
              <w:left w:val="nil"/>
              <w:bottom w:val="single" w:sz="4" w:space="0" w:color="auto"/>
              <w:right w:val="single" w:sz="4" w:space="0" w:color="auto"/>
            </w:tcBorders>
            <w:noWrap/>
            <w:vAlign w:val="bottom"/>
            <w:hideMark/>
          </w:tcPr>
          <w:p w14:paraId="459B8FAB" w14:textId="0E07FA99"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r>
      <w:tr w:rsidR="00436BE7" w:rsidRPr="000020F0" w14:paraId="3FE78AE4"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610591F3" w14:textId="77777777" w:rsidR="00436BE7" w:rsidRPr="000020F0" w:rsidRDefault="00436BE7" w:rsidP="00436BE7">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560" w:type="dxa"/>
            <w:tcBorders>
              <w:top w:val="nil"/>
              <w:left w:val="nil"/>
              <w:bottom w:val="single" w:sz="4" w:space="0" w:color="auto"/>
              <w:right w:val="single" w:sz="4" w:space="0" w:color="auto"/>
            </w:tcBorders>
            <w:shd w:val="clear" w:color="000000" w:fill="D9D9D9"/>
            <w:noWrap/>
            <w:vAlign w:val="bottom"/>
            <w:hideMark/>
          </w:tcPr>
          <w:p w14:paraId="2DBCF6D0" w14:textId="30AA41E1"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2.736.881,76</w:t>
            </w:r>
          </w:p>
        </w:tc>
        <w:tc>
          <w:tcPr>
            <w:tcW w:w="1417" w:type="dxa"/>
            <w:tcBorders>
              <w:top w:val="nil"/>
              <w:left w:val="nil"/>
              <w:bottom w:val="single" w:sz="4" w:space="0" w:color="auto"/>
              <w:right w:val="single" w:sz="4" w:space="0" w:color="auto"/>
            </w:tcBorders>
            <w:shd w:val="clear" w:color="000000" w:fill="D9D9D9"/>
            <w:noWrap/>
            <w:vAlign w:val="bottom"/>
            <w:hideMark/>
          </w:tcPr>
          <w:p w14:paraId="455553BE" w14:textId="486F15C5"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83,51%</w:t>
            </w:r>
          </w:p>
        </w:tc>
        <w:tc>
          <w:tcPr>
            <w:tcW w:w="1275" w:type="dxa"/>
            <w:tcBorders>
              <w:top w:val="nil"/>
              <w:left w:val="nil"/>
              <w:bottom w:val="single" w:sz="4" w:space="0" w:color="auto"/>
              <w:right w:val="single" w:sz="4" w:space="0" w:color="auto"/>
            </w:tcBorders>
            <w:shd w:val="clear" w:color="000000" w:fill="D9D9D9"/>
            <w:noWrap/>
            <w:vAlign w:val="bottom"/>
            <w:hideMark/>
          </w:tcPr>
          <w:p w14:paraId="757A731E" w14:textId="4F6D71CC"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294.705,03</w:t>
            </w:r>
          </w:p>
        </w:tc>
        <w:tc>
          <w:tcPr>
            <w:tcW w:w="1276" w:type="dxa"/>
            <w:tcBorders>
              <w:top w:val="nil"/>
              <w:left w:val="nil"/>
              <w:bottom w:val="single" w:sz="4" w:space="0" w:color="auto"/>
              <w:right w:val="single" w:sz="4" w:space="0" w:color="auto"/>
            </w:tcBorders>
            <w:shd w:val="clear" w:color="000000" w:fill="D9D9D9"/>
            <w:noWrap/>
            <w:vAlign w:val="bottom"/>
            <w:hideMark/>
          </w:tcPr>
          <w:p w14:paraId="759F3098" w14:textId="678C6D68"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78.619,70</w:t>
            </w:r>
          </w:p>
        </w:tc>
        <w:tc>
          <w:tcPr>
            <w:tcW w:w="1134" w:type="dxa"/>
            <w:tcBorders>
              <w:top w:val="nil"/>
              <w:left w:val="nil"/>
              <w:bottom w:val="single" w:sz="4" w:space="0" w:color="auto"/>
              <w:right w:val="single" w:sz="4" w:space="0" w:color="auto"/>
            </w:tcBorders>
            <w:shd w:val="clear" w:color="000000" w:fill="D9D9D9"/>
            <w:noWrap/>
            <w:vAlign w:val="bottom"/>
            <w:hideMark/>
          </w:tcPr>
          <w:p w14:paraId="77182A3B" w14:textId="7F4ACCC4"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33.587,38</w:t>
            </w:r>
          </w:p>
        </w:tc>
        <w:tc>
          <w:tcPr>
            <w:tcW w:w="1418" w:type="dxa"/>
            <w:tcBorders>
              <w:top w:val="nil"/>
              <w:left w:val="nil"/>
              <w:bottom w:val="single" w:sz="4" w:space="0" w:color="auto"/>
              <w:right w:val="single" w:sz="4" w:space="0" w:color="auto"/>
            </w:tcBorders>
            <w:shd w:val="clear" w:color="000000" w:fill="D9D9D9"/>
            <w:noWrap/>
            <w:vAlign w:val="bottom"/>
            <w:hideMark/>
          </w:tcPr>
          <w:p w14:paraId="751912BD" w14:textId="2389442A"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619.194,18</w:t>
            </w:r>
          </w:p>
        </w:tc>
        <w:tc>
          <w:tcPr>
            <w:tcW w:w="1501" w:type="dxa"/>
            <w:tcBorders>
              <w:top w:val="nil"/>
              <w:left w:val="nil"/>
              <w:bottom w:val="single" w:sz="4" w:space="0" w:color="auto"/>
              <w:right w:val="single" w:sz="4" w:space="0" w:color="auto"/>
            </w:tcBorders>
            <w:shd w:val="clear" w:color="000000" w:fill="D9D9D9"/>
            <w:noWrap/>
            <w:vAlign w:val="bottom"/>
            <w:hideMark/>
          </w:tcPr>
          <w:p w14:paraId="5DF0DFDC" w14:textId="4204AB30"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1.652.146,96</w:t>
            </w:r>
          </w:p>
        </w:tc>
        <w:tc>
          <w:tcPr>
            <w:tcW w:w="1192" w:type="dxa"/>
            <w:tcBorders>
              <w:top w:val="nil"/>
              <w:left w:val="nil"/>
              <w:bottom w:val="single" w:sz="4" w:space="0" w:color="auto"/>
              <w:right w:val="single" w:sz="4" w:space="0" w:color="auto"/>
            </w:tcBorders>
            <w:shd w:val="clear" w:color="000000" w:fill="D9D9D9"/>
            <w:noWrap/>
            <w:vAlign w:val="bottom"/>
            <w:hideMark/>
          </w:tcPr>
          <w:p w14:paraId="7CC8D6DB" w14:textId="450AD892"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58.628,51</w:t>
            </w:r>
          </w:p>
        </w:tc>
      </w:tr>
      <w:tr w:rsidR="00436BE7" w:rsidRPr="000020F0" w14:paraId="6CBCEBFA"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30C82612"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Davek na dodano vrednost</w:t>
            </w:r>
          </w:p>
        </w:tc>
        <w:tc>
          <w:tcPr>
            <w:tcW w:w="1560" w:type="dxa"/>
            <w:tcBorders>
              <w:top w:val="nil"/>
              <w:left w:val="nil"/>
              <w:bottom w:val="single" w:sz="4" w:space="0" w:color="auto"/>
              <w:right w:val="single" w:sz="4" w:space="0" w:color="auto"/>
            </w:tcBorders>
            <w:noWrap/>
            <w:vAlign w:val="bottom"/>
            <w:hideMark/>
          </w:tcPr>
          <w:p w14:paraId="096940D5" w14:textId="0032531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540.275,01</w:t>
            </w:r>
          </w:p>
        </w:tc>
        <w:tc>
          <w:tcPr>
            <w:tcW w:w="1417" w:type="dxa"/>
            <w:tcBorders>
              <w:top w:val="nil"/>
              <w:left w:val="nil"/>
              <w:bottom w:val="single" w:sz="4" w:space="0" w:color="auto"/>
              <w:right w:val="single" w:sz="4" w:space="0" w:color="auto"/>
            </w:tcBorders>
            <w:noWrap/>
            <w:vAlign w:val="bottom"/>
            <w:hideMark/>
          </w:tcPr>
          <w:p w14:paraId="25E8D903" w14:textId="069654B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16,49%</w:t>
            </w:r>
          </w:p>
        </w:tc>
        <w:tc>
          <w:tcPr>
            <w:tcW w:w="1275" w:type="dxa"/>
            <w:tcBorders>
              <w:top w:val="nil"/>
              <w:left w:val="nil"/>
              <w:bottom w:val="single" w:sz="4" w:space="0" w:color="auto"/>
              <w:right w:val="single" w:sz="4" w:space="0" w:color="auto"/>
            </w:tcBorders>
            <w:noWrap/>
            <w:vAlign w:val="bottom"/>
            <w:hideMark/>
          </w:tcPr>
          <w:p w14:paraId="70DA1351" w14:textId="1F42891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2.996,14</w:t>
            </w:r>
          </w:p>
        </w:tc>
        <w:tc>
          <w:tcPr>
            <w:tcW w:w="1276" w:type="dxa"/>
            <w:tcBorders>
              <w:top w:val="nil"/>
              <w:left w:val="nil"/>
              <w:bottom w:val="single" w:sz="4" w:space="0" w:color="auto"/>
              <w:right w:val="single" w:sz="4" w:space="0" w:color="auto"/>
            </w:tcBorders>
            <w:noWrap/>
            <w:vAlign w:val="bottom"/>
            <w:hideMark/>
          </w:tcPr>
          <w:p w14:paraId="7923F259" w14:textId="3591CE92"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17.296,33</w:t>
            </w:r>
          </w:p>
        </w:tc>
        <w:tc>
          <w:tcPr>
            <w:tcW w:w="1134" w:type="dxa"/>
            <w:tcBorders>
              <w:top w:val="nil"/>
              <w:left w:val="nil"/>
              <w:bottom w:val="single" w:sz="4" w:space="0" w:color="auto"/>
              <w:right w:val="single" w:sz="4" w:space="0" w:color="auto"/>
            </w:tcBorders>
            <w:noWrap/>
            <w:vAlign w:val="bottom"/>
            <w:hideMark/>
          </w:tcPr>
          <w:p w14:paraId="73153E22" w14:textId="0446A16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7.389,22</w:t>
            </w:r>
          </w:p>
        </w:tc>
        <w:tc>
          <w:tcPr>
            <w:tcW w:w="1418" w:type="dxa"/>
            <w:tcBorders>
              <w:top w:val="nil"/>
              <w:left w:val="nil"/>
              <w:bottom w:val="single" w:sz="4" w:space="0" w:color="auto"/>
              <w:right w:val="single" w:sz="4" w:space="0" w:color="auto"/>
            </w:tcBorders>
            <w:noWrap/>
            <w:vAlign w:val="bottom"/>
            <w:hideMark/>
          </w:tcPr>
          <w:p w14:paraId="10FD9DA8" w14:textId="6CBD6B6C"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136.222,72</w:t>
            </w:r>
          </w:p>
        </w:tc>
        <w:tc>
          <w:tcPr>
            <w:tcW w:w="1501" w:type="dxa"/>
            <w:tcBorders>
              <w:top w:val="nil"/>
              <w:left w:val="nil"/>
              <w:bottom w:val="single" w:sz="4" w:space="0" w:color="auto"/>
              <w:right w:val="single" w:sz="4" w:space="0" w:color="auto"/>
            </w:tcBorders>
            <w:noWrap/>
            <w:vAlign w:val="bottom"/>
            <w:hideMark/>
          </w:tcPr>
          <w:p w14:paraId="6C9600E2" w14:textId="53871D2E"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363.472,33</w:t>
            </w:r>
          </w:p>
        </w:tc>
        <w:tc>
          <w:tcPr>
            <w:tcW w:w="1192" w:type="dxa"/>
            <w:tcBorders>
              <w:top w:val="nil"/>
              <w:left w:val="nil"/>
              <w:bottom w:val="single" w:sz="4" w:space="0" w:color="auto"/>
              <w:right w:val="single" w:sz="4" w:space="0" w:color="auto"/>
            </w:tcBorders>
            <w:noWrap/>
            <w:vAlign w:val="bottom"/>
            <w:hideMark/>
          </w:tcPr>
          <w:p w14:paraId="51ACC98C" w14:textId="59F2078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12.898,27</w:t>
            </w:r>
          </w:p>
        </w:tc>
      </w:tr>
      <w:tr w:rsidR="00436BE7" w:rsidRPr="000020F0" w14:paraId="46166241" w14:textId="77777777" w:rsidTr="006935EA">
        <w:trPr>
          <w:trHeight w:val="280"/>
        </w:trPr>
        <w:tc>
          <w:tcPr>
            <w:tcW w:w="3114" w:type="dxa"/>
            <w:tcBorders>
              <w:top w:val="nil"/>
              <w:left w:val="single" w:sz="4" w:space="0" w:color="auto"/>
              <w:bottom w:val="single" w:sz="4" w:space="0" w:color="auto"/>
              <w:right w:val="single" w:sz="4" w:space="0" w:color="auto"/>
            </w:tcBorders>
            <w:noWrap/>
            <w:vAlign w:val="bottom"/>
            <w:hideMark/>
          </w:tcPr>
          <w:p w14:paraId="26B5DA25" w14:textId="7777777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560" w:type="dxa"/>
            <w:tcBorders>
              <w:top w:val="nil"/>
              <w:left w:val="nil"/>
              <w:bottom w:val="single" w:sz="4" w:space="0" w:color="auto"/>
              <w:right w:val="single" w:sz="4" w:space="0" w:color="auto"/>
            </w:tcBorders>
            <w:noWrap/>
            <w:vAlign w:val="bottom"/>
            <w:hideMark/>
          </w:tcPr>
          <w:p w14:paraId="297E8EE4" w14:textId="5D3107E5"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21.362,57</w:t>
            </w:r>
          </w:p>
        </w:tc>
        <w:tc>
          <w:tcPr>
            <w:tcW w:w="1417" w:type="dxa"/>
            <w:tcBorders>
              <w:top w:val="nil"/>
              <w:left w:val="nil"/>
              <w:bottom w:val="single" w:sz="4" w:space="0" w:color="auto"/>
              <w:right w:val="single" w:sz="4" w:space="0" w:color="auto"/>
            </w:tcBorders>
            <w:noWrap/>
            <w:vAlign w:val="bottom"/>
            <w:hideMark/>
          </w:tcPr>
          <w:p w14:paraId="773C854F" w14:textId="155B3EA1"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0,65%</w:t>
            </w:r>
          </w:p>
        </w:tc>
        <w:tc>
          <w:tcPr>
            <w:tcW w:w="1275" w:type="dxa"/>
            <w:tcBorders>
              <w:top w:val="nil"/>
              <w:left w:val="nil"/>
              <w:bottom w:val="single" w:sz="4" w:space="0" w:color="auto"/>
              <w:right w:val="single" w:sz="4" w:space="0" w:color="auto"/>
            </w:tcBorders>
            <w:noWrap/>
            <w:vAlign w:val="bottom"/>
            <w:hideMark/>
          </w:tcPr>
          <w:p w14:paraId="67D328A6" w14:textId="53062220"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w:t>
            </w:r>
          </w:p>
        </w:tc>
        <w:tc>
          <w:tcPr>
            <w:tcW w:w="1276" w:type="dxa"/>
            <w:tcBorders>
              <w:top w:val="nil"/>
              <w:left w:val="nil"/>
              <w:bottom w:val="single" w:sz="4" w:space="0" w:color="auto"/>
              <w:right w:val="single" w:sz="4" w:space="0" w:color="auto"/>
            </w:tcBorders>
            <w:noWrap/>
            <w:vAlign w:val="bottom"/>
            <w:hideMark/>
          </w:tcPr>
          <w:p w14:paraId="2ACB5960" w14:textId="24970267"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w:t>
            </w:r>
          </w:p>
        </w:tc>
        <w:tc>
          <w:tcPr>
            <w:tcW w:w="1134" w:type="dxa"/>
            <w:tcBorders>
              <w:top w:val="nil"/>
              <w:left w:val="nil"/>
              <w:bottom w:val="single" w:sz="4" w:space="0" w:color="auto"/>
              <w:right w:val="single" w:sz="4" w:space="0" w:color="auto"/>
            </w:tcBorders>
            <w:noWrap/>
            <w:vAlign w:val="bottom"/>
            <w:hideMark/>
          </w:tcPr>
          <w:p w14:paraId="56306F05" w14:textId="5AD95CAF"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hideMark/>
          </w:tcPr>
          <w:p w14:paraId="1B200708" w14:textId="387C02BF"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36BA8D2E" w14:textId="060B08B6" w:rsidR="00436BE7" w:rsidRPr="000020F0" w:rsidRDefault="00436BE7" w:rsidP="00436BE7">
            <w:pPr>
              <w:jc w:val="right"/>
              <w:rPr>
                <w:rFonts w:ascii="Arial" w:hAnsi="Arial" w:cs="Arial"/>
                <w:color w:val="000000"/>
                <w:sz w:val="20"/>
                <w:szCs w:val="20"/>
              </w:rPr>
            </w:pPr>
            <w:r w:rsidRPr="000020F0">
              <w:rPr>
                <w:rFonts w:ascii="Arial" w:hAnsi="Arial" w:cs="Arial"/>
                <w:color w:val="000000"/>
                <w:sz w:val="20"/>
                <w:szCs w:val="20"/>
              </w:rPr>
              <w:t>21.362,57</w:t>
            </w:r>
          </w:p>
        </w:tc>
        <w:tc>
          <w:tcPr>
            <w:tcW w:w="1192" w:type="dxa"/>
            <w:tcBorders>
              <w:top w:val="nil"/>
              <w:left w:val="nil"/>
              <w:bottom w:val="single" w:sz="4" w:space="0" w:color="auto"/>
              <w:right w:val="single" w:sz="4" w:space="0" w:color="auto"/>
            </w:tcBorders>
            <w:noWrap/>
            <w:vAlign w:val="bottom"/>
            <w:hideMark/>
          </w:tcPr>
          <w:p w14:paraId="2DC6FE4C" w14:textId="43EE0D5B" w:rsidR="00436BE7" w:rsidRPr="000020F0" w:rsidRDefault="00436BE7" w:rsidP="00436BE7">
            <w:pPr>
              <w:rPr>
                <w:rFonts w:ascii="Arial" w:hAnsi="Arial" w:cs="Arial"/>
                <w:color w:val="000000"/>
                <w:sz w:val="20"/>
                <w:szCs w:val="20"/>
              </w:rPr>
            </w:pPr>
            <w:r w:rsidRPr="000020F0">
              <w:rPr>
                <w:rFonts w:ascii="Arial" w:hAnsi="Arial" w:cs="Arial"/>
                <w:color w:val="000000"/>
                <w:sz w:val="20"/>
                <w:szCs w:val="20"/>
              </w:rPr>
              <w:t> </w:t>
            </w:r>
          </w:p>
        </w:tc>
      </w:tr>
      <w:tr w:rsidR="00436BE7" w:rsidRPr="000020F0" w14:paraId="61271870"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63C43DBD" w14:textId="77777777" w:rsidR="00436BE7" w:rsidRPr="000020F0" w:rsidRDefault="00436BE7" w:rsidP="00436BE7">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7A816B9A" w14:textId="2A2210F4"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1417" w:type="dxa"/>
            <w:tcBorders>
              <w:top w:val="nil"/>
              <w:left w:val="nil"/>
              <w:bottom w:val="single" w:sz="4" w:space="0" w:color="auto"/>
              <w:right w:val="single" w:sz="4" w:space="0" w:color="auto"/>
            </w:tcBorders>
            <w:shd w:val="clear" w:color="000000" w:fill="D9D9D9"/>
            <w:noWrap/>
            <w:vAlign w:val="bottom"/>
            <w:hideMark/>
          </w:tcPr>
          <w:p w14:paraId="5209DB05" w14:textId="79EAAE8C"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1275" w:type="dxa"/>
            <w:tcBorders>
              <w:top w:val="nil"/>
              <w:left w:val="nil"/>
              <w:bottom w:val="single" w:sz="4" w:space="0" w:color="auto"/>
              <w:right w:val="single" w:sz="4" w:space="0" w:color="auto"/>
            </w:tcBorders>
            <w:shd w:val="clear" w:color="000000" w:fill="D9D9D9"/>
            <w:noWrap/>
            <w:vAlign w:val="bottom"/>
            <w:hideMark/>
          </w:tcPr>
          <w:p w14:paraId="5F243431" w14:textId="4BF82BE0"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276" w:type="dxa"/>
            <w:tcBorders>
              <w:top w:val="nil"/>
              <w:left w:val="nil"/>
              <w:bottom w:val="single" w:sz="4" w:space="0" w:color="auto"/>
              <w:right w:val="single" w:sz="4" w:space="0" w:color="auto"/>
            </w:tcBorders>
            <w:shd w:val="clear" w:color="000000" w:fill="D9D9D9"/>
            <w:noWrap/>
            <w:vAlign w:val="bottom"/>
            <w:hideMark/>
          </w:tcPr>
          <w:p w14:paraId="0AF332CA" w14:textId="506CDD29"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134" w:type="dxa"/>
            <w:tcBorders>
              <w:top w:val="nil"/>
              <w:left w:val="nil"/>
              <w:bottom w:val="single" w:sz="4" w:space="0" w:color="auto"/>
              <w:right w:val="single" w:sz="4" w:space="0" w:color="auto"/>
            </w:tcBorders>
            <w:shd w:val="clear" w:color="000000" w:fill="D9D9D9"/>
            <w:noWrap/>
            <w:vAlign w:val="bottom"/>
            <w:hideMark/>
          </w:tcPr>
          <w:p w14:paraId="2EF033F2" w14:textId="2D8D84A1"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418" w:type="dxa"/>
            <w:tcBorders>
              <w:top w:val="nil"/>
              <w:left w:val="nil"/>
              <w:bottom w:val="single" w:sz="4" w:space="0" w:color="auto"/>
              <w:right w:val="single" w:sz="4" w:space="0" w:color="auto"/>
            </w:tcBorders>
            <w:shd w:val="clear" w:color="000000" w:fill="D9D9D9"/>
            <w:noWrap/>
            <w:vAlign w:val="bottom"/>
            <w:hideMark/>
          </w:tcPr>
          <w:p w14:paraId="5005861B" w14:textId="2E156B1F"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1501" w:type="dxa"/>
            <w:tcBorders>
              <w:top w:val="nil"/>
              <w:left w:val="nil"/>
              <w:bottom w:val="single" w:sz="4" w:space="0" w:color="auto"/>
              <w:right w:val="single" w:sz="4" w:space="0" w:color="auto"/>
            </w:tcBorders>
            <w:shd w:val="clear" w:color="000000" w:fill="D9D9D9"/>
            <w:noWrap/>
            <w:vAlign w:val="bottom"/>
            <w:hideMark/>
          </w:tcPr>
          <w:p w14:paraId="7EF6A6AD" w14:textId="5B892EF6"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2.015.619,29</w:t>
            </w:r>
          </w:p>
        </w:tc>
        <w:tc>
          <w:tcPr>
            <w:tcW w:w="1192" w:type="dxa"/>
            <w:tcBorders>
              <w:top w:val="nil"/>
              <w:left w:val="nil"/>
              <w:bottom w:val="single" w:sz="4" w:space="0" w:color="auto"/>
              <w:right w:val="single" w:sz="4" w:space="0" w:color="auto"/>
            </w:tcBorders>
            <w:shd w:val="clear" w:color="000000" w:fill="D9D9D9"/>
            <w:noWrap/>
            <w:vAlign w:val="bottom"/>
            <w:hideMark/>
          </w:tcPr>
          <w:p w14:paraId="57653820" w14:textId="59A52620"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71.526,78</w:t>
            </w:r>
          </w:p>
        </w:tc>
      </w:tr>
      <w:tr w:rsidR="00436BE7" w:rsidRPr="000020F0" w14:paraId="68165FDB" w14:textId="77777777" w:rsidTr="006935EA">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33E16159" w14:textId="77777777" w:rsidR="00436BE7" w:rsidRPr="000020F0" w:rsidRDefault="00436BE7" w:rsidP="00436BE7">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686052F2" w14:textId="3A7919FD"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3.255.794,20</w:t>
            </w:r>
          </w:p>
        </w:tc>
        <w:tc>
          <w:tcPr>
            <w:tcW w:w="1417" w:type="dxa"/>
            <w:tcBorders>
              <w:top w:val="nil"/>
              <w:left w:val="nil"/>
              <w:bottom w:val="single" w:sz="4" w:space="0" w:color="auto"/>
              <w:right w:val="single" w:sz="4" w:space="0" w:color="auto"/>
            </w:tcBorders>
            <w:shd w:val="clear" w:color="000000" w:fill="D9D9D9"/>
            <w:noWrap/>
            <w:vAlign w:val="bottom"/>
            <w:hideMark/>
          </w:tcPr>
          <w:p w14:paraId="525AEFEB" w14:textId="79E5B426"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99,35%</w:t>
            </w:r>
          </w:p>
        </w:tc>
        <w:tc>
          <w:tcPr>
            <w:tcW w:w="1275" w:type="dxa"/>
            <w:tcBorders>
              <w:top w:val="nil"/>
              <w:left w:val="nil"/>
              <w:bottom w:val="single" w:sz="4" w:space="0" w:color="auto"/>
              <w:right w:val="single" w:sz="4" w:space="0" w:color="auto"/>
            </w:tcBorders>
            <w:shd w:val="clear" w:color="000000" w:fill="D9D9D9"/>
            <w:noWrap/>
            <w:vAlign w:val="bottom"/>
            <w:hideMark/>
          </w:tcPr>
          <w:p w14:paraId="05B2FAB1" w14:textId="4B9C7DD7"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276" w:type="dxa"/>
            <w:tcBorders>
              <w:top w:val="nil"/>
              <w:left w:val="nil"/>
              <w:bottom w:val="single" w:sz="4" w:space="0" w:color="auto"/>
              <w:right w:val="single" w:sz="4" w:space="0" w:color="auto"/>
            </w:tcBorders>
            <w:shd w:val="clear" w:color="000000" w:fill="D9D9D9"/>
            <w:noWrap/>
            <w:vAlign w:val="bottom"/>
            <w:hideMark/>
          </w:tcPr>
          <w:p w14:paraId="3E48167E" w14:textId="5396AF16"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134" w:type="dxa"/>
            <w:tcBorders>
              <w:top w:val="nil"/>
              <w:left w:val="nil"/>
              <w:bottom w:val="single" w:sz="4" w:space="0" w:color="auto"/>
              <w:right w:val="single" w:sz="4" w:space="0" w:color="auto"/>
            </w:tcBorders>
            <w:shd w:val="clear" w:color="000000" w:fill="D9D9D9"/>
            <w:noWrap/>
            <w:vAlign w:val="bottom"/>
            <w:hideMark/>
          </w:tcPr>
          <w:p w14:paraId="6E93B078" w14:textId="484C8691"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418" w:type="dxa"/>
            <w:tcBorders>
              <w:top w:val="nil"/>
              <w:left w:val="nil"/>
              <w:bottom w:val="single" w:sz="4" w:space="0" w:color="auto"/>
              <w:right w:val="single" w:sz="4" w:space="0" w:color="auto"/>
            </w:tcBorders>
            <w:shd w:val="clear" w:color="000000" w:fill="D9D9D9"/>
            <w:noWrap/>
            <w:vAlign w:val="bottom"/>
            <w:hideMark/>
          </w:tcPr>
          <w:p w14:paraId="32E5DD7C" w14:textId="556C5678"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1501" w:type="dxa"/>
            <w:tcBorders>
              <w:top w:val="nil"/>
              <w:left w:val="nil"/>
              <w:bottom w:val="single" w:sz="4" w:space="0" w:color="auto"/>
              <w:right w:val="single" w:sz="4" w:space="0" w:color="auto"/>
            </w:tcBorders>
            <w:shd w:val="clear" w:color="000000" w:fill="D9D9D9"/>
            <w:noWrap/>
            <w:vAlign w:val="bottom"/>
            <w:hideMark/>
          </w:tcPr>
          <w:p w14:paraId="376EBB7C" w14:textId="4281C3B8"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1.994.256,73</w:t>
            </w:r>
          </w:p>
        </w:tc>
        <w:tc>
          <w:tcPr>
            <w:tcW w:w="1192" w:type="dxa"/>
            <w:tcBorders>
              <w:top w:val="nil"/>
              <w:left w:val="nil"/>
              <w:bottom w:val="single" w:sz="4" w:space="0" w:color="auto"/>
              <w:right w:val="single" w:sz="4" w:space="0" w:color="auto"/>
            </w:tcBorders>
            <w:shd w:val="clear" w:color="000000" w:fill="D9D9D9"/>
            <w:noWrap/>
            <w:vAlign w:val="bottom"/>
            <w:hideMark/>
          </w:tcPr>
          <w:p w14:paraId="2E1B4AEE" w14:textId="78B7B943" w:rsidR="00436BE7" w:rsidRPr="000020F0" w:rsidRDefault="00436BE7" w:rsidP="00436BE7">
            <w:pPr>
              <w:jc w:val="right"/>
              <w:rPr>
                <w:rFonts w:ascii="Arial" w:hAnsi="Arial" w:cs="Arial"/>
                <w:b/>
                <w:bCs/>
                <w:color w:val="000000"/>
                <w:sz w:val="20"/>
                <w:szCs w:val="20"/>
              </w:rPr>
            </w:pPr>
            <w:r w:rsidRPr="000020F0">
              <w:rPr>
                <w:rFonts w:ascii="Arial" w:hAnsi="Arial" w:cs="Arial"/>
                <w:b/>
                <w:bCs/>
                <w:color w:val="000000"/>
                <w:sz w:val="20"/>
                <w:szCs w:val="20"/>
              </w:rPr>
              <w:t>71.526,78</w:t>
            </w:r>
          </w:p>
        </w:tc>
      </w:tr>
    </w:tbl>
    <w:p w14:paraId="4CBF26D5" w14:textId="77777777" w:rsidR="004725DB" w:rsidRPr="000020F0" w:rsidRDefault="004725DB" w:rsidP="006154DD">
      <w:pPr>
        <w:spacing w:after="120" w:line="276" w:lineRule="auto"/>
        <w:ind w:left="1410" w:hanging="1410"/>
        <w:jc w:val="both"/>
        <w:rPr>
          <w:rFonts w:ascii="Arial" w:hAnsi="Arial" w:cs="Arial"/>
          <w:sz w:val="22"/>
          <w:szCs w:val="22"/>
        </w:rPr>
      </w:pPr>
    </w:p>
    <w:p w14:paraId="1EB1FABA" w14:textId="33D2A01F" w:rsidR="006154DD" w:rsidRPr="000020F0" w:rsidRDefault="006154DD" w:rsidP="006154DD">
      <w:pPr>
        <w:spacing w:line="276" w:lineRule="auto"/>
        <w:jc w:val="both"/>
        <w:rPr>
          <w:rFonts w:ascii="Arial" w:hAnsi="Arial" w:cs="Arial"/>
          <w:sz w:val="22"/>
          <w:szCs w:val="22"/>
        </w:rPr>
      </w:pPr>
      <w:bookmarkStart w:id="326" w:name="_Toc1955846"/>
      <w:bookmarkStart w:id="327" w:name="_Toc209029185"/>
      <w:bookmarkStart w:id="328" w:name="_Toc209277217"/>
      <w:bookmarkStart w:id="329" w:name="_Toc230882296"/>
      <w:r w:rsidRPr="000020F0">
        <w:rPr>
          <w:rFonts w:ascii="Arial" w:hAnsi="Arial" w:cs="Arial"/>
          <w:b/>
          <w:sz w:val="22"/>
          <w:szCs w:val="22"/>
        </w:rPr>
        <w:t xml:space="preserve">Tabela </w:t>
      </w:r>
      <w:r w:rsidRPr="000020F0">
        <w:rPr>
          <w:rFonts w:ascii="Arial" w:hAnsi="Arial" w:cs="Arial"/>
          <w:b/>
          <w:sz w:val="22"/>
          <w:szCs w:val="22"/>
        </w:rPr>
        <w:fldChar w:fldCharType="begin"/>
      </w:r>
      <w:r w:rsidRPr="000020F0">
        <w:rPr>
          <w:rFonts w:ascii="Arial" w:hAnsi="Arial" w:cs="Arial"/>
          <w:b/>
          <w:sz w:val="22"/>
          <w:szCs w:val="22"/>
        </w:rPr>
        <w:instrText xml:space="preserve"> SEQ Tabela \* ARABIC </w:instrText>
      </w:r>
      <w:r w:rsidRPr="000020F0">
        <w:rPr>
          <w:rFonts w:ascii="Arial" w:hAnsi="Arial" w:cs="Arial"/>
          <w:b/>
          <w:sz w:val="22"/>
          <w:szCs w:val="22"/>
        </w:rPr>
        <w:fldChar w:fldCharType="separate"/>
      </w:r>
      <w:r w:rsidR="00BB0C0C">
        <w:rPr>
          <w:rFonts w:ascii="Arial" w:hAnsi="Arial" w:cs="Arial"/>
          <w:b/>
          <w:noProof/>
          <w:sz w:val="22"/>
          <w:szCs w:val="22"/>
        </w:rPr>
        <w:t>16</w:t>
      </w:r>
      <w:r w:rsidRPr="000020F0">
        <w:rPr>
          <w:rFonts w:ascii="Arial" w:hAnsi="Arial" w:cs="Arial"/>
          <w:b/>
          <w:sz w:val="22"/>
          <w:szCs w:val="22"/>
        </w:rPr>
        <w:fldChar w:fldCharType="end"/>
      </w:r>
      <w:r w:rsidRPr="000020F0">
        <w:rPr>
          <w:rFonts w:ascii="Arial" w:hAnsi="Arial" w:cs="Arial"/>
          <w:b/>
          <w:sz w:val="22"/>
          <w:szCs w:val="22"/>
        </w:rPr>
        <w:t xml:space="preserve">: </w:t>
      </w:r>
      <w:bookmarkEnd w:id="326"/>
      <w:r w:rsidRPr="000020F0">
        <w:rPr>
          <w:rFonts w:ascii="Arial" w:hAnsi="Arial" w:cs="Arial"/>
          <w:sz w:val="22"/>
          <w:szCs w:val="22"/>
        </w:rPr>
        <w:t>Dinamika financiranja v stalnih cenah</w:t>
      </w:r>
      <w:bookmarkEnd w:id="327"/>
      <w:bookmarkEnd w:id="328"/>
      <w:bookmarkEnd w:id="329"/>
    </w:p>
    <w:tbl>
      <w:tblPr>
        <w:tblW w:w="5000" w:type="pct"/>
        <w:tblCellMar>
          <w:left w:w="70" w:type="dxa"/>
          <w:right w:w="70" w:type="dxa"/>
        </w:tblCellMar>
        <w:tblLook w:val="04A0" w:firstRow="1" w:lastRow="0" w:firstColumn="1" w:lastColumn="0" w:noHBand="0" w:noVBand="1"/>
      </w:tblPr>
      <w:tblGrid>
        <w:gridCol w:w="2976"/>
        <w:gridCol w:w="1433"/>
        <w:gridCol w:w="1293"/>
        <w:gridCol w:w="1416"/>
        <w:gridCol w:w="1593"/>
        <w:gridCol w:w="1365"/>
        <w:gridCol w:w="1331"/>
        <w:gridCol w:w="1505"/>
        <w:gridCol w:w="1365"/>
      </w:tblGrid>
      <w:tr w:rsidR="00F86901" w:rsidRPr="000020F0" w14:paraId="3D5B4738" w14:textId="77777777" w:rsidTr="008815FC">
        <w:trPr>
          <w:trHeight w:val="300"/>
          <w:tblHeader/>
        </w:trPr>
        <w:tc>
          <w:tcPr>
            <w:tcW w:w="1042" w:type="pct"/>
            <w:tcBorders>
              <w:top w:val="single" w:sz="4" w:space="0" w:color="auto"/>
              <w:left w:val="single" w:sz="4" w:space="0" w:color="auto"/>
              <w:bottom w:val="single" w:sz="4" w:space="0" w:color="auto"/>
              <w:right w:val="single" w:sz="4" w:space="0" w:color="auto"/>
            </w:tcBorders>
            <w:shd w:val="clear" w:color="000000" w:fill="0B3040"/>
            <w:vAlign w:val="bottom"/>
            <w:hideMark/>
          </w:tcPr>
          <w:p w14:paraId="33218C96" w14:textId="0F17372E" w:rsidR="00F86901" w:rsidRPr="000020F0" w:rsidRDefault="00F86901" w:rsidP="00F86901">
            <w:pPr>
              <w:rPr>
                <w:rFonts w:ascii="Arial" w:hAnsi="Arial" w:cs="Arial"/>
                <w:b/>
                <w:bCs/>
                <w:color w:val="FFFFFF"/>
                <w:sz w:val="20"/>
                <w:szCs w:val="20"/>
              </w:rPr>
            </w:pPr>
            <w:r w:rsidRPr="000020F0">
              <w:rPr>
                <w:rFonts w:ascii="Arial" w:hAnsi="Arial" w:cs="Arial"/>
                <w:b/>
                <w:bCs/>
                <w:color w:val="FFFFFF"/>
                <w:sz w:val="20"/>
                <w:szCs w:val="20"/>
              </w:rPr>
              <w:t>VIRI FINANCIRANJA</w:t>
            </w:r>
          </w:p>
        </w:tc>
        <w:tc>
          <w:tcPr>
            <w:tcW w:w="502" w:type="pct"/>
            <w:tcBorders>
              <w:top w:val="single" w:sz="4" w:space="0" w:color="auto"/>
              <w:left w:val="nil"/>
              <w:bottom w:val="single" w:sz="4" w:space="0" w:color="auto"/>
              <w:right w:val="single" w:sz="4" w:space="0" w:color="auto"/>
            </w:tcBorders>
            <w:shd w:val="clear" w:color="000000" w:fill="0B3040"/>
            <w:noWrap/>
            <w:vAlign w:val="bottom"/>
            <w:hideMark/>
          </w:tcPr>
          <w:p w14:paraId="291B20F9" w14:textId="5FC847E9" w:rsidR="00F86901" w:rsidRPr="000020F0" w:rsidRDefault="00F86901" w:rsidP="00F86901">
            <w:pPr>
              <w:rPr>
                <w:rFonts w:ascii="Arial" w:hAnsi="Arial" w:cs="Arial"/>
                <w:b/>
                <w:bCs/>
                <w:color w:val="FFFFFF"/>
                <w:sz w:val="20"/>
                <w:szCs w:val="20"/>
              </w:rPr>
            </w:pPr>
            <w:r w:rsidRPr="000020F0">
              <w:rPr>
                <w:rFonts w:ascii="Arial" w:hAnsi="Arial" w:cs="Arial"/>
                <w:b/>
                <w:bCs/>
                <w:color w:val="FFFFFF"/>
                <w:sz w:val="20"/>
                <w:szCs w:val="20"/>
              </w:rPr>
              <w:t>SKUPAJ</w:t>
            </w:r>
          </w:p>
        </w:tc>
        <w:tc>
          <w:tcPr>
            <w:tcW w:w="453" w:type="pct"/>
            <w:tcBorders>
              <w:top w:val="single" w:sz="4" w:space="0" w:color="auto"/>
              <w:left w:val="nil"/>
              <w:bottom w:val="single" w:sz="4" w:space="0" w:color="auto"/>
              <w:right w:val="single" w:sz="4" w:space="0" w:color="auto"/>
            </w:tcBorders>
            <w:shd w:val="clear" w:color="000000" w:fill="0B3040"/>
            <w:noWrap/>
            <w:vAlign w:val="bottom"/>
            <w:hideMark/>
          </w:tcPr>
          <w:p w14:paraId="10CCB911" w14:textId="1D2AEEFD" w:rsidR="00F86901" w:rsidRPr="000020F0" w:rsidRDefault="00F86901" w:rsidP="00F86901">
            <w:pPr>
              <w:rPr>
                <w:rFonts w:ascii="Arial" w:hAnsi="Arial" w:cs="Arial"/>
                <w:b/>
                <w:bCs/>
                <w:color w:val="FFFFFF"/>
                <w:sz w:val="20"/>
                <w:szCs w:val="20"/>
              </w:rPr>
            </w:pPr>
            <w:r w:rsidRPr="000020F0">
              <w:rPr>
                <w:rFonts w:ascii="Arial" w:hAnsi="Arial" w:cs="Arial"/>
                <w:b/>
                <w:bCs/>
                <w:color w:val="FFFFFF"/>
                <w:sz w:val="20"/>
                <w:szCs w:val="20"/>
              </w:rPr>
              <w:t>DELEŽ</w:t>
            </w:r>
          </w:p>
        </w:tc>
        <w:tc>
          <w:tcPr>
            <w:tcW w:w="496" w:type="pct"/>
            <w:tcBorders>
              <w:top w:val="single" w:sz="4" w:space="0" w:color="auto"/>
              <w:left w:val="nil"/>
              <w:bottom w:val="single" w:sz="4" w:space="0" w:color="auto"/>
              <w:right w:val="single" w:sz="4" w:space="0" w:color="auto"/>
            </w:tcBorders>
            <w:shd w:val="clear" w:color="000000" w:fill="0B3040"/>
            <w:noWrap/>
            <w:vAlign w:val="bottom"/>
            <w:hideMark/>
          </w:tcPr>
          <w:p w14:paraId="18E47507" w14:textId="2AA1E9DA"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558" w:type="pct"/>
            <w:tcBorders>
              <w:top w:val="single" w:sz="4" w:space="0" w:color="auto"/>
              <w:left w:val="nil"/>
              <w:bottom w:val="single" w:sz="4" w:space="0" w:color="auto"/>
              <w:right w:val="single" w:sz="4" w:space="0" w:color="auto"/>
            </w:tcBorders>
            <w:shd w:val="clear" w:color="000000" w:fill="0B3040"/>
            <w:noWrap/>
            <w:vAlign w:val="bottom"/>
            <w:hideMark/>
          </w:tcPr>
          <w:p w14:paraId="0F6A5BB2" w14:textId="158E8C0A"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7E4C8072" w14:textId="2A6F4732"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466" w:type="pct"/>
            <w:tcBorders>
              <w:top w:val="single" w:sz="4" w:space="0" w:color="auto"/>
              <w:left w:val="nil"/>
              <w:bottom w:val="single" w:sz="4" w:space="0" w:color="auto"/>
              <w:right w:val="single" w:sz="4" w:space="0" w:color="auto"/>
            </w:tcBorders>
            <w:shd w:val="clear" w:color="000000" w:fill="0B3040"/>
            <w:noWrap/>
            <w:vAlign w:val="bottom"/>
            <w:hideMark/>
          </w:tcPr>
          <w:p w14:paraId="57E88BE0" w14:textId="683C4FAE"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527" w:type="pct"/>
            <w:tcBorders>
              <w:top w:val="single" w:sz="4" w:space="0" w:color="auto"/>
              <w:left w:val="nil"/>
              <w:bottom w:val="single" w:sz="4" w:space="0" w:color="auto"/>
              <w:right w:val="single" w:sz="4" w:space="0" w:color="auto"/>
            </w:tcBorders>
            <w:shd w:val="clear" w:color="000000" w:fill="0B3040"/>
            <w:noWrap/>
            <w:vAlign w:val="bottom"/>
            <w:hideMark/>
          </w:tcPr>
          <w:p w14:paraId="0F4AF0F6" w14:textId="1113219C"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490AC603" w14:textId="7911AA44" w:rsidR="00F86901" w:rsidRPr="000020F0" w:rsidRDefault="00F86901" w:rsidP="00F86901">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6F69CB" w:rsidRPr="000020F0" w14:paraId="1C221CAF" w14:textId="77777777" w:rsidTr="002E10AB">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71C7F8EC" w14:textId="52254B26"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1FA55DD0" w14:textId="66FFFD18"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2.414.198,33</w:t>
            </w:r>
          </w:p>
        </w:tc>
        <w:tc>
          <w:tcPr>
            <w:tcW w:w="453" w:type="pct"/>
            <w:tcBorders>
              <w:top w:val="nil"/>
              <w:left w:val="nil"/>
              <w:bottom w:val="single" w:sz="4" w:space="0" w:color="auto"/>
              <w:right w:val="single" w:sz="4" w:space="0" w:color="auto"/>
            </w:tcBorders>
            <w:shd w:val="clear" w:color="000000" w:fill="D9D9D9"/>
            <w:noWrap/>
            <w:vAlign w:val="bottom"/>
            <w:hideMark/>
          </w:tcPr>
          <w:p w14:paraId="260CB394" w14:textId="02C837DD"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73,67%</w:t>
            </w:r>
          </w:p>
        </w:tc>
        <w:tc>
          <w:tcPr>
            <w:tcW w:w="496" w:type="pct"/>
            <w:tcBorders>
              <w:top w:val="nil"/>
              <w:left w:val="nil"/>
              <w:bottom w:val="single" w:sz="4" w:space="0" w:color="auto"/>
              <w:right w:val="single" w:sz="4" w:space="0" w:color="auto"/>
            </w:tcBorders>
            <w:shd w:val="clear" w:color="000000" w:fill="D9D9D9"/>
            <w:noWrap/>
            <w:vAlign w:val="bottom"/>
            <w:hideMark/>
          </w:tcPr>
          <w:p w14:paraId="50520563" w14:textId="511BE115"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558" w:type="pct"/>
            <w:tcBorders>
              <w:top w:val="nil"/>
              <w:left w:val="nil"/>
              <w:bottom w:val="single" w:sz="4" w:space="0" w:color="auto"/>
              <w:right w:val="single" w:sz="4" w:space="0" w:color="auto"/>
            </w:tcBorders>
            <w:shd w:val="clear" w:color="000000" w:fill="D9D9D9"/>
            <w:noWrap/>
            <w:vAlign w:val="bottom"/>
            <w:hideMark/>
          </w:tcPr>
          <w:p w14:paraId="75A591E2" w14:textId="73393438"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478" w:type="pct"/>
            <w:tcBorders>
              <w:top w:val="nil"/>
              <w:left w:val="nil"/>
              <w:bottom w:val="single" w:sz="4" w:space="0" w:color="auto"/>
              <w:right w:val="single" w:sz="4" w:space="0" w:color="auto"/>
            </w:tcBorders>
            <w:shd w:val="clear" w:color="000000" w:fill="D9D9D9"/>
            <w:noWrap/>
            <w:vAlign w:val="bottom"/>
            <w:hideMark/>
          </w:tcPr>
          <w:p w14:paraId="6BDA9305" w14:textId="1CE4E1DB"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466" w:type="pct"/>
            <w:tcBorders>
              <w:top w:val="nil"/>
              <w:left w:val="nil"/>
              <w:bottom w:val="single" w:sz="4" w:space="0" w:color="auto"/>
              <w:right w:val="single" w:sz="4" w:space="0" w:color="auto"/>
            </w:tcBorders>
            <w:shd w:val="clear" w:color="000000" w:fill="D9D9D9"/>
            <w:noWrap/>
            <w:vAlign w:val="bottom"/>
            <w:hideMark/>
          </w:tcPr>
          <w:p w14:paraId="3B4713D6" w14:textId="4577A152"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745.682,19</w:t>
            </w:r>
          </w:p>
        </w:tc>
        <w:tc>
          <w:tcPr>
            <w:tcW w:w="527" w:type="pct"/>
            <w:tcBorders>
              <w:top w:val="nil"/>
              <w:left w:val="nil"/>
              <w:bottom w:val="single" w:sz="4" w:space="0" w:color="auto"/>
              <w:right w:val="single" w:sz="4" w:space="0" w:color="auto"/>
            </w:tcBorders>
            <w:shd w:val="clear" w:color="000000" w:fill="D9D9D9"/>
            <w:noWrap/>
            <w:vAlign w:val="bottom"/>
            <w:hideMark/>
          </w:tcPr>
          <w:p w14:paraId="30D0DDAC" w14:textId="2A265374"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1.479.340,38</w:t>
            </w:r>
          </w:p>
        </w:tc>
        <w:tc>
          <w:tcPr>
            <w:tcW w:w="478" w:type="pct"/>
            <w:tcBorders>
              <w:top w:val="nil"/>
              <w:left w:val="nil"/>
              <w:bottom w:val="single" w:sz="4" w:space="0" w:color="auto"/>
              <w:right w:val="single" w:sz="4" w:space="0" w:color="auto"/>
            </w:tcBorders>
            <w:shd w:val="clear" w:color="000000" w:fill="D9D9D9"/>
            <w:noWrap/>
            <w:vAlign w:val="bottom"/>
            <w:hideMark/>
          </w:tcPr>
          <w:p w14:paraId="57D4DCA9" w14:textId="42AA04B8"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69.140,98</w:t>
            </w:r>
          </w:p>
        </w:tc>
      </w:tr>
      <w:tr w:rsidR="006F69CB" w:rsidRPr="000020F0" w14:paraId="2F6D96BB"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63B31E85" w14:textId="70F71B5E"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69A6AFF4" w14:textId="4EBA48F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1.641.654,86</w:t>
            </w:r>
          </w:p>
        </w:tc>
        <w:tc>
          <w:tcPr>
            <w:tcW w:w="453" w:type="pct"/>
            <w:tcBorders>
              <w:top w:val="nil"/>
              <w:left w:val="nil"/>
              <w:bottom w:val="single" w:sz="4" w:space="0" w:color="auto"/>
              <w:right w:val="single" w:sz="4" w:space="0" w:color="auto"/>
            </w:tcBorders>
            <w:noWrap/>
            <w:vAlign w:val="bottom"/>
            <w:hideMark/>
          </w:tcPr>
          <w:p w14:paraId="3AB9031A" w14:textId="18F6486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50,09%</w:t>
            </w:r>
          </w:p>
        </w:tc>
        <w:tc>
          <w:tcPr>
            <w:tcW w:w="496" w:type="pct"/>
            <w:tcBorders>
              <w:top w:val="nil"/>
              <w:left w:val="nil"/>
              <w:bottom w:val="single" w:sz="4" w:space="0" w:color="auto"/>
              <w:right w:val="single" w:sz="4" w:space="0" w:color="auto"/>
            </w:tcBorders>
            <w:noWrap/>
            <w:vAlign w:val="bottom"/>
            <w:hideMark/>
          </w:tcPr>
          <w:p w14:paraId="66B8BFA7" w14:textId="2D855E8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589D673F" w14:textId="4082407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298EC636" w14:textId="793BFC8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6556D5CA" w14:textId="54626B2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507.063,89</w:t>
            </w:r>
          </w:p>
        </w:tc>
        <w:tc>
          <w:tcPr>
            <w:tcW w:w="527" w:type="pct"/>
            <w:tcBorders>
              <w:top w:val="nil"/>
              <w:left w:val="nil"/>
              <w:bottom w:val="single" w:sz="4" w:space="0" w:color="auto"/>
              <w:right w:val="single" w:sz="4" w:space="0" w:color="auto"/>
            </w:tcBorders>
            <w:noWrap/>
            <w:vAlign w:val="bottom"/>
            <w:hideMark/>
          </w:tcPr>
          <w:p w14:paraId="4F548DDC" w14:textId="76972AC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1.005.951,46</w:t>
            </w:r>
          </w:p>
        </w:tc>
        <w:tc>
          <w:tcPr>
            <w:tcW w:w="478" w:type="pct"/>
            <w:tcBorders>
              <w:top w:val="nil"/>
              <w:left w:val="nil"/>
              <w:bottom w:val="single" w:sz="4" w:space="0" w:color="auto"/>
              <w:right w:val="single" w:sz="4" w:space="0" w:color="auto"/>
            </w:tcBorders>
            <w:noWrap/>
            <w:vAlign w:val="bottom"/>
            <w:hideMark/>
          </w:tcPr>
          <w:p w14:paraId="79D304D7" w14:textId="362631C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47.015,86</w:t>
            </w:r>
          </w:p>
        </w:tc>
      </w:tr>
      <w:tr w:rsidR="006F69CB" w:rsidRPr="000020F0" w14:paraId="3D2D9EF2"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1A3C49B2" w14:textId="5492101B"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15E3E944" w14:textId="39D8CE2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289.703,81</w:t>
            </w:r>
          </w:p>
        </w:tc>
        <w:tc>
          <w:tcPr>
            <w:tcW w:w="453" w:type="pct"/>
            <w:tcBorders>
              <w:top w:val="nil"/>
              <w:left w:val="nil"/>
              <w:bottom w:val="single" w:sz="4" w:space="0" w:color="auto"/>
              <w:right w:val="single" w:sz="4" w:space="0" w:color="auto"/>
            </w:tcBorders>
            <w:noWrap/>
            <w:vAlign w:val="bottom"/>
            <w:hideMark/>
          </w:tcPr>
          <w:p w14:paraId="637880A3" w14:textId="7E279FC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8,84%</w:t>
            </w:r>
          </w:p>
        </w:tc>
        <w:tc>
          <w:tcPr>
            <w:tcW w:w="496" w:type="pct"/>
            <w:tcBorders>
              <w:top w:val="nil"/>
              <w:left w:val="nil"/>
              <w:bottom w:val="single" w:sz="4" w:space="0" w:color="auto"/>
              <w:right w:val="single" w:sz="4" w:space="0" w:color="auto"/>
            </w:tcBorders>
            <w:noWrap/>
            <w:vAlign w:val="bottom"/>
            <w:hideMark/>
          </w:tcPr>
          <w:p w14:paraId="20EBCA21" w14:textId="5636219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848,56</w:t>
            </w:r>
          </w:p>
        </w:tc>
        <w:tc>
          <w:tcPr>
            <w:tcW w:w="558" w:type="pct"/>
            <w:tcBorders>
              <w:top w:val="nil"/>
              <w:left w:val="nil"/>
              <w:bottom w:val="single" w:sz="4" w:space="0" w:color="auto"/>
              <w:right w:val="single" w:sz="4" w:space="0" w:color="auto"/>
            </w:tcBorders>
            <w:noWrap/>
            <w:vAlign w:val="bottom"/>
            <w:hideMark/>
          </w:tcPr>
          <w:p w14:paraId="10B61075" w14:textId="278A1D9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33A22262" w14:textId="0BB169A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6E0DE72F" w14:textId="033B810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89.481,86</w:t>
            </w:r>
          </w:p>
        </w:tc>
        <w:tc>
          <w:tcPr>
            <w:tcW w:w="527" w:type="pct"/>
            <w:tcBorders>
              <w:top w:val="nil"/>
              <w:left w:val="nil"/>
              <w:bottom w:val="single" w:sz="4" w:space="0" w:color="auto"/>
              <w:right w:val="single" w:sz="4" w:space="0" w:color="auto"/>
            </w:tcBorders>
            <w:noWrap/>
            <w:vAlign w:val="bottom"/>
            <w:hideMark/>
          </w:tcPr>
          <w:p w14:paraId="266AF142" w14:textId="0615C31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177.520,85</w:t>
            </w:r>
          </w:p>
        </w:tc>
        <w:tc>
          <w:tcPr>
            <w:tcW w:w="478" w:type="pct"/>
            <w:tcBorders>
              <w:top w:val="nil"/>
              <w:left w:val="nil"/>
              <w:bottom w:val="single" w:sz="4" w:space="0" w:color="auto"/>
              <w:right w:val="single" w:sz="4" w:space="0" w:color="auto"/>
            </w:tcBorders>
            <w:noWrap/>
            <w:vAlign w:val="bottom"/>
            <w:hideMark/>
          </w:tcPr>
          <w:p w14:paraId="6FB63C21" w14:textId="274B0EF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8.296,92</w:t>
            </w:r>
          </w:p>
        </w:tc>
      </w:tr>
      <w:tr w:rsidR="006F69CB" w:rsidRPr="000020F0" w14:paraId="47B30DCE"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1A37858E" w14:textId="251493CA"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5F0B51AE" w14:textId="787CC85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482.839,66</w:t>
            </w:r>
          </w:p>
        </w:tc>
        <w:tc>
          <w:tcPr>
            <w:tcW w:w="453" w:type="pct"/>
            <w:tcBorders>
              <w:top w:val="nil"/>
              <w:left w:val="nil"/>
              <w:bottom w:val="single" w:sz="4" w:space="0" w:color="auto"/>
              <w:right w:val="single" w:sz="4" w:space="0" w:color="auto"/>
            </w:tcBorders>
            <w:noWrap/>
            <w:vAlign w:val="bottom"/>
            <w:hideMark/>
          </w:tcPr>
          <w:p w14:paraId="504969C9" w14:textId="4B62DEC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14,73%</w:t>
            </w:r>
          </w:p>
        </w:tc>
        <w:tc>
          <w:tcPr>
            <w:tcW w:w="496" w:type="pct"/>
            <w:tcBorders>
              <w:top w:val="nil"/>
              <w:left w:val="nil"/>
              <w:bottom w:val="single" w:sz="4" w:space="0" w:color="auto"/>
              <w:right w:val="single" w:sz="4" w:space="0" w:color="auto"/>
            </w:tcBorders>
            <w:noWrap/>
            <w:vAlign w:val="bottom"/>
            <w:hideMark/>
          </w:tcPr>
          <w:p w14:paraId="2B6C1B3D" w14:textId="04438F3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1.414,25</w:t>
            </w:r>
          </w:p>
        </w:tc>
        <w:tc>
          <w:tcPr>
            <w:tcW w:w="558" w:type="pct"/>
            <w:tcBorders>
              <w:top w:val="nil"/>
              <w:left w:val="nil"/>
              <w:bottom w:val="single" w:sz="4" w:space="0" w:color="auto"/>
              <w:right w:val="single" w:sz="4" w:space="0" w:color="auto"/>
            </w:tcBorders>
            <w:noWrap/>
            <w:vAlign w:val="bottom"/>
            <w:hideMark/>
          </w:tcPr>
          <w:p w14:paraId="6D5DB71E" w14:textId="5A14E81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15.515,43</w:t>
            </w:r>
          </w:p>
        </w:tc>
        <w:tc>
          <w:tcPr>
            <w:tcW w:w="478" w:type="pct"/>
            <w:tcBorders>
              <w:top w:val="nil"/>
              <w:left w:val="nil"/>
              <w:bottom w:val="single" w:sz="4" w:space="0" w:color="auto"/>
              <w:right w:val="single" w:sz="4" w:space="0" w:color="auto"/>
            </w:tcBorders>
            <w:noWrap/>
            <w:vAlign w:val="bottom"/>
            <w:hideMark/>
          </w:tcPr>
          <w:p w14:paraId="3F46F06F" w14:textId="4CEF0B7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7.077,27</w:t>
            </w:r>
          </w:p>
        </w:tc>
        <w:tc>
          <w:tcPr>
            <w:tcW w:w="466" w:type="pct"/>
            <w:tcBorders>
              <w:top w:val="nil"/>
              <w:left w:val="nil"/>
              <w:bottom w:val="single" w:sz="4" w:space="0" w:color="auto"/>
              <w:right w:val="single" w:sz="4" w:space="0" w:color="auto"/>
            </w:tcBorders>
            <w:noWrap/>
            <w:vAlign w:val="bottom"/>
            <w:hideMark/>
          </w:tcPr>
          <w:p w14:paraId="1F82B9F4" w14:textId="38D6227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149.136,44</w:t>
            </w:r>
          </w:p>
        </w:tc>
        <w:tc>
          <w:tcPr>
            <w:tcW w:w="527" w:type="pct"/>
            <w:tcBorders>
              <w:top w:val="nil"/>
              <w:left w:val="nil"/>
              <w:bottom w:val="single" w:sz="4" w:space="0" w:color="auto"/>
              <w:right w:val="single" w:sz="4" w:space="0" w:color="auto"/>
            </w:tcBorders>
            <w:noWrap/>
            <w:vAlign w:val="bottom"/>
            <w:hideMark/>
          </w:tcPr>
          <w:p w14:paraId="75248121" w14:textId="15506CE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295.868,07</w:t>
            </w:r>
          </w:p>
        </w:tc>
        <w:tc>
          <w:tcPr>
            <w:tcW w:w="478" w:type="pct"/>
            <w:tcBorders>
              <w:top w:val="nil"/>
              <w:left w:val="nil"/>
              <w:bottom w:val="single" w:sz="4" w:space="0" w:color="auto"/>
              <w:right w:val="single" w:sz="4" w:space="0" w:color="auto"/>
            </w:tcBorders>
            <w:noWrap/>
            <w:vAlign w:val="bottom"/>
            <w:hideMark/>
          </w:tcPr>
          <w:p w14:paraId="147AD7BC" w14:textId="3A9C00F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13.828,20</w:t>
            </w:r>
          </w:p>
        </w:tc>
      </w:tr>
      <w:tr w:rsidR="006F69CB" w:rsidRPr="000020F0" w14:paraId="7D98679B" w14:textId="77777777" w:rsidTr="002E10AB">
        <w:trPr>
          <w:trHeight w:val="468"/>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3B256EC1" w14:textId="7B18455F"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NEUPRAVIČENI STROŠKI BREZ POVRATNEGA DDV</w:t>
            </w:r>
          </w:p>
        </w:tc>
        <w:tc>
          <w:tcPr>
            <w:tcW w:w="502" w:type="pct"/>
            <w:tcBorders>
              <w:top w:val="nil"/>
              <w:left w:val="nil"/>
              <w:bottom w:val="single" w:sz="4" w:space="0" w:color="auto"/>
              <w:right w:val="single" w:sz="4" w:space="0" w:color="auto"/>
            </w:tcBorders>
            <w:shd w:val="clear" w:color="000000" w:fill="D9D9D9"/>
            <w:noWrap/>
            <w:vAlign w:val="bottom"/>
            <w:hideMark/>
          </w:tcPr>
          <w:p w14:paraId="2616B091" w14:textId="35DA707E"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841.595,87</w:t>
            </w:r>
          </w:p>
        </w:tc>
        <w:tc>
          <w:tcPr>
            <w:tcW w:w="453" w:type="pct"/>
            <w:tcBorders>
              <w:top w:val="nil"/>
              <w:left w:val="nil"/>
              <w:bottom w:val="single" w:sz="4" w:space="0" w:color="auto"/>
              <w:right w:val="single" w:sz="4" w:space="0" w:color="auto"/>
            </w:tcBorders>
            <w:shd w:val="clear" w:color="000000" w:fill="D9D9D9"/>
            <w:noWrap/>
            <w:vAlign w:val="bottom"/>
            <w:hideMark/>
          </w:tcPr>
          <w:p w14:paraId="4F8064F8" w14:textId="46F00B1B"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25,68%</w:t>
            </w:r>
          </w:p>
        </w:tc>
        <w:tc>
          <w:tcPr>
            <w:tcW w:w="496" w:type="pct"/>
            <w:tcBorders>
              <w:top w:val="nil"/>
              <w:left w:val="nil"/>
              <w:bottom w:val="single" w:sz="4" w:space="0" w:color="auto"/>
              <w:right w:val="single" w:sz="4" w:space="0" w:color="auto"/>
            </w:tcBorders>
            <w:shd w:val="clear" w:color="000000" w:fill="D9D9D9"/>
            <w:noWrap/>
            <w:vAlign w:val="bottom"/>
            <w:hideMark/>
          </w:tcPr>
          <w:p w14:paraId="0BAE6413" w14:textId="1273FF41"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290.629,88</w:t>
            </w:r>
          </w:p>
        </w:tc>
        <w:tc>
          <w:tcPr>
            <w:tcW w:w="558" w:type="pct"/>
            <w:tcBorders>
              <w:top w:val="nil"/>
              <w:left w:val="nil"/>
              <w:bottom w:val="single" w:sz="4" w:space="0" w:color="auto"/>
              <w:right w:val="single" w:sz="4" w:space="0" w:color="auto"/>
            </w:tcBorders>
            <w:shd w:val="clear" w:color="000000" w:fill="D9D9D9"/>
            <w:noWrap/>
            <w:vAlign w:val="bottom"/>
            <w:hideMark/>
          </w:tcPr>
          <w:p w14:paraId="3C41E88C" w14:textId="2AA3C464"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18.338,88</w:t>
            </w:r>
          </w:p>
        </w:tc>
        <w:tc>
          <w:tcPr>
            <w:tcW w:w="478" w:type="pct"/>
            <w:tcBorders>
              <w:top w:val="nil"/>
              <w:left w:val="nil"/>
              <w:bottom w:val="single" w:sz="4" w:space="0" w:color="auto"/>
              <w:right w:val="single" w:sz="4" w:space="0" w:color="auto"/>
            </w:tcBorders>
            <w:shd w:val="clear" w:color="000000" w:fill="D9D9D9"/>
            <w:noWrap/>
            <w:vAlign w:val="bottom"/>
            <w:hideMark/>
          </w:tcPr>
          <w:p w14:paraId="47830CD0" w14:textId="32121E41"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5.590,26</w:t>
            </w:r>
          </w:p>
        </w:tc>
        <w:tc>
          <w:tcPr>
            <w:tcW w:w="466" w:type="pct"/>
            <w:tcBorders>
              <w:top w:val="nil"/>
              <w:left w:val="nil"/>
              <w:bottom w:val="single" w:sz="4" w:space="0" w:color="auto"/>
              <w:right w:val="single" w:sz="4" w:space="0" w:color="auto"/>
            </w:tcBorders>
            <w:shd w:val="clear" w:color="000000" w:fill="D9D9D9"/>
            <w:noWrap/>
            <w:vAlign w:val="bottom"/>
            <w:hideMark/>
          </w:tcPr>
          <w:p w14:paraId="098F6C1F" w14:textId="5D818F4E"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9.734,71</w:t>
            </w:r>
          </w:p>
        </w:tc>
        <w:tc>
          <w:tcPr>
            <w:tcW w:w="527" w:type="pct"/>
            <w:tcBorders>
              <w:top w:val="nil"/>
              <w:left w:val="nil"/>
              <w:bottom w:val="single" w:sz="4" w:space="0" w:color="auto"/>
              <w:right w:val="single" w:sz="4" w:space="0" w:color="auto"/>
            </w:tcBorders>
            <w:shd w:val="clear" w:color="000000" w:fill="D9D9D9"/>
            <w:noWrap/>
            <w:vAlign w:val="bottom"/>
            <w:hideMark/>
          </w:tcPr>
          <w:p w14:paraId="5E338B98" w14:textId="5BCB61BD"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514.916,35</w:t>
            </w:r>
          </w:p>
        </w:tc>
        <w:tc>
          <w:tcPr>
            <w:tcW w:w="478" w:type="pct"/>
            <w:tcBorders>
              <w:top w:val="nil"/>
              <w:left w:val="nil"/>
              <w:bottom w:val="single" w:sz="4" w:space="0" w:color="auto"/>
              <w:right w:val="single" w:sz="4" w:space="0" w:color="auto"/>
            </w:tcBorders>
            <w:shd w:val="clear" w:color="000000" w:fill="D9D9D9"/>
            <w:noWrap/>
            <w:vAlign w:val="bottom"/>
            <w:hideMark/>
          </w:tcPr>
          <w:p w14:paraId="7A7F381B" w14:textId="31A939F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2.385,80</w:t>
            </w:r>
          </w:p>
        </w:tc>
      </w:tr>
      <w:tr w:rsidR="006F69CB" w:rsidRPr="000020F0" w14:paraId="72BE85C7"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5ACB92A1" w14:textId="6FB48821"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4EC504ED" w14:textId="68E0EED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775ADB26" w14:textId="0E3FEB4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739645F3" w14:textId="053FF13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670672F0" w14:textId="41679EF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D743E2C" w14:textId="1C2F364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6F8207C8" w14:textId="3C85B2D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6A716FC7" w14:textId="0DD58A9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CDA0355" w14:textId="209E919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3F06B6E3"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121F2273" w14:textId="50981234"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4F7952B2" w14:textId="7B4B308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7C6643FD" w14:textId="040A712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7A4B2C21" w14:textId="683C9D6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30E8EB7F" w14:textId="4E7D3CE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29F2433" w14:textId="01FA3BD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5E3CBA27" w14:textId="6782B76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5ABE4D4C" w14:textId="668B267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1A8425C" w14:textId="1A7B38D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6C10F957"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7FA2F8C7" w14:textId="60FC361A"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2A2EF416" w14:textId="4572A1B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841.595,87</w:t>
            </w:r>
          </w:p>
        </w:tc>
        <w:tc>
          <w:tcPr>
            <w:tcW w:w="453" w:type="pct"/>
            <w:tcBorders>
              <w:top w:val="nil"/>
              <w:left w:val="nil"/>
              <w:bottom w:val="single" w:sz="4" w:space="0" w:color="auto"/>
              <w:right w:val="single" w:sz="4" w:space="0" w:color="auto"/>
            </w:tcBorders>
            <w:noWrap/>
            <w:vAlign w:val="bottom"/>
            <w:hideMark/>
          </w:tcPr>
          <w:p w14:paraId="6656CB54" w14:textId="2C856D8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25,68%</w:t>
            </w:r>
          </w:p>
        </w:tc>
        <w:tc>
          <w:tcPr>
            <w:tcW w:w="496" w:type="pct"/>
            <w:tcBorders>
              <w:top w:val="nil"/>
              <w:left w:val="nil"/>
              <w:bottom w:val="single" w:sz="4" w:space="0" w:color="auto"/>
              <w:right w:val="single" w:sz="4" w:space="0" w:color="auto"/>
            </w:tcBorders>
            <w:noWrap/>
            <w:vAlign w:val="bottom"/>
            <w:hideMark/>
          </w:tcPr>
          <w:p w14:paraId="2AC33F77" w14:textId="216D791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290.629,88</w:t>
            </w:r>
          </w:p>
        </w:tc>
        <w:tc>
          <w:tcPr>
            <w:tcW w:w="558" w:type="pct"/>
            <w:tcBorders>
              <w:top w:val="nil"/>
              <w:left w:val="nil"/>
              <w:bottom w:val="single" w:sz="4" w:space="0" w:color="auto"/>
              <w:right w:val="single" w:sz="4" w:space="0" w:color="auto"/>
            </w:tcBorders>
            <w:noWrap/>
            <w:vAlign w:val="bottom"/>
            <w:hideMark/>
          </w:tcPr>
          <w:p w14:paraId="1F668BED" w14:textId="2C13A31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18.338,88</w:t>
            </w:r>
          </w:p>
        </w:tc>
        <w:tc>
          <w:tcPr>
            <w:tcW w:w="478" w:type="pct"/>
            <w:tcBorders>
              <w:top w:val="nil"/>
              <w:left w:val="nil"/>
              <w:bottom w:val="single" w:sz="4" w:space="0" w:color="auto"/>
              <w:right w:val="single" w:sz="4" w:space="0" w:color="auto"/>
            </w:tcBorders>
            <w:noWrap/>
            <w:vAlign w:val="bottom"/>
            <w:hideMark/>
          </w:tcPr>
          <w:p w14:paraId="3C12D8D1" w14:textId="1C787A3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5.590,26</w:t>
            </w:r>
          </w:p>
        </w:tc>
        <w:tc>
          <w:tcPr>
            <w:tcW w:w="466" w:type="pct"/>
            <w:tcBorders>
              <w:top w:val="nil"/>
              <w:left w:val="nil"/>
              <w:bottom w:val="single" w:sz="4" w:space="0" w:color="auto"/>
              <w:right w:val="single" w:sz="4" w:space="0" w:color="auto"/>
            </w:tcBorders>
            <w:noWrap/>
            <w:vAlign w:val="bottom"/>
            <w:hideMark/>
          </w:tcPr>
          <w:p w14:paraId="3A149BF9" w14:textId="534005E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9.734,71</w:t>
            </w:r>
          </w:p>
        </w:tc>
        <w:tc>
          <w:tcPr>
            <w:tcW w:w="527" w:type="pct"/>
            <w:tcBorders>
              <w:top w:val="nil"/>
              <w:left w:val="nil"/>
              <w:bottom w:val="single" w:sz="4" w:space="0" w:color="auto"/>
              <w:right w:val="single" w:sz="4" w:space="0" w:color="auto"/>
            </w:tcBorders>
            <w:noWrap/>
            <w:vAlign w:val="bottom"/>
            <w:hideMark/>
          </w:tcPr>
          <w:p w14:paraId="43B07553" w14:textId="6049ABB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514.916,35</w:t>
            </w:r>
          </w:p>
        </w:tc>
        <w:tc>
          <w:tcPr>
            <w:tcW w:w="478" w:type="pct"/>
            <w:tcBorders>
              <w:top w:val="nil"/>
              <w:left w:val="nil"/>
              <w:bottom w:val="single" w:sz="4" w:space="0" w:color="auto"/>
              <w:right w:val="single" w:sz="4" w:space="0" w:color="auto"/>
            </w:tcBorders>
            <w:noWrap/>
            <w:vAlign w:val="bottom"/>
            <w:hideMark/>
          </w:tcPr>
          <w:p w14:paraId="6391D122" w14:textId="751AC5E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2.385,80</w:t>
            </w:r>
          </w:p>
        </w:tc>
      </w:tr>
      <w:tr w:rsidR="006F69CB" w:rsidRPr="000020F0" w14:paraId="3F0921A6" w14:textId="77777777" w:rsidTr="002E10AB">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623A5F56" w14:textId="1E944BDA"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POVRATNI DDV</w:t>
            </w:r>
          </w:p>
        </w:tc>
        <w:tc>
          <w:tcPr>
            <w:tcW w:w="502" w:type="pct"/>
            <w:tcBorders>
              <w:top w:val="nil"/>
              <w:left w:val="nil"/>
              <w:bottom w:val="single" w:sz="4" w:space="0" w:color="auto"/>
              <w:right w:val="single" w:sz="4" w:space="0" w:color="auto"/>
            </w:tcBorders>
            <w:shd w:val="clear" w:color="000000" w:fill="D9D9D9"/>
            <w:noWrap/>
            <w:vAlign w:val="bottom"/>
            <w:hideMark/>
          </w:tcPr>
          <w:p w14:paraId="74685343" w14:textId="48F50382"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21.362,57</w:t>
            </w:r>
          </w:p>
        </w:tc>
        <w:tc>
          <w:tcPr>
            <w:tcW w:w="453" w:type="pct"/>
            <w:tcBorders>
              <w:top w:val="nil"/>
              <w:left w:val="nil"/>
              <w:bottom w:val="single" w:sz="4" w:space="0" w:color="auto"/>
              <w:right w:val="single" w:sz="4" w:space="0" w:color="auto"/>
            </w:tcBorders>
            <w:shd w:val="clear" w:color="000000" w:fill="D9D9D9"/>
            <w:noWrap/>
            <w:vAlign w:val="bottom"/>
            <w:hideMark/>
          </w:tcPr>
          <w:p w14:paraId="614F1631" w14:textId="2D9A9BF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0,65%</w:t>
            </w:r>
          </w:p>
        </w:tc>
        <w:tc>
          <w:tcPr>
            <w:tcW w:w="496" w:type="pct"/>
            <w:tcBorders>
              <w:top w:val="nil"/>
              <w:left w:val="nil"/>
              <w:bottom w:val="single" w:sz="4" w:space="0" w:color="auto"/>
              <w:right w:val="single" w:sz="4" w:space="0" w:color="auto"/>
            </w:tcBorders>
            <w:shd w:val="clear" w:color="000000" w:fill="D9D9D9"/>
            <w:noWrap/>
            <w:vAlign w:val="bottom"/>
            <w:hideMark/>
          </w:tcPr>
          <w:p w14:paraId="32134286" w14:textId="0762DEA5"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58" w:type="pct"/>
            <w:tcBorders>
              <w:top w:val="nil"/>
              <w:left w:val="nil"/>
              <w:bottom w:val="single" w:sz="4" w:space="0" w:color="auto"/>
              <w:right w:val="single" w:sz="4" w:space="0" w:color="auto"/>
            </w:tcBorders>
            <w:shd w:val="clear" w:color="000000" w:fill="D9D9D9"/>
            <w:noWrap/>
            <w:vAlign w:val="bottom"/>
            <w:hideMark/>
          </w:tcPr>
          <w:p w14:paraId="27EBD7A9" w14:textId="74412C55"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78" w:type="pct"/>
            <w:tcBorders>
              <w:top w:val="nil"/>
              <w:left w:val="nil"/>
              <w:bottom w:val="single" w:sz="4" w:space="0" w:color="auto"/>
              <w:right w:val="single" w:sz="4" w:space="0" w:color="auto"/>
            </w:tcBorders>
            <w:shd w:val="clear" w:color="000000" w:fill="D9D9D9"/>
            <w:noWrap/>
            <w:vAlign w:val="bottom"/>
            <w:hideMark/>
          </w:tcPr>
          <w:p w14:paraId="1DBD4517" w14:textId="7A8755C2"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66" w:type="pct"/>
            <w:tcBorders>
              <w:top w:val="nil"/>
              <w:left w:val="nil"/>
              <w:bottom w:val="single" w:sz="4" w:space="0" w:color="auto"/>
              <w:right w:val="single" w:sz="4" w:space="0" w:color="auto"/>
            </w:tcBorders>
            <w:shd w:val="clear" w:color="000000" w:fill="D9D9D9"/>
            <w:noWrap/>
            <w:vAlign w:val="bottom"/>
            <w:hideMark/>
          </w:tcPr>
          <w:p w14:paraId="01103CE8" w14:textId="3E808118"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27" w:type="pct"/>
            <w:tcBorders>
              <w:top w:val="nil"/>
              <w:left w:val="nil"/>
              <w:bottom w:val="single" w:sz="4" w:space="0" w:color="auto"/>
              <w:right w:val="single" w:sz="4" w:space="0" w:color="auto"/>
            </w:tcBorders>
            <w:shd w:val="clear" w:color="000000" w:fill="D9D9D9"/>
            <w:noWrap/>
            <w:vAlign w:val="bottom"/>
            <w:hideMark/>
          </w:tcPr>
          <w:p w14:paraId="66FD3093" w14:textId="11F35515"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21.362,57</w:t>
            </w:r>
          </w:p>
        </w:tc>
        <w:tc>
          <w:tcPr>
            <w:tcW w:w="478" w:type="pct"/>
            <w:tcBorders>
              <w:top w:val="nil"/>
              <w:left w:val="nil"/>
              <w:bottom w:val="single" w:sz="4" w:space="0" w:color="auto"/>
              <w:right w:val="single" w:sz="4" w:space="0" w:color="auto"/>
            </w:tcBorders>
            <w:shd w:val="clear" w:color="000000" w:fill="D9D9D9"/>
            <w:noWrap/>
            <w:vAlign w:val="bottom"/>
            <w:hideMark/>
          </w:tcPr>
          <w:p w14:paraId="1A3D5C42" w14:textId="73028D8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0,00</w:t>
            </w:r>
          </w:p>
        </w:tc>
      </w:tr>
      <w:tr w:rsidR="006F69CB" w:rsidRPr="000020F0" w14:paraId="6F66AF0B"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5C5CB6B1" w14:textId="7258F70D"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6BD998E3" w14:textId="54AEA92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15CB2E95" w14:textId="56A2FF9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2EC6D62F" w14:textId="6367E87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1D138A90" w14:textId="618A36F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1B786B7" w14:textId="72448E0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48B7CA22" w14:textId="2F7230B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4DD26845" w14:textId="5B2BE6B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BF70AD1" w14:textId="3D6FBF0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196BB005"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51561EE6" w14:textId="5AFBC225"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6FEC3897" w14:textId="667DC8E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5443ED4B" w14:textId="3F91ADE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4CF33A93" w14:textId="35F797D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2A1AFB8F" w14:textId="7EF0E65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683174D7" w14:textId="625F0DE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4C5C386B" w14:textId="32F35FD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08ED3252" w14:textId="63F17A0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0EB03847" w14:textId="5FCCE42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5EB8E14A"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534C7A72" w14:textId="4E18CA0C"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lastRenderedPageBreak/>
              <w:t>Lastna sredstva</w:t>
            </w:r>
          </w:p>
        </w:tc>
        <w:tc>
          <w:tcPr>
            <w:tcW w:w="502" w:type="pct"/>
            <w:tcBorders>
              <w:top w:val="nil"/>
              <w:left w:val="nil"/>
              <w:bottom w:val="single" w:sz="4" w:space="0" w:color="auto"/>
              <w:right w:val="single" w:sz="4" w:space="0" w:color="auto"/>
            </w:tcBorders>
            <w:noWrap/>
            <w:vAlign w:val="bottom"/>
            <w:hideMark/>
          </w:tcPr>
          <w:p w14:paraId="38023DF5" w14:textId="7EE4AA1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21.362,57</w:t>
            </w:r>
          </w:p>
        </w:tc>
        <w:tc>
          <w:tcPr>
            <w:tcW w:w="453" w:type="pct"/>
            <w:tcBorders>
              <w:top w:val="nil"/>
              <w:left w:val="nil"/>
              <w:bottom w:val="single" w:sz="4" w:space="0" w:color="auto"/>
              <w:right w:val="single" w:sz="4" w:space="0" w:color="auto"/>
            </w:tcBorders>
            <w:noWrap/>
            <w:vAlign w:val="bottom"/>
            <w:hideMark/>
          </w:tcPr>
          <w:p w14:paraId="490FB1FA" w14:textId="596FC23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0,65%</w:t>
            </w:r>
          </w:p>
        </w:tc>
        <w:tc>
          <w:tcPr>
            <w:tcW w:w="496" w:type="pct"/>
            <w:tcBorders>
              <w:top w:val="nil"/>
              <w:left w:val="nil"/>
              <w:bottom w:val="single" w:sz="4" w:space="0" w:color="auto"/>
              <w:right w:val="single" w:sz="4" w:space="0" w:color="auto"/>
            </w:tcBorders>
            <w:noWrap/>
            <w:vAlign w:val="bottom"/>
            <w:hideMark/>
          </w:tcPr>
          <w:p w14:paraId="7A2B92B7" w14:textId="7598DB8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74A880F2" w14:textId="17E8DC4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F67B786" w14:textId="434B5FB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48F89A5F" w14:textId="59DD885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044710BF" w14:textId="3E2D469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21.362,57</w:t>
            </w:r>
          </w:p>
        </w:tc>
        <w:tc>
          <w:tcPr>
            <w:tcW w:w="478" w:type="pct"/>
            <w:tcBorders>
              <w:top w:val="nil"/>
              <w:left w:val="nil"/>
              <w:bottom w:val="single" w:sz="4" w:space="0" w:color="auto"/>
              <w:right w:val="single" w:sz="4" w:space="0" w:color="auto"/>
            </w:tcBorders>
            <w:noWrap/>
            <w:vAlign w:val="bottom"/>
            <w:hideMark/>
          </w:tcPr>
          <w:p w14:paraId="355A27E2" w14:textId="18AA5A0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28A12979" w14:textId="77777777" w:rsidTr="002E10AB">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75A7CC11" w14:textId="5E2CCC55"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SKUPAJ</w:t>
            </w:r>
          </w:p>
        </w:tc>
        <w:tc>
          <w:tcPr>
            <w:tcW w:w="502" w:type="pct"/>
            <w:tcBorders>
              <w:top w:val="nil"/>
              <w:left w:val="nil"/>
              <w:bottom w:val="single" w:sz="4" w:space="0" w:color="auto"/>
              <w:right w:val="single" w:sz="4" w:space="0" w:color="auto"/>
            </w:tcBorders>
            <w:shd w:val="clear" w:color="000000" w:fill="D9D9D9"/>
            <w:noWrap/>
            <w:vAlign w:val="bottom"/>
            <w:hideMark/>
          </w:tcPr>
          <w:p w14:paraId="414C8F81" w14:textId="226284B3"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453" w:type="pct"/>
            <w:tcBorders>
              <w:top w:val="nil"/>
              <w:left w:val="nil"/>
              <w:bottom w:val="single" w:sz="4" w:space="0" w:color="auto"/>
              <w:right w:val="single" w:sz="4" w:space="0" w:color="auto"/>
            </w:tcBorders>
            <w:shd w:val="clear" w:color="000000" w:fill="D9D9D9"/>
            <w:noWrap/>
            <w:vAlign w:val="bottom"/>
            <w:hideMark/>
          </w:tcPr>
          <w:p w14:paraId="312A0DEC" w14:textId="0D47576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96" w:type="pct"/>
            <w:tcBorders>
              <w:top w:val="nil"/>
              <w:left w:val="nil"/>
              <w:bottom w:val="single" w:sz="4" w:space="0" w:color="auto"/>
              <w:right w:val="single" w:sz="4" w:space="0" w:color="auto"/>
            </w:tcBorders>
            <w:shd w:val="clear" w:color="000000" w:fill="D9D9D9"/>
            <w:noWrap/>
            <w:vAlign w:val="bottom"/>
            <w:hideMark/>
          </w:tcPr>
          <w:p w14:paraId="3564EA35" w14:textId="7A9339F1"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558" w:type="pct"/>
            <w:tcBorders>
              <w:top w:val="nil"/>
              <w:left w:val="nil"/>
              <w:bottom w:val="single" w:sz="4" w:space="0" w:color="auto"/>
              <w:right w:val="single" w:sz="4" w:space="0" w:color="auto"/>
            </w:tcBorders>
            <w:shd w:val="clear" w:color="000000" w:fill="D9D9D9"/>
            <w:noWrap/>
            <w:vAlign w:val="bottom"/>
            <w:hideMark/>
          </w:tcPr>
          <w:p w14:paraId="7B79B410" w14:textId="3ADF7497"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478" w:type="pct"/>
            <w:tcBorders>
              <w:top w:val="nil"/>
              <w:left w:val="nil"/>
              <w:bottom w:val="single" w:sz="4" w:space="0" w:color="auto"/>
              <w:right w:val="single" w:sz="4" w:space="0" w:color="auto"/>
            </w:tcBorders>
            <w:shd w:val="clear" w:color="000000" w:fill="D9D9D9"/>
            <w:noWrap/>
            <w:vAlign w:val="bottom"/>
            <w:hideMark/>
          </w:tcPr>
          <w:p w14:paraId="06FDCE97" w14:textId="7714FD2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466" w:type="pct"/>
            <w:tcBorders>
              <w:top w:val="nil"/>
              <w:left w:val="nil"/>
              <w:bottom w:val="single" w:sz="4" w:space="0" w:color="auto"/>
              <w:right w:val="single" w:sz="4" w:space="0" w:color="auto"/>
            </w:tcBorders>
            <w:shd w:val="clear" w:color="000000" w:fill="D9D9D9"/>
            <w:noWrap/>
            <w:vAlign w:val="bottom"/>
            <w:hideMark/>
          </w:tcPr>
          <w:p w14:paraId="51EB253C" w14:textId="0D4D3E39"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527" w:type="pct"/>
            <w:tcBorders>
              <w:top w:val="nil"/>
              <w:left w:val="nil"/>
              <w:bottom w:val="single" w:sz="4" w:space="0" w:color="auto"/>
              <w:right w:val="single" w:sz="4" w:space="0" w:color="auto"/>
            </w:tcBorders>
            <w:shd w:val="clear" w:color="000000" w:fill="D9D9D9"/>
            <w:noWrap/>
            <w:vAlign w:val="bottom"/>
            <w:hideMark/>
          </w:tcPr>
          <w:p w14:paraId="45005958" w14:textId="55F4B384"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2.015.619,29</w:t>
            </w:r>
          </w:p>
        </w:tc>
        <w:tc>
          <w:tcPr>
            <w:tcW w:w="478" w:type="pct"/>
            <w:tcBorders>
              <w:top w:val="nil"/>
              <w:left w:val="nil"/>
              <w:bottom w:val="single" w:sz="4" w:space="0" w:color="auto"/>
              <w:right w:val="single" w:sz="4" w:space="0" w:color="auto"/>
            </w:tcBorders>
            <w:shd w:val="clear" w:color="000000" w:fill="D9D9D9"/>
            <w:noWrap/>
            <w:vAlign w:val="bottom"/>
            <w:hideMark/>
          </w:tcPr>
          <w:p w14:paraId="39706A0C" w14:textId="04499659"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71.526,78</w:t>
            </w:r>
          </w:p>
        </w:tc>
      </w:tr>
      <w:tr w:rsidR="006F69CB" w:rsidRPr="000020F0" w14:paraId="7436F13A"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49C0DC00" w14:textId="56E32C0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06C4CC10" w14:textId="6BD5295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1.641.654,86</w:t>
            </w:r>
          </w:p>
        </w:tc>
        <w:tc>
          <w:tcPr>
            <w:tcW w:w="453" w:type="pct"/>
            <w:tcBorders>
              <w:top w:val="nil"/>
              <w:left w:val="nil"/>
              <w:bottom w:val="single" w:sz="4" w:space="0" w:color="auto"/>
              <w:right w:val="single" w:sz="4" w:space="0" w:color="auto"/>
            </w:tcBorders>
            <w:noWrap/>
            <w:vAlign w:val="bottom"/>
            <w:hideMark/>
          </w:tcPr>
          <w:p w14:paraId="46D5300B" w14:textId="1B196EF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50,09%</w:t>
            </w:r>
          </w:p>
        </w:tc>
        <w:tc>
          <w:tcPr>
            <w:tcW w:w="496" w:type="pct"/>
            <w:tcBorders>
              <w:top w:val="nil"/>
              <w:left w:val="nil"/>
              <w:bottom w:val="single" w:sz="4" w:space="0" w:color="auto"/>
              <w:right w:val="single" w:sz="4" w:space="0" w:color="auto"/>
            </w:tcBorders>
            <w:noWrap/>
            <w:vAlign w:val="bottom"/>
            <w:hideMark/>
          </w:tcPr>
          <w:p w14:paraId="7BA0F29B" w14:textId="778AD4D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688811A0" w14:textId="21D12C7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471927ED" w14:textId="7B52A62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2B1D9228" w14:textId="458E3EE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507.063,89</w:t>
            </w:r>
          </w:p>
        </w:tc>
        <w:tc>
          <w:tcPr>
            <w:tcW w:w="527" w:type="pct"/>
            <w:tcBorders>
              <w:top w:val="nil"/>
              <w:left w:val="nil"/>
              <w:bottom w:val="single" w:sz="4" w:space="0" w:color="auto"/>
              <w:right w:val="single" w:sz="4" w:space="0" w:color="auto"/>
            </w:tcBorders>
            <w:noWrap/>
            <w:vAlign w:val="bottom"/>
            <w:hideMark/>
          </w:tcPr>
          <w:p w14:paraId="287CC0F4" w14:textId="69EB689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1.005.951,46</w:t>
            </w:r>
          </w:p>
        </w:tc>
        <w:tc>
          <w:tcPr>
            <w:tcW w:w="478" w:type="pct"/>
            <w:tcBorders>
              <w:top w:val="nil"/>
              <w:left w:val="nil"/>
              <w:bottom w:val="single" w:sz="4" w:space="0" w:color="auto"/>
              <w:right w:val="single" w:sz="4" w:space="0" w:color="auto"/>
            </w:tcBorders>
            <w:noWrap/>
            <w:vAlign w:val="bottom"/>
            <w:hideMark/>
          </w:tcPr>
          <w:p w14:paraId="550321DD" w14:textId="7814975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47.015,86</w:t>
            </w:r>
          </w:p>
        </w:tc>
      </w:tr>
      <w:tr w:rsidR="006F69CB" w:rsidRPr="000020F0" w14:paraId="2236992A"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7AD12505" w14:textId="79B87216"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448620D6" w14:textId="08A7CF9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289.703,81</w:t>
            </w:r>
          </w:p>
        </w:tc>
        <w:tc>
          <w:tcPr>
            <w:tcW w:w="453" w:type="pct"/>
            <w:tcBorders>
              <w:top w:val="nil"/>
              <w:left w:val="nil"/>
              <w:bottom w:val="single" w:sz="4" w:space="0" w:color="auto"/>
              <w:right w:val="single" w:sz="4" w:space="0" w:color="auto"/>
            </w:tcBorders>
            <w:noWrap/>
            <w:vAlign w:val="bottom"/>
            <w:hideMark/>
          </w:tcPr>
          <w:p w14:paraId="68A67A7F" w14:textId="78602D6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8,84%</w:t>
            </w:r>
          </w:p>
        </w:tc>
        <w:tc>
          <w:tcPr>
            <w:tcW w:w="496" w:type="pct"/>
            <w:tcBorders>
              <w:top w:val="nil"/>
              <w:left w:val="nil"/>
              <w:bottom w:val="single" w:sz="4" w:space="0" w:color="auto"/>
              <w:right w:val="single" w:sz="4" w:space="0" w:color="auto"/>
            </w:tcBorders>
            <w:noWrap/>
            <w:vAlign w:val="bottom"/>
            <w:hideMark/>
          </w:tcPr>
          <w:p w14:paraId="55B64249" w14:textId="612BE55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848,56</w:t>
            </w:r>
          </w:p>
        </w:tc>
        <w:tc>
          <w:tcPr>
            <w:tcW w:w="558" w:type="pct"/>
            <w:tcBorders>
              <w:top w:val="nil"/>
              <w:left w:val="nil"/>
              <w:bottom w:val="single" w:sz="4" w:space="0" w:color="auto"/>
              <w:right w:val="single" w:sz="4" w:space="0" w:color="auto"/>
            </w:tcBorders>
            <w:noWrap/>
            <w:vAlign w:val="bottom"/>
            <w:hideMark/>
          </w:tcPr>
          <w:p w14:paraId="4C19D6CA" w14:textId="50E3312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1651EF48" w14:textId="5A1E61B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60556636" w14:textId="0150B59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89.481,86</w:t>
            </w:r>
          </w:p>
        </w:tc>
        <w:tc>
          <w:tcPr>
            <w:tcW w:w="527" w:type="pct"/>
            <w:tcBorders>
              <w:top w:val="nil"/>
              <w:left w:val="nil"/>
              <w:bottom w:val="single" w:sz="4" w:space="0" w:color="auto"/>
              <w:right w:val="single" w:sz="4" w:space="0" w:color="auto"/>
            </w:tcBorders>
            <w:noWrap/>
            <w:vAlign w:val="bottom"/>
            <w:hideMark/>
          </w:tcPr>
          <w:p w14:paraId="473F0347" w14:textId="3F29575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177.520,85</w:t>
            </w:r>
          </w:p>
        </w:tc>
        <w:tc>
          <w:tcPr>
            <w:tcW w:w="478" w:type="pct"/>
            <w:tcBorders>
              <w:top w:val="nil"/>
              <w:left w:val="nil"/>
              <w:bottom w:val="single" w:sz="4" w:space="0" w:color="auto"/>
              <w:right w:val="single" w:sz="4" w:space="0" w:color="auto"/>
            </w:tcBorders>
            <w:noWrap/>
            <w:vAlign w:val="bottom"/>
            <w:hideMark/>
          </w:tcPr>
          <w:p w14:paraId="576D9694" w14:textId="4BEFB65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8.296,92</w:t>
            </w:r>
          </w:p>
        </w:tc>
      </w:tr>
      <w:tr w:rsidR="006F69CB" w:rsidRPr="000020F0" w14:paraId="3E33F704" w14:textId="77777777" w:rsidTr="002E10AB">
        <w:trPr>
          <w:trHeight w:val="285"/>
        </w:trPr>
        <w:tc>
          <w:tcPr>
            <w:tcW w:w="1042" w:type="pct"/>
            <w:tcBorders>
              <w:top w:val="nil"/>
              <w:left w:val="single" w:sz="4" w:space="0" w:color="auto"/>
              <w:bottom w:val="single" w:sz="4" w:space="0" w:color="auto"/>
              <w:right w:val="single" w:sz="4" w:space="0" w:color="auto"/>
            </w:tcBorders>
            <w:vAlign w:val="bottom"/>
            <w:hideMark/>
          </w:tcPr>
          <w:p w14:paraId="239E9B3A" w14:textId="65224406"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16B5D80A" w14:textId="3CD1570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1.345.798,10</w:t>
            </w:r>
          </w:p>
        </w:tc>
        <w:tc>
          <w:tcPr>
            <w:tcW w:w="453" w:type="pct"/>
            <w:tcBorders>
              <w:top w:val="nil"/>
              <w:left w:val="nil"/>
              <w:bottom w:val="single" w:sz="4" w:space="0" w:color="auto"/>
              <w:right w:val="single" w:sz="4" w:space="0" w:color="auto"/>
            </w:tcBorders>
            <w:noWrap/>
            <w:vAlign w:val="bottom"/>
            <w:hideMark/>
          </w:tcPr>
          <w:p w14:paraId="592DB48C" w14:textId="541E822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41,07%</w:t>
            </w:r>
          </w:p>
        </w:tc>
        <w:tc>
          <w:tcPr>
            <w:tcW w:w="496" w:type="pct"/>
            <w:tcBorders>
              <w:top w:val="nil"/>
              <w:left w:val="nil"/>
              <w:bottom w:val="single" w:sz="4" w:space="0" w:color="auto"/>
              <w:right w:val="single" w:sz="4" w:space="0" w:color="auto"/>
            </w:tcBorders>
            <w:noWrap/>
            <w:vAlign w:val="bottom"/>
            <w:hideMark/>
          </w:tcPr>
          <w:p w14:paraId="4974528C" w14:textId="2399B45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292.044,13</w:t>
            </w:r>
          </w:p>
        </w:tc>
        <w:tc>
          <w:tcPr>
            <w:tcW w:w="558" w:type="pct"/>
            <w:tcBorders>
              <w:top w:val="nil"/>
              <w:left w:val="nil"/>
              <w:bottom w:val="single" w:sz="4" w:space="0" w:color="auto"/>
              <w:right w:val="single" w:sz="4" w:space="0" w:color="auto"/>
            </w:tcBorders>
            <w:noWrap/>
            <w:vAlign w:val="bottom"/>
            <w:hideMark/>
          </w:tcPr>
          <w:p w14:paraId="0E8FB016" w14:textId="247F44D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33.854,31</w:t>
            </w:r>
          </w:p>
        </w:tc>
        <w:tc>
          <w:tcPr>
            <w:tcW w:w="478" w:type="pct"/>
            <w:tcBorders>
              <w:top w:val="nil"/>
              <w:left w:val="nil"/>
              <w:bottom w:val="single" w:sz="4" w:space="0" w:color="auto"/>
              <w:right w:val="single" w:sz="4" w:space="0" w:color="auto"/>
            </w:tcBorders>
            <w:noWrap/>
            <w:vAlign w:val="bottom"/>
            <w:hideMark/>
          </w:tcPr>
          <w:p w14:paraId="3962ECB2" w14:textId="30126D7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12.667,53</w:t>
            </w:r>
          </w:p>
        </w:tc>
        <w:tc>
          <w:tcPr>
            <w:tcW w:w="466" w:type="pct"/>
            <w:tcBorders>
              <w:top w:val="nil"/>
              <w:left w:val="nil"/>
              <w:bottom w:val="single" w:sz="4" w:space="0" w:color="auto"/>
              <w:right w:val="single" w:sz="4" w:space="0" w:color="auto"/>
            </w:tcBorders>
            <w:noWrap/>
            <w:vAlign w:val="bottom"/>
            <w:hideMark/>
          </w:tcPr>
          <w:p w14:paraId="231F450E" w14:textId="092BE15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158.871,15</w:t>
            </w:r>
          </w:p>
        </w:tc>
        <w:tc>
          <w:tcPr>
            <w:tcW w:w="527" w:type="pct"/>
            <w:tcBorders>
              <w:top w:val="nil"/>
              <w:left w:val="nil"/>
              <w:bottom w:val="single" w:sz="4" w:space="0" w:color="auto"/>
              <w:right w:val="single" w:sz="4" w:space="0" w:color="auto"/>
            </w:tcBorders>
            <w:noWrap/>
            <w:vAlign w:val="bottom"/>
            <w:hideMark/>
          </w:tcPr>
          <w:p w14:paraId="01A8DC24" w14:textId="37B5C69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832.146,98</w:t>
            </w:r>
          </w:p>
        </w:tc>
        <w:tc>
          <w:tcPr>
            <w:tcW w:w="478" w:type="pct"/>
            <w:tcBorders>
              <w:top w:val="nil"/>
              <w:left w:val="nil"/>
              <w:bottom w:val="single" w:sz="4" w:space="0" w:color="auto"/>
              <w:right w:val="single" w:sz="4" w:space="0" w:color="auto"/>
            </w:tcBorders>
            <w:noWrap/>
            <w:vAlign w:val="bottom"/>
            <w:hideMark/>
          </w:tcPr>
          <w:p w14:paraId="46121171" w14:textId="76C285E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16.214,00</w:t>
            </w:r>
          </w:p>
        </w:tc>
      </w:tr>
    </w:tbl>
    <w:p w14:paraId="755848A0" w14:textId="77777777" w:rsidR="002E10AB" w:rsidRPr="000020F0" w:rsidRDefault="002E10AB" w:rsidP="006154DD">
      <w:pPr>
        <w:spacing w:line="276" w:lineRule="auto"/>
        <w:jc w:val="both"/>
        <w:rPr>
          <w:rFonts w:ascii="Arial" w:hAnsi="Arial" w:cs="Arial"/>
          <w:sz w:val="22"/>
          <w:szCs w:val="22"/>
        </w:rPr>
      </w:pPr>
    </w:p>
    <w:p w14:paraId="0E879341" w14:textId="24F08111" w:rsidR="006154DD" w:rsidRPr="000020F0" w:rsidRDefault="006154DD" w:rsidP="006154DD">
      <w:pPr>
        <w:spacing w:after="120" w:line="276" w:lineRule="auto"/>
        <w:ind w:left="1410" w:hanging="1410"/>
        <w:jc w:val="both"/>
        <w:rPr>
          <w:rFonts w:ascii="Arial" w:hAnsi="Arial" w:cs="Arial"/>
          <w:sz w:val="22"/>
          <w:szCs w:val="22"/>
        </w:rPr>
      </w:pPr>
      <w:bookmarkStart w:id="330" w:name="_Toc209029186"/>
      <w:bookmarkStart w:id="331" w:name="_Toc209277218"/>
      <w:bookmarkStart w:id="332" w:name="_Toc230882297"/>
      <w:r w:rsidRPr="000020F0">
        <w:rPr>
          <w:rFonts w:ascii="Arial" w:hAnsi="Arial" w:cs="Arial"/>
          <w:b/>
          <w:sz w:val="22"/>
          <w:szCs w:val="22"/>
        </w:rPr>
        <w:t xml:space="preserve">Tabela </w:t>
      </w:r>
      <w:r w:rsidRPr="000020F0">
        <w:rPr>
          <w:rFonts w:ascii="Arial" w:hAnsi="Arial" w:cs="Arial"/>
          <w:b/>
          <w:sz w:val="22"/>
          <w:szCs w:val="22"/>
        </w:rPr>
        <w:fldChar w:fldCharType="begin"/>
      </w:r>
      <w:r w:rsidRPr="000020F0">
        <w:rPr>
          <w:rFonts w:ascii="Arial" w:hAnsi="Arial" w:cs="Arial"/>
          <w:b/>
          <w:sz w:val="22"/>
          <w:szCs w:val="22"/>
        </w:rPr>
        <w:instrText xml:space="preserve"> SEQ Tabela \* ARABIC </w:instrText>
      </w:r>
      <w:r w:rsidRPr="000020F0">
        <w:rPr>
          <w:rFonts w:ascii="Arial" w:hAnsi="Arial" w:cs="Arial"/>
          <w:b/>
          <w:sz w:val="22"/>
          <w:szCs w:val="22"/>
        </w:rPr>
        <w:fldChar w:fldCharType="separate"/>
      </w:r>
      <w:r w:rsidR="00BB0C0C">
        <w:rPr>
          <w:rFonts w:ascii="Arial" w:hAnsi="Arial" w:cs="Arial"/>
          <w:b/>
          <w:noProof/>
          <w:sz w:val="22"/>
          <w:szCs w:val="22"/>
        </w:rPr>
        <w:t>17</w:t>
      </w:r>
      <w:r w:rsidRPr="000020F0">
        <w:rPr>
          <w:rFonts w:ascii="Arial" w:hAnsi="Arial" w:cs="Arial"/>
          <w:b/>
          <w:sz w:val="22"/>
          <w:szCs w:val="22"/>
        </w:rPr>
        <w:fldChar w:fldCharType="end"/>
      </w:r>
      <w:r w:rsidRPr="000020F0">
        <w:rPr>
          <w:rFonts w:ascii="Arial" w:hAnsi="Arial" w:cs="Arial"/>
          <w:b/>
          <w:sz w:val="22"/>
          <w:szCs w:val="22"/>
        </w:rPr>
        <w:t xml:space="preserve">: </w:t>
      </w:r>
      <w:r w:rsidRPr="000020F0">
        <w:rPr>
          <w:rFonts w:ascii="Arial" w:hAnsi="Arial" w:cs="Arial"/>
          <w:sz w:val="22"/>
          <w:szCs w:val="22"/>
        </w:rPr>
        <w:t>Finančni terminski plan investicije v tekočih cenah</w:t>
      </w:r>
      <w:bookmarkEnd w:id="330"/>
      <w:bookmarkEnd w:id="331"/>
      <w:bookmarkEnd w:id="332"/>
    </w:p>
    <w:tbl>
      <w:tblPr>
        <w:tblW w:w="14255" w:type="dxa"/>
        <w:tblLook w:val="04A0" w:firstRow="1" w:lastRow="0" w:firstColumn="1" w:lastColumn="0" w:noHBand="0" w:noVBand="1"/>
      </w:tblPr>
      <w:tblGrid>
        <w:gridCol w:w="3256"/>
        <w:gridCol w:w="1701"/>
        <w:gridCol w:w="1218"/>
        <w:gridCol w:w="1276"/>
        <w:gridCol w:w="1559"/>
        <w:gridCol w:w="1276"/>
        <w:gridCol w:w="1275"/>
        <w:gridCol w:w="1384"/>
        <w:gridCol w:w="1310"/>
      </w:tblGrid>
      <w:tr w:rsidR="00D120A6" w:rsidRPr="000020F0" w14:paraId="130A0939" w14:textId="77777777" w:rsidTr="00D120A6">
        <w:trPr>
          <w:trHeight w:val="280"/>
          <w:tblHeader/>
        </w:trPr>
        <w:tc>
          <w:tcPr>
            <w:tcW w:w="325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282A28B3" w14:textId="77777777" w:rsidR="00D120A6" w:rsidRPr="000020F0" w:rsidRDefault="00D120A6">
            <w:pPr>
              <w:rPr>
                <w:rFonts w:ascii="Arial" w:hAnsi="Arial" w:cs="Arial"/>
                <w:b/>
                <w:bCs/>
                <w:color w:val="FFFFFF"/>
                <w:sz w:val="20"/>
                <w:szCs w:val="20"/>
              </w:rPr>
            </w:pPr>
            <w:r w:rsidRPr="000020F0">
              <w:rPr>
                <w:rFonts w:ascii="Arial" w:hAnsi="Arial" w:cs="Arial"/>
                <w:b/>
                <w:bCs/>
                <w:color w:val="FFFFFF"/>
                <w:sz w:val="20"/>
                <w:szCs w:val="20"/>
              </w:rPr>
              <w:t>Postavka</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74682CC5" w14:textId="77777777" w:rsidR="00D120A6" w:rsidRPr="000020F0" w:rsidRDefault="00D120A6">
            <w:pPr>
              <w:rPr>
                <w:rFonts w:ascii="Arial" w:hAnsi="Arial" w:cs="Arial"/>
                <w:b/>
                <w:bCs/>
                <w:color w:val="FFFFFF"/>
                <w:sz w:val="20"/>
                <w:szCs w:val="20"/>
              </w:rPr>
            </w:pPr>
            <w:r w:rsidRPr="000020F0">
              <w:rPr>
                <w:rFonts w:ascii="Arial" w:hAnsi="Arial" w:cs="Arial"/>
                <w:b/>
                <w:bCs/>
                <w:color w:val="FFFFFF"/>
                <w:sz w:val="20"/>
                <w:szCs w:val="20"/>
              </w:rPr>
              <w:t>Vrednost</w:t>
            </w:r>
          </w:p>
        </w:tc>
        <w:tc>
          <w:tcPr>
            <w:tcW w:w="1218" w:type="dxa"/>
            <w:tcBorders>
              <w:top w:val="single" w:sz="4" w:space="0" w:color="auto"/>
              <w:left w:val="nil"/>
              <w:bottom w:val="single" w:sz="4" w:space="0" w:color="auto"/>
              <w:right w:val="single" w:sz="4" w:space="0" w:color="auto"/>
            </w:tcBorders>
            <w:shd w:val="clear" w:color="000000" w:fill="153D64"/>
            <w:noWrap/>
            <w:vAlign w:val="bottom"/>
            <w:hideMark/>
          </w:tcPr>
          <w:p w14:paraId="5B8A8849" w14:textId="77777777" w:rsidR="00D120A6" w:rsidRPr="000020F0" w:rsidRDefault="00D120A6">
            <w:pPr>
              <w:rPr>
                <w:rFonts w:ascii="Arial" w:hAnsi="Arial" w:cs="Arial"/>
                <w:b/>
                <w:bCs/>
                <w:color w:val="FFFFFF"/>
                <w:sz w:val="20"/>
                <w:szCs w:val="20"/>
              </w:rPr>
            </w:pPr>
            <w:r w:rsidRPr="000020F0">
              <w:rPr>
                <w:rFonts w:ascii="Arial" w:hAnsi="Arial" w:cs="Arial"/>
                <w:b/>
                <w:bCs/>
                <w:color w:val="FFFFFF"/>
                <w:sz w:val="20"/>
                <w:szCs w:val="20"/>
              </w:rPr>
              <w:t>Delež</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6C9B4922"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559" w:type="dxa"/>
            <w:tcBorders>
              <w:top w:val="single" w:sz="4" w:space="0" w:color="auto"/>
              <w:left w:val="nil"/>
              <w:bottom w:val="single" w:sz="4" w:space="0" w:color="auto"/>
              <w:right w:val="single" w:sz="4" w:space="0" w:color="auto"/>
            </w:tcBorders>
            <w:shd w:val="clear" w:color="000000" w:fill="153D64"/>
            <w:noWrap/>
            <w:vAlign w:val="bottom"/>
            <w:hideMark/>
          </w:tcPr>
          <w:p w14:paraId="1C519DC8"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021EC206"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710614C7"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384" w:type="dxa"/>
            <w:tcBorders>
              <w:top w:val="single" w:sz="4" w:space="0" w:color="auto"/>
              <w:left w:val="nil"/>
              <w:bottom w:val="single" w:sz="4" w:space="0" w:color="auto"/>
              <w:right w:val="single" w:sz="4" w:space="0" w:color="auto"/>
            </w:tcBorders>
            <w:shd w:val="clear" w:color="000000" w:fill="153D64"/>
            <w:noWrap/>
            <w:vAlign w:val="bottom"/>
            <w:hideMark/>
          </w:tcPr>
          <w:p w14:paraId="115803C5"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310" w:type="dxa"/>
            <w:tcBorders>
              <w:top w:val="single" w:sz="4" w:space="0" w:color="auto"/>
              <w:left w:val="nil"/>
              <w:bottom w:val="single" w:sz="4" w:space="0" w:color="auto"/>
              <w:right w:val="single" w:sz="4" w:space="0" w:color="auto"/>
            </w:tcBorders>
            <w:shd w:val="clear" w:color="000000" w:fill="153D64"/>
            <w:noWrap/>
            <w:vAlign w:val="bottom"/>
            <w:hideMark/>
          </w:tcPr>
          <w:p w14:paraId="78954F24" w14:textId="77777777" w:rsidR="00D120A6" w:rsidRPr="000020F0" w:rsidRDefault="00D120A6">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6F69CB" w:rsidRPr="000020F0" w14:paraId="4B1E6D3D"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03108DFA"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Govekarjeva cesta</w:t>
            </w:r>
          </w:p>
        </w:tc>
        <w:tc>
          <w:tcPr>
            <w:tcW w:w="1701" w:type="dxa"/>
            <w:tcBorders>
              <w:top w:val="nil"/>
              <w:left w:val="nil"/>
              <w:bottom w:val="single" w:sz="4" w:space="0" w:color="auto"/>
              <w:right w:val="single" w:sz="4" w:space="0" w:color="auto"/>
            </w:tcBorders>
            <w:noWrap/>
            <w:vAlign w:val="bottom"/>
            <w:hideMark/>
          </w:tcPr>
          <w:p w14:paraId="2D236120" w14:textId="511C642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895.239,34</w:t>
            </w:r>
          </w:p>
        </w:tc>
        <w:tc>
          <w:tcPr>
            <w:tcW w:w="1218" w:type="dxa"/>
            <w:tcBorders>
              <w:top w:val="nil"/>
              <w:left w:val="nil"/>
              <w:bottom w:val="single" w:sz="4" w:space="0" w:color="auto"/>
              <w:right w:val="single" w:sz="4" w:space="0" w:color="auto"/>
            </w:tcBorders>
            <w:noWrap/>
            <w:vAlign w:val="bottom"/>
            <w:hideMark/>
          </w:tcPr>
          <w:p w14:paraId="4151D009" w14:textId="2A17AFE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26,44%</w:t>
            </w:r>
          </w:p>
        </w:tc>
        <w:tc>
          <w:tcPr>
            <w:tcW w:w="1276" w:type="dxa"/>
            <w:tcBorders>
              <w:top w:val="nil"/>
              <w:left w:val="nil"/>
              <w:bottom w:val="single" w:sz="4" w:space="0" w:color="auto"/>
              <w:right w:val="single" w:sz="4" w:space="0" w:color="auto"/>
            </w:tcBorders>
            <w:noWrap/>
            <w:vAlign w:val="bottom"/>
            <w:hideMark/>
          </w:tcPr>
          <w:p w14:paraId="7AA6B7B7" w14:textId="755ADB4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8E2EE80" w14:textId="192CFFD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4E48AA0" w14:textId="4A4277E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EA70C12" w14:textId="5854FEE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986D040" w14:textId="247E7FB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844.741,64</w:t>
            </w:r>
          </w:p>
        </w:tc>
        <w:tc>
          <w:tcPr>
            <w:tcW w:w="1310" w:type="dxa"/>
            <w:tcBorders>
              <w:top w:val="nil"/>
              <w:left w:val="nil"/>
              <w:bottom w:val="single" w:sz="4" w:space="0" w:color="auto"/>
              <w:right w:val="single" w:sz="4" w:space="0" w:color="auto"/>
            </w:tcBorders>
            <w:noWrap/>
            <w:vAlign w:val="bottom"/>
            <w:hideMark/>
          </w:tcPr>
          <w:p w14:paraId="23F00C8E" w14:textId="2726157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50.497,70</w:t>
            </w:r>
          </w:p>
        </w:tc>
      </w:tr>
      <w:tr w:rsidR="006F69CB" w:rsidRPr="000020F0" w14:paraId="6D981A37"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6951AC34"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Troštova ulica</w:t>
            </w:r>
          </w:p>
        </w:tc>
        <w:tc>
          <w:tcPr>
            <w:tcW w:w="1701" w:type="dxa"/>
            <w:tcBorders>
              <w:top w:val="nil"/>
              <w:left w:val="nil"/>
              <w:bottom w:val="single" w:sz="4" w:space="0" w:color="auto"/>
              <w:right w:val="single" w:sz="4" w:space="0" w:color="auto"/>
            </w:tcBorders>
            <w:noWrap/>
            <w:vAlign w:val="bottom"/>
            <w:hideMark/>
          </w:tcPr>
          <w:p w14:paraId="7D482812" w14:textId="1A5447E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51.078,31</w:t>
            </w:r>
          </w:p>
        </w:tc>
        <w:tc>
          <w:tcPr>
            <w:tcW w:w="1218" w:type="dxa"/>
            <w:tcBorders>
              <w:top w:val="nil"/>
              <w:left w:val="nil"/>
              <w:bottom w:val="single" w:sz="4" w:space="0" w:color="auto"/>
              <w:right w:val="single" w:sz="4" w:space="0" w:color="auto"/>
            </w:tcBorders>
            <w:noWrap/>
            <w:vAlign w:val="bottom"/>
            <w:hideMark/>
          </w:tcPr>
          <w:p w14:paraId="54362AEE" w14:textId="3DF19C1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1,51%</w:t>
            </w:r>
          </w:p>
        </w:tc>
        <w:tc>
          <w:tcPr>
            <w:tcW w:w="1276" w:type="dxa"/>
            <w:tcBorders>
              <w:top w:val="nil"/>
              <w:left w:val="nil"/>
              <w:bottom w:val="single" w:sz="4" w:space="0" w:color="auto"/>
              <w:right w:val="single" w:sz="4" w:space="0" w:color="auto"/>
            </w:tcBorders>
            <w:noWrap/>
            <w:vAlign w:val="bottom"/>
            <w:hideMark/>
          </w:tcPr>
          <w:p w14:paraId="3D19D7FC" w14:textId="1C16DE4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37FAB20" w14:textId="59B2153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3D4B686" w14:textId="0C91767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26B32F5" w14:textId="47C9163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258EB9A5" w14:textId="2686817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51.078,31</w:t>
            </w:r>
          </w:p>
        </w:tc>
        <w:tc>
          <w:tcPr>
            <w:tcW w:w="1310" w:type="dxa"/>
            <w:tcBorders>
              <w:top w:val="nil"/>
              <w:left w:val="nil"/>
              <w:bottom w:val="single" w:sz="4" w:space="0" w:color="auto"/>
              <w:right w:val="single" w:sz="4" w:space="0" w:color="auto"/>
            </w:tcBorders>
            <w:noWrap/>
            <w:vAlign w:val="bottom"/>
            <w:hideMark/>
          </w:tcPr>
          <w:p w14:paraId="6F74C435" w14:textId="36D1F70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2B42EF1A"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F329EA5"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701" w:type="dxa"/>
            <w:tcBorders>
              <w:top w:val="nil"/>
              <w:left w:val="nil"/>
              <w:bottom w:val="single" w:sz="4" w:space="0" w:color="auto"/>
              <w:right w:val="single" w:sz="4" w:space="0" w:color="auto"/>
            </w:tcBorders>
            <w:noWrap/>
            <w:vAlign w:val="bottom"/>
            <w:hideMark/>
          </w:tcPr>
          <w:p w14:paraId="53FD2B15" w14:textId="656592C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62.607,72</w:t>
            </w:r>
          </w:p>
        </w:tc>
        <w:tc>
          <w:tcPr>
            <w:tcW w:w="1218" w:type="dxa"/>
            <w:tcBorders>
              <w:top w:val="nil"/>
              <w:left w:val="nil"/>
              <w:bottom w:val="single" w:sz="4" w:space="0" w:color="auto"/>
              <w:right w:val="single" w:sz="4" w:space="0" w:color="auto"/>
            </w:tcBorders>
            <w:noWrap/>
            <w:vAlign w:val="bottom"/>
            <w:hideMark/>
          </w:tcPr>
          <w:p w14:paraId="326AAA4F" w14:textId="65485F6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1,85%</w:t>
            </w:r>
          </w:p>
        </w:tc>
        <w:tc>
          <w:tcPr>
            <w:tcW w:w="1276" w:type="dxa"/>
            <w:tcBorders>
              <w:top w:val="nil"/>
              <w:left w:val="nil"/>
              <w:bottom w:val="single" w:sz="4" w:space="0" w:color="auto"/>
              <w:right w:val="single" w:sz="4" w:space="0" w:color="auto"/>
            </w:tcBorders>
            <w:noWrap/>
            <w:vAlign w:val="bottom"/>
            <w:hideMark/>
          </w:tcPr>
          <w:p w14:paraId="41145ED5" w14:textId="5EE5E2A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586EBD1" w14:textId="0BD2587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41193FB" w14:textId="54786FE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166E2F9" w14:textId="30F6FF3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31E1551" w14:textId="1D23C1F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62.607,72</w:t>
            </w:r>
          </w:p>
        </w:tc>
        <w:tc>
          <w:tcPr>
            <w:tcW w:w="1310" w:type="dxa"/>
            <w:tcBorders>
              <w:top w:val="nil"/>
              <w:left w:val="nil"/>
              <w:bottom w:val="single" w:sz="4" w:space="0" w:color="auto"/>
              <w:right w:val="single" w:sz="4" w:space="0" w:color="auto"/>
            </w:tcBorders>
            <w:noWrap/>
            <w:vAlign w:val="bottom"/>
            <w:hideMark/>
          </w:tcPr>
          <w:p w14:paraId="24249A5F" w14:textId="42E3D61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6CE6FAC1"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41DB81F3"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701" w:type="dxa"/>
            <w:tcBorders>
              <w:top w:val="nil"/>
              <w:left w:val="nil"/>
              <w:bottom w:val="single" w:sz="4" w:space="0" w:color="auto"/>
              <w:right w:val="single" w:sz="4" w:space="0" w:color="auto"/>
            </w:tcBorders>
            <w:noWrap/>
            <w:vAlign w:val="bottom"/>
            <w:hideMark/>
          </w:tcPr>
          <w:p w14:paraId="1D152863" w14:textId="3D010AA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43.381,22</w:t>
            </w:r>
          </w:p>
        </w:tc>
        <w:tc>
          <w:tcPr>
            <w:tcW w:w="1218" w:type="dxa"/>
            <w:tcBorders>
              <w:top w:val="nil"/>
              <w:left w:val="nil"/>
              <w:bottom w:val="single" w:sz="4" w:space="0" w:color="auto"/>
              <w:right w:val="single" w:sz="4" w:space="0" w:color="auto"/>
            </w:tcBorders>
            <w:noWrap/>
            <w:vAlign w:val="bottom"/>
            <w:hideMark/>
          </w:tcPr>
          <w:p w14:paraId="4FBB2106" w14:textId="4C1B57A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1,28%</w:t>
            </w:r>
          </w:p>
        </w:tc>
        <w:tc>
          <w:tcPr>
            <w:tcW w:w="1276" w:type="dxa"/>
            <w:tcBorders>
              <w:top w:val="nil"/>
              <w:left w:val="nil"/>
              <w:bottom w:val="single" w:sz="4" w:space="0" w:color="auto"/>
              <w:right w:val="single" w:sz="4" w:space="0" w:color="auto"/>
            </w:tcBorders>
            <w:noWrap/>
            <w:vAlign w:val="bottom"/>
            <w:hideMark/>
          </w:tcPr>
          <w:p w14:paraId="58EED2D2" w14:textId="66D0EF4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D1AB4DA" w14:textId="1CE1C04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49904FB" w14:textId="7EB2A3C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D60FFB4" w14:textId="7A4EE5B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D3E7328" w14:textId="3535C4F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43.381,22</w:t>
            </w:r>
          </w:p>
        </w:tc>
        <w:tc>
          <w:tcPr>
            <w:tcW w:w="1310" w:type="dxa"/>
            <w:tcBorders>
              <w:top w:val="nil"/>
              <w:left w:val="nil"/>
              <w:bottom w:val="single" w:sz="4" w:space="0" w:color="auto"/>
              <w:right w:val="single" w:sz="4" w:space="0" w:color="auto"/>
            </w:tcBorders>
            <w:noWrap/>
            <w:vAlign w:val="bottom"/>
            <w:hideMark/>
          </w:tcPr>
          <w:p w14:paraId="0FD4AC69" w14:textId="29B3B38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01FDC44B"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42EAA4F"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701" w:type="dxa"/>
            <w:tcBorders>
              <w:top w:val="nil"/>
              <w:left w:val="nil"/>
              <w:bottom w:val="single" w:sz="4" w:space="0" w:color="auto"/>
              <w:right w:val="single" w:sz="4" w:space="0" w:color="auto"/>
            </w:tcBorders>
            <w:noWrap/>
            <w:vAlign w:val="bottom"/>
            <w:hideMark/>
          </w:tcPr>
          <w:p w14:paraId="3D487DA1" w14:textId="350D337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14.050,12</w:t>
            </w:r>
          </w:p>
        </w:tc>
        <w:tc>
          <w:tcPr>
            <w:tcW w:w="1218" w:type="dxa"/>
            <w:tcBorders>
              <w:top w:val="nil"/>
              <w:left w:val="nil"/>
              <w:bottom w:val="single" w:sz="4" w:space="0" w:color="auto"/>
              <w:right w:val="single" w:sz="4" w:space="0" w:color="auto"/>
            </w:tcBorders>
            <w:noWrap/>
            <w:vAlign w:val="bottom"/>
            <w:hideMark/>
          </w:tcPr>
          <w:p w14:paraId="210856BE" w14:textId="1C046EA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0,41%</w:t>
            </w:r>
          </w:p>
        </w:tc>
        <w:tc>
          <w:tcPr>
            <w:tcW w:w="1276" w:type="dxa"/>
            <w:tcBorders>
              <w:top w:val="nil"/>
              <w:left w:val="nil"/>
              <w:bottom w:val="single" w:sz="4" w:space="0" w:color="auto"/>
              <w:right w:val="single" w:sz="4" w:space="0" w:color="auto"/>
            </w:tcBorders>
            <w:noWrap/>
            <w:vAlign w:val="bottom"/>
            <w:hideMark/>
          </w:tcPr>
          <w:p w14:paraId="57F474EA" w14:textId="5DAD84D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8361032" w14:textId="79AB788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D182A2D" w14:textId="380B2FF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316DC4A" w14:textId="3D25F68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F0DB17C" w14:textId="023585E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14.050,12</w:t>
            </w:r>
          </w:p>
        </w:tc>
        <w:tc>
          <w:tcPr>
            <w:tcW w:w="1310" w:type="dxa"/>
            <w:tcBorders>
              <w:top w:val="nil"/>
              <w:left w:val="nil"/>
              <w:bottom w:val="single" w:sz="4" w:space="0" w:color="auto"/>
              <w:right w:val="single" w:sz="4" w:space="0" w:color="auto"/>
            </w:tcBorders>
            <w:noWrap/>
            <w:vAlign w:val="bottom"/>
            <w:hideMark/>
          </w:tcPr>
          <w:p w14:paraId="7B5EE17F" w14:textId="620BB3E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11E8DB86"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F602E29"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701" w:type="dxa"/>
            <w:tcBorders>
              <w:top w:val="nil"/>
              <w:left w:val="nil"/>
              <w:bottom w:val="single" w:sz="4" w:space="0" w:color="auto"/>
              <w:right w:val="single" w:sz="4" w:space="0" w:color="auto"/>
            </w:tcBorders>
            <w:noWrap/>
            <w:vAlign w:val="bottom"/>
            <w:hideMark/>
          </w:tcPr>
          <w:p w14:paraId="27D7CE97" w14:textId="62E79B9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9.955,57</w:t>
            </w:r>
          </w:p>
        </w:tc>
        <w:tc>
          <w:tcPr>
            <w:tcW w:w="1218" w:type="dxa"/>
            <w:tcBorders>
              <w:top w:val="nil"/>
              <w:left w:val="nil"/>
              <w:bottom w:val="single" w:sz="4" w:space="0" w:color="auto"/>
              <w:right w:val="single" w:sz="4" w:space="0" w:color="auto"/>
            </w:tcBorders>
            <w:noWrap/>
            <w:vAlign w:val="bottom"/>
            <w:hideMark/>
          </w:tcPr>
          <w:p w14:paraId="1D1D2C6F" w14:textId="05A2410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hideMark/>
          </w:tcPr>
          <w:p w14:paraId="033E4CEF" w14:textId="183FDFB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081A1F8E" w14:textId="170A1B1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D393CF0" w14:textId="2A40CFA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7E3B66B" w14:textId="630AA0E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5D9FF84" w14:textId="6E4DE83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hideMark/>
          </w:tcPr>
          <w:p w14:paraId="172C19DC" w14:textId="2B70351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3C333319"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2D3A6BE9" w14:textId="106CB543"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701" w:type="dxa"/>
            <w:tcBorders>
              <w:top w:val="nil"/>
              <w:left w:val="nil"/>
              <w:bottom w:val="single" w:sz="4" w:space="0" w:color="auto"/>
              <w:right w:val="single" w:sz="4" w:space="0" w:color="auto"/>
            </w:tcBorders>
            <w:noWrap/>
            <w:vAlign w:val="bottom"/>
            <w:hideMark/>
          </w:tcPr>
          <w:p w14:paraId="354AA761" w14:textId="4899601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9.955,57</w:t>
            </w:r>
          </w:p>
        </w:tc>
        <w:tc>
          <w:tcPr>
            <w:tcW w:w="1218" w:type="dxa"/>
            <w:tcBorders>
              <w:top w:val="nil"/>
              <w:left w:val="nil"/>
              <w:bottom w:val="single" w:sz="4" w:space="0" w:color="auto"/>
              <w:right w:val="single" w:sz="4" w:space="0" w:color="auto"/>
            </w:tcBorders>
            <w:noWrap/>
            <w:vAlign w:val="bottom"/>
            <w:hideMark/>
          </w:tcPr>
          <w:p w14:paraId="0C0416FF" w14:textId="38C21E4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hideMark/>
          </w:tcPr>
          <w:p w14:paraId="13F2F78D" w14:textId="13600DD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B0F9790" w14:textId="264F087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0366A1F" w14:textId="6FAD286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291F603" w14:textId="3226770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4497A742" w14:textId="71D266E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hideMark/>
          </w:tcPr>
          <w:p w14:paraId="08F86479" w14:textId="43055F4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4AF7A716"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133C2851"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701" w:type="dxa"/>
            <w:tcBorders>
              <w:top w:val="nil"/>
              <w:left w:val="nil"/>
              <w:bottom w:val="single" w:sz="4" w:space="0" w:color="auto"/>
              <w:right w:val="single" w:sz="4" w:space="0" w:color="auto"/>
            </w:tcBorders>
            <w:noWrap/>
            <w:vAlign w:val="bottom"/>
            <w:hideMark/>
          </w:tcPr>
          <w:p w14:paraId="05E363ED" w14:textId="7171BB7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71.385,08</w:t>
            </w:r>
          </w:p>
        </w:tc>
        <w:tc>
          <w:tcPr>
            <w:tcW w:w="1218" w:type="dxa"/>
            <w:tcBorders>
              <w:top w:val="nil"/>
              <w:left w:val="nil"/>
              <w:bottom w:val="single" w:sz="4" w:space="0" w:color="auto"/>
              <w:right w:val="single" w:sz="4" w:space="0" w:color="auto"/>
            </w:tcBorders>
            <w:noWrap/>
            <w:vAlign w:val="bottom"/>
            <w:hideMark/>
          </w:tcPr>
          <w:p w14:paraId="7F7D2CEC" w14:textId="122DC2D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2,11%</w:t>
            </w:r>
          </w:p>
        </w:tc>
        <w:tc>
          <w:tcPr>
            <w:tcW w:w="1276" w:type="dxa"/>
            <w:tcBorders>
              <w:top w:val="nil"/>
              <w:left w:val="nil"/>
              <w:bottom w:val="single" w:sz="4" w:space="0" w:color="auto"/>
              <w:right w:val="single" w:sz="4" w:space="0" w:color="auto"/>
            </w:tcBorders>
            <w:noWrap/>
            <w:vAlign w:val="bottom"/>
            <w:hideMark/>
          </w:tcPr>
          <w:p w14:paraId="003151EC" w14:textId="76773D8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F208BB2" w14:textId="536174E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E9C1804" w14:textId="54A2E6A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55205FA" w14:textId="762B496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16BC2E53" w14:textId="46D5D4D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71.385,08</w:t>
            </w:r>
          </w:p>
        </w:tc>
        <w:tc>
          <w:tcPr>
            <w:tcW w:w="1310" w:type="dxa"/>
            <w:tcBorders>
              <w:top w:val="nil"/>
              <w:left w:val="nil"/>
              <w:bottom w:val="single" w:sz="4" w:space="0" w:color="auto"/>
              <w:right w:val="single" w:sz="4" w:space="0" w:color="auto"/>
            </w:tcBorders>
            <w:noWrap/>
            <w:vAlign w:val="bottom"/>
            <w:hideMark/>
          </w:tcPr>
          <w:p w14:paraId="4C49EC36" w14:textId="399BD52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5250B11E"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19D1DE2C" w14:textId="743AF1CB"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1701" w:type="dxa"/>
            <w:tcBorders>
              <w:top w:val="nil"/>
              <w:left w:val="nil"/>
              <w:bottom w:val="single" w:sz="4" w:space="0" w:color="auto"/>
              <w:right w:val="single" w:sz="4" w:space="0" w:color="auto"/>
            </w:tcBorders>
            <w:noWrap/>
            <w:vAlign w:val="bottom"/>
            <w:hideMark/>
          </w:tcPr>
          <w:p w14:paraId="2344F608" w14:textId="06D1780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9.955,58</w:t>
            </w:r>
          </w:p>
        </w:tc>
        <w:tc>
          <w:tcPr>
            <w:tcW w:w="1218" w:type="dxa"/>
            <w:tcBorders>
              <w:top w:val="nil"/>
              <w:left w:val="nil"/>
              <w:bottom w:val="single" w:sz="4" w:space="0" w:color="auto"/>
              <w:right w:val="single" w:sz="4" w:space="0" w:color="auto"/>
            </w:tcBorders>
            <w:noWrap/>
            <w:vAlign w:val="bottom"/>
            <w:hideMark/>
          </w:tcPr>
          <w:p w14:paraId="279F65A7" w14:textId="59ADD55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hideMark/>
          </w:tcPr>
          <w:p w14:paraId="290B7BDB" w14:textId="23D5CAA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389B3F46" w14:textId="51FBBE5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6D73B8B" w14:textId="3910EE4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A141889" w14:textId="367CFC8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FFE4630" w14:textId="1DE10ED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9.955,58</w:t>
            </w:r>
          </w:p>
        </w:tc>
        <w:tc>
          <w:tcPr>
            <w:tcW w:w="1310" w:type="dxa"/>
            <w:tcBorders>
              <w:top w:val="nil"/>
              <w:left w:val="nil"/>
              <w:bottom w:val="single" w:sz="4" w:space="0" w:color="auto"/>
              <w:right w:val="single" w:sz="4" w:space="0" w:color="auto"/>
            </w:tcBorders>
            <w:noWrap/>
            <w:vAlign w:val="bottom"/>
            <w:hideMark/>
          </w:tcPr>
          <w:p w14:paraId="08D79A8C" w14:textId="6219742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6314F5DD"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CA7B7F1"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Parkirišča za kolesa - park</w:t>
            </w:r>
          </w:p>
        </w:tc>
        <w:tc>
          <w:tcPr>
            <w:tcW w:w="1701" w:type="dxa"/>
            <w:tcBorders>
              <w:top w:val="nil"/>
              <w:left w:val="nil"/>
              <w:bottom w:val="single" w:sz="4" w:space="0" w:color="auto"/>
              <w:right w:val="single" w:sz="4" w:space="0" w:color="auto"/>
            </w:tcBorders>
            <w:noWrap/>
            <w:vAlign w:val="bottom"/>
            <w:hideMark/>
          </w:tcPr>
          <w:p w14:paraId="494895E8" w14:textId="4523652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12.709,88</w:t>
            </w:r>
          </w:p>
        </w:tc>
        <w:tc>
          <w:tcPr>
            <w:tcW w:w="1218" w:type="dxa"/>
            <w:tcBorders>
              <w:top w:val="nil"/>
              <w:left w:val="nil"/>
              <w:bottom w:val="single" w:sz="4" w:space="0" w:color="auto"/>
              <w:right w:val="single" w:sz="4" w:space="0" w:color="auto"/>
            </w:tcBorders>
            <w:noWrap/>
            <w:vAlign w:val="bottom"/>
            <w:hideMark/>
          </w:tcPr>
          <w:p w14:paraId="00ABBAC7" w14:textId="1E2C12F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0,38%</w:t>
            </w:r>
          </w:p>
        </w:tc>
        <w:tc>
          <w:tcPr>
            <w:tcW w:w="1276" w:type="dxa"/>
            <w:tcBorders>
              <w:top w:val="nil"/>
              <w:left w:val="nil"/>
              <w:bottom w:val="single" w:sz="4" w:space="0" w:color="auto"/>
              <w:right w:val="single" w:sz="4" w:space="0" w:color="auto"/>
            </w:tcBorders>
            <w:noWrap/>
            <w:vAlign w:val="bottom"/>
            <w:hideMark/>
          </w:tcPr>
          <w:p w14:paraId="5729216F" w14:textId="1688984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FF4818E" w14:textId="3372A2B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21B0EE9" w14:textId="4BA4C69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317D0D2" w14:textId="257FD30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3B2C966" w14:textId="3905E19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12.709,88</w:t>
            </w:r>
          </w:p>
        </w:tc>
        <w:tc>
          <w:tcPr>
            <w:tcW w:w="1310" w:type="dxa"/>
            <w:tcBorders>
              <w:top w:val="nil"/>
              <w:left w:val="nil"/>
              <w:bottom w:val="single" w:sz="4" w:space="0" w:color="auto"/>
              <w:right w:val="single" w:sz="4" w:space="0" w:color="auto"/>
            </w:tcBorders>
            <w:noWrap/>
            <w:vAlign w:val="bottom"/>
            <w:hideMark/>
          </w:tcPr>
          <w:p w14:paraId="5CE54856" w14:textId="34D650E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2A0E27D5"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36290B55"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Avtobusno postajališče - nivo ceste</w:t>
            </w:r>
          </w:p>
        </w:tc>
        <w:tc>
          <w:tcPr>
            <w:tcW w:w="1701" w:type="dxa"/>
            <w:tcBorders>
              <w:top w:val="nil"/>
              <w:left w:val="nil"/>
              <w:bottom w:val="single" w:sz="4" w:space="0" w:color="auto"/>
              <w:right w:val="single" w:sz="4" w:space="0" w:color="auto"/>
            </w:tcBorders>
            <w:noWrap/>
            <w:vAlign w:val="bottom"/>
            <w:hideMark/>
          </w:tcPr>
          <w:p w14:paraId="5FA492DE" w14:textId="41825D2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317.561,27</w:t>
            </w:r>
          </w:p>
        </w:tc>
        <w:tc>
          <w:tcPr>
            <w:tcW w:w="1218" w:type="dxa"/>
            <w:tcBorders>
              <w:top w:val="nil"/>
              <w:left w:val="nil"/>
              <w:bottom w:val="single" w:sz="4" w:space="0" w:color="auto"/>
              <w:right w:val="single" w:sz="4" w:space="0" w:color="auto"/>
            </w:tcBorders>
            <w:noWrap/>
            <w:vAlign w:val="bottom"/>
            <w:hideMark/>
          </w:tcPr>
          <w:p w14:paraId="47A34A6E" w14:textId="66FAABD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9,38%</w:t>
            </w:r>
          </w:p>
        </w:tc>
        <w:tc>
          <w:tcPr>
            <w:tcW w:w="1276" w:type="dxa"/>
            <w:tcBorders>
              <w:top w:val="nil"/>
              <w:left w:val="nil"/>
              <w:bottom w:val="single" w:sz="4" w:space="0" w:color="auto"/>
              <w:right w:val="single" w:sz="4" w:space="0" w:color="auto"/>
            </w:tcBorders>
            <w:noWrap/>
            <w:vAlign w:val="bottom"/>
            <w:hideMark/>
          </w:tcPr>
          <w:p w14:paraId="5E6B3A7F" w14:textId="101BBD0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2B0007D" w14:textId="7E29D81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50F99E5" w14:textId="5244A66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28FC1E8" w14:textId="51EDBA5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317.561,27</w:t>
            </w:r>
          </w:p>
        </w:tc>
        <w:tc>
          <w:tcPr>
            <w:tcW w:w="1384" w:type="dxa"/>
            <w:tcBorders>
              <w:top w:val="nil"/>
              <w:left w:val="nil"/>
              <w:bottom w:val="single" w:sz="4" w:space="0" w:color="auto"/>
              <w:right w:val="single" w:sz="4" w:space="0" w:color="auto"/>
            </w:tcBorders>
            <w:noWrap/>
            <w:vAlign w:val="bottom"/>
            <w:hideMark/>
          </w:tcPr>
          <w:p w14:paraId="600EA158" w14:textId="42F4696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2C50926D" w14:textId="1C49988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681E866A"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7C1ACDBF"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Sanitarije</w:t>
            </w:r>
          </w:p>
        </w:tc>
        <w:tc>
          <w:tcPr>
            <w:tcW w:w="1701" w:type="dxa"/>
            <w:tcBorders>
              <w:top w:val="nil"/>
              <w:left w:val="nil"/>
              <w:bottom w:val="single" w:sz="4" w:space="0" w:color="auto"/>
              <w:right w:val="single" w:sz="4" w:space="0" w:color="auto"/>
            </w:tcBorders>
            <w:noWrap/>
            <w:vAlign w:val="bottom"/>
            <w:hideMark/>
          </w:tcPr>
          <w:p w14:paraId="2B542182" w14:textId="2921047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96.295,88</w:t>
            </w:r>
          </w:p>
        </w:tc>
        <w:tc>
          <w:tcPr>
            <w:tcW w:w="1218" w:type="dxa"/>
            <w:tcBorders>
              <w:top w:val="nil"/>
              <w:left w:val="nil"/>
              <w:bottom w:val="single" w:sz="4" w:space="0" w:color="auto"/>
              <w:right w:val="single" w:sz="4" w:space="0" w:color="auto"/>
            </w:tcBorders>
            <w:noWrap/>
            <w:vAlign w:val="bottom"/>
            <w:hideMark/>
          </w:tcPr>
          <w:p w14:paraId="55963B49" w14:textId="221936E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2,84%</w:t>
            </w:r>
          </w:p>
        </w:tc>
        <w:tc>
          <w:tcPr>
            <w:tcW w:w="1276" w:type="dxa"/>
            <w:tcBorders>
              <w:top w:val="nil"/>
              <w:left w:val="nil"/>
              <w:bottom w:val="single" w:sz="4" w:space="0" w:color="auto"/>
              <w:right w:val="single" w:sz="4" w:space="0" w:color="auto"/>
            </w:tcBorders>
            <w:noWrap/>
            <w:vAlign w:val="bottom"/>
            <w:hideMark/>
          </w:tcPr>
          <w:p w14:paraId="7F6D4F29" w14:textId="349BBB1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1F82CA76" w14:textId="7D1FA83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79DE05D" w14:textId="799AF46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EB54545" w14:textId="7841EE3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B2F6114" w14:textId="3A6F490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96.295,88</w:t>
            </w:r>
          </w:p>
        </w:tc>
        <w:tc>
          <w:tcPr>
            <w:tcW w:w="1310" w:type="dxa"/>
            <w:tcBorders>
              <w:top w:val="nil"/>
              <w:left w:val="nil"/>
              <w:bottom w:val="single" w:sz="4" w:space="0" w:color="auto"/>
              <w:right w:val="single" w:sz="4" w:space="0" w:color="auto"/>
            </w:tcBorders>
            <w:noWrap/>
            <w:vAlign w:val="bottom"/>
            <w:hideMark/>
          </w:tcPr>
          <w:p w14:paraId="33ABFD3B" w14:textId="5D13191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282180F2"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7617835F"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Avtobusno postajališče - nadstrešnica</w:t>
            </w:r>
          </w:p>
        </w:tc>
        <w:tc>
          <w:tcPr>
            <w:tcW w:w="1701" w:type="dxa"/>
            <w:tcBorders>
              <w:top w:val="nil"/>
              <w:left w:val="nil"/>
              <w:bottom w:val="single" w:sz="4" w:space="0" w:color="auto"/>
              <w:right w:val="single" w:sz="4" w:space="0" w:color="auto"/>
            </w:tcBorders>
            <w:noWrap/>
            <w:vAlign w:val="bottom"/>
            <w:hideMark/>
          </w:tcPr>
          <w:p w14:paraId="7F17BECE" w14:textId="1624939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277.217,15</w:t>
            </w:r>
          </w:p>
        </w:tc>
        <w:tc>
          <w:tcPr>
            <w:tcW w:w="1218" w:type="dxa"/>
            <w:tcBorders>
              <w:top w:val="nil"/>
              <w:left w:val="nil"/>
              <w:bottom w:val="single" w:sz="4" w:space="0" w:color="auto"/>
              <w:right w:val="single" w:sz="4" w:space="0" w:color="auto"/>
            </w:tcBorders>
            <w:noWrap/>
            <w:vAlign w:val="bottom"/>
            <w:hideMark/>
          </w:tcPr>
          <w:p w14:paraId="4CFFE93C" w14:textId="2D84337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8,19%</w:t>
            </w:r>
          </w:p>
        </w:tc>
        <w:tc>
          <w:tcPr>
            <w:tcW w:w="1276" w:type="dxa"/>
            <w:tcBorders>
              <w:top w:val="nil"/>
              <w:left w:val="nil"/>
              <w:bottom w:val="single" w:sz="4" w:space="0" w:color="auto"/>
              <w:right w:val="single" w:sz="4" w:space="0" w:color="auto"/>
            </w:tcBorders>
            <w:noWrap/>
            <w:vAlign w:val="bottom"/>
            <w:hideMark/>
          </w:tcPr>
          <w:p w14:paraId="10A37B24" w14:textId="7133088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AB7CD79" w14:textId="535828E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8527A0B" w14:textId="685AFE6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F20BEBA" w14:textId="528A5A2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277.217,15</w:t>
            </w:r>
          </w:p>
        </w:tc>
        <w:tc>
          <w:tcPr>
            <w:tcW w:w="1384" w:type="dxa"/>
            <w:tcBorders>
              <w:top w:val="nil"/>
              <w:left w:val="nil"/>
              <w:bottom w:val="single" w:sz="4" w:space="0" w:color="auto"/>
              <w:right w:val="single" w:sz="4" w:space="0" w:color="auto"/>
            </w:tcBorders>
            <w:noWrap/>
            <w:vAlign w:val="bottom"/>
            <w:hideMark/>
          </w:tcPr>
          <w:p w14:paraId="2641D165" w14:textId="3158D75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460AD1DA" w14:textId="06AB100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2EDBCBC0" w14:textId="77777777" w:rsidTr="00D120A6">
        <w:trPr>
          <w:trHeight w:val="290"/>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285C9B35"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Parkirišče z vhodom v šolo</w:t>
            </w:r>
          </w:p>
        </w:tc>
        <w:tc>
          <w:tcPr>
            <w:tcW w:w="1701" w:type="dxa"/>
            <w:tcBorders>
              <w:top w:val="nil"/>
              <w:left w:val="nil"/>
              <w:bottom w:val="single" w:sz="4" w:space="0" w:color="auto"/>
              <w:right w:val="single" w:sz="4" w:space="0" w:color="auto"/>
            </w:tcBorders>
            <w:noWrap/>
            <w:vAlign w:val="bottom"/>
            <w:hideMark/>
          </w:tcPr>
          <w:p w14:paraId="03BB0B30" w14:textId="53E1AD1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414.728,58</w:t>
            </w:r>
          </w:p>
        </w:tc>
        <w:tc>
          <w:tcPr>
            <w:tcW w:w="1218" w:type="dxa"/>
            <w:tcBorders>
              <w:top w:val="nil"/>
              <w:left w:val="nil"/>
              <w:bottom w:val="single" w:sz="4" w:space="0" w:color="auto"/>
              <w:right w:val="single" w:sz="4" w:space="0" w:color="auto"/>
            </w:tcBorders>
            <w:noWrap/>
            <w:vAlign w:val="bottom"/>
            <w:hideMark/>
          </w:tcPr>
          <w:p w14:paraId="39A8D621" w14:textId="585F6B8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12,25%</w:t>
            </w:r>
          </w:p>
        </w:tc>
        <w:tc>
          <w:tcPr>
            <w:tcW w:w="1276" w:type="dxa"/>
            <w:tcBorders>
              <w:top w:val="nil"/>
              <w:left w:val="nil"/>
              <w:bottom w:val="single" w:sz="4" w:space="0" w:color="auto"/>
              <w:right w:val="single" w:sz="4" w:space="0" w:color="auto"/>
            </w:tcBorders>
            <w:noWrap/>
            <w:vAlign w:val="bottom"/>
            <w:hideMark/>
          </w:tcPr>
          <w:p w14:paraId="1D2B717A" w14:textId="249779E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6AD25B8" w14:textId="7EB41FC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B8CD9DC" w14:textId="7BDC061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58EBAD7" w14:textId="7FAE446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FA2B5DB" w14:textId="00C1564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414.728,58</w:t>
            </w:r>
          </w:p>
        </w:tc>
        <w:tc>
          <w:tcPr>
            <w:tcW w:w="1310" w:type="dxa"/>
            <w:tcBorders>
              <w:top w:val="nil"/>
              <w:left w:val="nil"/>
              <w:bottom w:val="single" w:sz="4" w:space="0" w:color="auto"/>
              <w:right w:val="single" w:sz="4" w:space="0" w:color="auto"/>
            </w:tcBorders>
            <w:noWrap/>
            <w:vAlign w:val="bottom"/>
            <w:hideMark/>
          </w:tcPr>
          <w:p w14:paraId="70274DAD" w14:textId="1194084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7383F403" w14:textId="77777777" w:rsidTr="00D120A6">
        <w:trPr>
          <w:trHeight w:val="29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41245FCA" w14:textId="77777777" w:rsidR="006F69CB" w:rsidRPr="000020F0" w:rsidRDefault="006F69CB" w:rsidP="006F69CB">
            <w:pPr>
              <w:rPr>
                <w:rFonts w:ascii="Arial" w:hAnsi="Arial" w:cs="Arial"/>
                <w:i/>
                <w:iCs/>
                <w:color w:val="000000"/>
                <w:sz w:val="20"/>
                <w:szCs w:val="20"/>
              </w:rPr>
            </w:pPr>
            <w:r w:rsidRPr="000020F0">
              <w:rPr>
                <w:rFonts w:ascii="Arial" w:hAnsi="Arial" w:cs="Arial"/>
                <w:i/>
                <w:iCs/>
                <w:color w:val="000000"/>
                <w:sz w:val="20"/>
                <w:szCs w:val="20"/>
              </w:rPr>
              <w:t>Skupaj GOI dela</w:t>
            </w:r>
          </w:p>
        </w:tc>
        <w:tc>
          <w:tcPr>
            <w:tcW w:w="1701" w:type="dxa"/>
            <w:tcBorders>
              <w:top w:val="nil"/>
              <w:left w:val="nil"/>
              <w:bottom w:val="single" w:sz="4" w:space="0" w:color="auto"/>
              <w:right w:val="single" w:sz="4" w:space="0" w:color="auto"/>
            </w:tcBorders>
            <w:shd w:val="clear" w:color="000000" w:fill="D9D9D9"/>
            <w:noWrap/>
            <w:vAlign w:val="bottom"/>
            <w:hideMark/>
          </w:tcPr>
          <w:p w14:paraId="2B7B9676" w14:textId="63ABACFE"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2.286.121,27</w:t>
            </w:r>
          </w:p>
        </w:tc>
        <w:tc>
          <w:tcPr>
            <w:tcW w:w="1218" w:type="dxa"/>
            <w:tcBorders>
              <w:top w:val="nil"/>
              <w:left w:val="nil"/>
              <w:bottom w:val="single" w:sz="4" w:space="0" w:color="auto"/>
              <w:right w:val="single" w:sz="4" w:space="0" w:color="auto"/>
            </w:tcBorders>
            <w:shd w:val="clear" w:color="000000" w:fill="D9D9D9"/>
            <w:noWrap/>
            <w:vAlign w:val="bottom"/>
            <w:hideMark/>
          </w:tcPr>
          <w:p w14:paraId="3F47EAAF" w14:textId="642B3D7E"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67,52%</w:t>
            </w:r>
          </w:p>
        </w:tc>
        <w:tc>
          <w:tcPr>
            <w:tcW w:w="1276" w:type="dxa"/>
            <w:tcBorders>
              <w:top w:val="nil"/>
              <w:left w:val="nil"/>
              <w:bottom w:val="single" w:sz="4" w:space="0" w:color="auto"/>
              <w:right w:val="single" w:sz="4" w:space="0" w:color="auto"/>
            </w:tcBorders>
            <w:shd w:val="clear" w:color="000000" w:fill="D9D9D9"/>
            <w:noWrap/>
            <w:vAlign w:val="bottom"/>
            <w:hideMark/>
          </w:tcPr>
          <w:p w14:paraId="45030FCB" w14:textId="41AB1E39"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559" w:type="dxa"/>
            <w:tcBorders>
              <w:top w:val="nil"/>
              <w:left w:val="nil"/>
              <w:bottom w:val="single" w:sz="4" w:space="0" w:color="auto"/>
              <w:right w:val="single" w:sz="4" w:space="0" w:color="auto"/>
            </w:tcBorders>
            <w:shd w:val="clear" w:color="000000" w:fill="D9D9D9"/>
            <w:noWrap/>
            <w:vAlign w:val="bottom"/>
            <w:hideMark/>
          </w:tcPr>
          <w:p w14:paraId="2181BEE2" w14:textId="65007160"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276" w:type="dxa"/>
            <w:tcBorders>
              <w:top w:val="nil"/>
              <w:left w:val="nil"/>
              <w:bottom w:val="single" w:sz="4" w:space="0" w:color="auto"/>
              <w:right w:val="single" w:sz="4" w:space="0" w:color="auto"/>
            </w:tcBorders>
            <w:shd w:val="clear" w:color="000000" w:fill="D9D9D9"/>
            <w:noWrap/>
            <w:vAlign w:val="bottom"/>
            <w:hideMark/>
          </w:tcPr>
          <w:p w14:paraId="0984994E" w14:textId="70C02BDF"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275" w:type="dxa"/>
            <w:tcBorders>
              <w:top w:val="nil"/>
              <w:left w:val="nil"/>
              <w:bottom w:val="single" w:sz="4" w:space="0" w:color="auto"/>
              <w:right w:val="single" w:sz="4" w:space="0" w:color="auto"/>
            </w:tcBorders>
            <w:shd w:val="clear" w:color="000000" w:fill="D9D9D9"/>
            <w:noWrap/>
            <w:vAlign w:val="bottom"/>
            <w:hideMark/>
          </w:tcPr>
          <w:p w14:paraId="3EF9F777" w14:textId="587508BF"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594.778,42</w:t>
            </w:r>
          </w:p>
        </w:tc>
        <w:tc>
          <w:tcPr>
            <w:tcW w:w="1384" w:type="dxa"/>
            <w:tcBorders>
              <w:top w:val="nil"/>
              <w:left w:val="nil"/>
              <w:bottom w:val="single" w:sz="4" w:space="0" w:color="auto"/>
              <w:right w:val="single" w:sz="4" w:space="0" w:color="auto"/>
            </w:tcBorders>
            <w:shd w:val="clear" w:color="000000" w:fill="D9D9D9"/>
            <w:noWrap/>
            <w:vAlign w:val="bottom"/>
            <w:hideMark/>
          </w:tcPr>
          <w:p w14:paraId="16975791" w14:textId="75940C78"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1.640.845,15</w:t>
            </w:r>
          </w:p>
        </w:tc>
        <w:tc>
          <w:tcPr>
            <w:tcW w:w="1310" w:type="dxa"/>
            <w:tcBorders>
              <w:top w:val="nil"/>
              <w:left w:val="nil"/>
              <w:bottom w:val="single" w:sz="4" w:space="0" w:color="auto"/>
              <w:right w:val="single" w:sz="4" w:space="0" w:color="auto"/>
            </w:tcBorders>
            <w:shd w:val="clear" w:color="000000" w:fill="D9D9D9"/>
            <w:noWrap/>
            <w:vAlign w:val="bottom"/>
            <w:hideMark/>
          </w:tcPr>
          <w:p w14:paraId="47070627" w14:textId="20AE2019" w:rsidR="006F69CB" w:rsidRPr="000020F0" w:rsidRDefault="006F69CB" w:rsidP="006F69CB">
            <w:pPr>
              <w:jc w:val="right"/>
              <w:rPr>
                <w:rFonts w:ascii="Arial" w:hAnsi="Arial" w:cs="Arial"/>
                <w:i/>
                <w:iCs/>
                <w:color w:val="000000"/>
                <w:sz w:val="20"/>
                <w:szCs w:val="20"/>
              </w:rPr>
            </w:pPr>
            <w:r w:rsidRPr="000020F0">
              <w:rPr>
                <w:rFonts w:ascii="Arial" w:hAnsi="Arial" w:cs="Arial"/>
                <w:i/>
                <w:iCs/>
                <w:color w:val="000000"/>
                <w:sz w:val="20"/>
                <w:szCs w:val="20"/>
              </w:rPr>
              <w:t>50.497,70</w:t>
            </w:r>
          </w:p>
        </w:tc>
      </w:tr>
      <w:tr w:rsidR="006F69CB" w:rsidRPr="000020F0" w14:paraId="47098630"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2834FBDF"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Strokovni nadzor</w:t>
            </w:r>
          </w:p>
        </w:tc>
        <w:tc>
          <w:tcPr>
            <w:tcW w:w="1701" w:type="dxa"/>
            <w:tcBorders>
              <w:top w:val="nil"/>
              <w:left w:val="nil"/>
              <w:bottom w:val="single" w:sz="4" w:space="0" w:color="auto"/>
              <w:right w:val="single" w:sz="4" w:space="0" w:color="auto"/>
            </w:tcBorders>
            <w:noWrap/>
            <w:vAlign w:val="bottom"/>
            <w:hideMark/>
          </w:tcPr>
          <w:p w14:paraId="13AF5954" w14:textId="7933548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68.583,64</w:t>
            </w:r>
          </w:p>
        </w:tc>
        <w:tc>
          <w:tcPr>
            <w:tcW w:w="1218" w:type="dxa"/>
            <w:tcBorders>
              <w:top w:val="nil"/>
              <w:left w:val="nil"/>
              <w:bottom w:val="single" w:sz="4" w:space="0" w:color="auto"/>
              <w:right w:val="single" w:sz="4" w:space="0" w:color="auto"/>
            </w:tcBorders>
            <w:noWrap/>
            <w:vAlign w:val="bottom"/>
            <w:hideMark/>
          </w:tcPr>
          <w:p w14:paraId="4902B1A6" w14:textId="2D7B617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2,03%</w:t>
            </w:r>
          </w:p>
        </w:tc>
        <w:tc>
          <w:tcPr>
            <w:tcW w:w="1276" w:type="dxa"/>
            <w:tcBorders>
              <w:top w:val="nil"/>
              <w:left w:val="nil"/>
              <w:bottom w:val="single" w:sz="4" w:space="0" w:color="auto"/>
              <w:right w:val="single" w:sz="4" w:space="0" w:color="auto"/>
            </w:tcBorders>
            <w:noWrap/>
            <w:vAlign w:val="bottom"/>
            <w:hideMark/>
          </w:tcPr>
          <w:p w14:paraId="076607BF" w14:textId="1006C12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043E713" w14:textId="37A3CE7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804C90C" w14:textId="5F9ACE3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AA1C905" w14:textId="0236F8A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17.843,35</w:t>
            </w:r>
          </w:p>
        </w:tc>
        <w:tc>
          <w:tcPr>
            <w:tcW w:w="1384" w:type="dxa"/>
            <w:tcBorders>
              <w:top w:val="nil"/>
              <w:left w:val="nil"/>
              <w:bottom w:val="single" w:sz="4" w:space="0" w:color="auto"/>
              <w:right w:val="single" w:sz="4" w:space="0" w:color="auto"/>
            </w:tcBorders>
            <w:noWrap/>
            <w:vAlign w:val="bottom"/>
            <w:hideMark/>
          </w:tcPr>
          <w:p w14:paraId="5BA9A1CD" w14:textId="5EF938F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49.225,35</w:t>
            </w:r>
          </w:p>
        </w:tc>
        <w:tc>
          <w:tcPr>
            <w:tcW w:w="1310" w:type="dxa"/>
            <w:tcBorders>
              <w:top w:val="nil"/>
              <w:left w:val="nil"/>
              <w:bottom w:val="single" w:sz="4" w:space="0" w:color="auto"/>
              <w:right w:val="single" w:sz="4" w:space="0" w:color="auto"/>
            </w:tcBorders>
            <w:noWrap/>
            <w:vAlign w:val="bottom"/>
            <w:hideMark/>
          </w:tcPr>
          <w:p w14:paraId="15B11F46" w14:textId="67AF51E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1.514,93</w:t>
            </w:r>
          </w:p>
        </w:tc>
      </w:tr>
      <w:tr w:rsidR="006F69CB" w:rsidRPr="000020F0" w14:paraId="0C7B913C"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536DBD66"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Projektna dokumentacija</w:t>
            </w:r>
          </w:p>
        </w:tc>
        <w:tc>
          <w:tcPr>
            <w:tcW w:w="1701" w:type="dxa"/>
            <w:tcBorders>
              <w:top w:val="nil"/>
              <w:left w:val="nil"/>
              <w:bottom w:val="single" w:sz="4" w:space="0" w:color="auto"/>
              <w:right w:val="single" w:sz="4" w:space="0" w:color="auto"/>
            </w:tcBorders>
            <w:noWrap/>
            <w:vAlign w:val="bottom"/>
            <w:hideMark/>
          </w:tcPr>
          <w:p w14:paraId="3407C35A" w14:textId="48EE0D0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105.425,37</w:t>
            </w:r>
          </w:p>
        </w:tc>
        <w:tc>
          <w:tcPr>
            <w:tcW w:w="1218" w:type="dxa"/>
            <w:tcBorders>
              <w:top w:val="nil"/>
              <w:left w:val="nil"/>
              <w:bottom w:val="single" w:sz="4" w:space="0" w:color="auto"/>
              <w:right w:val="single" w:sz="4" w:space="0" w:color="auto"/>
            </w:tcBorders>
            <w:noWrap/>
            <w:vAlign w:val="bottom"/>
            <w:hideMark/>
          </w:tcPr>
          <w:p w14:paraId="28DE309C" w14:textId="4B5C207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3,11%</w:t>
            </w:r>
          </w:p>
        </w:tc>
        <w:tc>
          <w:tcPr>
            <w:tcW w:w="1276" w:type="dxa"/>
            <w:tcBorders>
              <w:top w:val="nil"/>
              <w:left w:val="nil"/>
              <w:bottom w:val="single" w:sz="4" w:space="0" w:color="auto"/>
              <w:right w:val="single" w:sz="4" w:space="0" w:color="auto"/>
            </w:tcBorders>
            <w:noWrap/>
            <w:vAlign w:val="bottom"/>
            <w:hideMark/>
          </w:tcPr>
          <w:p w14:paraId="6EFB8D23" w14:textId="07AD2FB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7.200,00</w:t>
            </w:r>
          </w:p>
        </w:tc>
        <w:tc>
          <w:tcPr>
            <w:tcW w:w="1559" w:type="dxa"/>
            <w:tcBorders>
              <w:top w:val="nil"/>
              <w:left w:val="nil"/>
              <w:bottom w:val="single" w:sz="4" w:space="0" w:color="auto"/>
              <w:right w:val="single" w:sz="4" w:space="0" w:color="auto"/>
            </w:tcBorders>
            <w:noWrap/>
            <w:vAlign w:val="bottom"/>
            <w:hideMark/>
          </w:tcPr>
          <w:p w14:paraId="436267F5" w14:textId="0FA4D9F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67.622,95</w:t>
            </w:r>
          </w:p>
        </w:tc>
        <w:tc>
          <w:tcPr>
            <w:tcW w:w="1276" w:type="dxa"/>
            <w:tcBorders>
              <w:top w:val="nil"/>
              <w:left w:val="nil"/>
              <w:bottom w:val="single" w:sz="4" w:space="0" w:color="auto"/>
              <w:right w:val="single" w:sz="4" w:space="0" w:color="auto"/>
            </w:tcBorders>
            <w:noWrap/>
            <w:vAlign w:val="bottom"/>
            <w:hideMark/>
          </w:tcPr>
          <w:p w14:paraId="313AFFBE" w14:textId="5344CBD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21.372,38</w:t>
            </w:r>
          </w:p>
        </w:tc>
        <w:tc>
          <w:tcPr>
            <w:tcW w:w="1275" w:type="dxa"/>
            <w:tcBorders>
              <w:top w:val="nil"/>
              <w:left w:val="nil"/>
              <w:bottom w:val="single" w:sz="4" w:space="0" w:color="auto"/>
              <w:right w:val="single" w:sz="4" w:space="0" w:color="auto"/>
            </w:tcBorders>
            <w:noWrap/>
            <w:vAlign w:val="bottom"/>
            <w:hideMark/>
          </w:tcPr>
          <w:p w14:paraId="3F71D86A" w14:textId="7159AB8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3.941,51</w:t>
            </w:r>
          </w:p>
        </w:tc>
        <w:tc>
          <w:tcPr>
            <w:tcW w:w="1384" w:type="dxa"/>
            <w:tcBorders>
              <w:top w:val="nil"/>
              <w:left w:val="nil"/>
              <w:bottom w:val="single" w:sz="4" w:space="0" w:color="auto"/>
              <w:right w:val="single" w:sz="4" w:space="0" w:color="auto"/>
            </w:tcBorders>
            <w:noWrap/>
            <w:vAlign w:val="bottom"/>
            <w:hideMark/>
          </w:tcPr>
          <w:p w14:paraId="0D8843C9" w14:textId="4847357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4.024,29</w:t>
            </w:r>
          </w:p>
        </w:tc>
        <w:tc>
          <w:tcPr>
            <w:tcW w:w="1310" w:type="dxa"/>
            <w:tcBorders>
              <w:top w:val="nil"/>
              <w:left w:val="nil"/>
              <w:bottom w:val="single" w:sz="4" w:space="0" w:color="auto"/>
              <w:right w:val="single" w:sz="4" w:space="0" w:color="auto"/>
            </w:tcBorders>
            <w:noWrap/>
            <w:vAlign w:val="bottom"/>
            <w:hideMark/>
          </w:tcPr>
          <w:p w14:paraId="3F9D315D" w14:textId="5506D52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1.264,24</w:t>
            </w:r>
          </w:p>
        </w:tc>
      </w:tr>
      <w:tr w:rsidR="006F69CB" w:rsidRPr="000020F0" w14:paraId="4D3300D5"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B7F531B"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lastRenderedPageBreak/>
              <w:t>Svetovalni inženiring</w:t>
            </w:r>
          </w:p>
        </w:tc>
        <w:tc>
          <w:tcPr>
            <w:tcW w:w="1701" w:type="dxa"/>
            <w:tcBorders>
              <w:top w:val="nil"/>
              <w:left w:val="nil"/>
              <w:bottom w:val="single" w:sz="4" w:space="0" w:color="auto"/>
              <w:right w:val="single" w:sz="4" w:space="0" w:color="auto"/>
            </w:tcBorders>
            <w:noWrap/>
            <w:vAlign w:val="bottom"/>
            <w:hideMark/>
          </w:tcPr>
          <w:p w14:paraId="5EA4285F" w14:textId="6AA681A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22.861,21</w:t>
            </w:r>
          </w:p>
        </w:tc>
        <w:tc>
          <w:tcPr>
            <w:tcW w:w="1218" w:type="dxa"/>
            <w:tcBorders>
              <w:top w:val="nil"/>
              <w:left w:val="nil"/>
              <w:bottom w:val="single" w:sz="4" w:space="0" w:color="auto"/>
              <w:right w:val="single" w:sz="4" w:space="0" w:color="auto"/>
            </w:tcBorders>
            <w:noWrap/>
            <w:vAlign w:val="bottom"/>
            <w:hideMark/>
          </w:tcPr>
          <w:p w14:paraId="5AAD9E33" w14:textId="119F432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0,68%</w:t>
            </w:r>
          </w:p>
        </w:tc>
        <w:tc>
          <w:tcPr>
            <w:tcW w:w="1276" w:type="dxa"/>
            <w:tcBorders>
              <w:top w:val="nil"/>
              <w:left w:val="nil"/>
              <w:bottom w:val="single" w:sz="4" w:space="0" w:color="auto"/>
              <w:right w:val="single" w:sz="4" w:space="0" w:color="auto"/>
            </w:tcBorders>
            <w:noWrap/>
            <w:vAlign w:val="bottom"/>
            <w:hideMark/>
          </w:tcPr>
          <w:p w14:paraId="519AF4A0" w14:textId="1FC637E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0A77FC2" w14:textId="44C4DAA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4DD02F3" w14:textId="414B068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DC71D6F" w14:textId="038BA6B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5.947,78</w:t>
            </w:r>
          </w:p>
        </w:tc>
        <w:tc>
          <w:tcPr>
            <w:tcW w:w="1384" w:type="dxa"/>
            <w:tcBorders>
              <w:top w:val="nil"/>
              <w:left w:val="nil"/>
              <w:bottom w:val="single" w:sz="4" w:space="0" w:color="auto"/>
              <w:right w:val="single" w:sz="4" w:space="0" w:color="auto"/>
            </w:tcBorders>
            <w:noWrap/>
            <w:vAlign w:val="bottom"/>
            <w:hideMark/>
          </w:tcPr>
          <w:p w14:paraId="3AC12096" w14:textId="3FDEE0D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16.408,45</w:t>
            </w:r>
          </w:p>
        </w:tc>
        <w:tc>
          <w:tcPr>
            <w:tcW w:w="1310" w:type="dxa"/>
            <w:tcBorders>
              <w:top w:val="nil"/>
              <w:left w:val="nil"/>
              <w:bottom w:val="single" w:sz="4" w:space="0" w:color="auto"/>
              <w:right w:val="single" w:sz="4" w:space="0" w:color="auto"/>
            </w:tcBorders>
            <w:noWrap/>
            <w:vAlign w:val="bottom"/>
            <w:hideMark/>
          </w:tcPr>
          <w:p w14:paraId="1E0BFE99" w14:textId="74AEFC1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504,98</w:t>
            </w:r>
          </w:p>
        </w:tc>
      </w:tr>
      <w:tr w:rsidR="006F69CB" w:rsidRPr="000020F0" w14:paraId="6EBEE719"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38B3CFA2"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Obveščanje javnosti</w:t>
            </w:r>
          </w:p>
        </w:tc>
        <w:tc>
          <w:tcPr>
            <w:tcW w:w="1701" w:type="dxa"/>
            <w:tcBorders>
              <w:top w:val="nil"/>
              <w:left w:val="nil"/>
              <w:bottom w:val="single" w:sz="4" w:space="0" w:color="auto"/>
              <w:right w:val="single" w:sz="4" w:space="0" w:color="auto"/>
            </w:tcBorders>
            <w:noWrap/>
            <w:vAlign w:val="bottom"/>
            <w:hideMark/>
          </w:tcPr>
          <w:p w14:paraId="6531550A" w14:textId="1D55B91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4.268,43</w:t>
            </w:r>
          </w:p>
        </w:tc>
        <w:tc>
          <w:tcPr>
            <w:tcW w:w="1218" w:type="dxa"/>
            <w:tcBorders>
              <w:top w:val="nil"/>
              <w:left w:val="nil"/>
              <w:bottom w:val="single" w:sz="4" w:space="0" w:color="auto"/>
              <w:right w:val="single" w:sz="4" w:space="0" w:color="auto"/>
            </w:tcBorders>
            <w:noWrap/>
            <w:vAlign w:val="bottom"/>
            <w:hideMark/>
          </w:tcPr>
          <w:p w14:paraId="30983CA5" w14:textId="305F988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0,13%</w:t>
            </w:r>
          </w:p>
        </w:tc>
        <w:tc>
          <w:tcPr>
            <w:tcW w:w="1276" w:type="dxa"/>
            <w:tcBorders>
              <w:top w:val="nil"/>
              <w:left w:val="nil"/>
              <w:bottom w:val="single" w:sz="4" w:space="0" w:color="auto"/>
              <w:right w:val="single" w:sz="4" w:space="0" w:color="auto"/>
            </w:tcBorders>
            <w:noWrap/>
            <w:vAlign w:val="bottom"/>
            <w:hideMark/>
          </w:tcPr>
          <w:p w14:paraId="5B5B61E1" w14:textId="73E4ED0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BC6C9B5" w14:textId="690DF1F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434FDD7" w14:textId="205F4E6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FFB202F" w14:textId="0D27F8C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2.094,26</w:t>
            </w:r>
          </w:p>
        </w:tc>
        <w:tc>
          <w:tcPr>
            <w:tcW w:w="1384" w:type="dxa"/>
            <w:tcBorders>
              <w:top w:val="nil"/>
              <w:left w:val="nil"/>
              <w:bottom w:val="single" w:sz="4" w:space="0" w:color="auto"/>
              <w:right w:val="single" w:sz="4" w:space="0" w:color="auto"/>
            </w:tcBorders>
            <w:noWrap/>
            <w:vAlign w:val="bottom"/>
            <w:hideMark/>
          </w:tcPr>
          <w:p w14:paraId="500E874F" w14:textId="22F20F7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427,65</w:t>
            </w:r>
          </w:p>
        </w:tc>
        <w:tc>
          <w:tcPr>
            <w:tcW w:w="1310" w:type="dxa"/>
            <w:tcBorders>
              <w:top w:val="nil"/>
              <w:left w:val="nil"/>
              <w:bottom w:val="single" w:sz="4" w:space="0" w:color="auto"/>
              <w:right w:val="single" w:sz="4" w:space="0" w:color="auto"/>
            </w:tcBorders>
            <w:noWrap/>
            <w:vAlign w:val="bottom"/>
            <w:hideMark/>
          </w:tcPr>
          <w:p w14:paraId="5869D28A" w14:textId="7C470B7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1.746,51</w:t>
            </w:r>
          </w:p>
        </w:tc>
      </w:tr>
      <w:tr w:rsidR="006F69CB" w:rsidRPr="000020F0" w14:paraId="0C05139B"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2CB4AAA9"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701" w:type="dxa"/>
            <w:tcBorders>
              <w:top w:val="nil"/>
              <w:left w:val="nil"/>
              <w:bottom w:val="single" w:sz="4" w:space="0" w:color="auto"/>
              <w:right w:val="single" w:sz="4" w:space="0" w:color="auto"/>
            </w:tcBorders>
            <w:noWrap/>
            <w:vAlign w:val="bottom"/>
            <w:hideMark/>
          </w:tcPr>
          <w:p w14:paraId="2A03E38C" w14:textId="64518D7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21.650,00</w:t>
            </w:r>
          </w:p>
        </w:tc>
        <w:tc>
          <w:tcPr>
            <w:tcW w:w="1218" w:type="dxa"/>
            <w:tcBorders>
              <w:top w:val="nil"/>
              <w:left w:val="nil"/>
              <w:bottom w:val="single" w:sz="4" w:space="0" w:color="auto"/>
              <w:right w:val="single" w:sz="4" w:space="0" w:color="auto"/>
            </w:tcBorders>
            <w:noWrap/>
            <w:vAlign w:val="bottom"/>
            <w:hideMark/>
          </w:tcPr>
          <w:p w14:paraId="723D36A4" w14:textId="0C94FC3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0,64%</w:t>
            </w:r>
          </w:p>
        </w:tc>
        <w:tc>
          <w:tcPr>
            <w:tcW w:w="1276" w:type="dxa"/>
            <w:tcBorders>
              <w:top w:val="nil"/>
              <w:left w:val="nil"/>
              <w:bottom w:val="single" w:sz="4" w:space="0" w:color="auto"/>
              <w:right w:val="single" w:sz="4" w:space="0" w:color="auto"/>
            </w:tcBorders>
            <w:noWrap/>
            <w:vAlign w:val="bottom"/>
            <w:hideMark/>
          </w:tcPr>
          <w:p w14:paraId="3166280A" w14:textId="77ACD0C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700,00</w:t>
            </w:r>
          </w:p>
        </w:tc>
        <w:tc>
          <w:tcPr>
            <w:tcW w:w="1559" w:type="dxa"/>
            <w:tcBorders>
              <w:top w:val="nil"/>
              <w:left w:val="nil"/>
              <w:bottom w:val="single" w:sz="4" w:space="0" w:color="auto"/>
              <w:right w:val="single" w:sz="4" w:space="0" w:color="auto"/>
            </w:tcBorders>
            <w:noWrap/>
            <w:vAlign w:val="bottom"/>
            <w:hideMark/>
          </w:tcPr>
          <w:p w14:paraId="371AE837" w14:textId="2591A83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9.150,00</w:t>
            </w:r>
          </w:p>
        </w:tc>
        <w:tc>
          <w:tcPr>
            <w:tcW w:w="1276" w:type="dxa"/>
            <w:tcBorders>
              <w:top w:val="nil"/>
              <w:left w:val="nil"/>
              <w:bottom w:val="single" w:sz="4" w:space="0" w:color="auto"/>
              <w:right w:val="single" w:sz="4" w:space="0" w:color="auto"/>
            </w:tcBorders>
            <w:noWrap/>
            <w:vAlign w:val="bottom"/>
            <w:hideMark/>
          </w:tcPr>
          <w:p w14:paraId="1E4B64FE" w14:textId="59E5558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11.800,00</w:t>
            </w:r>
          </w:p>
        </w:tc>
        <w:tc>
          <w:tcPr>
            <w:tcW w:w="1275" w:type="dxa"/>
            <w:tcBorders>
              <w:top w:val="nil"/>
              <w:left w:val="nil"/>
              <w:bottom w:val="single" w:sz="4" w:space="0" w:color="auto"/>
              <w:right w:val="single" w:sz="4" w:space="0" w:color="auto"/>
            </w:tcBorders>
            <w:noWrap/>
            <w:vAlign w:val="bottom"/>
            <w:hideMark/>
          </w:tcPr>
          <w:p w14:paraId="4D6E2409" w14:textId="0E4089C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15695D37" w14:textId="3FE159F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0629C8B2" w14:textId="3AF7B6F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107DFF9F"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39CDEAF7"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Stroški varnosti pri delu</w:t>
            </w:r>
          </w:p>
        </w:tc>
        <w:tc>
          <w:tcPr>
            <w:tcW w:w="1701" w:type="dxa"/>
            <w:tcBorders>
              <w:top w:val="nil"/>
              <w:left w:val="nil"/>
              <w:bottom w:val="single" w:sz="4" w:space="0" w:color="auto"/>
              <w:right w:val="single" w:sz="4" w:space="0" w:color="auto"/>
            </w:tcBorders>
            <w:noWrap/>
            <w:vAlign w:val="bottom"/>
            <w:hideMark/>
          </w:tcPr>
          <w:p w14:paraId="2BBBCE6A" w14:textId="4E8D101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7.280,76</w:t>
            </w:r>
          </w:p>
        </w:tc>
        <w:tc>
          <w:tcPr>
            <w:tcW w:w="1218" w:type="dxa"/>
            <w:tcBorders>
              <w:top w:val="nil"/>
              <w:left w:val="nil"/>
              <w:bottom w:val="single" w:sz="4" w:space="0" w:color="auto"/>
              <w:right w:val="single" w:sz="4" w:space="0" w:color="auto"/>
            </w:tcBorders>
            <w:noWrap/>
            <w:vAlign w:val="bottom"/>
            <w:hideMark/>
          </w:tcPr>
          <w:p w14:paraId="5EEA7353" w14:textId="29D7463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0,22%</w:t>
            </w:r>
          </w:p>
        </w:tc>
        <w:tc>
          <w:tcPr>
            <w:tcW w:w="1276" w:type="dxa"/>
            <w:tcBorders>
              <w:top w:val="nil"/>
              <w:left w:val="nil"/>
              <w:bottom w:val="single" w:sz="4" w:space="0" w:color="auto"/>
              <w:right w:val="single" w:sz="4" w:space="0" w:color="auto"/>
            </w:tcBorders>
            <w:noWrap/>
            <w:vAlign w:val="bottom"/>
            <w:hideMark/>
          </w:tcPr>
          <w:p w14:paraId="6357278B" w14:textId="08BC532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194EB05" w14:textId="2E562A0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908EB64" w14:textId="6ED9738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63B4D99" w14:textId="4E65EB2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2.846,66</w:t>
            </w:r>
          </w:p>
        </w:tc>
        <w:tc>
          <w:tcPr>
            <w:tcW w:w="1384" w:type="dxa"/>
            <w:tcBorders>
              <w:top w:val="nil"/>
              <w:left w:val="nil"/>
              <w:bottom w:val="single" w:sz="4" w:space="0" w:color="auto"/>
              <w:right w:val="single" w:sz="4" w:space="0" w:color="auto"/>
            </w:tcBorders>
            <w:noWrap/>
            <w:vAlign w:val="bottom"/>
            <w:hideMark/>
          </w:tcPr>
          <w:p w14:paraId="7C1C9A21" w14:textId="464440A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1.612,49</w:t>
            </w:r>
          </w:p>
        </w:tc>
        <w:tc>
          <w:tcPr>
            <w:tcW w:w="1310" w:type="dxa"/>
            <w:tcBorders>
              <w:top w:val="nil"/>
              <w:left w:val="nil"/>
              <w:bottom w:val="single" w:sz="4" w:space="0" w:color="auto"/>
              <w:right w:val="single" w:sz="4" w:space="0" w:color="auto"/>
            </w:tcBorders>
            <w:noWrap/>
            <w:vAlign w:val="bottom"/>
            <w:hideMark/>
          </w:tcPr>
          <w:p w14:paraId="7051E2FD" w14:textId="6C73824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2.821,61</w:t>
            </w:r>
          </w:p>
        </w:tc>
      </w:tr>
      <w:tr w:rsidR="006F69CB" w:rsidRPr="000020F0" w14:paraId="5E4571D6"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4CC4260B"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Arheologija</w:t>
            </w:r>
          </w:p>
        </w:tc>
        <w:tc>
          <w:tcPr>
            <w:tcW w:w="1701" w:type="dxa"/>
            <w:tcBorders>
              <w:top w:val="nil"/>
              <w:left w:val="nil"/>
              <w:bottom w:val="single" w:sz="4" w:space="0" w:color="auto"/>
              <w:right w:val="single" w:sz="4" w:space="0" w:color="auto"/>
            </w:tcBorders>
            <w:noWrap/>
            <w:vAlign w:val="bottom"/>
            <w:hideMark/>
          </w:tcPr>
          <w:p w14:paraId="1BF43F14" w14:textId="5AEF334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15.686,16</w:t>
            </w:r>
          </w:p>
        </w:tc>
        <w:tc>
          <w:tcPr>
            <w:tcW w:w="1218" w:type="dxa"/>
            <w:tcBorders>
              <w:top w:val="nil"/>
              <w:left w:val="nil"/>
              <w:bottom w:val="single" w:sz="4" w:space="0" w:color="auto"/>
              <w:right w:val="single" w:sz="4" w:space="0" w:color="auto"/>
            </w:tcBorders>
            <w:noWrap/>
            <w:vAlign w:val="bottom"/>
            <w:hideMark/>
          </w:tcPr>
          <w:p w14:paraId="042495E5" w14:textId="065C262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0,46%</w:t>
            </w:r>
          </w:p>
        </w:tc>
        <w:tc>
          <w:tcPr>
            <w:tcW w:w="1276" w:type="dxa"/>
            <w:tcBorders>
              <w:top w:val="nil"/>
              <w:left w:val="nil"/>
              <w:bottom w:val="single" w:sz="4" w:space="0" w:color="auto"/>
              <w:right w:val="single" w:sz="4" w:space="0" w:color="auto"/>
            </w:tcBorders>
            <w:noWrap/>
            <w:vAlign w:val="bottom"/>
            <w:hideMark/>
          </w:tcPr>
          <w:p w14:paraId="0A972B71" w14:textId="19D6657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46A38D5" w14:textId="494FC2C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A1338B7" w14:textId="78B85FC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E73AF8E" w14:textId="373CA9E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2.012,30</w:t>
            </w:r>
          </w:p>
        </w:tc>
        <w:tc>
          <w:tcPr>
            <w:tcW w:w="1384" w:type="dxa"/>
            <w:tcBorders>
              <w:top w:val="nil"/>
              <w:left w:val="nil"/>
              <w:bottom w:val="single" w:sz="4" w:space="0" w:color="auto"/>
              <w:right w:val="single" w:sz="4" w:space="0" w:color="auto"/>
            </w:tcBorders>
            <w:noWrap/>
            <w:vAlign w:val="bottom"/>
            <w:hideMark/>
          </w:tcPr>
          <w:p w14:paraId="2722A3B8" w14:textId="22A6013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10.553,89</w:t>
            </w:r>
          </w:p>
        </w:tc>
        <w:tc>
          <w:tcPr>
            <w:tcW w:w="1310" w:type="dxa"/>
            <w:tcBorders>
              <w:top w:val="nil"/>
              <w:left w:val="nil"/>
              <w:bottom w:val="single" w:sz="4" w:space="0" w:color="auto"/>
              <w:right w:val="single" w:sz="4" w:space="0" w:color="auto"/>
            </w:tcBorders>
            <w:noWrap/>
            <w:vAlign w:val="bottom"/>
            <w:hideMark/>
          </w:tcPr>
          <w:p w14:paraId="76EF881B" w14:textId="6DAD969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3.119,97</w:t>
            </w:r>
          </w:p>
        </w:tc>
      </w:tr>
      <w:tr w:rsidR="006F69CB" w:rsidRPr="000020F0" w14:paraId="51ED3CD7"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292D0CAA"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701" w:type="dxa"/>
            <w:tcBorders>
              <w:top w:val="nil"/>
              <w:left w:val="nil"/>
              <w:bottom w:val="single" w:sz="4" w:space="0" w:color="auto"/>
              <w:right w:val="single" w:sz="4" w:space="0" w:color="auto"/>
            </w:tcBorders>
            <w:noWrap/>
            <w:vAlign w:val="bottom"/>
            <w:hideMark/>
          </w:tcPr>
          <w:p w14:paraId="404B9B24" w14:textId="08A057E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3.352,16</w:t>
            </w:r>
          </w:p>
        </w:tc>
        <w:tc>
          <w:tcPr>
            <w:tcW w:w="1218" w:type="dxa"/>
            <w:tcBorders>
              <w:top w:val="nil"/>
              <w:left w:val="nil"/>
              <w:bottom w:val="single" w:sz="4" w:space="0" w:color="auto"/>
              <w:right w:val="single" w:sz="4" w:space="0" w:color="auto"/>
            </w:tcBorders>
            <w:noWrap/>
            <w:vAlign w:val="bottom"/>
            <w:hideMark/>
          </w:tcPr>
          <w:p w14:paraId="2F8B9590" w14:textId="7A33508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0,10%</w:t>
            </w:r>
          </w:p>
        </w:tc>
        <w:tc>
          <w:tcPr>
            <w:tcW w:w="1276" w:type="dxa"/>
            <w:tcBorders>
              <w:top w:val="nil"/>
              <w:left w:val="nil"/>
              <w:bottom w:val="single" w:sz="4" w:space="0" w:color="auto"/>
              <w:right w:val="single" w:sz="4" w:space="0" w:color="auto"/>
            </w:tcBorders>
            <w:noWrap/>
            <w:vAlign w:val="bottom"/>
            <w:hideMark/>
          </w:tcPr>
          <w:p w14:paraId="18F574DB" w14:textId="104F1FE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1B90AA3C" w14:textId="519B3CD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7DF8DE0" w14:textId="2B619C0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6528830" w14:textId="7D1F703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3.352,16</w:t>
            </w:r>
          </w:p>
        </w:tc>
        <w:tc>
          <w:tcPr>
            <w:tcW w:w="1384" w:type="dxa"/>
            <w:tcBorders>
              <w:top w:val="nil"/>
              <w:left w:val="nil"/>
              <w:bottom w:val="single" w:sz="4" w:space="0" w:color="auto"/>
              <w:right w:val="single" w:sz="4" w:space="0" w:color="auto"/>
            </w:tcBorders>
            <w:noWrap/>
            <w:vAlign w:val="bottom"/>
            <w:hideMark/>
          </w:tcPr>
          <w:p w14:paraId="573F9405" w14:textId="06C6AB7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3D1E63F3" w14:textId="7165249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377B035C"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1543DC99"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Nakup nepremičnine</w:t>
            </w:r>
          </w:p>
        </w:tc>
        <w:tc>
          <w:tcPr>
            <w:tcW w:w="1701" w:type="dxa"/>
            <w:tcBorders>
              <w:top w:val="nil"/>
              <w:left w:val="nil"/>
              <w:bottom w:val="single" w:sz="4" w:space="0" w:color="auto"/>
              <w:right w:val="single" w:sz="4" w:space="0" w:color="auto"/>
            </w:tcBorders>
            <w:noWrap/>
            <w:vAlign w:val="bottom"/>
            <w:hideMark/>
          </w:tcPr>
          <w:p w14:paraId="6772A0E9" w14:textId="578C656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280.000,00</w:t>
            </w:r>
          </w:p>
        </w:tc>
        <w:tc>
          <w:tcPr>
            <w:tcW w:w="1218" w:type="dxa"/>
            <w:tcBorders>
              <w:top w:val="nil"/>
              <w:left w:val="nil"/>
              <w:bottom w:val="single" w:sz="4" w:space="0" w:color="auto"/>
              <w:right w:val="single" w:sz="4" w:space="0" w:color="auto"/>
            </w:tcBorders>
            <w:noWrap/>
            <w:vAlign w:val="bottom"/>
            <w:hideMark/>
          </w:tcPr>
          <w:p w14:paraId="339407DA" w14:textId="0FE4452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8,27%</w:t>
            </w:r>
          </w:p>
        </w:tc>
        <w:tc>
          <w:tcPr>
            <w:tcW w:w="1276" w:type="dxa"/>
            <w:tcBorders>
              <w:top w:val="nil"/>
              <w:left w:val="nil"/>
              <w:bottom w:val="single" w:sz="4" w:space="0" w:color="auto"/>
              <w:right w:val="single" w:sz="4" w:space="0" w:color="auto"/>
            </w:tcBorders>
            <w:noWrap/>
            <w:vAlign w:val="bottom"/>
            <w:hideMark/>
          </w:tcPr>
          <w:p w14:paraId="50FDFDAD" w14:textId="17D2936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280.000,00</w:t>
            </w:r>
          </w:p>
        </w:tc>
        <w:tc>
          <w:tcPr>
            <w:tcW w:w="1559" w:type="dxa"/>
            <w:tcBorders>
              <w:top w:val="nil"/>
              <w:left w:val="nil"/>
              <w:bottom w:val="single" w:sz="4" w:space="0" w:color="auto"/>
              <w:right w:val="single" w:sz="4" w:space="0" w:color="auto"/>
            </w:tcBorders>
            <w:noWrap/>
            <w:vAlign w:val="bottom"/>
            <w:hideMark/>
          </w:tcPr>
          <w:p w14:paraId="3AF9BAA0" w14:textId="0B5B380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97971BB" w14:textId="17D64AE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30CD219" w14:textId="409CC8A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7DE4E7A3" w14:textId="5360A79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51976142" w14:textId="4FD2317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74C06C89"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053CA6DC"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Druga dela ob rušenju objekta (neobdavčeno)</w:t>
            </w:r>
          </w:p>
        </w:tc>
        <w:tc>
          <w:tcPr>
            <w:tcW w:w="1701" w:type="dxa"/>
            <w:tcBorders>
              <w:top w:val="nil"/>
              <w:left w:val="nil"/>
              <w:bottom w:val="single" w:sz="4" w:space="0" w:color="auto"/>
              <w:right w:val="single" w:sz="4" w:space="0" w:color="auto"/>
            </w:tcBorders>
            <w:noWrap/>
            <w:vAlign w:val="bottom"/>
            <w:hideMark/>
          </w:tcPr>
          <w:p w14:paraId="02D9EF83" w14:textId="7E02A54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776,00</w:t>
            </w:r>
          </w:p>
        </w:tc>
        <w:tc>
          <w:tcPr>
            <w:tcW w:w="1218" w:type="dxa"/>
            <w:tcBorders>
              <w:top w:val="nil"/>
              <w:left w:val="nil"/>
              <w:bottom w:val="single" w:sz="4" w:space="0" w:color="auto"/>
              <w:right w:val="single" w:sz="4" w:space="0" w:color="auto"/>
            </w:tcBorders>
            <w:noWrap/>
            <w:vAlign w:val="bottom"/>
            <w:hideMark/>
          </w:tcPr>
          <w:p w14:paraId="7DC620CB" w14:textId="0D6B463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0,02%</w:t>
            </w:r>
          </w:p>
        </w:tc>
        <w:tc>
          <w:tcPr>
            <w:tcW w:w="1276" w:type="dxa"/>
            <w:tcBorders>
              <w:top w:val="nil"/>
              <w:left w:val="nil"/>
              <w:bottom w:val="single" w:sz="4" w:space="0" w:color="auto"/>
              <w:right w:val="single" w:sz="4" w:space="0" w:color="auto"/>
            </w:tcBorders>
            <w:noWrap/>
            <w:vAlign w:val="bottom"/>
            <w:hideMark/>
          </w:tcPr>
          <w:p w14:paraId="34E51265" w14:textId="3134EDA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776,00</w:t>
            </w:r>
          </w:p>
        </w:tc>
        <w:tc>
          <w:tcPr>
            <w:tcW w:w="1559" w:type="dxa"/>
            <w:tcBorders>
              <w:top w:val="nil"/>
              <w:left w:val="nil"/>
              <w:bottom w:val="single" w:sz="4" w:space="0" w:color="auto"/>
              <w:right w:val="single" w:sz="4" w:space="0" w:color="auto"/>
            </w:tcBorders>
            <w:noWrap/>
            <w:vAlign w:val="bottom"/>
            <w:hideMark/>
          </w:tcPr>
          <w:p w14:paraId="52FF86D4" w14:textId="24586BF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FE46090" w14:textId="0F554FB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7593D37" w14:textId="48F9463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58E5D11" w14:textId="1E69C03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21953935" w14:textId="3B1AAE4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5074A3BF"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1510AC26"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Druga dela ob rušenju objekta (9,5% DDV)</w:t>
            </w:r>
          </w:p>
        </w:tc>
        <w:tc>
          <w:tcPr>
            <w:tcW w:w="1701" w:type="dxa"/>
            <w:tcBorders>
              <w:top w:val="nil"/>
              <w:left w:val="nil"/>
              <w:bottom w:val="single" w:sz="4" w:space="0" w:color="auto"/>
              <w:right w:val="single" w:sz="4" w:space="0" w:color="auto"/>
            </w:tcBorders>
            <w:noWrap/>
            <w:vAlign w:val="bottom"/>
            <w:hideMark/>
          </w:tcPr>
          <w:p w14:paraId="3BA8E254" w14:textId="0449CB5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545,96</w:t>
            </w:r>
          </w:p>
        </w:tc>
        <w:tc>
          <w:tcPr>
            <w:tcW w:w="1218" w:type="dxa"/>
            <w:tcBorders>
              <w:top w:val="nil"/>
              <w:left w:val="nil"/>
              <w:bottom w:val="single" w:sz="4" w:space="0" w:color="auto"/>
              <w:right w:val="single" w:sz="4" w:space="0" w:color="auto"/>
            </w:tcBorders>
            <w:noWrap/>
            <w:vAlign w:val="bottom"/>
            <w:hideMark/>
          </w:tcPr>
          <w:p w14:paraId="58FF9704" w14:textId="3C376BC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0,02%</w:t>
            </w:r>
          </w:p>
        </w:tc>
        <w:tc>
          <w:tcPr>
            <w:tcW w:w="1276" w:type="dxa"/>
            <w:tcBorders>
              <w:top w:val="nil"/>
              <w:left w:val="nil"/>
              <w:bottom w:val="single" w:sz="4" w:space="0" w:color="auto"/>
              <w:right w:val="single" w:sz="4" w:space="0" w:color="auto"/>
            </w:tcBorders>
            <w:noWrap/>
            <w:vAlign w:val="bottom"/>
            <w:hideMark/>
          </w:tcPr>
          <w:p w14:paraId="605160DF" w14:textId="577F534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545,96</w:t>
            </w:r>
          </w:p>
        </w:tc>
        <w:tc>
          <w:tcPr>
            <w:tcW w:w="1559" w:type="dxa"/>
            <w:tcBorders>
              <w:top w:val="nil"/>
              <w:left w:val="nil"/>
              <w:bottom w:val="single" w:sz="4" w:space="0" w:color="auto"/>
              <w:right w:val="single" w:sz="4" w:space="0" w:color="auto"/>
            </w:tcBorders>
            <w:noWrap/>
            <w:vAlign w:val="bottom"/>
            <w:hideMark/>
          </w:tcPr>
          <w:p w14:paraId="2CFE44D9" w14:textId="2BE3255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1A3F9A5" w14:textId="7DD7A3C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AAD0D59" w14:textId="58FA905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BE60A70" w14:textId="24EF0E0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232B5550" w14:textId="7C8289E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484676EE" w14:textId="77777777" w:rsidTr="00D120A6">
        <w:trPr>
          <w:trHeight w:val="290"/>
        </w:trPr>
        <w:tc>
          <w:tcPr>
            <w:tcW w:w="3256" w:type="dxa"/>
            <w:tcBorders>
              <w:top w:val="nil"/>
              <w:left w:val="single" w:sz="4" w:space="0" w:color="auto"/>
              <w:bottom w:val="single" w:sz="4" w:space="0" w:color="auto"/>
              <w:right w:val="single" w:sz="4" w:space="0" w:color="auto"/>
            </w:tcBorders>
            <w:noWrap/>
            <w:vAlign w:val="bottom"/>
            <w:hideMark/>
          </w:tcPr>
          <w:p w14:paraId="25BAAD61" w14:textId="77777777" w:rsidR="006F69CB" w:rsidRPr="000020F0" w:rsidRDefault="006F69CB" w:rsidP="006F69CB">
            <w:pPr>
              <w:rPr>
                <w:rFonts w:ascii="Roboto" w:hAnsi="Roboto"/>
                <w:color w:val="000000"/>
                <w:sz w:val="20"/>
                <w:szCs w:val="20"/>
              </w:rPr>
            </w:pPr>
            <w:r w:rsidRPr="000020F0">
              <w:rPr>
                <w:rFonts w:ascii="Roboto" w:hAnsi="Roboto"/>
                <w:color w:val="000000"/>
                <w:sz w:val="20"/>
                <w:szCs w:val="20"/>
              </w:rPr>
              <w:t>Druga dela ob rušenju objekta</w:t>
            </w:r>
          </w:p>
        </w:tc>
        <w:tc>
          <w:tcPr>
            <w:tcW w:w="1701" w:type="dxa"/>
            <w:tcBorders>
              <w:top w:val="nil"/>
              <w:left w:val="nil"/>
              <w:bottom w:val="single" w:sz="4" w:space="0" w:color="auto"/>
              <w:right w:val="single" w:sz="4" w:space="0" w:color="auto"/>
            </w:tcBorders>
            <w:noWrap/>
            <w:vAlign w:val="bottom"/>
            <w:hideMark/>
          </w:tcPr>
          <w:p w14:paraId="059A37A9" w14:textId="0F8180B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5.483,07</w:t>
            </w:r>
          </w:p>
        </w:tc>
        <w:tc>
          <w:tcPr>
            <w:tcW w:w="1218" w:type="dxa"/>
            <w:tcBorders>
              <w:top w:val="nil"/>
              <w:left w:val="nil"/>
              <w:bottom w:val="single" w:sz="4" w:space="0" w:color="auto"/>
              <w:right w:val="single" w:sz="4" w:space="0" w:color="auto"/>
            </w:tcBorders>
            <w:noWrap/>
            <w:vAlign w:val="bottom"/>
            <w:hideMark/>
          </w:tcPr>
          <w:p w14:paraId="08560492" w14:textId="10FA10E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0,16%</w:t>
            </w:r>
          </w:p>
        </w:tc>
        <w:tc>
          <w:tcPr>
            <w:tcW w:w="1276" w:type="dxa"/>
            <w:tcBorders>
              <w:top w:val="nil"/>
              <w:left w:val="nil"/>
              <w:bottom w:val="single" w:sz="4" w:space="0" w:color="auto"/>
              <w:right w:val="single" w:sz="4" w:space="0" w:color="auto"/>
            </w:tcBorders>
            <w:noWrap/>
            <w:vAlign w:val="bottom"/>
            <w:hideMark/>
          </w:tcPr>
          <w:p w14:paraId="66FA1507" w14:textId="57303ED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5.483,07</w:t>
            </w:r>
          </w:p>
        </w:tc>
        <w:tc>
          <w:tcPr>
            <w:tcW w:w="1559" w:type="dxa"/>
            <w:tcBorders>
              <w:top w:val="nil"/>
              <w:left w:val="nil"/>
              <w:bottom w:val="single" w:sz="4" w:space="0" w:color="auto"/>
              <w:right w:val="single" w:sz="4" w:space="0" w:color="auto"/>
            </w:tcBorders>
            <w:noWrap/>
            <w:vAlign w:val="bottom"/>
            <w:hideMark/>
          </w:tcPr>
          <w:p w14:paraId="23058C08" w14:textId="08680CC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6D9C442" w14:textId="0005DF9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B4AD80B" w14:textId="0ACFBC3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14EDD16" w14:textId="3DFBF8A7"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59846C95" w14:textId="4EB7746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532A2A0C"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524D6A64"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Vpis v kataster</w:t>
            </w:r>
          </w:p>
        </w:tc>
        <w:tc>
          <w:tcPr>
            <w:tcW w:w="1701" w:type="dxa"/>
            <w:tcBorders>
              <w:top w:val="nil"/>
              <w:left w:val="nil"/>
              <w:bottom w:val="single" w:sz="4" w:space="0" w:color="auto"/>
              <w:right w:val="single" w:sz="4" w:space="0" w:color="auto"/>
            </w:tcBorders>
            <w:noWrap/>
            <w:vAlign w:val="bottom"/>
            <w:hideMark/>
          </w:tcPr>
          <w:p w14:paraId="7EF767AC" w14:textId="082E0DD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991,38</w:t>
            </w:r>
          </w:p>
        </w:tc>
        <w:tc>
          <w:tcPr>
            <w:tcW w:w="1218" w:type="dxa"/>
            <w:tcBorders>
              <w:top w:val="nil"/>
              <w:left w:val="nil"/>
              <w:bottom w:val="single" w:sz="4" w:space="0" w:color="auto"/>
              <w:right w:val="single" w:sz="4" w:space="0" w:color="auto"/>
            </w:tcBorders>
            <w:noWrap/>
            <w:vAlign w:val="bottom"/>
            <w:hideMark/>
          </w:tcPr>
          <w:p w14:paraId="74514085" w14:textId="19D4209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0,03%</w:t>
            </w:r>
          </w:p>
        </w:tc>
        <w:tc>
          <w:tcPr>
            <w:tcW w:w="1276" w:type="dxa"/>
            <w:tcBorders>
              <w:top w:val="nil"/>
              <w:left w:val="nil"/>
              <w:bottom w:val="single" w:sz="4" w:space="0" w:color="auto"/>
              <w:right w:val="single" w:sz="4" w:space="0" w:color="auto"/>
            </w:tcBorders>
            <w:noWrap/>
            <w:vAlign w:val="bottom"/>
            <w:hideMark/>
          </w:tcPr>
          <w:p w14:paraId="6C252513" w14:textId="74B19F4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80C465B" w14:textId="6FB9032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9F40606" w14:textId="698C901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197DC69" w14:textId="0BC2672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19EF85E2" w14:textId="387D2C9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14EFEB7F" w14:textId="449F20F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991,38</w:t>
            </w:r>
          </w:p>
        </w:tc>
      </w:tr>
      <w:tr w:rsidR="006F69CB" w:rsidRPr="000020F0" w14:paraId="75479596"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139BF012"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Geodetski načrt</w:t>
            </w:r>
          </w:p>
        </w:tc>
        <w:tc>
          <w:tcPr>
            <w:tcW w:w="1701" w:type="dxa"/>
            <w:tcBorders>
              <w:top w:val="nil"/>
              <w:left w:val="nil"/>
              <w:bottom w:val="single" w:sz="4" w:space="0" w:color="auto"/>
              <w:right w:val="single" w:sz="4" w:space="0" w:color="auto"/>
            </w:tcBorders>
            <w:noWrap/>
            <w:vAlign w:val="bottom"/>
            <w:hideMark/>
          </w:tcPr>
          <w:p w14:paraId="6055909E" w14:textId="22D9CAF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2.261,75</w:t>
            </w:r>
          </w:p>
        </w:tc>
        <w:tc>
          <w:tcPr>
            <w:tcW w:w="1218" w:type="dxa"/>
            <w:tcBorders>
              <w:top w:val="nil"/>
              <w:left w:val="nil"/>
              <w:bottom w:val="single" w:sz="4" w:space="0" w:color="auto"/>
              <w:right w:val="single" w:sz="4" w:space="0" w:color="auto"/>
            </w:tcBorders>
            <w:noWrap/>
            <w:vAlign w:val="bottom"/>
            <w:hideMark/>
          </w:tcPr>
          <w:p w14:paraId="4D99F270" w14:textId="31C1DBE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0,07%</w:t>
            </w:r>
          </w:p>
        </w:tc>
        <w:tc>
          <w:tcPr>
            <w:tcW w:w="1276" w:type="dxa"/>
            <w:tcBorders>
              <w:top w:val="nil"/>
              <w:left w:val="nil"/>
              <w:bottom w:val="single" w:sz="4" w:space="0" w:color="auto"/>
              <w:right w:val="single" w:sz="4" w:space="0" w:color="auto"/>
            </w:tcBorders>
            <w:noWrap/>
            <w:vAlign w:val="bottom"/>
            <w:hideMark/>
          </w:tcPr>
          <w:p w14:paraId="25F681E3" w14:textId="109BF4E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CE1BB13" w14:textId="38931044"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1.846,75</w:t>
            </w:r>
          </w:p>
        </w:tc>
        <w:tc>
          <w:tcPr>
            <w:tcW w:w="1276" w:type="dxa"/>
            <w:tcBorders>
              <w:top w:val="nil"/>
              <w:left w:val="nil"/>
              <w:bottom w:val="single" w:sz="4" w:space="0" w:color="auto"/>
              <w:right w:val="single" w:sz="4" w:space="0" w:color="auto"/>
            </w:tcBorders>
            <w:noWrap/>
            <w:vAlign w:val="bottom"/>
            <w:hideMark/>
          </w:tcPr>
          <w:p w14:paraId="7AD2D164" w14:textId="486CC466"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415,00</w:t>
            </w:r>
          </w:p>
        </w:tc>
        <w:tc>
          <w:tcPr>
            <w:tcW w:w="1275" w:type="dxa"/>
            <w:tcBorders>
              <w:top w:val="nil"/>
              <w:left w:val="nil"/>
              <w:bottom w:val="single" w:sz="4" w:space="0" w:color="auto"/>
              <w:right w:val="single" w:sz="4" w:space="0" w:color="auto"/>
            </w:tcBorders>
            <w:noWrap/>
            <w:vAlign w:val="bottom"/>
            <w:hideMark/>
          </w:tcPr>
          <w:p w14:paraId="04B7F586" w14:textId="05FAF2F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2052C377" w14:textId="6DA7F9A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22215F09" w14:textId="2AA0FC2F"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0783C5EF"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564299F8"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Baza cestnih podatkov</w:t>
            </w:r>
          </w:p>
        </w:tc>
        <w:tc>
          <w:tcPr>
            <w:tcW w:w="1701" w:type="dxa"/>
            <w:tcBorders>
              <w:top w:val="nil"/>
              <w:left w:val="nil"/>
              <w:bottom w:val="single" w:sz="4" w:space="0" w:color="auto"/>
              <w:right w:val="single" w:sz="4" w:space="0" w:color="auto"/>
            </w:tcBorders>
            <w:noWrap/>
            <w:vAlign w:val="bottom"/>
            <w:hideMark/>
          </w:tcPr>
          <w:p w14:paraId="5419B04F" w14:textId="38FED1D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855,29</w:t>
            </w:r>
          </w:p>
        </w:tc>
        <w:tc>
          <w:tcPr>
            <w:tcW w:w="1218" w:type="dxa"/>
            <w:tcBorders>
              <w:top w:val="nil"/>
              <w:left w:val="nil"/>
              <w:bottom w:val="single" w:sz="4" w:space="0" w:color="auto"/>
              <w:right w:val="single" w:sz="4" w:space="0" w:color="auto"/>
            </w:tcBorders>
            <w:noWrap/>
            <w:vAlign w:val="bottom"/>
            <w:hideMark/>
          </w:tcPr>
          <w:p w14:paraId="788DB225" w14:textId="05429F2E"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0,03%</w:t>
            </w:r>
          </w:p>
        </w:tc>
        <w:tc>
          <w:tcPr>
            <w:tcW w:w="1276" w:type="dxa"/>
            <w:tcBorders>
              <w:top w:val="nil"/>
              <w:left w:val="nil"/>
              <w:bottom w:val="single" w:sz="4" w:space="0" w:color="auto"/>
              <w:right w:val="single" w:sz="4" w:space="0" w:color="auto"/>
            </w:tcBorders>
            <w:noWrap/>
            <w:vAlign w:val="bottom"/>
            <w:hideMark/>
          </w:tcPr>
          <w:p w14:paraId="6EF82169" w14:textId="496EA96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026AF9B" w14:textId="03B91F0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72BADE5" w14:textId="4AAD954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1BAE2D6" w14:textId="6B90A1E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99D11E0" w14:textId="0469446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855,29</w:t>
            </w:r>
          </w:p>
        </w:tc>
        <w:tc>
          <w:tcPr>
            <w:tcW w:w="1310" w:type="dxa"/>
            <w:tcBorders>
              <w:top w:val="nil"/>
              <w:left w:val="nil"/>
              <w:bottom w:val="single" w:sz="4" w:space="0" w:color="auto"/>
              <w:right w:val="single" w:sz="4" w:space="0" w:color="auto"/>
            </w:tcBorders>
            <w:noWrap/>
            <w:vAlign w:val="bottom"/>
            <w:hideMark/>
          </w:tcPr>
          <w:p w14:paraId="69C36197" w14:textId="1696BEE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60D3A802" w14:textId="77777777" w:rsidTr="00D120A6">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654D20C3" w14:textId="77777777"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701" w:type="dxa"/>
            <w:tcBorders>
              <w:top w:val="nil"/>
              <w:left w:val="nil"/>
              <w:bottom w:val="single" w:sz="4" w:space="0" w:color="auto"/>
              <w:right w:val="single" w:sz="4" w:space="0" w:color="auto"/>
            </w:tcBorders>
            <w:shd w:val="clear" w:color="000000" w:fill="D9D9D9"/>
            <w:noWrap/>
            <w:vAlign w:val="bottom"/>
            <w:hideMark/>
          </w:tcPr>
          <w:p w14:paraId="5AEEC8DB" w14:textId="3E9F31D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2.826.142,46</w:t>
            </w:r>
          </w:p>
        </w:tc>
        <w:tc>
          <w:tcPr>
            <w:tcW w:w="1218" w:type="dxa"/>
            <w:tcBorders>
              <w:top w:val="nil"/>
              <w:left w:val="nil"/>
              <w:bottom w:val="single" w:sz="4" w:space="0" w:color="auto"/>
              <w:right w:val="single" w:sz="4" w:space="0" w:color="auto"/>
            </w:tcBorders>
            <w:shd w:val="clear" w:color="000000" w:fill="D9D9D9"/>
            <w:noWrap/>
            <w:vAlign w:val="bottom"/>
            <w:hideMark/>
          </w:tcPr>
          <w:p w14:paraId="159C689B" w14:textId="7FAABBF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83,46%</w:t>
            </w:r>
          </w:p>
        </w:tc>
        <w:tc>
          <w:tcPr>
            <w:tcW w:w="1276" w:type="dxa"/>
            <w:tcBorders>
              <w:top w:val="nil"/>
              <w:left w:val="nil"/>
              <w:bottom w:val="single" w:sz="4" w:space="0" w:color="auto"/>
              <w:right w:val="single" w:sz="4" w:space="0" w:color="auto"/>
            </w:tcBorders>
            <w:shd w:val="clear" w:color="000000" w:fill="D9D9D9"/>
            <w:noWrap/>
            <w:vAlign w:val="bottom"/>
            <w:hideMark/>
          </w:tcPr>
          <w:p w14:paraId="2C65BD21" w14:textId="49A434DB"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294.705,03</w:t>
            </w:r>
          </w:p>
        </w:tc>
        <w:tc>
          <w:tcPr>
            <w:tcW w:w="1559" w:type="dxa"/>
            <w:tcBorders>
              <w:top w:val="nil"/>
              <w:left w:val="nil"/>
              <w:bottom w:val="single" w:sz="4" w:space="0" w:color="auto"/>
              <w:right w:val="single" w:sz="4" w:space="0" w:color="auto"/>
            </w:tcBorders>
            <w:shd w:val="clear" w:color="000000" w:fill="D9D9D9"/>
            <w:noWrap/>
            <w:vAlign w:val="bottom"/>
            <w:hideMark/>
          </w:tcPr>
          <w:p w14:paraId="56156504" w14:textId="1A57AE6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78.619,70</w:t>
            </w:r>
          </w:p>
        </w:tc>
        <w:tc>
          <w:tcPr>
            <w:tcW w:w="1276" w:type="dxa"/>
            <w:tcBorders>
              <w:top w:val="nil"/>
              <w:left w:val="nil"/>
              <w:bottom w:val="single" w:sz="4" w:space="0" w:color="auto"/>
              <w:right w:val="single" w:sz="4" w:space="0" w:color="auto"/>
            </w:tcBorders>
            <w:shd w:val="clear" w:color="000000" w:fill="D9D9D9"/>
            <w:noWrap/>
            <w:vAlign w:val="bottom"/>
            <w:hideMark/>
          </w:tcPr>
          <w:p w14:paraId="0DD135FB" w14:textId="38882794"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33.587,38</w:t>
            </w:r>
          </w:p>
        </w:tc>
        <w:tc>
          <w:tcPr>
            <w:tcW w:w="1275" w:type="dxa"/>
            <w:tcBorders>
              <w:top w:val="nil"/>
              <w:left w:val="nil"/>
              <w:bottom w:val="single" w:sz="4" w:space="0" w:color="auto"/>
              <w:right w:val="single" w:sz="4" w:space="0" w:color="auto"/>
            </w:tcBorders>
            <w:shd w:val="clear" w:color="000000" w:fill="D9D9D9"/>
            <w:noWrap/>
            <w:vAlign w:val="bottom"/>
            <w:hideMark/>
          </w:tcPr>
          <w:p w14:paraId="2E108466" w14:textId="2B204FE7"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632.816,45</w:t>
            </w:r>
          </w:p>
        </w:tc>
        <w:tc>
          <w:tcPr>
            <w:tcW w:w="1384" w:type="dxa"/>
            <w:tcBorders>
              <w:top w:val="nil"/>
              <w:left w:val="nil"/>
              <w:bottom w:val="single" w:sz="4" w:space="0" w:color="auto"/>
              <w:right w:val="single" w:sz="4" w:space="0" w:color="auto"/>
            </w:tcBorders>
            <w:shd w:val="clear" w:color="000000" w:fill="D9D9D9"/>
            <w:noWrap/>
            <w:vAlign w:val="bottom"/>
            <w:hideMark/>
          </w:tcPr>
          <w:p w14:paraId="4AB408F5" w14:textId="2E6A0A29"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1.723.952,57</w:t>
            </w:r>
          </w:p>
        </w:tc>
        <w:tc>
          <w:tcPr>
            <w:tcW w:w="1310" w:type="dxa"/>
            <w:tcBorders>
              <w:top w:val="nil"/>
              <w:left w:val="nil"/>
              <w:bottom w:val="single" w:sz="4" w:space="0" w:color="auto"/>
              <w:right w:val="single" w:sz="4" w:space="0" w:color="auto"/>
            </w:tcBorders>
            <w:shd w:val="clear" w:color="000000" w:fill="D9D9D9"/>
            <w:noWrap/>
            <w:vAlign w:val="bottom"/>
            <w:hideMark/>
          </w:tcPr>
          <w:p w14:paraId="77C878EA" w14:textId="6F7BEB1A"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62.461,33</w:t>
            </w:r>
          </w:p>
        </w:tc>
      </w:tr>
      <w:tr w:rsidR="006F69CB" w:rsidRPr="000020F0" w14:paraId="3FC8305D"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32E1506F"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Davek na dodano vrednost</w:t>
            </w:r>
          </w:p>
        </w:tc>
        <w:tc>
          <w:tcPr>
            <w:tcW w:w="1701" w:type="dxa"/>
            <w:tcBorders>
              <w:top w:val="nil"/>
              <w:left w:val="nil"/>
              <w:bottom w:val="single" w:sz="4" w:space="0" w:color="auto"/>
              <w:right w:val="single" w:sz="4" w:space="0" w:color="auto"/>
            </w:tcBorders>
            <w:noWrap/>
            <w:vAlign w:val="bottom"/>
            <w:hideMark/>
          </w:tcPr>
          <w:p w14:paraId="08D787E5" w14:textId="4911E88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559.912,37</w:t>
            </w:r>
          </w:p>
        </w:tc>
        <w:tc>
          <w:tcPr>
            <w:tcW w:w="1218" w:type="dxa"/>
            <w:tcBorders>
              <w:top w:val="nil"/>
              <w:left w:val="nil"/>
              <w:bottom w:val="single" w:sz="4" w:space="0" w:color="auto"/>
              <w:right w:val="single" w:sz="4" w:space="0" w:color="auto"/>
            </w:tcBorders>
            <w:noWrap/>
            <w:vAlign w:val="bottom"/>
            <w:hideMark/>
          </w:tcPr>
          <w:p w14:paraId="4F85204D" w14:textId="6FE07C9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16,54%</w:t>
            </w:r>
          </w:p>
        </w:tc>
        <w:tc>
          <w:tcPr>
            <w:tcW w:w="1276" w:type="dxa"/>
            <w:tcBorders>
              <w:top w:val="nil"/>
              <w:left w:val="nil"/>
              <w:bottom w:val="single" w:sz="4" w:space="0" w:color="auto"/>
              <w:right w:val="single" w:sz="4" w:space="0" w:color="auto"/>
            </w:tcBorders>
            <w:noWrap/>
            <w:vAlign w:val="bottom"/>
            <w:hideMark/>
          </w:tcPr>
          <w:p w14:paraId="41350815" w14:textId="3B28F2F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2.996,14</w:t>
            </w:r>
          </w:p>
        </w:tc>
        <w:tc>
          <w:tcPr>
            <w:tcW w:w="1559" w:type="dxa"/>
            <w:tcBorders>
              <w:top w:val="nil"/>
              <w:left w:val="nil"/>
              <w:bottom w:val="single" w:sz="4" w:space="0" w:color="auto"/>
              <w:right w:val="single" w:sz="4" w:space="0" w:color="auto"/>
            </w:tcBorders>
            <w:noWrap/>
            <w:vAlign w:val="bottom"/>
            <w:hideMark/>
          </w:tcPr>
          <w:p w14:paraId="2A83ECDD" w14:textId="7DBB5B59"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17.296,33</w:t>
            </w:r>
          </w:p>
        </w:tc>
        <w:tc>
          <w:tcPr>
            <w:tcW w:w="1276" w:type="dxa"/>
            <w:tcBorders>
              <w:top w:val="nil"/>
              <w:left w:val="nil"/>
              <w:bottom w:val="single" w:sz="4" w:space="0" w:color="auto"/>
              <w:right w:val="single" w:sz="4" w:space="0" w:color="auto"/>
            </w:tcBorders>
            <w:noWrap/>
            <w:vAlign w:val="bottom"/>
            <w:hideMark/>
          </w:tcPr>
          <w:p w14:paraId="2222AEF5" w14:textId="4BB1AB3D"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7.389,22</w:t>
            </w:r>
          </w:p>
        </w:tc>
        <w:tc>
          <w:tcPr>
            <w:tcW w:w="1275" w:type="dxa"/>
            <w:tcBorders>
              <w:top w:val="nil"/>
              <w:left w:val="nil"/>
              <w:bottom w:val="single" w:sz="4" w:space="0" w:color="auto"/>
              <w:right w:val="single" w:sz="4" w:space="0" w:color="auto"/>
            </w:tcBorders>
            <w:noWrap/>
            <w:vAlign w:val="bottom"/>
            <w:hideMark/>
          </w:tcPr>
          <w:p w14:paraId="279EAA39" w14:textId="63D8820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139.219,62</w:t>
            </w:r>
          </w:p>
        </w:tc>
        <w:tc>
          <w:tcPr>
            <w:tcW w:w="1384" w:type="dxa"/>
            <w:tcBorders>
              <w:top w:val="nil"/>
              <w:left w:val="nil"/>
              <w:bottom w:val="single" w:sz="4" w:space="0" w:color="auto"/>
              <w:right w:val="single" w:sz="4" w:space="0" w:color="auto"/>
            </w:tcBorders>
            <w:noWrap/>
            <w:vAlign w:val="bottom"/>
            <w:hideMark/>
          </w:tcPr>
          <w:p w14:paraId="0CF50F8C" w14:textId="51E9D0EA"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379.269,57</w:t>
            </w:r>
          </w:p>
        </w:tc>
        <w:tc>
          <w:tcPr>
            <w:tcW w:w="1310" w:type="dxa"/>
            <w:tcBorders>
              <w:top w:val="nil"/>
              <w:left w:val="nil"/>
              <w:bottom w:val="single" w:sz="4" w:space="0" w:color="auto"/>
              <w:right w:val="single" w:sz="4" w:space="0" w:color="auto"/>
            </w:tcBorders>
            <w:noWrap/>
            <w:vAlign w:val="bottom"/>
            <w:hideMark/>
          </w:tcPr>
          <w:p w14:paraId="3062223C" w14:textId="3611388B"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13.741,49</w:t>
            </w:r>
          </w:p>
        </w:tc>
      </w:tr>
      <w:tr w:rsidR="006F69CB" w:rsidRPr="000020F0" w14:paraId="703C7696" w14:textId="77777777" w:rsidTr="00D120A6">
        <w:trPr>
          <w:trHeight w:val="280"/>
        </w:trPr>
        <w:tc>
          <w:tcPr>
            <w:tcW w:w="3256" w:type="dxa"/>
            <w:tcBorders>
              <w:top w:val="nil"/>
              <w:left w:val="single" w:sz="4" w:space="0" w:color="auto"/>
              <w:bottom w:val="single" w:sz="4" w:space="0" w:color="auto"/>
              <w:right w:val="single" w:sz="4" w:space="0" w:color="auto"/>
            </w:tcBorders>
            <w:noWrap/>
            <w:vAlign w:val="bottom"/>
            <w:hideMark/>
          </w:tcPr>
          <w:p w14:paraId="7DF42E15" w14:textId="77777777" w:rsidR="006F69CB" w:rsidRPr="000020F0" w:rsidRDefault="006F69CB" w:rsidP="006F69CB">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701" w:type="dxa"/>
            <w:tcBorders>
              <w:top w:val="nil"/>
              <w:left w:val="nil"/>
              <w:bottom w:val="single" w:sz="4" w:space="0" w:color="auto"/>
              <w:right w:val="single" w:sz="4" w:space="0" w:color="auto"/>
            </w:tcBorders>
            <w:noWrap/>
            <w:vAlign w:val="bottom"/>
            <w:hideMark/>
          </w:tcPr>
          <w:p w14:paraId="1B98D4B7" w14:textId="640D50B2"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22.291,03</w:t>
            </w:r>
          </w:p>
        </w:tc>
        <w:tc>
          <w:tcPr>
            <w:tcW w:w="1218" w:type="dxa"/>
            <w:tcBorders>
              <w:top w:val="nil"/>
              <w:left w:val="nil"/>
              <w:bottom w:val="single" w:sz="4" w:space="0" w:color="auto"/>
              <w:right w:val="single" w:sz="4" w:space="0" w:color="auto"/>
            </w:tcBorders>
            <w:noWrap/>
            <w:vAlign w:val="bottom"/>
            <w:hideMark/>
          </w:tcPr>
          <w:p w14:paraId="51253856" w14:textId="68FAA380"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0,66%</w:t>
            </w:r>
          </w:p>
        </w:tc>
        <w:tc>
          <w:tcPr>
            <w:tcW w:w="1276" w:type="dxa"/>
            <w:tcBorders>
              <w:top w:val="nil"/>
              <w:left w:val="nil"/>
              <w:bottom w:val="single" w:sz="4" w:space="0" w:color="auto"/>
              <w:right w:val="single" w:sz="4" w:space="0" w:color="auto"/>
            </w:tcBorders>
            <w:noWrap/>
            <w:vAlign w:val="bottom"/>
            <w:hideMark/>
          </w:tcPr>
          <w:p w14:paraId="1BEF1C80" w14:textId="4BD1357C"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3F252B7F" w14:textId="24857DD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0028E8A" w14:textId="17F1E298"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D231115" w14:textId="3BC2AD21"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553415F" w14:textId="49BA9455"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22.291,03</w:t>
            </w:r>
          </w:p>
        </w:tc>
        <w:tc>
          <w:tcPr>
            <w:tcW w:w="1310" w:type="dxa"/>
            <w:tcBorders>
              <w:top w:val="nil"/>
              <w:left w:val="nil"/>
              <w:bottom w:val="single" w:sz="4" w:space="0" w:color="auto"/>
              <w:right w:val="single" w:sz="4" w:space="0" w:color="auto"/>
            </w:tcBorders>
            <w:noWrap/>
            <w:vAlign w:val="bottom"/>
            <w:hideMark/>
          </w:tcPr>
          <w:p w14:paraId="75FFC52E" w14:textId="4C0D3273" w:rsidR="006F69CB" w:rsidRPr="000020F0" w:rsidRDefault="006F69CB" w:rsidP="006F69CB">
            <w:pPr>
              <w:jc w:val="right"/>
              <w:rPr>
                <w:rFonts w:ascii="Arial" w:hAnsi="Arial" w:cs="Arial"/>
                <w:color w:val="000000"/>
                <w:sz w:val="20"/>
                <w:szCs w:val="20"/>
              </w:rPr>
            </w:pPr>
            <w:r w:rsidRPr="000020F0">
              <w:rPr>
                <w:rFonts w:ascii="Arial" w:hAnsi="Arial" w:cs="Arial"/>
                <w:color w:val="000000"/>
                <w:sz w:val="20"/>
                <w:szCs w:val="20"/>
              </w:rPr>
              <w:t>0,00</w:t>
            </w:r>
          </w:p>
        </w:tc>
      </w:tr>
      <w:tr w:rsidR="006F69CB" w:rsidRPr="000020F0" w14:paraId="0B77CCAB" w14:textId="77777777" w:rsidTr="00D120A6">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5A9E4284" w14:textId="77777777"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701" w:type="dxa"/>
            <w:tcBorders>
              <w:top w:val="nil"/>
              <w:left w:val="nil"/>
              <w:bottom w:val="single" w:sz="4" w:space="0" w:color="auto"/>
              <w:right w:val="single" w:sz="4" w:space="0" w:color="auto"/>
            </w:tcBorders>
            <w:shd w:val="clear" w:color="000000" w:fill="D9D9D9"/>
            <w:noWrap/>
            <w:vAlign w:val="bottom"/>
            <w:hideMark/>
          </w:tcPr>
          <w:p w14:paraId="046A9CB2" w14:textId="2F901566"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1218" w:type="dxa"/>
            <w:tcBorders>
              <w:top w:val="nil"/>
              <w:left w:val="nil"/>
              <w:bottom w:val="single" w:sz="4" w:space="0" w:color="auto"/>
              <w:right w:val="single" w:sz="4" w:space="0" w:color="auto"/>
            </w:tcBorders>
            <w:shd w:val="clear" w:color="000000" w:fill="D9D9D9"/>
            <w:noWrap/>
            <w:vAlign w:val="bottom"/>
            <w:hideMark/>
          </w:tcPr>
          <w:p w14:paraId="090A0ADF" w14:textId="00FB9D9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1276" w:type="dxa"/>
            <w:tcBorders>
              <w:top w:val="nil"/>
              <w:left w:val="nil"/>
              <w:bottom w:val="single" w:sz="4" w:space="0" w:color="auto"/>
              <w:right w:val="single" w:sz="4" w:space="0" w:color="auto"/>
            </w:tcBorders>
            <w:shd w:val="clear" w:color="000000" w:fill="D9D9D9"/>
            <w:noWrap/>
            <w:vAlign w:val="bottom"/>
            <w:hideMark/>
          </w:tcPr>
          <w:p w14:paraId="614FB4F2" w14:textId="36897F1D"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559" w:type="dxa"/>
            <w:tcBorders>
              <w:top w:val="nil"/>
              <w:left w:val="nil"/>
              <w:bottom w:val="single" w:sz="4" w:space="0" w:color="auto"/>
              <w:right w:val="single" w:sz="4" w:space="0" w:color="auto"/>
            </w:tcBorders>
            <w:shd w:val="clear" w:color="000000" w:fill="D9D9D9"/>
            <w:noWrap/>
            <w:vAlign w:val="bottom"/>
            <w:hideMark/>
          </w:tcPr>
          <w:p w14:paraId="49DDA0FF" w14:textId="0F48260C"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276" w:type="dxa"/>
            <w:tcBorders>
              <w:top w:val="nil"/>
              <w:left w:val="nil"/>
              <w:bottom w:val="single" w:sz="4" w:space="0" w:color="auto"/>
              <w:right w:val="single" w:sz="4" w:space="0" w:color="auto"/>
            </w:tcBorders>
            <w:shd w:val="clear" w:color="000000" w:fill="D9D9D9"/>
            <w:noWrap/>
            <w:vAlign w:val="bottom"/>
            <w:hideMark/>
          </w:tcPr>
          <w:p w14:paraId="567644DB" w14:textId="358E6A7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275" w:type="dxa"/>
            <w:tcBorders>
              <w:top w:val="nil"/>
              <w:left w:val="nil"/>
              <w:bottom w:val="single" w:sz="4" w:space="0" w:color="auto"/>
              <w:right w:val="single" w:sz="4" w:space="0" w:color="auto"/>
            </w:tcBorders>
            <w:shd w:val="clear" w:color="000000" w:fill="D9D9D9"/>
            <w:noWrap/>
            <w:vAlign w:val="bottom"/>
            <w:hideMark/>
          </w:tcPr>
          <w:p w14:paraId="123C66D2" w14:textId="22577CF7"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1384" w:type="dxa"/>
            <w:tcBorders>
              <w:top w:val="nil"/>
              <w:left w:val="nil"/>
              <w:bottom w:val="single" w:sz="4" w:space="0" w:color="auto"/>
              <w:right w:val="single" w:sz="4" w:space="0" w:color="auto"/>
            </w:tcBorders>
            <w:shd w:val="clear" w:color="000000" w:fill="D9D9D9"/>
            <w:noWrap/>
            <w:vAlign w:val="bottom"/>
            <w:hideMark/>
          </w:tcPr>
          <w:p w14:paraId="324130ED" w14:textId="738F801D"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2.103.222,14</w:t>
            </w:r>
          </w:p>
        </w:tc>
        <w:tc>
          <w:tcPr>
            <w:tcW w:w="1310" w:type="dxa"/>
            <w:tcBorders>
              <w:top w:val="nil"/>
              <w:left w:val="nil"/>
              <w:bottom w:val="single" w:sz="4" w:space="0" w:color="auto"/>
              <w:right w:val="single" w:sz="4" w:space="0" w:color="auto"/>
            </w:tcBorders>
            <w:shd w:val="clear" w:color="000000" w:fill="D9D9D9"/>
            <w:noWrap/>
            <w:vAlign w:val="bottom"/>
            <w:hideMark/>
          </w:tcPr>
          <w:p w14:paraId="09FEB524" w14:textId="30867E46"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76.202,82</w:t>
            </w:r>
          </w:p>
        </w:tc>
      </w:tr>
      <w:tr w:rsidR="006F69CB" w:rsidRPr="000020F0" w14:paraId="7483C5ED" w14:textId="77777777" w:rsidTr="00D120A6">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0DF38481" w14:textId="77777777" w:rsidR="006F69CB" w:rsidRPr="000020F0" w:rsidRDefault="006F69CB" w:rsidP="006F69CB">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1701" w:type="dxa"/>
            <w:tcBorders>
              <w:top w:val="nil"/>
              <w:left w:val="nil"/>
              <w:bottom w:val="single" w:sz="4" w:space="0" w:color="auto"/>
              <w:right w:val="single" w:sz="4" w:space="0" w:color="auto"/>
            </w:tcBorders>
            <w:shd w:val="clear" w:color="000000" w:fill="D9D9D9"/>
            <w:noWrap/>
            <w:vAlign w:val="bottom"/>
            <w:hideMark/>
          </w:tcPr>
          <w:p w14:paraId="522F0E2C" w14:textId="4DCD6C4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3.363.763,80</w:t>
            </w:r>
          </w:p>
        </w:tc>
        <w:tc>
          <w:tcPr>
            <w:tcW w:w="1218" w:type="dxa"/>
            <w:tcBorders>
              <w:top w:val="nil"/>
              <w:left w:val="nil"/>
              <w:bottom w:val="single" w:sz="4" w:space="0" w:color="auto"/>
              <w:right w:val="single" w:sz="4" w:space="0" w:color="auto"/>
            </w:tcBorders>
            <w:shd w:val="clear" w:color="000000" w:fill="D9D9D9"/>
            <w:noWrap/>
            <w:vAlign w:val="bottom"/>
            <w:hideMark/>
          </w:tcPr>
          <w:p w14:paraId="723F887F" w14:textId="1A117C62"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99,34%</w:t>
            </w:r>
          </w:p>
        </w:tc>
        <w:tc>
          <w:tcPr>
            <w:tcW w:w="1276" w:type="dxa"/>
            <w:tcBorders>
              <w:top w:val="nil"/>
              <w:left w:val="nil"/>
              <w:bottom w:val="single" w:sz="4" w:space="0" w:color="auto"/>
              <w:right w:val="single" w:sz="4" w:space="0" w:color="auto"/>
            </w:tcBorders>
            <w:shd w:val="clear" w:color="000000" w:fill="D9D9D9"/>
            <w:noWrap/>
            <w:vAlign w:val="bottom"/>
            <w:hideMark/>
          </w:tcPr>
          <w:p w14:paraId="0A645A2A" w14:textId="6B932610"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559" w:type="dxa"/>
            <w:tcBorders>
              <w:top w:val="nil"/>
              <w:left w:val="nil"/>
              <w:bottom w:val="single" w:sz="4" w:space="0" w:color="auto"/>
              <w:right w:val="single" w:sz="4" w:space="0" w:color="auto"/>
            </w:tcBorders>
            <w:shd w:val="clear" w:color="000000" w:fill="D9D9D9"/>
            <w:noWrap/>
            <w:vAlign w:val="bottom"/>
            <w:hideMark/>
          </w:tcPr>
          <w:p w14:paraId="46E3B1A2" w14:textId="27A065D5"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276" w:type="dxa"/>
            <w:tcBorders>
              <w:top w:val="nil"/>
              <w:left w:val="nil"/>
              <w:bottom w:val="single" w:sz="4" w:space="0" w:color="auto"/>
              <w:right w:val="single" w:sz="4" w:space="0" w:color="auto"/>
            </w:tcBorders>
            <w:shd w:val="clear" w:color="000000" w:fill="D9D9D9"/>
            <w:noWrap/>
            <w:vAlign w:val="bottom"/>
            <w:hideMark/>
          </w:tcPr>
          <w:p w14:paraId="28226C6B" w14:textId="7ECCD9E8"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275" w:type="dxa"/>
            <w:tcBorders>
              <w:top w:val="nil"/>
              <w:left w:val="nil"/>
              <w:bottom w:val="single" w:sz="4" w:space="0" w:color="auto"/>
              <w:right w:val="single" w:sz="4" w:space="0" w:color="auto"/>
            </w:tcBorders>
            <w:shd w:val="clear" w:color="000000" w:fill="D9D9D9"/>
            <w:noWrap/>
            <w:vAlign w:val="bottom"/>
            <w:hideMark/>
          </w:tcPr>
          <w:p w14:paraId="4BA6132C" w14:textId="41867F49"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1384" w:type="dxa"/>
            <w:tcBorders>
              <w:top w:val="nil"/>
              <w:left w:val="nil"/>
              <w:bottom w:val="single" w:sz="4" w:space="0" w:color="auto"/>
              <w:right w:val="single" w:sz="4" w:space="0" w:color="auto"/>
            </w:tcBorders>
            <w:shd w:val="clear" w:color="000000" w:fill="D9D9D9"/>
            <w:noWrap/>
            <w:vAlign w:val="bottom"/>
            <w:hideMark/>
          </w:tcPr>
          <w:p w14:paraId="3D3A51B5" w14:textId="7762F342"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2.080.931,11</w:t>
            </w:r>
          </w:p>
        </w:tc>
        <w:tc>
          <w:tcPr>
            <w:tcW w:w="1310" w:type="dxa"/>
            <w:tcBorders>
              <w:top w:val="nil"/>
              <w:left w:val="nil"/>
              <w:bottom w:val="single" w:sz="4" w:space="0" w:color="auto"/>
              <w:right w:val="single" w:sz="4" w:space="0" w:color="auto"/>
            </w:tcBorders>
            <w:shd w:val="clear" w:color="000000" w:fill="D9D9D9"/>
            <w:noWrap/>
            <w:vAlign w:val="bottom"/>
            <w:hideMark/>
          </w:tcPr>
          <w:p w14:paraId="015D549D" w14:textId="6E9F3D87" w:rsidR="006F69CB" w:rsidRPr="000020F0" w:rsidRDefault="006F69CB" w:rsidP="006F69CB">
            <w:pPr>
              <w:jc w:val="right"/>
              <w:rPr>
                <w:rFonts w:ascii="Arial" w:hAnsi="Arial" w:cs="Arial"/>
                <w:b/>
                <w:bCs/>
                <w:color w:val="000000"/>
                <w:sz w:val="20"/>
                <w:szCs w:val="20"/>
              </w:rPr>
            </w:pPr>
            <w:r w:rsidRPr="000020F0">
              <w:rPr>
                <w:rFonts w:ascii="Arial" w:hAnsi="Arial" w:cs="Arial"/>
                <w:b/>
                <w:bCs/>
                <w:color w:val="000000"/>
                <w:sz w:val="20"/>
                <w:szCs w:val="20"/>
              </w:rPr>
              <w:t>76.202,82</w:t>
            </w:r>
          </w:p>
        </w:tc>
      </w:tr>
    </w:tbl>
    <w:p w14:paraId="1315CA95" w14:textId="77777777" w:rsidR="00B56649" w:rsidRPr="000020F0" w:rsidRDefault="00B56649" w:rsidP="006154DD">
      <w:pPr>
        <w:spacing w:after="120" w:line="276" w:lineRule="auto"/>
        <w:ind w:left="1410" w:hanging="1410"/>
        <w:jc w:val="both"/>
        <w:rPr>
          <w:rFonts w:ascii="Arial" w:hAnsi="Arial" w:cs="Arial"/>
          <w:sz w:val="22"/>
          <w:szCs w:val="22"/>
        </w:rPr>
      </w:pPr>
    </w:p>
    <w:p w14:paraId="5A6A40F7" w14:textId="68DB10B8" w:rsidR="006154DD" w:rsidRPr="000020F0" w:rsidRDefault="006154DD" w:rsidP="006154DD">
      <w:pPr>
        <w:spacing w:after="200" w:line="276" w:lineRule="auto"/>
        <w:rPr>
          <w:rFonts w:ascii="Arial" w:hAnsi="Arial" w:cs="Arial"/>
          <w:sz w:val="22"/>
          <w:szCs w:val="22"/>
        </w:rPr>
      </w:pPr>
      <w:bookmarkStart w:id="333" w:name="_Toc209029187"/>
      <w:bookmarkStart w:id="334" w:name="_Toc209277219"/>
      <w:bookmarkStart w:id="335" w:name="_Toc230882298"/>
      <w:r w:rsidRPr="000020F0">
        <w:rPr>
          <w:rFonts w:ascii="Arial" w:hAnsi="Arial" w:cs="Arial"/>
          <w:b/>
          <w:sz w:val="22"/>
          <w:szCs w:val="22"/>
        </w:rPr>
        <w:t xml:space="preserve">Tabela </w:t>
      </w:r>
      <w:r w:rsidRPr="000020F0">
        <w:rPr>
          <w:rFonts w:ascii="Arial" w:hAnsi="Arial" w:cs="Arial"/>
          <w:b/>
          <w:sz w:val="22"/>
          <w:szCs w:val="22"/>
        </w:rPr>
        <w:fldChar w:fldCharType="begin"/>
      </w:r>
      <w:r w:rsidRPr="000020F0">
        <w:rPr>
          <w:rFonts w:ascii="Arial" w:hAnsi="Arial" w:cs="Arial"/>
          <w:b/>
          <w:sz w:val="22"/>
          <w:szCs w:val="22"/>
        </w:rPr>
        <w:instrText xml:space="preserve"> SEQ Tabela \* ARABIC </w:instrText>
      </w:r>
      <w:r w:rsidRPr="000020F0">
        <w:rPr>
          <w:rFonts w:ascii="Arial" w:hAnsi="Arial" w:cs="Arial"/>
          <w:b/>
          <w:sz w:val="22"/>
          <w:szCs w:val="22"/>
        </w:rPr>
        <w:fldChar w:fldCharType="separate"/>
      </w:r>
      <w:r w:rsidR="00BB0C0C">
        <w:rPr>
          <w:rFonts w:ascii="Arial" w:hAnsi="Arial" w:cs="Arial"/>
          <w:b/>
          <w:noProof/>
          <w:sz w:val="22"/>
          <w:szCs w:val="22"/>
        </w:rPr>
        <w:t>18</w:t>
      </w:r>
      <w:r w:rsidRPr="000020F0">
        <w:rPr>
          <w:rFonts w:ascii="Arial" w:hAnsi="Arial" w:cs="Arial"/>
          <w:b/>
          <w:sz w:val="22"/>
          <w:szCs w:val="22"/>
        </w:rPr>
        <w:fldChar w:fldCharType="end"/>
      </w:r>
      <w:r w:rsidRPr="000020F0">
        <w:rPr>
          <w:rFonts w:ascii="Arial" w:hAnsi="Arial" w:cs="Arial"/>
          <w:b/>
          <w:sz w:val="22"/>
          <w:szCs w:val="22"/>
        </w:rPr>
        <w:t xml:space="preserve">: </w:t>
      </w:r>
      <w:r w:rsidRPr="000020F0">
        <w:rPr>
          <w:rFonts w:ascii="Arial" w:hAnsi="Arial" w:cs="Arial"/>
          <w:sz w:val="22"/>
          <w:szCs w:val="22"/>
        </w:rPr>
        <w:t>Dinamika financiranja v tekočih cenah</w:t>
      </w:r>
      <w:bookmarkEnd w:id="333"/>
      <w:bookmarkEnd w:id="334"/>
      <w:bookmarkEnd w:id="335"/>
    </w:p>
    <w:tbl>
      <w:tblPr>
        <w:tblW w:w="5000" w:type="pct"/>
        <w:tblCellMar>
          <w:left w:w="70" w:type="dxa"/>
          <w:right w:w="70" w:type="dxa"/>
        </w:tblCellMar>
        <w:tblLook w:val="04A0" w:firstRow="1" w:lastRow="0" w:firstColumn="1" w:lastColumn="0" w:noHBand="0" w:noVBand="1"/>
      </w:tblPr>
      <w:tblGrid>
        <w:gridCol w:w="2976"/>
        <w:gridCol w:w="1433"/>
        <w:gridCol w:w="1293"/>
        <w:gridCol w:w="1416"/>
        <w:gridCol w:w="1593"/>
        <w:gridCol w:w="1365"/>
        <w:gridCol w:w="1331"/>
        <w:gridCol w:w="1505"/>
        <w:gridCol w:w="1365"/>
      </w:tblGrid>
      <w:tr w:rsidR="00AF708A" w:rsidRPr="000020F0" w14:paraId="3E87C2DE" w14:textId="77777777" w:rsidTr="00AF708A">
        <w:trPr>
          <w:trHeight w:val="300"/>
          <w:tblHeader/>
        </w:trPr>
        <w:tc>
          <w:tcPr>
            <w:tcW w:w="1042" w:type="pct"/>
            <w:tcBorders>
              <w:top w:val="single" w:sz="4" w:space="0" w:color="auto"/>
              <w:left w:val="single" w:sz="4" w:space="0" w:color="auto"/>
              <w:bottom w:val="single" w:sz="4" w:space="0" w:color="auto"/>
              <w:right w:val="single" w:sz="4" w:space="0" w:color="auto"/>
            </w:tcBorders>
            <w:shd w:val="clear" w:color="000000" w:fill="0B3040"/>
            <w:vAlign w:val="bottom"/>
            <w:hideMark/>
          </w:tcPr>
          <w:p w14:paraId="1238F4CF" w14:textId="23346928" w:rsidR="00AF708A" w:rsidRPr="000020F0" w:rsidRDefault="00AF708A" w:rsidP="00AF708A">
            <w:pPr>
              <w:rPr>
                <w:rFonts w:ascii="Arial" w:hAnsi="Arial" w:cs="Arial"/>
                <w:b/>
                <w:bCs/>
                <w:color w:val="FFFFFF"/>
                <w:sz w:val="20"/>
                <w:szCs w:val="20"/>
              </w:rPr>
            </w:pPr>
            <w:r w:rsidRPr="000020F0">
              <w:rPr>
                <w:rFonts w:ascii="Arial" w:hAnsi="Arial" w:cs="Arial"/>
                <w:b/>
                <w:bCs/>
                <w:color w:val="FFFFFF"/>
                <w:sz w:val="20"/>
                <w:szCs w:val="20"/>
              </w:rPr>
              <w:t>VIRI FINANCIRANJA</w:t>
            </w:r>
          </w:p>
        </w:tc>
        <w:tc>
          <w:tcPr>
            <w:tcW w:w="502" w:type="pct"/>
            <w:tcBorders>
              <w:top w:val="single" w:sz="4" w:space="0" w:color="auto"/>
              <w:left w:val="nil"/>
              <w:bottom w:val="single" w:sz="4" w:space="0" w:color="auto"/>
              <w:right w:val="single" w:sz="4" w:space="0" w:color="auto"/>
            </w:tcBorders>
            <w:shd w:val="clear" w:color="000000" w:fill="0B3040"/>
            <w:noWrap/>
            <w:vAlign w:val="bottom"/>
            <w:hideMark/>
          </w:tcPr>
          <w:p w14:paraId="2E14704F" w14:textId="66030179" w:rsidR="00AF708A" w:rsidRPr="000020F0" w:rsidRDefault="00AF708A" w:rsidP="00AF708A">
            <w:pPr>
              <w:rPr>
                <w:rFonts w:ascii="Arial" w:hAnsi="Arial" w:cs="Arial"/>
                <w:b/>
                <w:bCs/>
                <w:color w:val="FFFFFF"/>
                <w:sz w:val="20"/>
                <w:szCs w:val="20"/>
              </w:rPr>
            </w:pPr>
            <w:r w:rsidRPr="000020F0">
              <w:rPr>
                <w:rFonts w:ascii="Arial" w:hAnsi="Arial" w:cs="Arial"/>
                <w:b/>
                <w:bCs/>
                <w:color w:val="FFFFFF"/>
                <w:sz w:val="20"/>
                <w:szCs w:val="20"/>
              </w:rPr>
              <w:t>SKUPAJ</w:t>
            </w:r>
          </w:p>
        </w:tc>
        <w:tc>
          <w:tcPr>
            <w:tcW w:w="453" w:type="pct"/>
            <w:tcBorders>
              <w:top w:val="single" w:sz="4" w:space="0" w:color="auto"/>
              <w:left w:val="nil"/>
              <w:bottom w:val="single" w:sz="4" w:space="0" w:color="auto"/>
              <w:right w:val="single" w:sz="4" w:space="0" w:color="auto"/>
            </w:tcBorders>
            <w:shd w:val="clear" w:color="000000" w:fill="0B3040"/>
            <w:noWrap/>
            <w:vAlign w:val="bottom"/>
            <w:hideMark/>
          </w:tcPr>
          <w:p w14:paraId="612548A2" w14:textId="1E70F427" w:rsidR="00AF708A" w:rsidRPr="000020F0" w:rsidRDefault="00AF708A" w:rsidP="00AF708A">
            <w:pPr>
              <w:rPr>
                <w:rFonts w:ascii="Arial" w:hAnsi="Arial" w:cs="Arial"/>
                <w:b/>
                <w:bCs/>
                <w:color w:val="FFFFFF"/>
                <w:sz w:val="20"/>
                <w:szCs w:val="20"/>
              </w:rPr>
            </w:pPr>
            <w:r w:rsidRPr="000020F0">
              <w:rPr>
                <w:rFonts w:ascii="Arial" w:hAnsi="Arial" w:cs="Arial"/>
                <w:b/>
                <w:bCs/>
                <w:color w:val="FFFFFF"/>
                <w:sz w:val="20"/>
                <w:szCs w:val="20"/>
              </w:rPr>
              <w:t>DELEŽ</w:t>
            </w:r>
          </w:p>
        </w:tc>
        <w:tc>
          <w:tcPr>
            <w:tcW w:w="496" w:type="pct"/>
            <w:tcBorders>
              <w:top w:val="single" w:sz="4" w:space="0" w:color="auto"/>
              <w:left w:val="nil"/>
              <w:bottom w:val="single" w:sz="4" w:space="0" w:color="auto"/>
              <w:right w:val="single" w:sz="4" w:space="0" w:color="auto"/>
            </w:tcBorders>
            <w:shd w:val="clear" w:color="000000" w:fill="0B3040"/>
            <w:noWrap/>
            <w:vAlign w:val="bottom"/>
            <w:hideMark/>
          </w:tcPr>
          <w:p w14:paraId="6E60690F" w14:textId="0C14D38D"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558" w:type="pct"/>
            <w:tcBorders>
              <w:top w:val="single" w:sz="4" w:space="0" w:color="auto"/>
              <w:left w:val="nil"/>
              <w:bottom w:val="single" w:sz="4" w:space="0" w:color="auto"/>
              <w:right w:val="single" w:sz="4" w:space="0" w:color="auto"/>
            </w:tcBorders>
            <w:shd w:val="clear" w:color="000000" w:fill="0B3040"/>
            <w:noWrap/>
            <w:vAlign w:val="bottom"/>
            <w:hideMark/>
          </w:tcPr>
          <w:p w14:paraId="03AB481C" w14:textId="464C4537"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5CF9FDC3" w14:textId="0ED394CF"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466" w:type="pct"/>
            <w:tcBorders>
              <w:top w:val="single" w:sz="4" w:space="0" w:color="auto"/>
              <w:left w:val="nil"/>
              <w:bottom w:val="single" w:sz="4" w:space="0" w:color="auto"/>
              <w:right w:val="single" w:sz="4" w:space="0" w:color="auto"/>
            </w:tcBorders>
            <w:shd w:val="clear" w:color="000000" w:fill="0B3040"/>
            <w:noWrap/>
            <w:vAlign w:val="bottom"/>
            <w:hideMark/>
          </w:tcPr>
          <w:p w14:paraId="7D890664" w14:textId="3DC1333E"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527" w:type="pct"/>
            <w:tcBorders>
              <w:top w:val="single" w:sz="4" w:space="0" w:color="auto"/>
              <w:left w:val="nil"/>
              <w:bottom w:val="single" w:sz="4" w:space="0" w:color="auto"/>
              <w:right w:val="single" w:sz="4" w:space="0" w:color="auto"/>
            </w:tcBorders>
            <w:shd w:val="clear" w:color="000000" w:fill="0B3040"/>
            <w:noWrap/>
            <w:vAlign w:val="bottom"/>
            <w:hideMark/>
          </w:tcPr>
          <w:p w14:paraId="0CC72165" w14:textId="65D6377A"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4E58C4EE" w14:textId="39DB7853" w:rsidR="00AF708A" w:rsidRPr="000020F0" w:rsidRDefault="00AF708A" w:rsidP="00AF708A">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354309" w:rsidRPr="000020F0" w14:paraId="0209E93E" w14:textId="77777777" w:rsidTr="00FF05C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794B8168" w14:textId="30F960C2" w:rsidR="00354309" w:rsidRPr="000020F0" w:rsidRDefault="00354309" w:rsidP="00354309">
            <w:pPr>
              <w:rPr>
                <w:rFonts w:ascii="Arial" w:hAnsi="Arial" w:cs="Arial"/>
                <w:b/>
                <w:bCs/>
                <w:color w:val="000000"/>
                <w:sz w:val="20"/>
                <w:szCs w:val="20"/>
              </w:rPr>
            </w:pPr>
            <w:r w:rsidRPr="000020F0">
              <w:rPr>
                <w:rFonts w:ascii="Arial" w:hAnsi="Arial" w:cs="Arial"/>
                <w:b/>
                <w:bCs/>
                <w:color w:val="000000"/>
                <w:sz w:val="20"/>
                <w:szCs w:val="20"/>
              </w:rPr>
              <w:t>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60B06CEA" w14:textId="0F5DCBFC"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2.498.375,04</w:t>
            </w:r>
          </w:p>
        </w:tc>
        <w:tc>
          <w:tcPr>
            <w:tcW w:w="453" w:type="pct"/>
            <w:tcBorders>
              <w:top w:val="nil"/>
              <w:left w:val="nil"/>
              <w:bottom w:val="single" w:sz="4" w:space="0" w:color="auto"/>
              <w:right w:val="single" w:sz="4" w:space="0" w:color="auto"/>
            </w:tcBorders>
            <w:shd w:val="clear" w:color="000000" w:fill="D9D9D9"/>
            <w:noWrap/>
            <w:vAlign w:val="bottom"/>
            <w:hideMark/>
          </w:tcPr>
          <w:p w14:paraId="6B4F29D7" w14:textId="3FD2475E"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73,78%</w:t>
            </w:r>
          </w:p>
        </w:tc>
        <w:tc>
          <w:tcPr>
            <w:tcW w:w="496" w:type="pct"/>
            <w:tcBorders>
              <w:top w:val="nil"/>
              <w:left w:val="nil"/>
              <w:bottom w:val="single" w:sz="4" w:space="0" w:color="auto"/>
              <w:right w:val="single" w:sz="4" w:space="0" w:color="auto"/>
            </w:tcBorders>
            <w:shd w:val="clear" w:color="000000" w:fill="D9D9D9"/>
            <w:noWrap/>
            <w:vAlign w:val="bottom"/>
            <w:hideMark/>
          </w:tcPr>
          <w:p w14:paraId="57051F54" w14:textId="46BB106D"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558" w:type="pct"/>
            <w:tcBorders>
              <w:top w:val="nil"/>
              <w:left w:val="nil"/>
              <w:bottom w:val="single" w:sz="4" w:space="0" w:color="auto"/>
              <w:right w:val="single" w:sz="4" w:space="0" w:color="auto"/>
            </w:tcBorders>
            <w:shd w:val="clear" w:color="000000" w:fill="D9D9D9"/>
            <w:noWrap/>
            <w:vAlign w:val="bottom"/>
            <w:hideMark/>
          </w:tcPr>
          <w:p w14:paraId="7A8FCE07" w14:textId="5F66B18B"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478" w:type="pct"/>
            <w:tcBorders>
              <w:top w:val="nil"/>
              <w:left w:val="nil"/>
              <w:bottom w:val="single" w:sz="4" w:space="0" w:color="auto"/>
              <w:right w:val="single" w:sz="4" w:space="0" w:color="auto"/>
            </w:tcBorders>
            <w:shd w:val="clear" w:color="000000" w:fill="D9D9D9"/>
            <w:noWrap/>
            <w:vAlign w:val="bottom"/>
            <w:hideMark/>
          </w:tcPr>
          <w:p w14:paraId="79DFCDB0" w14:textId="4004668F"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466" w:type="pct"/>
            <w:tcBorders>
              <w:top w:val="nil"/>
              <w:left w:val="nil"/>
              <w:bottom w:val="single" w:sz="4" w:space="0" w:color="auto"/>
              <w:right w:val="single" w:sz="4" w:space="0" w:color="auto"/>
            </w:tcBorders>
            <w:shd w:val="clear" w:color="000000" w:fill="D9D9D9"/>
            <w:noWrap/>
            <w:vAlign w:val="bottom"/>
            <w:hideMark/>
          </w:tcPr>
          <w:p w14:paraId="19E2CF8D" w14:textId="27A38950"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762.087,20</w:t>
            </w:r>
          </w:p>
        </w:tc>
        <w:tc>
          <w:tcPr>
            <w:tcW w:w="527" w:type="pct"/>
            <w:tcBorders>
              <w:top w:val="nil"/>
              <w:left w:val="nil"/>
              <w:bottom w:val="single" w:sz="4" w:space="0" w:color="auto"/>
              <w:right w:val="single" w:sz="4" w:space="0" w:color="auto"/>
            </w:tcBorders>
            <w:shd w:val="clear" w:color="000000" w:fill="D9D9D9"/>
            <w:noWrap/>
            <w:vAlign w:val="bottom"/>
            <w:hideMark/>
          </w:tcPr>
          <w:p w14:paraId="2D411C61" w14:textId="32FB1BD2"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1.542.592,01</w:t>
            </w:r>
          </w:p>
        </w:tc>
        <w:tc>
          <w:tcPr>
            <w:tcW w:w="478" w:type="pct"/>
            <w:tcBorders>
              <w:top w:val="nil"/>
              <w:left w:val="nil"/>
              <w:bottom w:val="single" w:sz="4" w:space="0" w:color="auto"/>
              <w:right w:val="single" w:sz="4" w:space="0" w:color="auto"/>
            </w:tcBorders>
            <w:shd w:val="clear" w:color="000000" w:fill="D9D9D9"/>
            <w:noWrap/>
            <w:vAlign w:val="bottom"/>
            <w:hideMark/>
          </w:tcPr>
          <w:p w14:paraId="35EA8C02" w14:textId="1935F14A"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73.661,05</w:t>
            </w:r>
          </w:p>
        </w:tc>
      </w:tr>
      <w:tr w:rsidR="00354309" w:rsidRPr="000020F0" w14:paraId="1D5E76A7"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5145B20F" w14:textId="1D934763"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79CCCEAD" w14:textId="6A2FDD01"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1.698.895,04</w:t>
            </w:r>
          </w:p>
        </w:tc>
        <w:tc>
          <w:tcPr>
            <w:tcW w:w="453" w:type="pct"/>
            <w:tcBorders>
              <w:top w:val="nil"/>
              <w:left w:val="nil"/>
              <w:bottom w:val="single" w:sz="4" w:space="0" w:color="auto"/>
              <w:right w:val="single" w:sz="4" w:space="0" w:color="auto"/>
            </w:tcBorders>
            <w:noWrap/>
            <w:vAlign w:val="bottom"/>
            <w:hideMark/>
          </w:tcPr>
          <w:p w14:paraId="4121C2E6" w14:textId="766597B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50,17%</w:t>
            </w:r>
          </w:p>
        </w:tc>
        <w:tc>
          <w:tcPr>
            <w:tcW w:w="496" w:type="pct"/>
            <w:tcBorders>
              <w:top w:val="nil"/>
              <w:left w:val="nil"/>
              <w:bottom w:val="single" w:sz="4" w:space="0" w:color="auto"/>
              <w:right w:val="single" w:sz="4" w:space="0" w:color="auto"/>
            </w:tcBorders>
            <w:noWrap/>
            <w:vAlign w:val="bottom"/>
            <w:hideMark/>
          </w:tcPr>
          <w:p w14:paraId="473EDBBA" w14:textId="2E19191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5180572B" w14:textId="4BC230ED"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439CFC57" w14:textId="51EB683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788968C6" w14:textId="2D934739"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518.219,30</w:t>
            </w:r>
          </w:p>
        </w:tc>
        <w:tc>
          <w:tcPr>
            <w:tcW w:w="527" w:type="pct"/>
            <w:tcBorders>
              <w:top w:val="nil"/>
              <w:left w:val="nil"/>
              <w:bottom w:val="single" w:sz="4" w:space="0" w:color="auto"/>
              <w:right w:val="single" w:sz="4" w:space="0" w:color="auto"/>
            </w:tcBorders>
            <w:noWrap/>
            <w:vAlign w:val="bottom"/>
            <w:hideMark/>
          </w:tcPr>
          <w:p w14:paraId="4A856598" w14:textId="1BEF5DF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1.048.962,57</w:t>
            </w:r>
          </w:p>
        </w:tc>
        <w:tc>
          <w:tcPr>
            <w:tcW w:w="478" w:type="pct"/>
            <w:tcBorders>
              <w:top w:val="nil"/>
              <w:left w:val="nil"/>
              <w:bottom w:val="single" w:sz="4" w:space="0" w:color="auto"/>
              <w:right w:val="single" w:sz="4" w:space="0" w:color="auto"/>
            </w:tcBorders>
            <w:noWrap/>
            <w:vAlign w:val="bottom"/>
            <w:hideMark/>
          </w:tcPr>
          <w:p w14:paraId="7A97672F" w14:textId="01EB4BC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50.089,52</w:t>
            </w:r>
          </w:p>
        </w:tc>
      </w:tr>
      <w:tr w:rsidR="00354309" w:rsidRPr="000020F0" w14:paraId="4CE4B024"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4BFAB2D1" w14:textId="67A68373"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6BAAE712" w14:textId="6E05EC7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299.804,99</w:t>
            </w:r>
          </w:p>
        </w:tc>
        <w:tc>
          <w:tcPr>
            <w:tcW w:w="453" w:type="pct"/>
            <w:tcBorders>
              <w:top w:val="nil"/>
              <w:left w:val="nil"/>
              <w:bottom w:val="single" w:sz="4" w:space="0" w:color="auto"/>
              <w:right w:val="single" w:sz="4" w:space="0" w:color="auto"/>
            </w:tcBorders>
            <w:noWrap/>
            <w:vAlign w:val="bottom"/>
            <w:hideMark/>
          </w:tcPr>
          <w:p w14:paraId="166F9401" w14:textId="036EDB45"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8,85%</w:t>
            </w:r>
          </w:p>
        </w:tc>
        <w:tc>
          <w:tcPr>
            <w:tcW w:w="496" w:type="pct"/>
            <w:tcBorders>
              <w:top w:val="nil"/>
              <w:left w:val="nil"/>
              <w:bottom w:val="single" w:sz="4" w:space="0" w:color="auto"/>
              <w:right w:val="single" w:sz="4" w:space="0" w:color="auto"/>
            </w:tcBorders>
            <w:noWrap/>
            <w:vAlign w:val="bottom"/>
            <w:hideMark/>
          </w:tcPr>
          <w:p w14:paraId="518DA495" w14:textId="4AE94FD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848,55</w:t>
            </w:r>
          </w:p>
        </w:tc>
        <w:tc>
          <w:tcPr>
            <w:tcW w:w="558" w:type="pct"/>
            <w:tcBorders>
              <w:top w:val="nil"/>
              <w:left w:val="nil"/>
              <w:bottom w:val="single" w:sz="4" w:space="0" w:color="auto"/>
              <w:right w:val="single" w:sz="4" w:space="0" w:color="auto"/>
            </w:tcBorders>
            <w:noWrap/>
            <w:vAlign w:val="bottom"/>
            <w:hideMark/>
          </w:tcPr>
          <w:p w14:paraId="41EFC723" w14:textId="4A59B2D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26B76FD8" w14:textId="41C25DA8"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664A7B0C" w14:textId="224E56D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91.450,46</w:t>
            </w:r>
          </w:p>
        </w:tc>
        <w:tc>
          <w:tcPr>
            <w:tcW w:w="527" w:type="pct"/>
            <w:tcBorders>
              <w:top w:val="nil"/>
              <w:left w:val="nil"/>
              <w:bottom w:val="single" w:sz="4" w:space="0" w:color="auto"/>
              <w:right w:val="single" w:sz="4" w:space="0" w:color="auto"/>
            </w:tcBorders>
            <w:noWrap/>
            <w:vAlign w:val="bottom"/>
            <w:hideMark/>
          </w:tcPr>
          <w:p w14:paraId="525F636F" w14:textId="2D6BA9E3"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185.111,04</w:t>
            </w:r>
          </w:p>
        </w:tc>
        <w:tc>
          <w:tcPr>
            <w:tcW w:w="478" w:type="pct"/>
            <w:tcBorders>
              <w:top w:val="nil"/>
              <w:left w:val="nil"/>
              <w:bottom w:val="single" w:sz="4" w:space="0" w:color="auto"/>
              <w:right w:val="single" w:sz="4" w:space="0" w:color="auto"/>
            </w:tcBorders>
            <w:noWrap/>
            <w:vAlign w:val="bottom"/>
            <w:hideMark/>
          </w:tcPr>
          <w:p w14:paraId="30767EA1" w14:textId="2C6B587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8.839,32</w:t>
            </w:r>
          </w:p>
        </w:tc>
      </w:tr>
      <w:tr w:rsidR="00354309" w:rsidRPr="000020F0" w14:paraId="088FA489"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7C46441E" w14:textId="0D02DD5D"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2EB03A72" w14:textId="7123BCE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499.675,01</w:t>
            </w:r>
          </w:p>
        </w:tc>
        <w:tc>
          <w:tcPr>
            <w:tcW w:w="453" w:type="pct"/>
            <w:tcBorders>
              <w:top w:val="nil"/>
              <w:left w:val="nil"/>
              <w:bottom w:val="single" w:sz="4" w:space="0" w:color="auto"/>
              <w:right w:val="single" w:sz="4" w:space="0" w:color="auto"/>
            </w:tcBorders>
            <w:noWrap/>
            <w:vAlign w:val="bottom"/>
            <w:hideMark/>
          </w:tcPr>
          <w:p w14:paraId="39BEF185" w14:textId="317197E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14,76%</w:t>
            </w:r>
          </w:p>
        </w:tc>
        <w:tc>
          <w:tcPr>
            <w:tcW w:w="496" w:type="pct"/>
            <w:tcBorders>
              <w:top w:val="nil"/>
              <w:left w:val="nil"/>
              <w:bottom w:val="single" w:sz="4" w:space="0" w:color="auto"/>
              <w:right w:val="single" w:sz="4" w:space="0" w:color="auto"/>
            </w:tcBorders>
            <w:noWrap/>
            <w:vAlign w:val="bottom"/>
            <w:hideMark/>
          </w:tcPr>
          <w:p w14:paraId="6D444771" w14:textId="7334F963"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1.414,26</w:t>
            </w:r>
          </w:p>
        </w:tc>
        <w:tc>
          <w:tcPr>
            <w:tcW w:w="558" w:type="pct"/>
            <w:tcBorders>
              <w:top w:val="nil"/>
              <w:left w:val="nil"/>
              <w:bottom w:val="single" w:sz="4" w:space="0" w:color="auto"/>
              <w:right w:val="single" w:sz="4" w:space="0" w:color="auto"/>
            </w:tcBorders>
            <w:noWrap/>
            <w:vAlign w:val="bottom"/>
            <w:hideMark/>
          </w:tcPr>
          <w:p w14:paraId="6F75A8DE" w14:textId="6CED878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15.515,43</w:t>
            </w:r>
          </w:p>
        </w:tc>
        <w:tc>
          <w:tcPr>
            <w:tcW w:w="478" w:type="pct"/>
            <w:tcBorders>
              <w:top w:val="nil"/>
              <w:left w:val="nil"/>
              <w:bottom w:val="single" w:sz="4" w:space="0" w:color="auto"/>
              <w:right w:val="single" w:sz="4" w:space="0" w:color="auto"/>
            </w:tcBorders>
            <w:noWrap/>
            <w:vAlign w:val="bottom"/>
            <w:hideMark/>
          </w:tcPr>
          <w:p w14:paraId="0FDC3F5E" w14:textId="0F432D6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7.077,27</w:t>
            </w:r>
          </w:p>
        </w:tc>
        <w:tc>
          <w:tcPr>
            <w:tcW w:w="466" w:type="pct"/>
            <w:tcBorders>
              <w:top w:val="nil"/>
              <w:left w:val="nil"/>
              <w:bottom w:val="single" w:sz="4" w:space="0" w:color="auto"/>
              <w:right w:val="single" w:sz="4" w:space="0" w:color="auto"/>
            </w:tcBorders>
            <w:noWrap/>
            <w:vAlign w:val="bottom"/>
            <w:hideMark/>
          </w:tcPr>
          <w:p w14:paraId="0F77B039" w14:textId="1E553694"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152.417,44</w:t>
            </w:r>
          </w:p>
        </w:tc>
        <w:tc>
          <w:tcPr>
            <w:tcW w:w="527" w:type="pct"/>
            <w:tcBorders>
              <w:top w:val="nil"/>
              <w:left w:val="nil"/>
              <w:bottom w:val="single" w:sz="4" w:space="0" w:color="auto"/>
              <w:right w:val="single" w:sz="4" w:space="0" w:color="auto"/>
            </w:tcBorders>
            <w:noWrap/>
            <w:vAlign w:val="bottom"/>
            <w:hideMark/>
          </w:tcPr>
          <w:p w14:paraId="7DB04196" w14:textId="2B68571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308.518,40</w:t>
            </w:r>
          </w:p>
        </w:tc>
        <w:tc>
          <w:tcPr>
            <w:tcW w:w="478" w:type="pct"/>
            <w:tcBorders>
              <w:top w:val="nil"/>
              <w:left w:val="nil"/>
              <w:bottom w:val="single" w:sz="4" w:space="0" w:color="auto"/>
              <w:right w:val="single" w:sz="4" w:space="0" w:color="auto"/>
            </w:tcBorders>
            <w:noWrap/>
            <w:vAlign w:val="bottom"/>
            <w:hideMark/>
          </w:tcPr>
          <w:p w14:paraId="6DD11140" w14:textId="76A246A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14.732,21</w:t>
            </w:r>
          </w:p>
        </w:tc>
      </w:tr>
      <w:tr w:rsidR="00354309" w:rsidRPr="000020F0" w14:paraId="505EAA46" w14:textId="77777777" w:rsidTr="00FF05C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09A7DEFC" w14:textId="30E4EE63" w:rsidR="00354309" w:rsidRPr="000020F0" w:rsidRDefault="00354309" w:rsidP="00354309">
            <w:pPr>
              <w:rPr>
                <w:rFonts w:ascii="Arial" w:hAnsi="Arial" w:cs="Arial"/>
                <w:b/>
                <w:bCs/>
                <w:color w:val="000000"/>
                <w:sz w:val="20"/>
                <w:szCs w:val="20"/>
              </w:rPr>
            </w:pPr>
            <w:r w:rsidRPr="000020F0">
              <w:rPr>
                <w:rFonts w:ascii="Arial" w:hAnsi="Arial" w:cs="Arial"/>
                <w:b/>
                <w:bCs/>
                <w:color w:val="000000"/>
                <w:sz w:val="20"/>
                <w:szCs w:val="20"/>
              </w:rPr>
              <w:lastRenderedPageBreak/>
              <w:t>NEUPRAVIČENI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08221A67" w14:textId="5C3B4E79"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865.388,76</w:t>
            </w:r>
          </w:p>
        </w:tc>
        <w:tc>
          <w:tcPr>
            <w:tcW w:w="453" w:type="pct"/>
            <w:tcBorders>
              <w:top w:val="nil"/>
              <w:left w:val="nil"/>
              <w:bottom w:val="single" w:sz="4" w:space="0" w:color="auto"/>
              <w:right w:val="single" w:sz="4" w:space="0" w:color="auto"/>
            </w:tcBorders>
            <w:shd w:val="clear" w:color="000000" w:fill="D9D9D9"/>
            <w:noWrap/>
            <w:vAlign w:val="bottom"/>
            <w:hideMark/>
          </w:tcPr>
          <w:p w14:paraId="1F5BA561" w14:textId="76B78F8B"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25,56%</w:t>
            </w:r>
          </w:p>
        </w:tc>
        <w:tc>
          <w:tcPr>
            <w:tcW w:w="496" w:type="pct"/>
            <w:tcBorders>
              <w:top w:val="nil"/>
              <w:left w:val="nil"/>
              <w:bottom w:val="single" w:sz="4" w:space="0" w:color="auto"/>
              <w:right w:val="single" w:sz="4" w:space="0" w:color="auto"/>
            </w:tcBorders>
            <w:shd w:val="clear" w:color="000000" w:fill="D9D9D9"/>
            <w:noWrap/>
            <w:vAlign w:val="bottom"/>
            <w:hideMark/>
          </w:tcPr>
          <w:p w14:paraId="19E44A6A" w14:textId="640CB8D8"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290.629,88</w:t>
            </w:r>
          </w:p>
        </w:tc>
        <w:tc>
          <w:tcPr>
            <w:tcW w:w="558" w:type="pct"/>
            <w:tcBorders>
              <w:top w:val="nil"/>
              <w:left w:val="nil"/>
              <w:bottom w:val="single" w:sz="4" w:space="0" w:color="auto"/>
              <w:right w:val="single" w:sz="4" w:space="0" w:color="auto"/>
            </w:tcBorders>
            <w:shd w:val="clear" w:color="000000" w:fill="D9D9D9"/>
            <w:noWrap/>
            <w:vAlign w:val="bottom"/>
            <w:hideMark/>
          </w:tcPr>
          <w:p w14:paraId="6607859E" w14:textId="6D005D78"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18.338,88</w:t>
            </w:r>
          </w:p>
        </w:tc>
        <w:tc>
          <w:tcPr>
            <w:tcW w:w="478" w:type="pct"/>
            <w:tcBorders>
              <w:top w:val="nil"/>
              <w:left w:val="nil"/>
              <w:bottom w:val="single" w:sz="4" w:space="0" w:color="auto"/>
              <w:right w:val="single" w:sz="4" w:space="0" w:color="auto"/>
            </w:tcBorders>
            <w:shd w:val="clear" w:color="000000" w:fill="D9D9D9"/>
            <w:noWrap/>
            <w:vAlign w:val="bottom"/>
            <w:hideMark/>
          </w:tcPr>
          <w:p w14:paraId="499DF8AE" w14:textId="49956F65"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5.590,26</w:t>
            </w:r>
          </w:p>
        </w:tc>
        <w:tc>
          <w:tcPr>
            <w:tcW w:w="466" w:type="pct"/>
            <w:tcBorders>
              <w:top w:val="nil"/>
              <w:left w:val="nil"/>
              <w:bottom w:val="single" w:sz="4" w:space="0" w:color="auto"/>
              <w:right w:val="single" w:sz="4" w:space="0" w:color="auto"/>
            </w:tcBorders>
            <w:shd w:val="clear" w:color="000000" w:fill="D9D9D9"/>
            <w:noWrap/>
            <w:vAlign w:val="bottom"/>
            <w:hideMark/>
          </w:tcPr>
          <w:p w14:paraId="4C5A15D5" w14:textId="045FD893"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9.948,87</w:t>
            </w:r>
          </w:p>
        </w:tc>
        <w:tc>
          <w:tcPr>
            <w:tcW w:w="527" w:type="pct"/>
            <w:tcBorders>
              <w:top w:val="nil"/>
              <w:left w:val="nil"/>
              <w:bottom w:val="single" w:sz="4" w:space="0" w:color="auto"/>
              <w:right w:val="single" w:sz="4" w:space="0" w:color="auto"/>
            </w:tcBorders>
            <w:shd w:val="clear" w:color="000000" w:fill="D9D9D9"/>
            <w:noWrap/>
            <w:vAlign w:val="bottom"/>
            <w:hideMark/>
          </w:tcPr>
          <w:p w14:paraId="3704786D" w14:textId="7A233C42"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538.339,10</w:t>
            </w:r>
          </w:p>
        </w:tc>
        <w:tc>
          <w:tcPr>
            <w:tcW w:w="478" w:type="pct"/>
            <w:tcBorders>
              <w:top w:val="nil"/>
              <w:left w:val="nil"/>
              <w:bottom w:val="single" w:sz="4" w:space="0" w:color="auto"/>
              <w:right w:val="single" w:sz="4" w:space="0" w:color="auto"/>
            </w:tcBorders>
            <w:shd w:val="clear" w:color="000000" w:fill="D9D9D9"/>
            <w:noWrap/>
            <w:vAlign w:val="bottom"/>
            <w:hideMark/>
          </w:tcPr>
          <w:p w14:paraId="418CC497" w14:textId="03D3F63D"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2.541,77</w:t>
            </w:r>
          </w:p>
        </w:tc>
      </w:tr>
      <w:tr w:rsidR="00354309" w:rsidRPr="000020F0" w14:paraId="2226647C"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5AB71BF7" w14:textId="0850B738"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3DB8B915" w14:textId="399DCDA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72A1391C" w14:textId="467BAC3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2E18E940" w14:textId="37F23AA9"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0CB8FC51" w14:textId="2945024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2FB46E84" w14:textId="19701F0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3800958C" w14:textId="6ABFACF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0975DC4D" w14:textId="0AD578B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0991318B" w14:textId="0DDA62F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r>
      <w:tr w:rsidR="00354309" w:rsidRPr="000020F0" w14:paraId="6661783C"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35E9AB5C" w14:textId="7E7EB9CE"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605FB8BE" w14:textId="27476A51"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533F466F" w14:textId="4E2CEF7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3D7E025E" w14:textId="5E46681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262D9529" w14:textId="14A5544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3DC00489" w14:textId="3FB7E9F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0A7ACFEB" w14:textId="218E8BCD"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24871D2D" w14:textId="366EBD6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6E7700AA" w14:textId="5428AAE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r>
      <w:tr w:rsidR="00354309" w:rsidRPr="000020F0" w14:paraId="1FD5D399"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444E8703" w14:textId="3BB33756"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139E698A" w14:textId="710C980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865.388,76</w:t>
            </w:r>
          </w:p>
        </w:tc>
        <w:tc>
          <w:tcPr>
            <w:tcW w:w="453" w:type="pct"/>
            <w:tcBorders>
              <w:top w:val="nil"/>
              <w:left w:val="nil"/>
              <w:bottom w:val="single" w:sz="4" w:space="0" w:color="auto"/>
              <w:right w:val="single" w:sz="4" w:space="0" w:color="auto"/>
            </w:tcBorders>
            <w:noWrap/>
            <w:vAlign w:val="bottom"/>
            <w:hideMark/>
          </w:tcPr>
          <w:p w14:paraId="3F4398BE" w14:textId="4F48A9E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25,56%</w:t>
            </w:r>
          </w:p>
        </w:tc>
        <w:tc>
          <w:tcPr>
            <w:tcW w:w="496" w:type="pct"/>
            <w:tcBorders>
              <w:top w:val="nil"/>
              <w:left w:val="nil"/>
              <w:bottom w:val="single" w:sz="4" w:space="0" w:color="auto"/>
              <w:right w:val="single" w:sz="4" w:space="0" w:color="auto"/>
            </w:tcBorders>
            <w:noWrap/>
            <w:vAlign w:val="bottom"/>
            <w:hideMark/>
          </w:tcPr>
          <w:p w14:paraId="1F47810D" w14:textId="1C584AF8"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290.629,88</w:t>
            </w:r>
          </w:p>
        </w:tc>
        <w:tc>
          <w:tcPr>
            <w:tcW w:w="558" w:type="pct"/>
            <w:tcBorders>
              <w:top w:val="nil"/>
              <w:left w:val="nil"/>
              <w:bottom w:val="single" w:sz="4" w:space="0" w:color="auto"/>
              <w:right w:val="single" w:sz="4" w:space="0" w:color="auto"/>
            </w:tcBorders>
            <w:noWrap/>
            <w:vAlign w:val="bottom"/>
            <w:hideMark/>
          </w:tcPr>
          <w:p w14:paraId="152E82E7" w14:textId="0BAB571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18.338,88</w:t>
            </w:r>
          </w:p>
        </w:tc>
        <w:tc>
          <w:tcPr>
            <w:tcW w:w="478" w:type="pct"/>
            <w:tcBorders>
              <w:top w:val="nil"/>
              <w:left w:val="nil"/>
              <w:bottom w:val="single" w:sz="4" w:space="0" w:color="auto"/>
              <w:right w:val="single" w:sz="4" w:space="0" w:color="auto"/>
            </w:tcBorders>
            <w:noWrap/>
            <w:vAlign w:val="bottom"/>
            <w:hideMark/>
          </w:tcPr>
          <w:p w14:paraId="34608DB8" w14:textId="4217608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5.590,26</w:t>
            </w:r>
          </w:p>
        </w:tc>
        <w:tc>
          <w:tcPr>
            <w:tcW w:w="466" w:type="pct"/>
            <w:tcBorders>
              <w:top w:val="nil"/>
              <w:left w:val="nil"/>
              <w:bottom w:val="single" w:sz="4" w:space="0" w:color="auto"/>
              <w:right w:val="single" w:sz="4" w:space="0" w:color="auto"/>
            </w:tcBorders>
            <w:noWrap/>
            <w:vAlign w:val="bottom"/>
            <w:hideMark/>
          </w:tcPr>
          <w:p w14:paraId="77298F5A" w14:textId="7E8B933D"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9.948,87</w:t>
            </w:r>
          </w:p>
        </w:tc>
        <w:tc>
          <w:tcPr>
            <w:tcW w:w="527" w:type="pct"/>
            <w:tcBorders>
              <w:top w:val="nil"/>
              <w:left w:val="nil"/>
              <w:bottom w:val="single" w:sz="4" w:space="0" w:color="auto"/>
              <w:right w:val="single" w:sz="4" w:space="0" w:color="auto"/>
            </w:tcBorders>
            <w:noWrap/>
            <w:vAlign w:val="bottom"/>
            <w:hideMark/>
          </w:tcPr>
          <w:p w14:paraId="106D62CA" w14:textId="4DB29684"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538.339,10</w:t>
            </w:r>
          </w:p>
        </w:tc>
        <w:tc>
          <w:tcPr>
            <w:tcW w:w="478" w:type="pct"/>
            <w:tcBorders>
              <w:top w:val="nil"/>
              <w:left w:val="nil"/>
              <w:bottom w:val="single" w:sz="4" w:space="0" w:color="auto"/>
              <w:right w:val="single" w:sz="4" w:space="0" w:color="auto"/>
            </w:tcBorders>
            <w:noWrap/>
            <w:vAlign w:val="bottom"/>
            <w:hideMark/>
          </w:tcPr>
          <w:p w14:paraId="4F7392DC" w14:textId="145CC3D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2.541,77</w:t>
            </w:r>
          </w:p>
        </w:tc>
      </w:tr>
      <w:tr w:rsidR="00354309" w:rsidRPr="000020F0" w14:paraId="24CCC8CC" w14:textId="77777777" w:rsidTr="00FF05C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6923479B" w14:textId="0DBC35F2" w:rsidR="00354309" w:rsidRPr="000020F0" w:rsidRDefault="00354309" w:rsidP="00354309">
            <w:pPr>
              <w:rPr>
                <w:rFonts w:ascii="Arial" w:hAnsi="Arial" w:cs="Arial"/>
                <w:b/>
                <w:bCs/>
                <w:color w:val="000000"/>
                <w:sz w:val="20"/>
                <w:szCs w:val="20"/>
              </w:rPr>
            </w:pPr>
            <w:r w:rsidRPr="000020F0">
              <w:rPr>
                <w:rFonts w:ascii="Arial" w:hAnsi="Arial" w:cs="Arial"/>
                <w:b/>
                <w:bCs/>
                <w:color w:val="000000"/>
                <w:sz w:val="20"/>
                <w:szCs w:val="20"/>
              </w:rPr>
              <w:t>POVRATNI DDV</w:t>
            </w:r>
          </w:p>
        </w:tc>
        <w:tc>
          <w:tcPr>
            <w:tcW w:w="502" w:type="pct"/>
            <w:tcBorders>
              <w:top w:val="nil"/>
              <w:left w:val="nil"/>
              <w:bottom w:val="single" w:sz="4" w:space="0" w:color="auto"/>
              <w:right w:val="single" w:sz="4" w:space="0" w:color="auto"/>
            </w:tcBorders>
            <w:shd w:val="clear" w:color="000000" w:fill="D9D9D9"/>
            <w:noWrap/>
            <w:vAlign w:val="bottom"/>
            <w:hideMark/>
          </w:tcPr>
          <w:p w14:paraId="097EF9E7" w14:textId="1C8FAF61"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22.291,03</w:t>
            </w:r>
          </w:p>
        </w:tc>
        <w:tc>
          <w:tcPr>
            <w:tcW w:w="453" w:type="pct"/>
            <w:tcBorders>
              <w:top w:val="nil"/>
              <w:left w:val="nil"/>
              <w:bottom w:val="single" w:sz="4" w:space="0" w:color="auto"/>
              <w:right w:val="single" w:sz="4" w:space="0" w:color="auto"/>
            </w:tcBorders>
            <w:shd w:val="clear" w:color="000000" w:fill="D9D9D9"/>
            <w:noWrap/>
            <w:vAlign w:val="bottom"/>
            <w:hideMark/>
          </w:tcPr>
          <w:p w14:paraId="6745B84E" w14:textId="12F53A44"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0,68%</w:t>
            </w:r>
          </w:p>
        </w:tc>
        <w:tc>
          <w:tcPr>
            <w:tcW w:w="496" w:type="pct"/>
            <w:tcBorders>
              <w:top w:val="nil"/>
              <w:left w:val="nil"/>
              <w:bottom w:val="single" w:sz="4" w:space="0" w:color="auto"/>
              <w:right w:val="single" w:sz="4" w:space="0" w:color="auto"/>
            </w:tcBorders>
            <w:shd w:val="clear" w:color="000000" w:fill="D9D9D9"/>
            <w:noWrap/>
            <w:vAlign w:val="bottom"/>
            <w:hideMark/>
          </w:tcPr>
          <w:p w14:paraId="78BC7AAC" w14:textId="0C73B611"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58" w:type="pct"/>
            <w:tcBorders>
              <w:top w:val="nil"/>
              <w:left w:val="nil"/>
              <w:bottom w:val="single" w:sz="4" w:space="0" w:color="auto"/>
              <w:right w:val="single" w:sz="4" w:space="0" w:color="auto"/>
            </w:tcBorders>
            <w:shd w:val="clear" w:color="000000" w:fill="D9D9D9"/>
            <w:noWrap/>
            <w:vAlign w:val="bottom"/>
            <w:hideMark/>
          </w:tcPr>
          <w:p w14:paraId="71BB1FBA" w14:textId="3377E7DD"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78" w:type="pct"/>
            <w:tcBorders>
              <w:top w:val="nil"/>
              <w:left w:val="nil"/>
              <w:bottom w:val="single" w:sz="4" w:space="0" w:color="auto"/>
              <w:right w:val="single" w:sz="4" w:space="0" w:color="auto"/>
            </w:tcBorders>
            <w:shd w:val="clear" w:color="000000" w:fill="D9D9D9"/>
            <w:noWrap/>
            <w:vAlign w:val="bottom"/>
            <w:hideMark/>
          </w:tcPr>
          <w:p w14:paraId="32BD1D87" w14:textId="14443FCF"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66" w:type="pct"/>
            <w:tcBorders>
              <w:top w:val="nil"/>
              <w:left w:val="nil"/>
              <w:bottom w:val="single" w:sz="4" w:space="0" w:color="auto"/>
              <w:right w:val="single" w:sz="4" w:space="0" w:color="auto"/>
            </w:tcBorders>
            <w:shd w:val="clear" w:color="000000" w:fill="D9D9D9"/>
            <w:noWrap/>
            <w:vAlign w:val="bottom"/>
            <w:hideMark/>
          </w:tcPr>
          <w:p w14:paraId="1C22A0BB" w14:textId="4798C92E"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27" w:type="pct"/>
            <w:tcBorders>
              <w:top w:val="nil"/>
              <w:left w:val="nil"/>
              <w:bottom w:val="single" w:sz="4" w:space="0" w:color="auto"/>
              <w:right w:val="single" w:sz="4" w:space="0" w:color="auto"/>
            </w:tcBorders>
            <w:shd w:val="clear" w:color="000000" w:fill="D9D9D9"/>
            <w:noWrap/>
            <w:vAlign w:val="bottom"/>
            <w:hideMark/>
          </w:tcPr>
          <w:p w14:paraId="777CF3DB" w14:textId="58BA76F5"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22.291,03</w:t>
            </w:r>
          </w:p>
        </w:tc>
        <w:tc>
          <w:tcPr>
            <w:tcW w:w="478" w:type="pct"/>
            <w:tcBorders>
              <w:top w:val="nil"/>
              <w:left w:val="nil"/>
              <w:bottom w:val="single" w:sz="4" w:space="0" w:color="auto"/>
              <w:right w:val="single" w:sz="4" w:space="0" w:color="auto"/>
            </w:tcBorders>
            <w:shd w:val="clear" w:color="000000" w:fill="D9D9D9"/>
            <w:noWrap/>
            <w:vAlign w:val="bottom"/>
            <w:hideMark/>
          </w:tcPr>
          <w:p w14:paraId="0FA4152B" w14:textId="342490E0"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0,00</w:t>
            </w:r>
          </w:p>
        </w:tc>
      </w:tr>
      <w:tr w:rsidR="00354309" w:rsidRPr="000020F0" w14:paraId="24B9ADA0"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5F3FFA19" w14:textId="782A3046"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346A6F91" w14:textId="3D4C24FD"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7246E963" w14:textId="3A5E619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25746165" w14:textId="38BF2CB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7CC91EDA" w14:textId="7139AB9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AB1961E" w14:textId="4CBAF03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19D8DFBB" w14:textId="01ACED2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300BD2D0" w14:textId="5624E4B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0A35326" w14:textId="7171AA8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r>
      <w:tr w:rsidR="00354309" w:rsidRPr="000020F0" w14:paraId="0DCA5386"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02469E48" w14:textId="6D690A0C"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6A32EABF" w14:textId="48D3660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3E64A33D" w14:textId="5400858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35D743B0" w14:textId="0FB0BC9D"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1E4C7954" w14:textId="694F976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6D73C71" w14:textId="6F270391"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3A36AC58" w14:textId="6C468D3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5E7E7805" w14:textId="0E2B635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34CF3FAB" w14:textId="5CCD29E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r>
      <w:tr w:rsidR="00354309" w:rsidRPr="000020F0" w14:paraId="51D49F45"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25F2EB56" w14:textId="234FFA01"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733B09CC" w14:textId="0F95604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22.291,03</w:t>
            </w:r>
          </w:p>
        </w:tc>
        <w:tc>
          <w:tcPr>
            <w:tcW w:w="453" w:type="pct"/>
            <w:tcBorders>
              <w:top w:val="nil"/>
              <w:left w:val="nil"/>
              <w:bottom w:val="single" w:sz="4" w:space="0" w:color="auto"/>
              <w:right w:val="single" w:sz="4" w:space="0" w:color="auto"/>
            </w:tcBorders>
            <w:noWrap/>
            <w:vAlign w:val="bottom"/>
            <w:hideMark/>
          </w:tcPr>
          <w:p w14:paraId="3AF3C2DB" w14:textId="24B739FA"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0,68%</w:t>
            </w:r>
          </w:p>
        </w:tc>
        <w:tc>
          <w:tcPr>
            <w:tcW w:w="496" w:type="pct"/>
            <w:tcBorders>
              <w:top w:val="nil"/>
              <w:left w:val="nil"/>
              <w:bottom w:val="single" w:sz="4" w:space="0" w:color="auto"/>
              <w:right w:val="single" w:sz="4" w:space="0" w:color="auto"/>
            </w:tcBorders>
            <w:noWrap/>
            <w:vAlign w:val="bottom"/>
            <w:hideMark/>
          </w:tcPr>
          <w:p w14:paraId="34872D31" w14:textId="0FDCE88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40DD7E47" w14:textId="5FBA30D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0C423C98" w14:textId="7F7560F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641B3BAE" w14:textId="27E65B5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03CD5F5A" w14:textId="0C4558A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22.291,03</w:t>
            </w:r>
          </w:p>
        </w:tc>
        <w:tc>
          <w:tcPr>
            <w:tcW w:w="478" w:type="pct"/>
            <w:tcBorders>
              <w:top w:val="nil"/>
              <w:left w:val="nil"/>
              <w:bottom w:val="single" w:sz="4" w:space="0" w:color="auto"/>
              <w:right w:val="single" w:sz="4" w:space="0" w:color="auto"/>
            </w:tcBorders>
            <w:noWrap/>
            <w:vAlign w:val="bottom"/>
            <w:hideMark/>
          </w:tcPr>
          <w:p w14:paraId="78CFAAB3" w14:textId="363C1569"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0,00</w:t>
            </w:r>
          </w:p>
        </w:tc>
      </w:tr>
      <w:tr w:rsidR="00354309" w:rsidRPr="000020F0" w14:paraId="380C6A26" w14:textId="77777777" w:rsidTr="00FF05C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64EEF8D9" w14:textId="7AAADB16" w:rsidR="00354309" w:rsidRPr="000020F0" w:rsidRDefault="00354309" w:rsidP="00354309">
            <w:pPr>
              <w:rPr>
                <w:rFonts w:ascii="Arial" w:hAnsi="Arial" w:cs="Arial"/>
                <w:b/>
                <w:bCs/>
                <w:color w:val="000000"/>
                <w:sz w:val="20"/>
                <w:szCs w:val="20"/>
              </w:rPr>
            </w:pPr>
            <w:r w:rsidRPr="000020F0">
              <w:rPr>
                <w:rFonts w:ascii="Arial" w:hAnsi="Arial" w:cs="Arial"/>
                <w:b/>
                <w:bCs/>
                <w:color w:val="000000"/>
                <w:sz w:val="20"/>
                <w:szCs w:val="20"/>
              </w:rPr>
              <w:t>SKUPAJ</w:t>
            </w:r>
          </w:p>
        </w:tc>
        <w:tc>
          <w:tcPr>
            <w:tcW w:w="502" w:type="pct"/>
            <w:tcBorders>
              <w:top w:val="nil"/>
              <w:left w:val="nil"/>
              <w:bottom w:val="single" w:sz="4" w:space="0" w:color="auto"/>
              <w:right w:val="single" w:sz="4" w:space="0" w:color="auto"/>
            </w:tcBorders>
            <w:shd w:val="clear" w:color="000000" w:fill="D9D9D9"/>
            <w:noWrap/>
            <w:vAlign w:val="bottom"/>
            <w:hideMark/>
          </w:tcPr>
          <w:p w14:paraId="3ECD946B" w14:textId="4F4EC87C"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453" w:type="pct"/>
            <w:tcBorders>
              <w:top w:val="nil"/>
              <w:left w:val="nil"/>
              <w:bottom w:val="single" w:sz="4" w:space="0" w:color="auto"/>
              <w:right w:val="single" w:sz="4" w:space="0" w:color="auto"/>
            </w:tcBorders>
            <w:shd w:val="clear" w:color="000000" w:fill="D9D9D9"/>
            <w:noWrap/>
            <w:vAlign w:val="bottom"/>
            <w:hideMark/>
          </w:tcPr>
          <w:p w14:paraId="6FC3A2D0" w14:textId="46DB2F5A"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96" w:type="pct"/>
            <w:tcBorders>
              <w:top w:val="nil"/>
              <w:left w:val="nil"/>
              <w:bottom w:val="single" w:sz="4" w:space="0" w:color="auto"/>
              <w:right w:val="single" w:sz="4" w:space="0" w:color="auto"/>
            </w:tcBorders>
            <w:shd w:val="clear" w:color="000000" w:fill="D9D9D9"/>
            <w:noWrap/>
            <w:vAlign w:val="bottom"/>
            <w:hideMark/>
          </w:tcPr>
          <w:p w14:paraId="3F49EC84" w14:textId="61559D89"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558" w:type="pct"/>
            <w:tcBorders>
              <w:top w:val="nil"/>
              <w:left w:val="nil"/>
              <w:bottom w:val="single" w:sz="4" w:space="0" w:color="auto"/>
              <w:right w:val="single" w:sz="4" w:space="0" w:color="auto"/>
            </w:tcBorders>
            <w:shd w:val="clear" w:color="000000" w:fill="D9D9D9"/>
            <w:noWrap/>
            <w:vAlign w:val="bottom"/>
            <w:hideMark/>
          </w:tcPr>
          <w:p w14:paraId="12034D9C" w14:textId="302784B2"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478" w:type="pct"/>
            <w:tcBorders>
              <w:top w:val="nil"/>
              <w:left w:val="nil"/>
              <w:bottom w:val="single" w:sz="4" w:space="0" w:color="auto"/>
              <w:right w:val="single" w:sz="4" w:space="0" w:color="auto"/>
            </w:tcBorders>
            <w:shd w:val="clear" w:color="000000" w:fill="D9D9D9"/>
            <w:noWrap/>
            <w:vAlign w:val="bottom"/>
            <w:hideMark/>
          </w:tcPr>
          <w:p w14:paraId="23C5225B" w14:textId="4DCC192E"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466" w:type="pct"/>
            <w:tcBorders>
              <w:top w:val="nil"/>
              <w:left w:val="nil"/>
              <w:bottom w:val="single" w:sz="4" w:space="0" w:color="auto"/>
              <w:right w:val="single" w:sz="4" w:space="0" w:color="auto"/>
            </w:tcBorders>
            <w:shd w:val="clear" w:color="000000" w:fill="D9D9D9"/>
            <w:noWrap/>
            <w:vAlign w:val="bottom"/>
            <w:hideMark/>
          </w:tcPr>
          <w:p w14:paraId="5CC3B7E0" w14:textId="4D3EB6FA"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527" w:type="pct"/>
            <w:tcBorders>
              <w:top w:val="nil"/>
              <w:left w:val="nil"/>
              <w:bottom w:val="single" w:sz="4" w:space="0" w:color="auto"/>
              <w:right w:val="single" w:sz="4" w:space="0" w:color="auto"/>
            </w:tcBorders>
            <w:shd w:val="clear" w:color="000000" w:fill="D9D9D9"/>
            <w:noWrap/>
            <w:vAlign w:val="bottom"/>
            <w:hideMark/>
          </w:tcPr>
          <w:p w14:paraId="5B71FCC4" w14:textId="30D11C1A"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2.103.222,14</w:t>
            </w:r>
          </w:p>
        </w:tc>
        <w:tc>
          <w:tcPr>
            <w:tcW w:w="478" w:type="pct"/>
            <w:tcBorders>
              <w:top w:val="nil"/>
              <w:left w:val="nil"/>
              <w:bottom w:val="single" w:sz="4" w:space="0" w:color="auto"/>
              <w:right w:val="single" w:sz="4" w:space="0" w:color="auto"/>
            </w:tcBorders>
            <w:shd w:val="clear" w:color="000000" w:fill="D9D9D9"/>
            <w:noWrap/>
            <w:vAlign w:val="bottom"/>
            <w:hideMark/>
          </w:tcPr>
          <w:p w14:paraId="3EFAD6BA" w14:textId="0587AB06" w:rsidR="00354309" w:rsidRPr="000020F0" w:rsidRDefault="00354309" w:rsidP="00354309">
            <w:pPr>
              <w:jc w:val="right"/>
              <w:rPr>
                <w:rFonts w:ascii="Arial" w:hAnsi="Arial" w:cs="Arial"/>
                <w:b/>
                <w:bCs/>
                <w:color w:val="000000"/>
                <w:sz w:val="20"/>
                <w:szCs w:val="20"/>
              </w:rPr>
            </w:pPr>
            <w:r w:rsidRPr="000020F0">
              <w:rPr>
                <w:rFonts w:ascii="Arial" w:hAnsi="Arial" w:cs="Arial"/>
                <w:b/>
                <w:bCs/>
                <w:color w:val="000000"/>
                <w:sz w:val="20"/>
                <w:szCs w:val="20"/>
              </w:rPr>
              <w:t>76.202,82</w:t>
            </w:r>
          </w:p>
        </w:tc>
      </w:tr>
      <w:tr w:rsidR="00354309" w:rsidRPr="000020F0" w14:paraId="050805D8"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4F50FFB5" w14:textId="68C60B89"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716E9CAA" w14:textId="0A710C9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1.698.895,04</w:t>
            </w:r>
          </w:p>
        </w:tc>
        <w:tc>
          <w:tcPr>
            <w:tcW w:w="453" w:type="pct"/>
            <w:tcBorders>
              <w:top w:val="nil"/>
              <w:left w:val="nil"/>
              <w:bottom w:val="single" w:sz="4" w:space="0" w:color="auto"/>
              <w:right w:val="single" w:sz="4" w:space="0" w:color="auto"/>
            </w:tcBorders>
            <w:noWrap/>
            <w:vAlign w:val="bottom"/>
            <w:hideMark/>
          </w:tcPr>
          <w:p w14:paraId="3B7D24C3" w14:textId="7DC486B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50,17%</w:t>
            </w:r>
          </w:p>
        </w:tc>
        <w:tc>
          <w:tcPr>
            <w:tcW w:w="496" w:type="pct"/>
            <w:tcBorders>
              <w:top w:val="nil"/>
              <w:left w:val="nil"/>
              <w:bottom w:val="single" w:sz="4" w:space="0" w:color="auto"/>
              <w:right w:val="single" w:sz="4" w:space="0" w:color="auto"/>
            </w:tcBorders>
            <w:noWrap/>
            <w:vAlign w:val="bottom"/>
            <w:hideMark/>
          </w:tcPr>
          <w:p w14:paraId="4AF8222F" w14:textId="2952AB51"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2C443AA5" w14:textId="332324F4"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508A900D" w14:textId="4211B35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6EC520D4" w14:textId="6824C57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518.219,30</w:t>
            </w:r>
          </w:p>
        </w:tc>
        <w:tc>
          <w:tcPr>
            <w:tcW w:w="527" w:type="pct"/>
            <w:tcBorders>
              <w:top w:val="nil"/>
              <w:left w:val="nil"/>
              <w:bottom w:val="single" w:sz="4" w:space="0" w:color="auto"/>
              <w:right w:val="single" w:sz="4" w:space="0" w:color="auto"/>
            </w:tcBorders>
            <w:noWrap/>
            <w:vAlign w:val="bottom"/>
            <w:hideMark/>
          </w:tcPr>
          <w:p w14:paraId="1B896A9E" w14:textId="43936D6F"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1.048.962,57</w:t>
            </w:r>
          </w:p>
        </w:tc>
        <w:tc>
          <w:tcPr>
            <w:tcW w:w="478" w:type="pct"/>
            <w:tcBorders>
              <w:top w:val="nil"/>
              <w:left w:val="nil"/>
              <w:bottom w:val="single" w:sz="4" w:space="0" w:color="auto"/>
              <w:right w:val="single" w:sz="4" w:space="0" w:color="auto"/>
            </w:tcBorders>
            <w:noWrap/>
            <w:vAlign w:val="bottom"/>
            <w:hideMark/>
          </w:tcPr>
          <w:p w14:paraId="01CBDDC8" w14:textId="0F84714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50.089,52</w:t>
            </w:r>
          </w:p>
        </w:tc>
      </w:tr>
      <w:tr w:rsidR="00354309" w:rsidRPr="000020F0" w14:paraId="45C8F10D"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1FD4EE30" w14:textId="224ED3D1"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46C2732E" w14:textId="14CD294B"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299.804,99</w:t>
            </w:r>
          </w:p>
        </w:tc>
        <w:tc>
          <w:tcPr>
            <w:tcW w:w="453" w:type="pct"/>
            <w:tcBorders>
              <w:top w:val="nil"/>
              <w:left w:val="nil"/>
              <w:bottom w:val="single" w:sz="4" w:space="0" w:color="auto"/>
              <w:right w:val="single" w:sz="4" w:space="0" w:color="auto"/>
            </w:tcBorders>
            <w:noWrap/>
            <w:vAlign w:val="bottom"/>
            <w:hideMark/>
          </w:tcPr>
          <w:p w14:paraId="2CC98ECE" w14:textId="677E01B7"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8,85%</w:t>
            </w:r>
          </w:p>
        </w:tc>
        <w:tc>
          <w:tcPr>
            <w:tcW w:w="496" w:type="pct"/>
            <w:tcBorders>
              <w:top w:val="nil"/>
              <w:left w:val="nil"/>
              <w:bottom w:val="single" w:sz="4" w:space="0" w:color="auto"/>
              <w:right w:val="single" w:sz="4" w:space="0" w:color="auto"/>
            </w:tcBorders>
            <w:noWrap/>
            <w:vAlign w:val="bottom"/>
            <w:hideMark/>
          </w:tcPr>
          <w:p w14:paraId="4B7843F6" w14:textId="005C1252"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848,55</w:t>
            </w:r>
          </w:p>
        </w:tc>
        <w:tc>
          <w:tcPr>
            <w:tcW w:w="558" w:type="pct"/>
            <w:tcBorders>
              <w:top w:val="nil"/>
              <w:left w:val="nil"/>
              <w:bottom w:val="single" w:sz="4" w:space="0" w:color="auto"/>
              <w:right w:val="single" w:sz="4" w:space="0" w:color="auto"/>
            </w:tcBorders>
            <w:noWrap/>
            <w:vAlign w:val="bottom"/>
            <w:hideMark/>
          </w:tcPr>
          <w:p w14:paraId="5FD40703" w14:textId="569DE0C6"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641DE557" w14:textId="7C6CE8A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69F41FFB" w14:textId="74A328EC"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91.450,46</w:t>
            </w:r>
          </w:p>
        </w:tc>
        <w:tc>
          <w:tcPr>
            <w:tcW w:w="527" w:type="pct"/>
            <w:tcBorders>
              <w:top w:val="nil"/>
              <w:left w:val="nil"/>
              <w:bottom w:val="single" w:sz="4" w:space="0" w:color="auto"/>
              <w:right w:val="single" w:sz="4" w:space="0" w:color="auto"/>
            </w:tcBorders>
            <w:noWrap/>
            <w:vAlign w:val="bottom"/>
            <w:hideMark/>
          </w:tcPr>
          <w:p w14:paraId="557BD72B" w14:textId="0A32F9F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185.111,04</w:t>
            </w:r>
          </w:p>
        </w:tc>
        <w:tc>
          <w:tcPr>
            <w:tcW w:w="478" w:type="pct"/>
            <w:tcBorders>
              <w:top w:val="nil"/>
              <w:left w:val="nil"/>
              <w:bottom w:val="single" w:sz="4" w:space="0" w:color="auto"/>
              <w:right w:val="single" w:sz="4" w:space="0" w:color="auto"/>
            </w:tcBorders>
            <w:noWrap/>
            <w:vAlign w:val="bottom"/>
            <w:hideMark/>
          </w:tcPr>
          <w:p w14:paraId="0AFA778C" w14:textId="20E4A32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8.839,32</w:t>
            </w:r>
          </w:p>
        </w:tc>
      </w:tr>
      <w:tr w:rsidR="00354309" w:rsidRPr="000020F0" w14:paraId="04991454" w14:textId="77777777" w:rsidTr="00FF05C8">
        <w:trPr>
          <w:trHeight w:val="285"/>
        </w:trPr>
        <w:tc>
          <w:tcPr>
            <w:tcW w:w="1042" w:type="pct"/>
            <w:tcBorders>
              <w:top w:val="nil"/>
              <w:left w:val="single" w:sz="4" w:space="0" w:color="auto"/>
              <w:bottom w:val="single" w:sz="4" w:space="0" w:color="auto"/>
              <w:right w:val="single" w:sz="4" w:space="0" w:color="auto"/>
            </w:tcBorders>
            <w:vAlign w:val="bottom"/>
            <w:hideMark/>
          </w:tcPr>
          <w:p w14:paraId="48D46C98" w14:textId="05AE71EE" w:rsidR="00354309" w:rsidRPr="000020F0" w:rsidRDefault="00354309" w:rsidP="00354309">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1856DA23" w14:textId="1A4EEB90"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1.387.354,80</w:t>
            </w:r>
          </w:p>
        </w:tc>
        <w:tc>
          <w:tcPr>
            <w:tcW w:w="453" w:type="pct"/>
            <w:tcBorders>
              <w:top w:val="nil"/>
              <w:left w:val="nil"/>
              <w:bottom w:val="single" w:sz="4" w:space="0" w:color="auto"/>
              <w:right w:val="single" w:sz="4" w:space="0" w:color="auto"/>
            </w:tcBorders>
            <w:noWrap/>
            <w:vAlign w:val="bottom"/>
            <w:hideMark/>
          </w:tcPr>
          <w:p w14:paraId="56FB3F2A" w14:textId="5158BA1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40,97%</w:t>
            </w:r>
          </w:p>
        </w:tc>
        <w:tc>
          <w:tcPr>
            <w:tcW w:w="496" w:type="pct"/>
            <w:tcBorders>
              <w:top w:val="nil"/>
              <w:left w:val="nil"/>
              <w:bottom w:val="single" w:sz="4" w:space="0" w:color="auto"/>
              <w:right w:val="single" w:sz="4" w:space="0" w:color="auto"/>
            </w:tcBorders>
            <w:noWrap/>
            <w:vAlign w:val="bottom"/>
            <w:hideMark/>
          </w:tcPr>
          <w:p w14:paraId="7FB30EE9" w14:textId="2B5F50DE"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292.044,14</w:t>
            </w:r>
          </w:p>
        </w:tc>
        <w:tc>
          <w:tcPr>
            <w:tcW w:w="558" w:type="pct"/>
            <w:tcBorders>
              <w:top w:val="nil"/>
              <w:left w:val="nil"/>
              <w:bottom w:val="single" w:sz="4" w:space="0" w:color="auto"/>
              <w:right w:val="single" w:sz="4" w:space="0" w:color="auto"/>
            </w:tcBorders>
            <w:noWrap/>
            <w:vAlign w:val="bottom"/>
            <w:hideMark/>
          </w:tcPr>
          <w:p w14:paraId="13500CFD" w14:textId="6A607AF3"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33.854,31</w:t>
            </w:r>
          </w:p>
        </w:tc>
        <w:tc>
          <w:tcPr>
            <w:tcW w:w="478" w:type="pct"/>
            <w:tcBorders>
              <w:top w:val="nil"/>
              <w:left w:val="nil"/>
              <w:bottom w:val="single" w:sz="4" w:space="0" w:color="auto"/>
              <w:right w:val="single" w:sz="4" w:space="0" w:color="auto"/>
            </w:tcBorders>
            <w:noWrap/>
            <w:vAlign w:val="bottom"/>
            <w:hideMark/>
          </w:tcPr>
          <w:p w14:paraId="010F01A2" w14:textId="14258B74"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12.667,53</w:t>
            </w:r>
          </w:p>
        </w:tc>
        <w:tc>
          <w:tcPr>
            <w:tcW w:w="466" w:type="pct"/>
            <w:tcBorders>
              <w:top w:val="nil"/>
              <w:left w:val="nil"/>
              <w:bottom w:val="single" w:sz="4" w:space="0" w:color="auto"/>
              <w:right w:val="single" w:sz="4" w:space="0" w:color="auto"/>
            </w:tcBorders>
            <w:noWrap/>
            <w:vAlign w:val="bottom"/>
            <w:hideMark/>
          </w:tcPr>
          <w:p w14:paraId="37BE4E69" w14:textId="2A96DF95"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162.366,31</w:t>
            </w:r>
          </w:p>
        </w:tc>
        <w:tc>
          <w:tcPr>
            <w:tcW w:w="527" w:type="pct"/>
            <w:tcBorders>
              <w:top w:val="nil"/>
              <w:left w:val="nil"/>
              <w:bottom w:val="single" w:sz="4" w:space="0" w:color="auto"/>
              <w:right w:val="single" w:sz="4" w:space="0" w:color="auto"/>
            </w:tcBorders>
            <w:noWrap/>
            <w:vAlign w:val="bottom"/>
            <w:hideMark/>
          </w:tcPr>
          <w:p w14:paraId="1AD2F295" w14:textId="5E83E808"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869.148,53</w:t>
            </w:r>
          </w:p>
        </w:tc>
        <w:tc>
          <w:tcPr>
            <w:tcW w:w="478" w:type="pct"/>
            <w:tcBorders>
              <w:top w:val="nil"/>
              <w:left w:val="nil"/>
              <w:bottom w:val="single" w:sz="4" w:space="0" w:color="auto"/>
              <w:right w:val="single" w:sz="4" w:space="0" w:color="auto"/>
            </w:tcBorders>
            <w:noWrap/>
            <w:vAlign w:val="bottom"/>
            <w:hideMark/>
          </w:tcPr>
          <w:p w14:paraId="29B0F44E" w14:textId="3529F1F5" w:rsidR="00354309" w:rsidRPr="000020F0" w:rsidRDefault="00354309" w:rsidP="00354309">
            <w:pPr>
              <w:jc w:val="right"/>
              <w:rPr>
                <w:rFonts w:ascii="Arial" w:hAnsi="Arial" w:cs="Arial"/>
                <w:color w:val="000000"/>
                <w:sz w:val="20"/>
                <w:szCs w:val="20"/>
              </w:rPr>
            </w:pPr>
            <w:r w:rsidRPr="000020F0">
              <w:rPr>
                <w:rFonts w:ascii="Arial" w:hAnsi="Arial" w:cs="Arial"/>
                <w:color w:val="000000"/>
                <w:sz w:val="20"/>
                <w:szCs w:val="20"/>
              </w:rPr>
              <w:t>17.273,98</w:t>
            </w:r>
          </w:p>
        </w:tc>
      </w:tr>
    </w:tbl>
    <w:p w14:paraId="4322DD56" w14:textId="77777777" w:rsidR="00FF05C8" w:rsidRPr="000020F0" w:rsidRDefault="00FF05C8" w:rsidP="006154DD">
      <w:pPr>
        <w:spacing w:after="200" w:line="276" w:lineRule="auto"/>
        <w:rPr>
          <w:rFonts w:ascii="Arial" w:hAnsi="Arial" w:cs="Arial"/>
          <w:sz w:val="22"/>
          <w:szCs w:val="22"/>
        </w:rPr>
      </w:pPr>
    </w:p>
    <w:p w14:paraId="43266A97" w14:textId="77777777" w:rsidR="00FF05C8" w:rsidRPr="000020F0" w:rsidRDefault="00FF05C8" w:rsidP="006154DD">
      <w:pPr>
        <w:spacing w:after="200" w:line="276" w:lineRule="auto"/>
        <w:rPr>
          <w:rFonts w:ascii="Arial" w:hAnsi="Arial" w:cs="Arial"/>
          <w:sz w:val="22"/>
          <w:szCs w:val="22"/>
        </w:rPr>
      </w:pPr>
    </w:p>
    <w:p w14:paraId="638FACFE" w14:textId="77777777" w:rsidR="00FF05C8" w:rsidRPr="000020F0" w:rsidRDefault="00FF05C8" w:rsidP="006154DD">
      <w:pPr>
        <w:spacing w:after="200" w:line="276" w:lineRule="auto"/>
        <w:rPr>
          <w:rFonts w:ascii="Arial" w:hAnsi="Arial" w:cs="Arial"/>
          <w:sz w:val="22"/>
          <w:szCs w:val="22"/>
        </w:rPr>
      </w:pPr>
    </w:p>
    <w:p w14:paraId="073782F4" w14:textId="77777777" w:rsidR="002E10AB" w:rsidRPr="000020F0" w:rsidRDefault="002E10AB" w:rsidP="006154DD">
      <w:pPr>
        <w:spacing w:after="200" w:line="276" w:lineRule="auto"/>
        <w:rPr>
          <w:rFonts w:ascii="Arial" w:hAnsi="Arial" w:cs="Arial"/>
          <w:sz w:val="22"/>
          <w:szCs w:val="22"/>
        </w:rPr>
      </w:pPr>
    </w:p>
    <w:p w14:paraId="351DC7B0" w14:textId="77777777" w:rsidR="002E10AB" w:rsidRPr="000020F0" w:rsidRDefault="002E10AB" w:rsidP="006154DD">
      <w:pPr>
        <w:spacing w:after="200" w:line="276" w:lineRule="auto"/>
        <w:rPr>
          <w:rFonts w:ascii="Arial" w:hAnsi="Arial" w:cs="Arial"/>
          <w:sz w:val="22"/>
          <w:szCs w:val="22"/>
        </w:rPr>
      </w:pPr>
    </w:p>
    <w:p w14:paraId="5F80B2DC" w14:textId="77777777" w:rsidR="006154DD" w:rsidRPr="000020F0" w:rsidRDefault="006154DD" w:rsidP="006154DD">
      <w:pPr>
        <w:spacing w:line="276" w:lineRule="auto"/>
        <w:jc w:val="both"/>
        <w:rPr>
          <w:rFonts w:ascii="Arial" w:hAnsi="Arial" w:cs="Arial"/>
          <w:sz w:val="22"/>
          <w:szCs w:val="22"/>
        </w:rPr>
        <w:sectPr w:rsidR="006154DD" w:rsidRPr="000020F0" w:rsidSect="006154DD">
          <w:pgSz w:w="16838" w:h="11906" w:orient="landscape" w:code="9"/>
          <w:pgMar w:top="1134" w:right="1134" w:bottom="1417" w:left="1417" w:header="708" w:footer="708" w:gutter="0"/>
          <w:cols w:space="708"/>
          <w:titlePg/>
          <w:docGrid w:linePitch="360"/>
        </w:sectPr>
      </w:pPr>
    </w:p>
    <w:p w14:paraId="675A9C6D" w14:textId="15EFA029" w:rsidR="006154DD" w:rsidRPr="000020F0" w:rsidRDefault="006154DD" w:rsidP="006154DD">
      <w:pPr>
        <w:spacing w:after="120" w:line="276" w:lineRule="auto"/>
        <w:jc w:val="both"/>
        <w:rPr>
          <w:rFonts w:ascii="Arial" w:hAnsi="Arial" w:cs="Arial"/>
          <w:sz w:val="22"/>
          <w:szCs w:val="22"/>
        </w:rPr>
      </w:pPr>
      <w:r w:rsidRPr="000020F0">
        <w:rPr>
          <w:rFonts w:ascii="Arial" w:hAnsi="Arial" w:cs="Arial"/>
          <w:sz w:val="22"/>
          <w:szCs w:val="22"/>
        </w:rPr>
        <w:lastRenderedPageBreak/>
        <w:t>Za samo investicijo je glede na Uredbo o enotni metodologiji za pripravo in obravnavo investicijske dokumentacije na področju javnih financ potreben dokument identifikacije investicijskega projekta, predinvesticijska zasnova in investicijski program.</w:t>
      </w:r>
      <w:r w:rsidR="00463067" w:rsidRPr="000020F0">
        <w:rPr>
          <w:rFonts w:ascii="Arial" w:hAnsi="Arial" w:cs="Arial"/>
          <w:sz w:val="22"/>
          <w:szCs w:val="22"/>
        </w:rPr>
        <w:t xml:space="preserve"> Dodatno je investitor pristopil k izdelavi </w:t>
      </w:r>
      <w:proofErr w:type="spellStart"/>
      <w:r w:rsidR="00463067" w:rsidRPr="000020F0">
        <w:rPr>
          <w:rFonts w:asciiTheme="majorHAnsi" w:eastAsia="Arial Unicode MS" w:hAnsiTheme="majorHAnsi" w:cstheme="majorHAnsi"/>
          <w:sz w:val="22"/>
          <w:szCs w:val="22"/>
          <w:lang w:eastAsia="zh-TW"/>
        </w:rPr>
        <w:t>novelacije</w:t>
      </w:r>
      <w:proofErr w:type="spellEnd"/>
      <w:r w:rsidR="00463067" w:rsidRPr="000020F0">
        <w:rPr>
          <w:rFonts w:asciiTheme="majorHAnsi" w:eastAsia="Arial Unicode MS" w:hAnsiTheme="majorHAnsi" w:cstheme="majorHAnsi"/>
          <w:sz w:val="22"/>
          <w:szCs w:val="22"/>
          <w:lang w:eastAsia="zh-TW"/>
        </w:rPr>
        <w:t xml:space="preserve"> investicijskega programa št. 1.</w:t>
      </w:r>
    </w:p>
    <w:p w14:paraId="1A300121" w14:textId="77777777" w:rsidR="006154DD" w:rsidRPr="000020F0" w:rsidRDefault="006154DD" w:rsidP="006154DD">
      <w:pPr>
        <w:spacing w:after="120" w:line="276" w:lineRule="auto"/>
        <w:jc w:val="both"/>
        <w:rPr>
          <w:rFonts w:ascii="Arial" w:hAnsi="Arial" w:cs="Arial"/>
          <w:sz w:val="22"/>
          <w:szCs w:val="22"/>
        </w:rPr>
      </w:pPr>
      <w:r w:rsidRPr="000020F0">
        <w:rPr>
          <w:rFonts w:ascii="Arial" w:hAnsi="Arial" w:cs="Arial"/>
          <w:sz w:val="22"/>
          <w:szCs w:val="22"/>
        </w:rPr>
        <w:t>Investicija se bo financirala z nepovratnimi sredstvi z naslova javnega razpisa za področje trajnostne mobilnosti ter lastnimi sredstvi ter se bo predvidoma zaključila v letu 2029.</w:t>
      </w:r>
    </w:p>
    <w:p w14:paraId="4A691503" w14:textId="77777777" w:rsidR="00D1347D" w:rsidRPr="000020F0" w:rsidRDefault="00D1347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36" w:name="_Toc3698278"/>
      <w:bookmarkStart w:id="337" w:name="_Ref230594440"/>
      <w:bookmarkStart w:id="338" w:name="_Toc230882245"/>
      <w:r w:rsidRPr="000020F0">
        <w:rPr>
          <w:rFonts w:asciiTheme="majorHAnsi" w:eastAsiaTheme="majorEastAsia" w:hAnsiTheme="majorHAnsi" w:cstheme="majorHAnsi"/>
          <w:color w:val="244061" w:themeColor="accent1" w:themeShade="80"/>
        </w:rPr>
        <w:t>Organizacija vodenja projekta</w:t>
      </w:r>
      <w:bookmarkEnd w:id="336"/>
      <w:bookmarkEnd w:id="337"/>
      <w:bookmarkEnd w:id="338"/>
    </w:p>
    <w:p w14:paraId="3C57DFB1" w14:textId="7EFD1C5D" w:rsidR="00E9413A" w:rsidRPr="000020F0" w:rsidRDefault="00E9413A" w:rsidP="00BD1D20">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Vodja pri izvedbi investicijskega projekta, ki je predmet tega dokumenta, je </w:t>
      </w:r>
      <w:r w:rsidR="00C73D22" w:rsidRPr="000020F0">
        <w:rPr>
          <w:rFonts w:asciiTheme="majorHAnsi" w:eastAsia="Arial Unicode MS" w:hAnsiTheme="majorHAnsi" w:cstheme="majorHAnsi"/>
          <w:sz w:val="22"/>
          <w:szCs w:val="22"/>
        </w:rPr>
        <w:t xml:space="preserve">Marjetka </w:t>
      </w:r>
      <w:r w:rsidR="00D25756" w:rsidRPr="000020F0">
        <w:rPr>
          <w:rFonts w:asciiTheme="majorHAnsi" w:eastAsia="Arial Unicode MS" w:hAnsiTheme="majorHAnsi" w:cstheme="majorHAnsi"/>
          <w:sz w:val="22"/>
          <w:szCs w:val="22"/>
        </w:rPr>
        <w:t>Pintarič Župec</w:t>
      </w:r>
      <w:r w:rsidRPr="000020F0">
        <w:rPr>
          <w:rFonts w:asciiTheme="majorHAnsi" w:eastAsia="Arial Unicode MS" w:hAnsiTheme="majorHAnsi" w:cstheme="majorHAnsi"/>
          <w:sz w:val="22"/>
          <w:szCs w:val="22"/>
        </w:rPr>
        <w:t xml:space="preserve">, </w:t>
      </w:r>
      <w:r w:rsidR="007B4FF2" w:rsidRPr="000020F0">
        <w:rPr>
          <w:rFonts w:asciiTheme="majorHAnsi" w:eastAsia="Arial Unicode MS" w:hAnsiTheme="majorHAnsi" w:cstheme="majorHAnsi"/>
          <w:sz w:val="22"/>
          <w:szCs w:val="22"/>
        </w:rPr>
        <w:t>višja svetovalka</w:t>
      </w:r>
      <w:r w:rsidRPr="000020F0">
        <w:rPr>
          <w:rFonts w:asciiTheme="majorHAnsi" w:hAnsiTheme="majorHAnsi" w:cstheme="majorHAnsi"/>
          <w:sz w:val="22"/>
          <w:szCs w:val="22"/>
        </w:rPr>
        <w:t>. Kot vodja bo skrbel</w:t>
      </w:r>
      <w:r w:rsidR="007B4FF2" w:rsidRPr="000020F0">
        <w:rPr>
          <w:rFonts w:asciiTheme="majorHAnsi" w:hAnsiTheme="majorHAnsi" w:cstheme="majorHAnsi"/>
          <w:sz w:val="22"/>
          <w:szCs w:val="22"/>
        </w:rPr>
        <w:t>a</w:t>
      </w:r>
      <w:r w:rsidRPr="000020F0">
        <w:rPr>
          <w:rFonts w:asciiTheme="majorHAnsi" w:hAnsiTheme="majorHAnsi" w:cstheme="majorHAnsi"/>
          <w:sz w:val="22"/>
          <w:szCs w:val="22"/>
        </w:rPr>
        <w:t xml:space="preserve"> za vodenje javnih naročil, pravoča</w:t>
      </w:r>
      <w:r w:rsidR="001C63A1" w:rsidRPr="000020F0">
        <w:rPr>
          <w:rFonts w:asciiTheme="majorHAnsi" w:hAnsiTheme="majorHAnsi" w:cstheme="majorHAnsi"/>
          <w:sz w:val="22"/>
          <w:szCs w:val="22"/>
        </w:rPr>
        <w:t>sno pripravo dokumentacije, vodil</w:t>
      </w:r>
      <w:r w:rsidR="007B4FF2" w:rsidRPr="000020F0">
        <w:rPr>
          <w:rFonts w:asciiTheme="majorHAnsi" w:hAnsiTheme="majorHAnsi" w:cstheme="majorHAnsi"/>
          <w:sz w:val="22"/>
          <w:szCs w:val="22"/>
        </w:rPr>
        <w:t>a</w:t>
      </w:r>
      <w:r w:rsidR="001C63A1" w:rsidRPr="000020F0">
        <w:rPr>
          <w:rFonts w:asciiTheme="majorHAnsi" w:hAnsiTheme="majorHAnsi" w:cstheme="majorHAnsi"/>
          <w:sz w:val="22"/>
          <w:szCs w:val="22"/>
        </w:rPr>
        <w:t xml:space="preserve"> bo</w:t>
      </w:r>
      <w:r w:rsidRPr="000020F0">
        <w:rPr>
          <w:rFonts w:asciiTheme="majorHAnsi" w:hAnsiTheme="majorHAnsi" w:cstheme="majorHAnsi"/>
          <w:sz w:val="22"/>
          <w:szCs w:val="22"/>
        </w:rPr>
        <w:t xml:space="preserve"> investicijo ter vlagal</w:t>
      </w:r>
      <w:r w:rsidR="007B4FF2" w:rsidRPr="000020F0">
        <w:rPr>
          <w:rFonts w:asciiTheme="majorHAnsi" w:hAnsiTheme="majorHAnsi" w:cstheme="majorHAnsi"/>
          <w:sz w:val="22"/>
          <w:szCs w:val="22"/>
        </w:rPr>
        <w:t>a</w:t>
      </w:r>
      <w:r w:rsidRPr="000020F0">
        <w:rPr>
          <w:rFonts w:asciiTheme="majorHAnsi" w:hAnsiTheme="majorHAnsi" w:cstheme="majorHAnsi"/>
          <w:sz w:val="22"/>
          <w:szCs w:val="22"/>
        </w:rPr>
        <w:t xml:space="preserve"> zahtevke na investitorja za povračilo sredstev.</w:t>
      </w:r>
    </w:p>
    <w:p w14:paraId="122D6DB5" w14:textId="77777777" w:rsidR="00E9413A" w:rsidRPr="000020F0" w:rsidRDefault="00E9413A" w:rsidP="00BD1D20">
      <w:pPr>
        <w:spacing w:line="276" w:lineRule="auto"/>
        <w:jc w:val="both"/>
        <w:rPr>
          <w:rFonts w:asciiTheme="majorHAnsi" w:hAnsiTheme="majorHAnsi" w:cstheme="majorHAnsi"/>
          <w:sz w:val="22"/>
          <w:szCs w:val="22"/>
        </w:rPr>
      </w:pPr>
    </w:p>
    <w:p w14:paraId="73D67B83" w14:textId="77777777" w:rsidR="00E9413A" w:rsidRPr="000020F0" w:rsidRDefault="00E9413A" w:rsidP="00BD1D20">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Vloge in odgovornosti vodje pri izvedbi investicijskega projekta so:</w:t>
      </w:r>
    </w:p>
    <w:p w14:paraId="064D4ABA" w14:textId="70A07F2A"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zagon projekta, formiranje skupine, ki bo zadolžena za izvajanje akti</w:t>
      </w:r>
      <w:r w:rsidR="001C63A1" w:rsidRPr="000020F0">
        <w:rPr>
          <w:rFonts w:asciiTheme="majorHAnsi" w:hAnsiTheme="majorHAnsi" w:cstheme="majorHAnsi"/>
          <w:sz w:val="22"/>
          <w:szCs w:val="22"/>
        </w:rPr>
        <w:t>vnosti v povezavi z investicijo;</w:t>
      </w:r>
    </w:p>
    <w:p w14:paraId="5E38780B" w14:textId="0CD655F5"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priprava časovne</w:t>
      </w:r>
      <w:r w:rsidR="001C63A1" w:rsidRPr="000020F0">
        <w:rPr>
          <w:rFonts w:asciiTheme="majorHAnsi" w:hAnsiTheme="majorHAnsi" w:cstheme="majorHAnsi"/>
          <w:sz w:val="22"/>
          <w:szCs w:val="22"/>
        </w:rPr>
        <w:t>ga načrta izvajanja investicije;</w:t>
      </w:r>
    </w:p>
    <w:p w14:paraId="376219DC" w14:textId="51F51B42"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zbiranje</w:t>
      </w:r>
      <w:r w:rsidRPr="000020F0">
        <w:rPr>
          <w:rFonts w:asciiTheme="majorHAnsi" w:hAnsiTheme="majorHAnsi" w:cstheme="majorHAnsi"/>
          <w:sz w:val="22"/>
          <w:szCs w:val="22"/>
        </w:rPr>
        <w:t xml:space="preserve"> ponudb izvajalcev na podl</w:t>
      </w:r>
      <w:r w:rsidR="001C63A1" w:rsidRPr="000020F0">
        <w:rPr>
          <w:rFonts w:asciiTheme="majorHAnsi" w:hAnsiTheme="majorHAnsi" w:cstheme="majorHAnsi"/>
          <w:sz w:val="22"/>
          <w:szCs w:val="22"/>
        </w:rPr>
        <w:t>agi popisov del za investicijo;</w:t>
      </w:r>
    </w:p>
    <w:p w14:paraId="4986DAEC" w14:textId="5B86E061"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vodenje</w:t>
      </w:r>
      <w:r w:rsidR="001C63A1" w:rsidRPr="000020F0">
        <w:rPr>
          <w:rFonts w:asciiTheme="majorHAnsi" w:hAnsiTheme="majorHAnsi" w:cstheme="majorHAnsi"/>
          <w:sz w:val="22"/>
          <w:szCs w:val="22"/>
        </w:rPr>
        <w:t xml:space="preserve"> postopka za izbiro izvajalca;</w:t>
      </w:r>
    </w:p>
    <w:p w14:paraId="55896CF2" w14:textId="1B6AD200"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koordinacija</w:t>
      </w:r>
      <w:r w:rsidRPr="000020F0">
        <w:rPr>
          <w:rFonts w:asciiTheme="majorHAnsi" w:hAnsiTheme="majorHAnsi" w:cstheme="majorHAnsi"/>
          <w:sz w:val="22"/>
          <w:szCs w:val="22"/>
        </w:rPr>
        <w:t xml:space="preserve"> izvajanja projekta in ustrezno</w:t>
      </w:r>
      <w:r w:rsidR="001C63A1" w:rsidRPr="000020F0">
        <w:rPr>
          <w:rFonts w:asciiTheme="majorHAnsi" w:hAnsiTheme="majorHAnsi" w:cstheme="majorHAnsi"/>
          <w:sz w:val="22"/>
          <w:szCs w:val="22"/>
        </w:rPr>
        <w:t xml:space="preserve"> ukrepanje v primeru odstopanj;</w:t>
      </w:r>
    </w:p>
    <w:p w14:paraId="14255842" w14:textId="32CC8C0E"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ocenjevanje</w:t>
      </w:r>
      <w:r w:rsidRPr="000020F0">
        <w:rPr>
          <w:rFonts w:asciiTheme="majorHAnsi" w:hAnsiTheme="majorHAnsi" w:cstheme="majorHAnsi"/>
          <w:sz w:val="22"/>
          <w:szCs w:val="22"/>
        </w:rPr>
        <w:t xml:space="preserve"> doseženih rezultatov proje</w:t>
      </w:r>
      <w:r w:rsidR="001C63A1" w:rsidRPr="000020F0">
        <w:rPr>
          <w:rFonts w:asciiTheme="majorHAnsi" w:hAnsiTheme="majorHAnsi" w:cstheme="majorHAnsi"/>
          <w:sz w:val="22"/>
          <w:szCs w:val="22"/>
        </w:rPr>
        <w:t>kta glede na zastavljene cilje;</w:t>
      </w:r>
    </w:p>
    <w:p w14:paraId="77B7955E" w14:textId="4AC3CF5B"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razreševanje</w:t>
      </w:r>
      <w:r w:rsidR="001C63A1" w:rsidRPr="000020F0">
        <w:rPr>
          <w:rFonts w:asciiTheme="majorHAnsi" w:hAnsiTheme="majorHAnsi" w:cstheme="majorHAnsi"/>
          <w:sz w:val="22"/>
          <w:szCs w:val="22"/>
        </w:rPr>
        <w:t xml:space="preserve"> problemov;</w:t>
      </w:r>
    </w:p>
    <w:p w14:paraId="58EA3C98" w14:textId="77777777" w:rsidR="00E9413A" w:rsidRPr="000020F0" w:rsidRDefault="00E9413A" w:rsidP="00BD1D20">
      <w:pPr>
        <w:numPr>
          <w:ilvl w:val="0"/>
          <w:numId w:val="92"/>
        </w:numPr>
        <w:spacing w:line="276" w:lineRule="auto"/>
        <w:contextualSpacing/>
        <w:jc w:val="both"/>
        <w:rPr>
          <w:rFonts w:asciiTheme="majorHAnsi" w:hAnsiTheme="majorHAnsi" w:cstheme="majorHAnsi"/>
          <w:sz w:val="22"/>
          <w:szCs w:val="22"/>
        </w:rPr>
      </w:pPr>
      <w:r w:rsidRPr="000020F0">
        <w:rPr>
          <w:rFonts w:ascii="Arial" w:eastAsia="Arial" w:hAnsi="Arial" w:cs="Arial"/>
          <w:sz w:val="22"/>
          <w:szCs w:val="22"/>
          <w:lang w:eastAsia="en-US"/>
        </w:rPr>
        <w:t>spremljanje</w:t>
      </w:r>
      <w:r w:rsidRPr="000020F0">
        <w:rPr>
          <w:rFonts w:asciiTheme="majorHAnsi" w:hAnsiTheme="majorHAnsi" w:cstheme="majorHAnsi"/>
          <w:sz w:val="22"/>
          <w:szCs w:val="22"/>
        </w:rPr>
        <w:t xml:space="preserve"> finančnega načrta.</w:t>
      </w:r>
    </w:p>
    <w:p w14:paraId="7CFECD1D" w14:textId="77777777" w:rsidR="00EA1ACE" w:rsidRPr="000020F0" w:rsidRDefault="00EA1ACE" w:rsidP="00BD1D20">
      <w:pPr>
        <w:spacing w:line="276" w:lineRule="auto"/>
        <w:jc w:val="both"/>
        <w:rPr>
          <w:rFonts w:asciiTheme="majorHAnsi" w:hAnsiTheme="majorHAnsi" w:cstheme="majorHAnsi"/>
          <w:sz w:val="22"/>
          <w:szCs w:val="22"/>
        </w:rPr>
      </w:pPr>
    </w:p>
    <w:p w14:paraId="2D238064" w14:textId="3AEBA3FC" w:rsidR="00E9413A" w:rsidRPr="000020F0" w:rsidRDefault="00E9413A" w:rsidP="00BD1D20">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V projekt bodo vključeni tudi drugi posamezniki glede na potrebe oz. pri tistih specifičnih nalogah v projektu, ki jih pokrivajo v okviru svojih rednih delovnih nalog. V projektno skupino bodo po potrebi vključeni tudi drugi zunanji strokovni sodelavci, ki bodo sodelovali pri izvedbi projekta.</w:t>
      </w:r>
    </w:p>
    <w:p w14:paraId="460148C1" w14:textId="77777777" w:rsidR="00E9413A" w:rsidRPr="000020F0" w:rsidRDefault="00E9413A" w:rsidP="00BD1D20">
      <w:pPr>
        <w:spacing w:after="120" w:line="276" w:lineRule="auto"/>
        <w:jc w:val="both"/>
        <w:rPr>
          <w:rFonts w:asciiTheme="majorHAnsi" w:hAnsiTheme="majorHAnsi" w:cstheme="majorHAnsi"/>
          <w:i/>
          <w:sz w:val="22"/>
          <w:szCs w:val="22"/>
          <w:u w:val="single"/>
        </w:rPr>
      </w:pPr>
      <w:bookmarkStart w:id="339" w:name="_Toc342380328"/>
      <w:bookmarkStart w:id="340" w:name="_Toc343086539"/>
    </w:p>
    <w:p w14:paraId="3A50F871" w14:textId="77777777" w:rsidR="00560CC4" w:rsidRPr="000020F0" w:rsidRDefault="00560CC4" w:rsidP="00BD1D20">
      <w:pPr>
        <w:spacing w:after="120" w:line="276" w:lineRule="auto"/>
        <w:jc w:val="both"/>
        <w:rPr>
          <w:rFonts w:asciiTheme="majorHAnsi" w:hAnsiTheme="majorHAnsi" w:cstheme="majorHAnsi"/>
          <w:i/>
          <w:sz w:val="22"/>
          <w:szCs w:val="22"/>
          <w:u w:val="single"/>
        </w:rPr>
      </w:pPr>
      <w:r w:rsidRPr="000020F0">
        <w:rPr>
          <w:rFonts w:asciiTheme="majorHAnsi" w:hAnsiTheme="majorHAnsi" w:cstheme="majorHAnsi"/>
          <w:i/>
          <w:sz w:val="22"/>
          <w:szCs w:val="22"/>
          <w:u w:val="single"/>
        </w:rPr>
        <w:t>Vpliv na zaposlenost</w:t>
      </w:r>
      <w:bookmarkEnd w:id="339"/>
      <w:bookmarkEnd w:id="340"/>
    </w:p>
    <w:p w14:paraId="4F57E935" w14:textId="389A3D38" w:rsidR="00560CC4" w:rsidRPr="000020F0" w:rsidRDefault="00560CC4"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Realizacija investicijske operacije </w:t>
      </w:r>
      <w:r w:rsidR="00214406" w:rsidRPr="000020F0">
        <w:rPr>
          <w:rFonts w:asciiTheme="majorHAnsi" w:hAnsiTheme="majorHAnsi" w:cstheme="majorHAnsi"/>
          <w:sz w:val="22"/>
          <w:szCs w:val="22"/>
        </w:rPr>
        <w:t xml:space="preserve"> ne vpliva na potrebo po </w:t>
      </w:r>
      <w:r w:rsidR="00BE2A45" w:rsidRPr="000020F0">
        <w:rPr>
          <w:rFonts w:asciiTheme="majorHAnsi" w:hAnsiTheme="majorHAnsi" w:cstheme="majorHAnsi"/>
          <w:sz w:val="22"/>
          <w:szCs w:val="22"/>
        </w:rPr>
        <w:t xml:space="preserve">zaposlitvi </w:t>
      </w:r>
      <w:r w:rsidR="00214406" w:rsidRPr="000020F0">
        <w:rPr>
          <w:rFonts w:asciiTheme="majorHAnsi" w:hAnsiTheme="majorHAnsi" w:cstheme="majorHAnsi"/>
          <w:sz w:val="22"/>
          <w:szCs w:val="22"/>
        </w:rPr>
        <w:t xml:space="preserve">dodatnih človeških virih znotraj občinske uprave. </w:t>
      </w:r>
      <w:r w:rsidRPr="000020F0">
        <w:rPr>
          <w:rFonts w:asciiTheme="majorHAnsi" w:hAnsiTheme="majorHAnsi" w:cstheme="majorHAnsi"/>
          <w:sz w:val="22"/>
          <w:szCs w:val="22"/>
        </w:rPr>
        <w:t xml:space="preserve"> </w:t>
      </w:r>
    </w:p>
    <w:p w14:paraId="65C57916" w14:textId="77777777" w:rsidR="00BE2A45" w:rsidRPr="000020F0" w:rsidRDefault="00BE2A45" w:rsidP="00BD1D20">
      <w:pPr>
        <w:spacing w:after="120" w:line="276" w:lineRule="auto"/>
        <w:jc w:val="both"/>
        <w:rPr>
          <w:rFonts w:asciiTheme="majorHAnsi" w:hAnsiTheme="majorHAnsi" w:cstheme="majorHAnsi"/>
          <w:sz w:val="22"/>
          <w:szCs w:val="22"/>
        </w:rPr>
      </w:pPr>
    </w:p>
    <w:p w14:paraId="7A9A6E24" w14:textId="77777777" w:rsidR="00560CC4" w:rsidRPr="000020F0" w:rsidRDefault="00560CC4" w:rsidP="00BD1D20">
      <w:pPr>
        <w:spacing w:after="120" w:line="276" w:lineRule="auto"/>
        <w:jc w:val="both"/>
        <w:rPr>
          <w:rFonts w:asciiTheme="majorHAnsi" w:hAnsiTheme="majorHAnsi" w:cstheme="majorHAnsi"/>
          <w:i/>
          <w:sz w:val="22"/>
          <w:szCs w:val="22"/>
          <w:u w:val="single"/>
        </w:rPr>
      </w:pPr>
      <w:bookmarkStart w:id="341" w:name="_Toc342380329"/>
      <w:bookmarkStart w:id="342" w:name="_Toc343086540"/>
      <w:r w:rsidRPr="000020F0">
        <w:rPr>
          <w:rFonts w:asciiTheme="majorHAnsi" w:hAnsiTheme="majorHAnsi" w:cstheme="majorHAnsi"/>
          <w:i/>
          <w:sz w:val="22"/>
          <w:szCs w:val="22"/>
          <w:u w:val="single"/>
        </w:rPr>
        <w:t>Vzdrževanje in upravljanje</w:t>
      </w:r>
      <w:bookmarkEnd w:id="341"/>
      <w:bookmarkEnd w:id="342"/>
      <w:r w:rsidRPr="000020F0">
        <w:rPr>
          <w:rFonts w:asciiTheme="majorHAnsi" w:hAnsiTheme="majorHAnsi" w:cstheme="majorHAnsi"/>
          <w:i/>
          <w:sz w:val="22"/>
          <w:szCs w:val="22"/>
          <w:u w:val="single"/>
        </w:rPr>
        <w:t xml:space="preserve"> </w:t>
      </w:r>
    </w:p>
    <w:p w14:paraId="11805DC2" w14:textId="77777777" w:rsidR="00560CC4" w:rsidRPr="000020F0" w:rsidRDefault="00560CC4"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 zaključku del bo z objektom upravljal</w:t>
      </w:r>
      <w:r w:rsidR="00663F69" w:rsidRPr="000020F0">
        <w:rPr>
          <w:rFonts w:asciiTheme="majorHAnsi" w:hAnsiTheme="majorHAnsi" w:cstheme="majorHAnsi"/>
          <w:sz w:val="22"/>
          <w:szCs w:val="22"/>
        </w:rPr>
        <w:t xml:space="preserve"> </w:t>
      </w:r>
      <w:r w:rsidR="00E9413A" w:rsidRPr="000020F0">
        <w:rPr>
          <w:rFonts w:asciiTheme="majorHAnsi" w:hAnsiTheme="majorHAnsi" w:cstheme="majorHAnsi"/>
          <w:sz w:val="22"/>
          <w:szCs w:val="22"/>
        </w:rPr>
        <w:t>naročnik</w:t>
      </w:r>
      <w:r w:rsidRPr="000020F0">
        <w:rPr>
          <w:rFonts w:asciiTheme="majorHAnsi" w:hAnsiTheme="majorHAnsi" w:cstheme="majorHAnsi"/>
          <w:sz w:val="22"/>
          <w:szCs w:val="22"/>
        </w:rPr>
        <w:t xml:space="preserve">, ki ima za to usposobljen kader.  </w:t>
      </w:r>
    </w:p>
    <w:p w14:paraId="4E52127F" w14:textId="77777777" w:rsidR="00BE2A45" w:rsidRPr="000020F0" w:rsidRDefault="00BE2A45" w:rsidP="00BD1D20">
      <w:pPr>
        <w:spacing w:after="120" w:line="276" w:lineRule="auto"/>
        <w:jc w:val="both"/>
        <w:rPr>
          <w:rFonts w:asciiTheme="majorHAnsi" w:hAnsiTheme="majorHAnsi" w:cstheme="majorHAnsi"/>
          <w:sz w:val="22"/>
          <w:szCs w:val="22"/>
        </w:rPr>
      </w:pPr>
    </w:p>
    <w:p w14:paraId="10CC06CD" w14:textId="77777777" w:rsidR="00560CC4" w:rsidRPr="000020F0" w:rsidRDefault="00560CC4" w:rsidP="00BD1D20">
      <w:pPr>
        <w:spacing w:after="120" w:line="276" w:lineRule="auto"/>
        <w:jc w:val="both"/>
        <w:rPr>
          <w:rFonts w:asciiTheme="majorHAnsi" w:hAnsiTheme="majorHAnsi" w:cstheme="majorHAnsi"/>
          <w:i/>
          <w:sz w:val="22"/>
          <w:szCs w:val="22"/>
          <w:u w:val="single"/>
        </w:rPr>
      </w:pPr>
      <w:bookmarkStart w:id="343" w:name="_Toc342380330"/>
      <w:bookmarkStart w:id="344" w:name="_Toc343086541"/>
      <w:r w:rsidRPr="000020F0">
        <w:rPr>
          <w:rFonts w:asciiTheme="majorHAnsi" w:hAnsiTheme="majorHAnsi" w:cstheme="majorHAnsi"/>
          <w:i/>
          <w:sz w:val="22"/>
          <w:szCs w:val="22"/>
          <w:u w:val="single"/>
        </w:rPr>
        <w:t>Kadrovska sposobnost vlagatelja</w:t>
      </w:r>
      <w:bookmarkEnd w:id="343"/>
      <w:bookmarkEnd w:id="344"/>
    </w:p>
    <w:p w14:paraId="7E2D9AB2" w14:textId="34DA391A" w:rsidR="00560CC4" w:rsidRPr="000020F0" w:rsidRDefault="00560CC4"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Za izvedbo operacije bo </w:t>
      </w:r>
      <w:r w:rsidR="007B4FF2" w:rsidRPr="000020F0">
        <w:rPr>
          <w:rFonts w:asciiTheme="majorHAnsi" w:hAnsiTheme="majorHAnsi" w:cstheme="majorHAnsi"/>
          <w:sz w:val="22"/>
          <w:szCs w:val="22"/>
        </w:rPr>
        <w:t>odgovoren župan Občine Ig</w:t>
      </w:r>
      <w:r w:rsidR="009B4DDC" w:rsidRPr="000020F0">
        <w:rPr>
          <w:rFonts w:asciiTheme="majorHAnsi" w:hAnsiTheme="majorHAnsi" w:cstheme="majorHAnsi"/>
          <w:sz w:val="22"/>
          <w:szCs w:val="22"/>
        </w:rPr>
        <w:t>.</w:t>
      </w:r>
    </w:p>
    <w:p w14:paraId="36948FA8" w14:textId="72786F61" w:rsidR="00560CC4" w:rsidRPr="000020F0" w:rsidRDefault="00E9413A"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Direktor</w:t>
      </w:r>
      <w:r w:rsidR="00560CC4" w:rsidRPr="000020F0">
        <w:rPr>
          <w:rFonts w:asciiTheme="majorHAnsi" w:hAnsiTheme="majorHAnsi" w:cstheme="majorHAnsi"/>
          <w:sz w:val="22"/>
          <w:szCs w:val="22"/>
        </w:rPr>
        <w:t xml:space="preserve"> ima veliko izkušenj na področju vodenja </w:t>
      </w:r>
      <w:r w:rsidR="00AB403F" w:rsidRPr="000020F0">
        <w:rPr>
          <w:rFonts w:asciiTheme="majorHAnsi" w:hAnsiTheme="majorHAnsi" w:cstheme="majorHAnsi"/>
          <w:sz w:val="22"/>
          <w:szCs w:val="22"/>
        </w:rPr>
        <w:t>investicij</w:t>
      </w:r>
      <w:r w:rsidRPr="000020F0">
        <w:rPr>
          <w:rFonts w:asciiTheme="majorHAnsi" w:hAnsiTheme="majorHAnsi" w:cstheme="majorHAnsi"/>
          <w:sz w:val="22"/>
          <w:szCs w:val="22"/>
        </w:rPr>
        <w:t>.</w:t>
      </w:r>
    </w:p>
    <w:p w14:paraId="7C57F692" w14:textId="4FB4C4FA" w:rsidR="009260A8" w:rsidRPr="000020F0" w:rsidRDefault="009260A8"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Po potrebi bo </w:t>
      </w:r>
      <w:r w:rsidR="007B4FF2" w:rsidRPr="000020F0">
        <w:rPr>
          <w:rFonts w:asciiTheme="majorHAnsi" w:hAnsiTheme="majorHAnsi" w:cstheme="majorHAnsi"/>
          <w:sz w:val="22"/>
          <w:szCs w:val="22"/>
        </w:rPr>
        <w:t>Občina Ig</w:t>
      </w:r>
      <w:r w:rsidRPr="000020F0">
        <w:rPr>
          <w:rFonts w:asciiTheme="majorHAnsi" w:hAnsiTheme="majorHAnsi" w:cstheme="majorHAnsi"/>
          <w:sz w:val="22"/>
          <w:szCs w:val="22"/>
        </w:rPr>
        <w:t xml:space="preserve"> angažirala tudi zunanje svetovalce.</w:t>
      </w:r>
    </w:p>
    <w:p w14:paraId="7BFD7E7C" w14:textId="77777777" w:rsidR="00BE2A45" w:rsidRPr="000020F0" w:rsidRDefault="00BE2A45" w:rsidP="00BD1D20">
      <w:pPr>
        <w:spacing w:after="120" w:line="276" w:lineRule="auto"/>
        <w:jc w:val="both"/>
        <w:rPr>
          <w:rFonts w:asciiTheme="majorHAnsi" w:hAnsiTheme="majorHAnsi" w:cstheme="majorHAnsi"/>
          <w:sz w:val="22"/>
          <w:szCs w:val="22"/>
        </w:rPr>
      </w:pPr>
    </w:p>
    <w:p w14:paraId="559B375F" w14:textId="77777777" w:rsidR="00D1347D" w:rsidRPr="000020F0" w:rsidRDefault="00D1347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45" w:name="_Toc3698279"/>
      <w:bookmarkStart w:id="346" w:name="_Ref230594448"/>
      <w:bookmarkStart w:id="347" w:name="_Ref230594487"/>
      <w:bookmarkStart w:id="348" w:name="_Toc230882246"/>
      <w:r w:rsidRPr="000020F0">
        <w:rPr>
          <w:rFonts w:asciiTheme="majorHAnsi" w:eastAsiaTheme="majorEastAsia" w:hAnsiTheme="majorHAnsi" w:cstheme="majorHAnsi"/>
          <w:color w:val="244061" w:themeColor="accent1" w:themeShade="80"/>
        </w:rPr>
        <w:t>Javna naročila</w:t>
      </w:r>
      <w:bookmarkEnd w:id="345"/>
      <w:bookmarkEnd w:id="346"/>
      <w:bookmarkEnd w:id="347"/>
      <w:bookmarkEnd w:id="348"/>
    </w:p>
    <w:p w14:paraId="3EA82CED" w14:textId="77777777" w:rsidR="00D1347D" w:rsidRPr="000020F0" w:rsidRDefault="00D1347D" w:rsidP="00BD1D20">
      <w:pPr>
        <w:spacing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Vsa predvidena javna naročila bodo oddana skladno z javno naročniško zakonodajo.</w:t>
      </w:r>
    </w:p>
    <w:p w14:paraId="54D04BC6" w14:textId="77777777" w:rsidR="00D1347D" w:rsidRPr="000020F0" w:rsidRDefault="00D1347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49" w:name="_Toc3698280"/>
      <w:bookmarkStart w:id="350" w:name="_Ref230594456"/>
      <w:bookmarkStart w:id="351" w:name="_Toc230882247"/>
      <w:r w:rsidRPr="000020F0">
        <w:rPr>
          <w:rFonts w:asciiTheme="majorHAnsi" w:eastAsiaTheme="majorEastAsia" w:hAnsiTheme="majorHAnsi" w:cstheme="majorHAnsi"/>
          <w:color w:val="244061" w:themeColor="accent1" w:themeShade="80"/>
        </w:rPr>
        <w:lastRenderedPageBreak/>
        <w:t>Poročilo o izvajanju investicije</w:t>
      </w:r>
      <w:bookmarkEnd w:id="349"/>
      <w:bookmarkEnd w:id="350"/>
      <w:bookmarkEnd w:id="351"/>
    </w:p>
    <w:p w14:paraId="55F7D64D" w14:textId="64231446" w:rsidR="00D1347D" w:rsidRPr="000020F0" w:rsidRDefault="00D1347D" w:rsidP="00BD1D20">
      <w:pPr>
        <w:spacing w:after="120"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Skladno z Uredbo o enotni metodologiji za pripravo in obravnavo investicijske dokumentacije na področju javnih financ mora investitor zagotoviti ustrezen nadzor in spremljanje izvajanja investicije. V ta namen morajo biti izdelana poročila o izvajanju investici</w:t>
      </w:r>
      <w:r w:rsidR="00EA6FD0" w:rsidRPr="000020F0">
        <w:rPr>
          <w:rFonts w:asciiTheme="majorHAnsi" w:hAnsiTheme="majorHAnsi" w:cstheme="majorHAnsi"/>
          <w:sz w:val="22"/>
          <w:szCs w:val="22"/>
          <w:lang w:eastAsia="zh-TW"/>
        </w:rPr>
        <w:t>je. V okviru poročil o izvajanju</w:t>
      </w:r>
      <w:r w:rsidRPr="000020F0">
        <w:rPr>
          <w:rFonts w:asciiTheme="majorHAnsi" w:hAnsiTheme="majorHAnsi" w:cstheme="majorHAnsi"/>
          <w:sz w:val="22"/>
          <w:szCs w:val="22"/>
          <w:lang w:eastAsia="zh-TW"/>
        </w:rPr>
        <w:t xml:space="preserve"> investicije se </w:t>
      </w:r>
      <w:r w:rsidR="001B02AA" w:rsidRPr="000020F0">
        <w:rPr>
          <w:rFonts w:asciiTheme="majorHAnsi" w:hAnsiTheme="majorHAnsi" w:cstheme="majorHAnsi"/>
          <w:sz w:val="22"/>
          <w:szCs w:val="22"/>
          <w:lang w:eastAsia="zh-TW"/>
        </w:rPr>
        <w:t>ugotavljajo</w:t>
      </w:r>
      <w:r w:rsidRPr="000020F0">
        <w:rPr>
          <w:rFonts w:asciiTheme="majorHAnsi" w:hAnsiTheme="majorHAnsi" w:cstheme="majorHAnsi"/>
          <w:sz w:val="22"/>
          <w:szCs w:val="22"/>
          <w:lang w:eastAsia="zh-TW"/>
        </w:rPr>
        <w:t xml:space="preserve"> odmiki od predvidenega načrta izvajanja investicije v vseh njenih segmentih, poročilo pa zajema tudi nujne ukrepe za reševanje dilem in težav, ki se pojavljajo med izvajanjem.</w:t>
      </w:r>
    </w:p>
    <w:p w14:paraId="1FE52CFA" w14:textId="77777777" w:rsidR="00D1347D" w:rsidRPr="000020F0" w:rsidRDefault="00D1347D"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52" w:name="_Toc3698281"/>
      <w:bookmarkStart w:id="353" w:name="_Toc230882248"/>
      <w:r w:rsidRPr="000020F0">
        <w:rPr>
          <w:rFonts w:asciiTheme="majorHAnsi" w:eastAsiaTheme="majorEastAsia" w:hAnsiTheme="majorHAnsi" w:cstheme="majorHAnsi"/>
          <w:color w:val="244061" w:themeColor="accent1" w:themeShade="80"/>
        </w:rPr>
        <w:t>Zaključek</w:t>
      </w:r>
      <w:bookmarkEnd w:id="352"/>
      <w:bookmarkEnd w:id="353"/>
    </w:p>
    <w:p w14:paraId="35FB46F7" w14:textId="77777777" w:rsidR="00D1347D" w:rsidRPr="000020F0" w:rsidRDefault="00D1347D"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lang w:eastAsia="zh-TW"/>
        </w:rPr>
        <w:t>Projekt ima jasno časovno in organizacijsko strukturo, poleg tega so rešena bistvena vprašanja pripravljalne faze, zato menimo, da je projekt s tega vidika realen in izvedljiv, ekonomsko pa upravičen.</w:t>
      </w:r>
    </w:p>
    <w:p w14:paraId="19E79502" w14:textId="77777777" w:rsidR="00D1347D" w:rsidRPr="000020F0" w:rsidRDefault="00D1347D" w:rsidP="00BD1D20">
      <w:pPr>
        <w:spacing w:line="276" w:lineRule="auto"/>
        <w:jc w:val="both"/>
        <w:rPr>
          <w:rFonts w:asciiTheme="majorHAnsi" w:hAnsiTheme="majorHAnsi" w:cstheme="majorHAnsi"/>
          <w:sz w:val="22"/>
          <w:szCs w:val="22"/>
          <w:highlight w:val="yellow"/>
        </w:rPr>
      </w:pPr>
    </w:p>
    <w:p w14:paraId="03DE4AE6" w14:textId="77777777" w:rsidR="005C5AD5" w:rsidRPr="000020F0" w:rsidRDefault="005C5AD5" w:rsidP="00BD1D20">
      <w:pPr>
        <w:spacing w:line="276" w:lineRule="auto"/>
        <w:jc w:val="both"/>
        <w:rPr>
          <w:rFonts w:asciiTheme="majorHAnsi" w:hAnsiTheme="majorHAnsi" w:cstheme="majorHAnsi"/>
          <w:sz w:val="22"/>
          <w:szCs w:val="22"/>
          <w:highlight w:val="yellow"/>
        </w:rPr>
        <w:sectPr w:rsidR="005C5AD5" w:rsidRPr="000020F0" w:rsidSect="00480057">
          <w:pgSz w:w="11906" w:h="16838"/>
          <w:pgMar w:top="1134" w:right="1417" w:bottom="1417" w:left="1134" w:header="708" w:footer="708" w:gutter="0"/>
          <w:cols w:space="708"/>
          <w:titlePg/>
          <w:docGrid w:linePitch="360"/>
        </w:sectPr>
      </w:pPr>
    </w:p>
    <w:p w14:paraId="01EC12E1" w14:textId="77777777" w:rsidR="00593430" w:rsidRPr="000020F0" w:rsidRDefault="00593430" w:rsidP="00BD1D20">
      <w:pPr>
        <w:pStyle w:val="Naslov1"/>
        <w:numPr>
          <w:ilvl w:val="0"/>
          <w:numId w:val="3"/>
        </w:numPr>
        <w:rPr>
          <w:rFonts w:cstheme="majorHAnsi"/>
        </w:rPr>
      </w:pPr>
      <w:bookmarkStart w:id="354" w:name="_Ref230594276"/>
      <w:bookmarkStart w:id="355" w:name="_Toc230882249"/>
      <w:r w:rsidRPr="000020F0">
        <w:rPr>
          <w:rFonts w:cstheme="majorHAnsi"/>
        </w:rPr>
        <w:lastRenderedPageBreak/>
        <w:t>NAČRT FINANCIRANJA V STALNIH IN TEKOČIH CENAH PO DINAMIKI IN VIRIH FINANCIRANJA</w:t>
      </w:r>
      <w:bookmarkEnd w:id="354"/>
      <w:bookmarkEnd w:id="355"/>
      <w:r w:rsidRPr="000020F0">
        <w:rPr>
          <w:rFonts w:cstheme="majorHAnsi"/>
        </w:rPr>
        <w:t xml:space="preserve"> </w:t>
      </w:r>
    </w:p>
    <w:p w14:paraId="589CF37D" w14:textId="77777777" w:rsidR="00593430" w:rsidRPr="000020F0" w:rsidRDefault="00593430" w:rsidP="00BD1D20">
      <w:pPr>
        <w:spacing w:line="276" w:lineRule="auto"/>
        <w:rPr>
          <w:rFonts w:asciiTheme="majorHAnsi" w:hAnsiTheme="majorHAnsi" w:cstheme="majorHAnsi"/>
          <w:sz w:val="12"/>
          <w:szCs w:val="12"/>
          <w:highlight w:val="yellow"/>
        </w:rPr>
      </w:pPr>
    </w:p>
    <w:p w14:paraId="29E6BA14" w14:textId="5789C6F8" w:rsidR="008D1C61" w:rsidRPr="000020F0" w:rsidRDefault="008D1C61" w:rsidP="00BD1D20">
      <w:pPr>
        <w:spacing w:after="120" w:line="276" w:lineRule="auto"/>
        <w:jc w:val="both"/>
        <w:rPr>
          <w:rFonts w:asciiTheme="majorHAnsi" w:hAnsiTheme="majorHAnsi" w:cstheme="majorHAnsi"/>
          <w:sz w:val="22"/>
          <w:szCs w:val="22"/>
        </w:rPr>
      </w:pPr>
      <w:bookmarkStart w:id="356" w:name="_Toc230882299"/>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19</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Finančni terminski plan investicije v stalnih cenah v EUR</w:t>
      </w:r>
      <w:bookmarkEnd w:id="356"/>
    </w:p>
    <w:tbl>
      <w:tblPr>
        <w:tblW w:w="13887" w:type="dxa"/>
        <w:tblLook w:val="04A0" w:firstRow="1" w:lastRow="0" w:firstColumn="1" w:lastColumn="0" w:noHBand="0" w:noVBand="1"/>
      </w:tblPr>
      <w:tblGrid>
        <w:gridCol w:w="3114"/>
        <w:gridCol w:w="1560"/>
        <w:gridCol w:w="1417"/>
        <w:gridCol w:w="1275"/>
        <w:gridCol w:w="1276"/>
        <w:gridCol w:w="1134"/>
        <w:gridCol w:w="1418"/>
        <w:gridCol w:w="1501"/>
        <w:gridCol w:w="1192"/>
      </w:tblGrid>
      <w:tr w:rsidR="00831C91" w:rsidRPr="000020F0" w14:paraId="2CBB71FA" w14:textId="77777777" w:rsidTr="00CC4948">
        <w:trPr>
          <w:trHeight w:val="280"/>
          <w:tblHeader/>
        </w:trPr>
        <w:tc>
          <w:tcPr>
            <w:tcW w:w="3114"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215A2CFF" w14:textId="77777777" w:rsidR="00831C91" w:rsidRPr="000020F0" w:rsidRDefault="00831C91" w:rsidP="00CC4948">
            <w:pPr>
              <w:rPr>
                <w:rFonts w:ascii="Arial" w:hAnsi="Arial" w:cs="Arial"/>
                <w:b/>
                <w:bCs/>
                <w:color w:val="FFFFFF"/>
                <w:sz w:val="20"/>
                <w:szCs w:val="20"/>
              </w:rPr>
            </w:pPr>
            <w:r w:rsidRPr="000020F0">
              <w:rPr>
                <w:rFonts w:ascii="Arial" w:hAnsi="Arial" w:cs="Arial"/>
                <w:b/>
                <w:bCs/>
                <w:color w:val="FFFFFF"/>
                <w:sz w:val="20"/>
                <w:szCs w:val="20"/>
              </w:rPr>
              <w:t>Postavka</w:t>
            </w:r>
          </w:p>
        </w:tc>
        <w:tc>
          <w:tcPr>
            <w:tcW w:w="1560" w:type="dxa"/>
            <w:tcBorders>
              <w:top w:val="single" w:sz="4" w:space="0" w:color="auto"/>
              <w:left w:val="nil"/>
              <w:bottom w:val="single" w:sz="4" w:space="0" w:color="auto"/>
              <w:right w:val="single" w:sz="4" w:space="0" w:color="auto"/>
            </w:tcBorders>
            <w:shd w:val="clear" w:color="000000" w:fill="153D64"/>
            <w:noWrap/>
            <w:vAlign w:val="bottom"/>
            <w:hideMark/>
          </w:tcPr>
          <w:p w14:paraId="1B7CF001" w14:textId="77777777" w:rsidR="00831C91" w:rsidRPr="000020F0" w:rsidRDefault="00831C91" w:rsidP="00CC4948">
            <w:pPr>
              <w:rPr>
                <w:rFonts w:ascii="Arial" w:hAnsi="Arial" w:cs="Arial"/>
                <w:b/>
                <w:bCs/>
                <w:color w:val="FFFFFF"/>
                <w:sz w:val="20"/>
                <w:szCs w:val="20"/>
              </w:rPr>
            </w:pPr>
            <w:r w:rsidRPr="000020F0">
              <w:rPr>
                <w:rFonts w:ascii="Arial" w:hAnsi="Arial" w:cs="Arial"/>
                <w:b/>
                <w:bCs/>
                <w:color w:val="FFFFFF"/>
                <w:sz w:val="20"/>
                <w:szCs w:val="20"/>
              </w:rPr>
              <w:t>Vrednost</w:t>
            </w:r>
          </w:p>
        </w:tc>
        <w:tc>
          <w:tcPr>
            <w:tcW w:w="1417" w:type="dxa"/>
            <w:tcBorders>
              <w:top w:val="single" w:sz="4" w:space="0" w:color="auto"/>
              <w:left w:val="nil"/>
              <w:bottom w:val="single" w:sz="4" w:space="0" w:color="auto"/>
              <w:right w:val="single" w:sz="4" w:space="0" w:color="auto"/>
            </w:tcBorders>
            <w:shd w:val="clear" w:color="000000" w:fill="153D64"/>
            <w:noWrap/>
            <w:vAlign w:val="bottom"/>
            <w:hideMark/>
          </w:tcPr>
          <w:p w14:paraId="23102723" w14:textId="77777777" w:rsidR="00831C91" w:rsidRPr="000020F0" w:rsidRDefault="00831C91" w:rsidP="00CC4948">
            <w:pPr>
              <w:rPr>
                <w:rFonts w:ascii="Arial" w:hAnsi="Arial" w:cs="Arial"/>
                <w:b/>
                <w:bCs/>
                <w:color w:val="FFFFFF"/>
                <w:sz w:val="20"/>
                <w:szCs w:val="20"/>
              </w:rPr>
            </w:pPr>
            <w:r w:rsidRPr="000020F0">
              <w:rPr>
                <w:rFonts w:ascii="Arial" w:hAnsi="Arial" w:cs="Arial"/>
                <w:b/>
                <w:bCs/>
                <w:color w:val="FFFFFF"/>
                <w:sz w:val="20"/>
                <w:szCs w:val="20"/>
              </w:rPr>
              <w:t>Delež</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3DBA3C36"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2CA4BCEF"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134" w:type="dxa"/>
            <w:tcBorders>
              <w:top w:val="single" w:sz="4" w:space="0" w:color="auto"/>
              <w:left w:val="nil"/>
              <w:bottom w:val="single" w:sz="4" w:space="0" w:color="auto"/>
              <w:right w:val="single" w:sz="4" w:space="0" w:color="auto"/>
            </w:tcBorders>
            <w:shd w:val="clear" w:color="000000" w:fill="153D64"/>
            <w:noWrap/>
            <w:vAlign w:val="bottom"/>
            <w:hideMark/>
          </w:tcPr>
          <w:p w14:paraId="46F0E415"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418" w:type="dxa"/>
            <w:tcBorders>
              <w:top w:val="single" w:sz="4" w:space="0" w:color="auto"/>
              <w:left w:val="nil"/>
              <w:bottom w:val="single" w:sz="4" w:space="0" w:color="auto"/>
              <w:right w:val="single" w:sz="4" w:space="0" w:color="auto"/>
            </w:tcBorders>
            <w:shd w:val="clear" w:color="000000" w:fill="153D64"/>
            <w:noWrap/>
            <w:vAlign w:val="bottom"/>
            <w:hideMark/>
          </w:tcPr>
          <w:p w14:paraId="226AC981"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501" w:type="dxa"/>
            <w:tcBorders>
              <w:top w:val="single" w:sz="4" w:space="0" w:color="auto"/>
              <w:left w:val="nil"/>
              <w:bottom w:val="single" w:sz="4" w:space="0" w:color="auto"/>
              <w:right w:val="single" w:sz="4" w:space="0" w:color="auto"/>
            </w:tcBorders>
            <w:shd w:val="clear" w:color="000000" w:fill="153D64"/>
            <w:noWrap/>
            <w:vAlign w:val="bottom"/>
            <w:hideMark/>
          </w:tcPr>
          <w:p w14:paraId="75C12577"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192" w:type="dxa"/>
            <w:tcBorders>
              <w:top w:val="single" w:sz="4" w:space="0" w:color="auto"/>
              <w:left w:val="nil"/>
              <w:bottom w:val="single" w:sz="4" w:space="0" w:color="auto"/>
              <w:right w:val="single" w:sz="4" w:space="0" w:color="auto"/>
            </w:tcBorders>
            <w:shd w:val="clear" w:color="000000" w:fill="153D64"/>
            <w:noWrap/>
            <w:vAlign w:val="bottom"/>
            <w:hideMark/>
          </w:tcPr>
          <w:p w14:paraId="0DC72AA3" w14:textId="77777777" w:rsidR="00831C91" w:rsidRPr="000020F0" w:rsidRDefault="00831C91" w:rsidP="00CC4948">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2D5AF3" w:rsidRPr="000020F0" w14:paraId="712FB5AF"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E105797"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Govekarjeva cesta</w:t>
            </w:r>
          </w:p>
        </w:tc>
        <w:tc>
          <w:tcPr>
            <w:tcW w:w="1560" w:type="dxa"/>
            <w:tcBorders>
              <w:top w:val="nil"/>
              <w:left w:val="nil"/>
              <w:bottom w:val="single" w:sz="4" w:space="0" w:color="auto"/>
              <w:right w:val="single" w:sz="4" w:space="0" w:color="auto"/>
            </w:tcBorders>
            <w:shd w:val="clear" w:color="000000" w:fill="FFFFFF"/>
            <w:noWrap/>
            <w:vAlign w:val="bottom"/>
            <w:hideMark/>
          </w:tcPr>
          <w:p w14:paraId="43FD188B" w14:textId="5C7CA4E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856.955,69</w:t>
            </w:r>
          </w:p>
        </w:tc>
        <w:tc>
          <w:tcPr>
            <w:tcW w:w="1417" w:type="dxa"/>
            <w:tcBorders>
              <w:top w:val="nil"/>
              <w:left w:val="nil"/>
              <w:bottom w:val="single" w:sz="4" w:space="0" w:color="auto"/>
              <w:right w:val="single" w:sz="4" w:space="0" w:color="auto"/>
            </w:tcBorders>
            <w:shd w:val="clear" w:color="000000" w:fill="FFFFFF"/>
            <w:noWrap/>
            <w:vAlign w:val="bottom"/>
            <w:hideMark/>
          </w:tcPr>
          <w:p w14:paraId="5FA35A6B" w14:textId="199241D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26,15%</w:t>
            </w:r>
          </w:p>
        </w:tc>
        <w:tc>
          <w:tcPr>
            <w:tcW w:w="1275" w:type="dxa"/>
            <w:tcBorders>
              <w:top w:val="nil"/>
              <w:left w:val="nil"/>
              <w:bottom w:val="single" w:sz="4" w:space="0" w:color="auto"/>
              <w:right w:val="single" w:sz="4" w:space="0" w:color="auto"/>
            </w:tcBorders>
            <w:shd w:val="clear" w:color="000000" w:fill="FFFFFF"/>
            <w:noWrap/>
            <w:vAlign w:val="bottom"/>
            <w:hideMark/>
          </w:tcPr>
          <w:p w14:paraId="18D0B77B" w14:textId="5997C79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1A1B9FC9" w14:textId="356396A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0CD9B0B" w14:textId="4B37B25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AC1B13D" w14:textId="6CB1A69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53B94C7F" w14:textId="7321A32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809.556,69</w:t>
            </w:r>
          </w:p>
        </w:tc>
        <w:tc>
          <w:tcPr>
            <w:tcW w:w="1192" w:type="dxa"/>
            <w:tcBorders>
              <w:top w:val="nil"/>
              <w:left w:val="nil"/>
              <w:bottom w:val="single" w:sz="4" w:space="0" w:color="auto"/>
              <w:right w:val="single" w:sz="4" w:space="0" w:color="auto"/>
            </w:tcBorders>
            <w:shd w:val="clear" w:color="000000" w:fill="FFFFFF"/>
            <w:noWrap/>
            <w:vAlign w:val="bottom"/>
            <w:hideMark/>
          </w:tcPr>
          <w:p w14:paraId="06B88E17" w14:textId="05F12BF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47.399,00</w:t>
            </w:r>
          </w:p>
        </w:tc>
      </w:tr>
      <w:tr w:rsidR="002D5AF3" w:rsidRPr="000020F0" w14:paraId="56F330BE"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E59F6A8"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Troštova ulica</w:t>
            </w:r>
          </w:p>
        </w:tc>
        <w:tc>
          <w:tcPr>
            <w:tcW w:w="1560" w:type="dxa"/>
            <w:tcBorders>
              <w:top w:val="nil"/>
              <w:left w:val="nil"/>
              <w:bottom w:val="single" w:sz="4" w:space="0" w:color="auto"/>
              <w:right w:val="single" w:sz="4" w:space="0" w:color="auto"/>
            </w:tcBorders>
            <w:shd w:val="clear" w:color="000000" w:fill="FFFFFF"/>
            <w:noWrap/>
            <w:vAlign w:val="bottom"/>
            <w:hideMark/>
          </w:tcPr>
          <w:p w14:paraId="6C585D13" w14:textId="34B97E9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48.950,81</w:t>
            </w:r>
          </w:p>
        </w:tc>
        <w:tc>
          <w:tcPr>
            <w:tcW w:w="1417" w:type="dxa"/>
            <w:tcBorders>
              <w:top w:val="nil"/>
              <w:left w:val="nil"/>
              <w:bottom w:val="single" w:sz="4" w:space="0" w:color="auto"/>
              <w:right w:val="single" w:sz="4" w:space="0" w:color="auto"/>
            </w:tcBorders>
            <w:shd w:val="clear" w:color="000000" w:fill="FFFFFF"/>
            <w:noWrap/>
            <w:vAlign w:val="bottom"/>
            <w:hideMark/>
          </w:tcPr>
          <w:p w14:paraId="14F79E23" w14:textId="70A31F0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1,49%</w:t>
            </w:r>
          </w:p>
        </w:tc>
        <w:tc>
          <w:tcPr>
            <w:tcW w:w="1275" w:type="dxa"/>
            <w:tcBorders>
              <w:top w:val="nil"/>
              <w:left w:val="nil"/>
              <w:bottom w:val="single" w:sz="4" w:space="0" w:color="auto"/>
              <w:right w:val="single" w:sz="4" w:space="0" w:color="auto"/>
            </w:tcBorders>
            <w:shd w:val="clear" w:color="000000" w:fill="FFFFFF"/>
            <w:noWrap/>
            <w:vAlign w:val="bottom"/>
            <w:hideMark/>
          </w:tcPr>
          <w:p w14:paraId="7A7A5E7B" w14:textId="791821D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4387969C" w14:textId="2C00E74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43A9B750" w14:textId="0691AEE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0EA4D54" w14:textId="271686B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7A5847B" w14:textId="374FB4F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48.950,81</w:t>
            </w:r>
          </w:p>
        </w:tc>
        <w:tc>
          <w:tcPr>
            <w:tcW w:w="1192" w:type="dxa"/>
            <w:tcBorders>
              <w:top w:val="nil"/>
              <w:left w:val="nil"/>
              <w:bottom w:val="single" w:sz="4" w:space="0" w:color="auto"/>
              <w:right w:val="single" w:sz="4" w:space="0" w:color="auto"/>
            </w:tcBorders>
            <w:shd w:val="clear" w:color="000000" w:fill="FFFFFF"/>
            <w:noWrap/>
            <w:vAlign w:val="bottom"/>
            <w:hideMark/>
          </w:tcPr>
          <w:p w14:paraId="43D82AEA" w14:textId="57BEFB2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103B9F09"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AA1CBC7"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560" w:type="dxa"/>
            <w:tcBorders>
              <w:top w:val="nil"/>
              <w:left w:val="nil"/>
              <w:bottom w:val="single" w:sz="4" w:space="0" w:color="auto"/>
              <w:right w:val="single" w:sz="4" w:space="0" w:color="auto"/>
            </w:tcBorders>
            <w:shd w:val="clear" w:color="000000" w:fill="FFFFFF"/>
            <w:noWrap/>
            <w:vAlign w:val="bottom"/>
            <w:hideMark/>
          </w:tcPr>
          <w:p w14:paraId="3C137A91" w14:textId="7F0D9BC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60.000,00</w:t>
            </w:r>
          </w:p>
        </w:tc>
        <w:tc>
          <w:tcPr>
            <w:tcW w:w="1417" w:type="dxa"/>
            <w:tcBorders>
              <w:top w:val="nil"/>
              <w:left w:val="nil"/>
              <w:bottom w:val="single" w:sz="4" w:space="0" w:color="auto"/>
              <w:right w:val="single" w:sz="4" w:space="0" w:color="auto"/>
            </w:tcBorders>
            <w:shd w:val="clear" w:color="000000" w:fill="FFFFFF"/>
            <w:noWrap/>
            <w:vAlign w:val="bottom"/>
            <w:hideMark/>
          </w:tcPr>
          <w:p w14:paraId="5251EE62" w14:textId="29B207F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1,83%</w:t>
            </w:r>
          </w:p>
        </w:tc>
        <w:tc>
          <w:tcPr>
            <w:tcW w:w="1275" w:type="dxa"/>
            <w:tcBorders>
              <w:top w:val="nil"/>
              <w:left w:val="nil"/>
              <w:bottom w:val="single" w:sz="4" w:space="0" w:color="auto"/>
              <w:right w:val="single" w:sz="4" w:space="0" w:color="auto"/>
            </w:tcBorders>
            <w:shd w:val="clear" w:color="000000" w:fill="FFFFFF"/>
            <w:noWrap/>
            <w:vAlign w:val="bottom"/>
            <w:hideMark/>
          </w:tcPr>
          <w:p w14:paraId="2C32FA0C" w14:textId="42775A7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AAF6D09" w14:textId="7BC8E27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76F6C177" w14:textId="42A0033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7368F235" w14:textId="65A8866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C20BE63" w14:textId="453467D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60.000,00</w:t>
            </w:r>
          </w:p>
        </w:tc>
        <w:tc>
          <w:tcPr>
            <w:tcW w:w="1192" w:type="dxa"/>
            <w:tcBorders>
              <w:top w:val="nil"/>
              <w:left w:val="nil"/>
              <w:bottom w:val="single" w:sz="4" w:space="0" w:color="auto"/>
              <w:right w:val="single" w:sz="4" w:space="0" w:color="auto"/>
            </w:tcBorders>
            <w:shd w:val="clear" w:color="000000" w:fill="FFFFFF"/>
            <w:noWrap/>
            <w:vAlign w:val="bottom"/>
            <w:hideMark/>
          </w:tcPr>
          <w:p w14:paraId="2F349B6E" w14:textId="2C433A1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3CCEB472"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5A50C81A"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560" w:type="dxa"/>
            <w:tcBorders>
              <w:top w:val="nil"/>
              <w:left w:val="nil"/>
              <w:bottom w:val="single" w:sz="4" w:space="0" w:color="auto"/>
              <w:right w:val="single" w:sz="4" w:space="0" w:color="auto"/>
            </w:tcBorders>
            <w:shd w:val="clear" w:color="000000" w:fill="FFFFFF"/>
            <w:noWrap/>
            <w:vAlign w:val="bottom"/>
            <w:hideMark/>
          </w:tcPr>
          <w:p w14:paraId="6819713F" w14:textId="2B1B121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41.574,32</w:t>
            </w:r>
          </w:p>
        </w:tc>
        <w:tc>
          <w:tcPr>
            <w:tcW w:w="1417" w:type="dxa"/>
            <w:tcBorders>
              <w:top w:val="nil"/>
              <w:left w:val="nil"/>
              <w:bottom w:val="single" w:sz="4" w:space="0" w:color="auto"/>
              <w:right w:val="single" w:sz="4" w:space="0" w:color="auto"/>
            </w:tcBorders>
            <w:shd w:val="clear" w:color="000000" w:fill="FFFFFF"/>
            <w:noWrap/>
            <w:vAlign w:val="bottom"/>
            <w:hideMark/>
          </w:tcPr>
          <w:p w14:paraId="331A7BFE" w14:textId="2DB676D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1,27%</w:t>
            </w:r>
          </w:p>
        </w:tc>
        <w:tc>
          <w:tcPr>
            <w:tcW w:w="1275" w:type="dxa"/>
            <w:tcBorders>
              <w:top w:val="nil"/>
              <w:left w:val="nil"/>
              <w:bottom w:val="single" w:sz="4" w:space="0" w:color="auto"/>
              <w:right w:val="single" w:sz="4" w:space="0" w:color="auto"/>
            </w:tcBorders>
            <w:shd w:val="clear" w:color="000000" w:fill="FFFFFF"/>
            <w:noWrap/>
            <w:vAlign w:val="bottom"/>
            <w:hideMark/>
          </w:tcPr>
          <w:p w14:paraId="1A138DA7" w14:textId="4E62C97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B2DF2FE" w14:textId="1AE3C9E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2CCFE460" w14:textId="4DA4FBB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3E78F225" w14:textId="640ECFC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40EE42EB" w14:textId="5983968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41.574,32</w:t>
            </w:r>
          </w:p>
        </w:tc>
        <w:tc>
          <w:tcPr>
            <w:tcW w:w="1192" w:type="dxa"/>
            <w:tcBorders>
              <w:top w:val="nil"/>
              <w:left w:val="nil"/>
              <w:bottom w:val="single" w:sz="4" w:space="0" w:color="auto"/>
              <w:right w:val="single" w:sz="4" w:space="0" w:color="auto"/>
            </w:tcBorders>
            <w:shd w:val="clear" w:color="000000" w:fill="FFFFFF"/>
            <w:noWrap/>
            <w:vAlign w:val="bottom"/>
            <w:hideMark/>
          </w:tcPr>
          <w:p w14:paraId="0F8A042C" w14:textId="209F5E1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131B4EA"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0ED568C"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560" w:type="dxa"/>
            <w:tcBorders>
              <w:top w:val="nil"/>
              <w:left w:val="nil"/>
              <w:bottom w:val="single" w:sz="4" w:space="0" w:color="auto"/>
              <w:right w:val="single" w:sz="4" w:space="0" w:color="auto"/>
            </w:tcBorders>
            <w:shd w:val="clear" w:color="000000" w:fill="FFFFFF"/>
            <w:noWrap/>
            <w:vAlign w:val="bottom"/>
            <w:hideMark/>
          </w:tcPr>
          <w:p w14:paraId="0C1E3099" w14:textId="5B1E01D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13.464,91</w:t>
            </w:r>
          </w:p>
        </w:tc>
        <w:tc>
          <w:tcPr>
            <w:tcW w:w="1417" w:type="dxa"/>
            <w:tcBorders>
              <w:top w:val="nil"/>
              <w:left w:val="nil"/>
              <w:bottom w:val="single" w:sz="4" w:space="0" w:color="auto"/>
              <w:right w:val="single" w:sz="4" w:space="0" w:color="auto"/>
            </w:tcBorders>
            <w:shd w:val="clear" w:color="000000" w:fill="FFFFFF"/>
            <w:noWrap/>
            <w:vAlign w:val="bottom"/>
            <w:hideMark/>
          </w:tcPr>
          <w:p w14:paraId="7D3B1B18" w14:textId="238BCD9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0,41%</w:t>
            </w:r>
          </w:p>
        </w:tc>
        <w:tc>
          <w:tcPr>
            <w:tcW w:w="1275" w:type="dxa"/>
            <w:tcBorders>
              <w:top w:val="nil"/>
              <w:left w:val="nil"/>
              <w:bottom w:val="single" w:sz="4" w:space="0" w:color="auto"/>
              <w:right w:val="single" w:sz="4" w:space="0" w:color="auto"/>
            </w:tcBorders>
            <w:shd w:val="clear" w:color="000000" w:fill="FFFFFF"/>
            <w:noWrap/>
            <w:vAlign w:val="bottom"/>
            <w:hideMark/>
          </w:tcPr>
          <w:p w14:paraId="5F8B6CCA" w14:textId="2A2739B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2D97201" w14:textId="29E5640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AF74410" w14:textId="5967085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2AFB0065" w14:textId="1A20DE7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7A4AE05B" w14:textId="6A905FF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13.464,91</w:t>
            </w:r>
          </w:p>
        </w:tc>
        <w:tc>
          <w:tcPr>
            <w:tcW w:w="1192" w:type="dxa"/>
            <w:tcBorders>
              <w:top w:val="nil"/>
              <w:left w:val="nil"/>
              <w:bottom w:val="single" w:sz="4" w:space="0" w:color="auto"/>
              <w:right w:val="single" w:sz="4" w:space="0" w:color="auto"/>
            </w:tcBorders>
            <w:shd w:val="clear" w:color="000000" w:fill="FFFFFF"/>
            <w:noWrap/>
            <w:vAlign w:val="bottom"/>
            <w:hideMark/>
          </w:tcPr>
          <w:p w14:paraId="258DEFB5" w14:textId="1DD7FAD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6C149271"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7AF65DC1"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560" w:type="dxa"/>
            <w:tcBorders>
              <w:top w:val="nil"/>
              <w:left w:val="nil"/>
              <w:bottom w:val="single" w:sz="4" w:space="0" w:color="auto"/>
              <w:right w:val="single" w:sz="4" w:space="0" w:color="auto"/>
            </w:tcBorders>
            <w:shd w:val="clear" w:color="000000" w:fill="FFFFFF"/>
            <w:noWrap/>
            <w:vAlign w:val="bottom"/>
            <w:hideMark/>
          </w:tcPr>
          <w:p w14:paraId="5877B2C4" w14:textId="21C3253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9.540,90</w:t>
            </w:r>
          </w:p>
        </w:tc>
        <w:tc>
          <w:tcPr>
            <w:tcW w:w="1417" w:type="dxa"/>
            <w:tcBorders>
              <w:top w:val="nil"/>
              <w:left w:val="nil"/>
              <w:bottom w:val="single" w:sz="4" w:space="0" w:color="auto"/>
              <w:right w:val="single" w:sz="4" w:space="0" w:color="auto"/>
            </w:tcBorders>
            <w:shd w:val="clear" w:color="000000" w:fill="FFFFFF"/>
            <w:noWrap/>
            <w:vAlign w:val="bottom"/>
            <w:hideMark/>
          </w:tcPr>
          <w:p w14:paraId="0311FA93" w14:textId="65303CB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63C6860F" w14:textId="3E4DE16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5211D12E" w14:textId="7E0EE70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1092B97D" w14:textId="5D77507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7E2B9D6" w14:textId="065DB7C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00004740" w14:textId="31D710B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9.540,90</w:t>
            </w:r>
          </w:p>
        </w:tc>
        <w:tc>
          <w:tcPr>
            <w:tcW w:w="1192" w:type="dxa"/>
            <w:tcBorders>
              <w:top w:val="nil"/>
              <w:left w:val="nil"/>
              <w:bottom w:val="single" w:sz="4" w:space="0" w:color="auto"/>
              <w:right w:val="single" w:sz="4" w:space="0" w:color="auto"/>
            </w:tcBorders>
            <w:shd w:val="clear" w:color="000000" w:fill="FFFFFF"/>
            <w:noWrap/>
            <w:vAlign w:val="bottom"/>
            <w:hideMark/>
          </w:tcPr>
          <w:p w14:paraId="25BA0312" w14:textId="3307D6A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167D71A3"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C42FCEC" w14:textId="71623FC1"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560" w:type="dxa"/>
            <w:tcBorders>
              <w:top w:val="nil"/>
              <w:left w:val="nil"/>
              <w:bottom w:val="single" w:sz="4" w:space="0" w:color="auto"/>
              <w:right w:val="single" w:sz="4" w:space="0" w:color="auto"/>
            </w:tcBorders>
            <w:shd w:val="clear" w:color="000000" w:fill="FFFFFF"/>
            <w:noWrap/>
            <w:vAlign w:val="bottom"/>
            <w:hideMark/>
          </w:tcPr>
          <w:p w14:paraId="60EDDDF2" w14:textId="7231EC1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9.540,90</w:t>
            </w:r>
          </w:p>
        </w:tc>
        <w:tc>
          <w:tcPr>
            <w:tcW w:w="1417" w:type="dxa"/>
            <w:tcBorders>
              <w:top w:val="nil"/>
              <w:left w:val="nil"/>
              <w:bottom w:val="single" w:sz="4" w:space="0" w:color="auto"/>
              <w:right w:val="single" w:sz="4" w:space="0" w:color="auto"/>
            </w:tcBorders>
            <w:shd w:val="clear" w:color="000000" w:fill="FFFFFF"/>
            <w:noWrap/>
            <w:vAlign w:val="bottom"/>
            <w:hideMark/>
          </w:tcPr>
          <w:p w14:paraId="206882A1" w14:textId="05378E5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64681BAD" w14:textId="013AC2D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8FA96BD" w14:textId="4629DE4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107590CD" w14:textId="067B68B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940CE89" w14:textId="2A7DEFC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6400AE1" w14:textId="6EA606A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9.540,90</w:t>
            </w:r>
          </w:p>
        </w:tc>
        <w:tc>
          <w:tcPr>
            <w:tcW w:w="1192" w:type="dxa"/>
            <w:tcBorders>
              <w:top w:val="nil"/>
              <w:left w:val="nil"/>
              <w:bottom w:val="single" w:sz="4" w:space="0" w:color="auto"/>
              <w:right w:val="single" w:sz="4" w:space="0" w:color="auto"/>
            </w:tcBorders>
            <w:shd w:val="clear" w:color="000000" w:fill="FFFFFF"/>
            <w:noWrap/>
            <w:vAlign w:val="bottom"/>
            <w:hideMark/>
          </w:tcPr>
          <w:p w14:paraId="31EE1A8D" w14:textId="7AE72AB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2D576BC6"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57D2898"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560" w:type="dxa"/>
            <w:tcBorders>
              <w:top w:val="nil"/>
              <w:left w:val="nil"/>
              <w:bottom w:val="single" w:sz="4" w:space="0" w:color="auto"/>
              <w:right w:val="single" w:sz="4" w:space="0" w:color="auto"/>
            </w:tcBorders>
            <w:shd w:val="clear" w:color="000000" w:fill="FFFFFF"/>
            <w:noWrap/>
            <w:vAlign w:val="bottom"/>
            <w:hideMark/>
          </w:tcPr>
          <w:p w14:paraId="0D8B39C5" w14:textId="220E614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68.411,77</w:t>
            </w:r>
          </w:p>
        </w:tc>
        <w:tc>
          <w:tcPr>
            <w:tcW w:w="1417" w:type="dxa"/>
            <w:tcBorders>
              <w:top w:val="nil"/>
              <w:left w:val="nil"/>
              <w:bottom w:val="single" w:sz="4" w:space="0" w:color="auto"/>
              <w:right w:val="single" w:sz="4" w:space="0" w:color="auto"/>
            </w:tcBorders>
            <w:shd w:val="clear" w:color="000000" w:fill="FFFFFF"/>
            <w:noWrap/>
            <w:vAlign w:val="bottom"/>
            <w:hideMark/>
          </w:tcPr>
          <w:p w14:paraId="3133F948" w14:textId="148DB79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2,09%</w:t>
            </w:r>
          </w:p>
        </w:tc>
        <w:tc>
          <w:tcPr>
            <w:tcW w:w="1275" w:type="dxa"/>
            <w:tcBorders>
              <w:top w:val="nil"/>
              <w:left w:val="nil"/>
              <w:bottom w:val="single" w:sz="4" w:space="0" w:color="auto"/>
              <w:right w:val="single" w:sz="4" w:space="0" w:color="auto"/>
            </w:tcBorders>
            <w:shd w:val="clear" w:color="000000" w:fill="FFFFFF"/>
            <w:noWrap/>
            <w:vAlign w:val="bottom"/>
            <w:hideMark/>
          </w:tcPr>
          <w:p w14:paraId="31EF1A45" w14:textId="75A92D1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CCF9E1C" w14:textId="3B7CA5A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03F1783C" w14:textId="44D8064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19E4407" w14:textId="1260914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0FA49D28" w14:textId="6AD1F76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68.411,77</w:t>
            </w:r>
          </w:p>
        </w:tc>
        <w:tc>
          <w:tcPr>
            <w:tcW w:w="1192" w:type="dxa"/>
            <w:tcBorders>
              <w:top w:val="nil"/>
              <w:left w:val="nil"/>
              <w:bottom w:val="single" w:sz="4" w:space="0" w:color="auto"/>
              <w:right w:val="single" w:sz="4" w:space="0" w:color="auto"/>
            </w:tcBorders>
            <w:shd w:val="clear" w:color="000000" w:fill="FFFFFF"/>
            <w:noWrap/>
            <w:vAlign w:val="bottom"/>
            <w:hideMark/>
          </w:tcPr>
          <w:p w14:paraId="392DCE7D" w14:textId="76F2C4E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2147CF38"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DCE6705" w14:textId="3723A075"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1560" w:type="dxa"/>
            <w:tcBorders>
              <w:top w:val="nil"/>
              <w:left w:val="nil"/>
              <w:bottom w:val="single" w:sz="4" w:space="0" w:color="auto"/>
              <w:right w:val="single" w:sz="4" w:space="0" w:color="auto"/>
            </w:tcBorders>
            <w:shd w:val="clear" w:color="000000" w:fill="FFFFFF"/>
            <w:noWrap/>
            <w:vAlign w:val="bottom"/>
            <w:hideMark/>
          </w:tcPr>
          <w:p w14:paraId="4252E75C" w14:textId="5A71BE9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9.540,91</w:t>
            </w:r>
          </w:p>
        </w:tc>
        <w:tc>
          <w:tcPr>
            <w:tcW w:w="1417" w:type="dxa"/>
            <w:tcBorders>
              <w:top w:val="nil"/>
              <w:left w:val="nil"/>
              <w:bottom w:val="single" w:sz="4" w:space="0" w:color="auto"/>
              <w:right w:val="single" w:sz="4" w:space="0" w:color="auto"/>
            </w:tcBorders>
            <w:shd w:val="clear" w:color="000000" w:fill="FFFFFF"/>
            <w:noWrap/>
            <w:vAlign w:val="bottom"/>
            <w:hideMark/>
          </w:tcPr>
          <w:p w14:paraId="01828546" w14:textId="6DDCA70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0,29%</w:t>
            </w:r>
          </w:p>
        </w:tc>
        <w:tc>
          <w:tcPr>
            <w:tcW w:w="1275" w:type="dxa"/>
            <w:tcBorders>
              <w:top w:val="nil"/>
              <w:left w:val="nil"/>
              <w:bottom w:val="single" w:sz="4" w:space="0" w:color="auto"/>
              <w:right w:val="single" w:sz="4" w:space="0" w:color="auto"/>
            </w:tcBorders>
            <w:shd w:val="clear" w:color="000000" w:fill="FFFFFF"/>
            <w:noWrap/>
            <w:vAlign w:val="bottom"/>
            <w:hideMark/>
          </w:tcPr>
          <w:p w14:paraId="073F8189" w14:textId="4AA6A8C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2A59139A" w14:textId="298C91B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3651CE14" w14:textId="5DD88E2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7B5BB043" w14:textId="4136E94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0785FE84" w14:textId="0DD1C5A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9.540,91</w:t>
            </w:r>
          </w:p>
        </w:tc>
        <w:tc>
          <w:tcPr>
            <w:tcW w:w="1192" w:type="dxa"/>
            <w:tcBorders>
              <w:top w:val="nil"/>
              <w:left w:val="nil"/>
              <w:bottom w:val="single" w:sz="4" w:space="0" w:color="auto"/>
              <w:right w:val="single" w:sz="4" w:space="0" w:color="auto"/>
            </w:tcBorders>
            <w:shd w:val="clear" w:color="000000" w:fill="FFFFFF"/>
            <w:noWrap/>
            <w:vAlign w:val="bottom"/>
            <w:hideMark/>
          </w:tcPr>
          <w:p w14:paraId="3A81D150" w14:textId="2AE2437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337E2941"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5AE5530F"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Parkirišča za kolesa - park</w:t>
            </w:r>
          </w:p>
        </w:tc>
        <w:tc>
          <w:tcPr>
            <w:tcW w:w="1560" w:type="dxa"/>
            <w:tcBorders>
              <w:top w:val="nil"/>
              <w:left w:val="nil"/>
              <w:bottom w:val="single" w:sz="4" w:space="0" w:color="auto"/>
              <w:right w:val="single" w:sz="4" w:space="0" w:color="auto"/>
            </w:tcBorders>
            <w:shd w:val="clear" w:color="000000" w:fill="FFFFFF"/>
            <w:noWrap/>
            <w:vAlign w:val="bottom"/>
            <w:hideMark/>
          </w:tcPr>
          <w:p w14:paraId="2AB05DBD" w14:textId="617F0C3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12.180,49</w:t>
            </w:r>
          </w:p>
        </w:tc>
        <w:tc>
          <w:tcPr>
            <w:tcW w:w="1417" w:type="dxa"/>
            <w:tcBorders>
              <w:top w:val="nil"/>
              <w:left w:val="nil"/>
              <w:bottom w:val="single" w:sz="4" w:space="0" w:color="auto"/>
              <w:right w:val="single" w:sz="4" w:space="0" w:color="auto"/>
            </w:tcBorders>
            <w:shd w:val="clear" w:color="000000" w:fill="FFFFFF"/>
            <w:noWrap/>
            <w:vAlign w:val="bottom"/>
            <w:hideMark/>
          </w:tcPr>
          <w:p w14:paraId="4B08D5BB" w14:textId="5051C3F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0,37%</w:t>
            </w:r>
          </w:p>
        </w:tc>
        <w:tc>
          <w:tcPr>
            <w:tcW w:w="1275" w:type="dxa"/>
            <w:tcBorders>
              <w:top w:val="nil"/>
              <w:left w:val="nil"/>
              <w:bottom w:val="single" w:sz="4" w:space="0" w:color="auto"/>
              <w:right w:val="single" w:sz="4" w:space="0" w:color="auto"/>
            </w:tcBorders>
            <w:shd w:val="clear" w:color="000000" w:fill="FFFFFF"/>
            <w:noWrap/>
            <w:vAlign w:val="bottom"/>
            <w:hideMark/>
          </w:tcPr>
          <w:p w14:paraId="2CFC3802" w14:textId="3443F61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62FD6CBB" w14:textId="026BAFE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2F413121" w14:textId="024C9E1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730687BE" w14:textId="6FC1786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5C926C2C" w14:textId="58E85E5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12.180,49</w:t>
            </w:r>
          </w:p>
        </w:tc>
        <w:tc>
          <w:tcPr>
            <w:tcW w:w="1192" w:type="dxa"/>
            <w:tcBorders>
              <w:top w:val="nil"/>
              <w:left w:val="nil"/>
              <w:bottom w:val="single" w:sz="4" w:space="0" w:color="auto"/>
              <w:right w:val="single" w:sz="4" w:space="0" w:color="auto"/>
            </w:tcBorders>
            <w:shd w:val="clear" w:color="000000" w:fill="FFFFFF"/>
            <w:noWrap/>
            <w:vAlign w:val="bottom"/>
            <w:hideMark/>
          </w:tcPr>
          <w:p w14:paraId="784CC067" w14:textId="5AB5E0C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740CDBD6" w14:textId="77777777" w:rsidTr="00CC4948">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A016394" w14:textId="77777777" w:rsidR="002D5AF3" w:rsidRPr="000020F0" w:rsidRDefault="002D5AF3" w:rsidP="002D5AF3">
            <w:pPr>
              <w:rPr>
                <w:rFonts w:ascii="Roboto" w:hAnsi="Roboto"/>
                <w:color w:val="000000"/>
                <w:sz w:val="20"/>
                <w:szCs w:val="20"/>
              </w:rPr>
            </w:pPr>
            <w:r w:rsidRPr="000020F0">
              <w:rPr>
                <w:rFonts w:ascii="Roboto" w:hAnsi="Roboto"/>
                <w:color w:val="000000"/>
                <w:sz w:val="20"/>
                <w:szCs w:val="20"/>
              </w:rPr>
              <w:t>Avtobusno postajališče - nivo ceste</w:t>
            </w:r>
          </w:p>
        </w:tc>
        <w:tc>
          <w:tcPr>
            <w:tcW w:w="1560" w:type="dxa"/>
            <w:tcBorders>
              <w:top w:val="nil"/>
              <w:left w:val="nil"/>
              <w:bottom w:val="single" w:sz="4" w:space="0" w:color="auto"/>
              <w:right w:val="single" w:sz="4" w:space="0" w:color="auto"/>
            </w:tcBorders>
            <w:shd w:val="clear" w:color="000000" w:fill="FFFFFF"/>
            <w:noWrap/>
            <w:vAlign w:val="bottom"/>
            <w:hideMark/>
          </w:tcPr>
          <w:p w14:paraId="7255EABF" w14:textId="7A78F99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310.725,31</w:t>
            </w:r>
          </w:p>
        </w:tc>
        <w:tc>
          <w:tcPr>
            <w:tcW w:w="1417" w:type="dxa"/>
            <w:tcBorders>
              <w:top w:val="nil"/>
              <w:left w:val="nil"/>
              <w:bottom w:val="single" w:sz="4" w:space="0" w:color="auto"/>
              <w:right w:val="single" w:sz="4" w:space="0" w:color="auto"/>
            </w:tcBorders>
            <w:shd w:val="clear" w:color="000000" w:fill="FFFFFF"/>
            <w:noWrap/>
            <w:vAlign w:val="bottom"/>
            <w:hideMark/>
          </w:tcPr>
          <w:p w14:paraId="651B9440" w14:textId="65DB448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9,48%</w:t>
            </w:r>
          </w:p>
        </w:tc>
        <w:tc>
          <w:tcPr>
            <w:tcW w:w="1275" w:type="dxa"/>
            <w:tcBorders>
              <w:top w:val="nil"/>
              <w:left w:val="nil"/>
              <w:bottom w:val="single" w:sz="4" w:space="0" w:color="auto"/>
              <w:right w:val="single" w:sz="4" w:space="0" w:color="auto"/>
            </w:tcBorders>
            <w:shd w:val="clear" w:color="000000" w:fill="FFFFFF"/>
            <w:noWrap/>
            <w:vAlign w:val="bottom"/>
            <w:hideMark/>
          </w:tcPr>
          <w:p w14:paraId="6E13469F" w14:textId="0D3B66C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48926C3" w14:textId="1711140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4CA10159" w14:textId="4AD99DB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7BD8C92" w14:textId="16A1569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310.725,31</w:t>
            </w:r>
          </w:p>
        </w:tc>
        <w:tc>
          <w:tcPr>
            <w:tcW w:w="1501" w:type="dxa"/>
            <w:tcBorders>
              <w:top w:val="nil"/>
              <w:left w:val="nil"/>
              <w:bottom w:val="single" w:sz="4" w:space="0" w:color="auto"/>
              <w:right w:val="single" w:sz="4" w:space="0" w:color="auto"/>
            </w:tcBorders>
            <w:shd w:val="clear" w:color="000000" w:fill="FFFFFF"/>
            <w:noWrap/>
            <w:vAlign w:val="bottom"/>
            <w:hideMark/>
          </w:tcPr>
          <w:p w14:paraId="1DC6A3B1" w14:textId="6CD7BA9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shd w:val="clear" w:color="000000" w:fill="FFFFFF"/>
            <w:noWrap/>
            <w:vAlign w:val="bottom"/>
            <w:hideMark/>
          </w:tcPr>
          <w:p w14:paraId="6882914B" w14:textId="6587CEC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E02B69A" w14:textId="77777777" w:rsidTr="00CC4948">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C5A88AB"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Sanitarije</w:t>
            </w:r>
          </w:p>
        </w:tc>
        <w:tc>
          <w:tcPr>
            <w:tcW w:w="1560" w:type="dxa"/>
            <w:tcBorders>
              <w:top w:val="nil"/>
              <w:left w:val="nil"/>
              <w:bottom w:val="single" w:sz="4" w:space="0" w:color="auto"/>
              <w:right w:val="single" w:sz="4" w:space="0" w:color="auto"/>
            </w:tcBorders>
            <w:shd w:val="clear" w:color="000000" w:fill="FFFFFF"/>
            <w:noWrap/>
            <w:vAlign w:val="bottom"/>
            <w:hideMark/>
          </w:tcPr>
          <w:p w14:paraId="2839DF90" w14:textId="6E775DCA"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92.284,99</w:t>
            </w:r>
          </w:p>
        </w:tc>
        <w:tc>
          <w:tcPr>
            <w:tcW w:w="1417" w:type="dxa"/>
            <w:tcBorders>
              <w:top w:val="nil"/>
              <w:left w:val="nil"/>
              <w:bottom w:val="single" w:sz="4" w:space="0" w:color="auto"/>
              <w:right w:val="single" w:sz="4" w:space="0" w:color="auto"/>
            </w:tcBorders>
            <w:shd w:val="clear" w:color="000000" w:fill="FFFFFF"/>
            <w:noWrap/>
            <w:vAlign w:val="bottom"/>
            <w:hideMark/>
          </w:tcPr>
          <w:p w14:paraId="4F42702D" w14:textId="22D3D52D"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2,82%</w:t>
            </w:r>
          </w:p>
        </w:tc>
        <w:tc>
          <w:tcPr>
            <w:tcW w:w="1275" w:type="dxa"/>
            <w:tcBorders>
              <w:top w:val="nil"/>
              <w:left w:val="nil"/>
              <w:bottom w:val="single" w:sz="4" w:space="0" w:color="auto"/>
              <w:right w:val="single" w:sz="4" w:space="0" w:color="auto"/>
            </w:tcBorders>
            <w:shd w:val="clear" w:color="000000" w:fill="FFFFFF"/>
            <w:noWrap/>
            <w:vAlign w:val="bottom"/>
            <w:hideMark/>
          </w:tcPr>
          <w:p w14:paraId="42D65885" w14:textId="00138699"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40ECEEB" w14:textId="344582D5"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3724D6BA" w14:textId="74F18154"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1B4E70BE" w14:textId="1D1A4597"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2B47F454" w14:textId="70B8AB60"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92.284,99</w:t>
            </w:r>
          </w:p>
        </w:tc>
        <w:tc>
          <w:tcPr>
            <w:tcW w:w="1192" w:type="dxa"/>
            <w:tcBorders>
              <w:top w:val="nil"/>
              <w:left w:val="nil"/>
              <w:bottom w:val="single" w:sz="4" w:space="0" w:color="auto"/>
              <w:right w:val="single" w:sz="4" w:space="0" w:color="auto"/>
            </w:tcBorders>
            <w:shd w:val="clear" w:color="000000" w:fill="FFFFFF"/>
            <w:noWrap/>
            <w:vAlign w:val="bottom"/>
            <w:hideMark/>
          </w:tcPr>
          <w:p w14:paraId="0275030D" w14:textId="6C857DF7" w:rsidR="002D5AF3" w:rsidRPr="000020F0" w:rsidRDefault="002D5AF3" w:rsidP="002D5AF3">
            <w:pPr>
              <w:jc w:val="right"/>
              <w:rPr>
                <w:rFonts w:ascii="Arial" w:hAnsi="Arial" w:cs="Arial"/>
                <w:i/>
                <w:iCs/>
                <w:color w:val="000000"/>
                <w:sz w:val="20"/>
                <w:szCs w:val="20"/>
              </w:rPr>
            </w:pPr>
            <w:r w:rsidRPr="000020F0">
              <w:rPr>
                <w:rFonts w:ascii="Arial" w:hAnsi="Arial" w:cs="Arial"/>
                <w:i/>
                <w:iCs/>
                <w:color w:val="000000"/>
                <w:sz w:val="20"/>
                <w:szCs w:val="20"/>
              </w:rPr>
              <w:t>0,00</w:t>
            </w:r>
          </w:p>
        </w:tc>
      </w:tr>
      <w:tr w:rsidR="002D5AF3" w:rsidRPr="000020F0" w14:paraId="16B9B80B" w14:textId="77777777" w:rsidTr="00CC4948">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9242A95" w14:textId="77777777" w:rsidR="002D5AF3" w:rsidRPr="000020F0" w:rsidRDefault="002D5AF3" w:rsidP="002D5AF3">
            <w:pPr>
              <w:rPr>
                <w:rFonts w:ascii="Roboto" w:hAnsi="Roboto"/>
                <w:color w:val="000000"/>
                <w:sz w:val="20"/>
                <w:szCs w:val="20"/>
              </w:rPr>
            </w:pPr>
            <w:r w:rsidRPr="000020F0">
              <w:rPr>
                <w:rFonts w:ascii="Roboto" w:hAnsi="Roboto"/>
                <w:color w:val="000000"/>
                <w:sz w:val="20"/>
                <w:szCs w:val="20"/>
              </w:rPr>
              <w:t>Avtobusno postajališče - nadstrešnica</w:t>
            </w:r>
          </w:p>
        </w:tc>
        <w:tc>
          <w:tcPr>
            <w:tcW w:w="1560" w:type="dxa"/>
            <w:tcBorders>
              <w:top w:val="nil"/>
              <w:left w:val="nil"/>
              <w:bottom w:val="single" w:sz="4" w:space="0" w:color="auto"/>
              <w:right w:val="single" w:sz="4" w:space="0" w:color="auto"/>
            </w:tcBorders>
            <w:shd w:val="clear" w:color="000000" w:fill="FFFFFF"/>
            <w:noWrap/>
            <w:vAlign w:val="bottom"/>
            <w:hideMark/>
          </w:tcPr>
          <w:p w14:paraId="6B82718A" w14:textId="6B003FE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271.249,66</w:t>
            </w:r>
          </w:p>
        </w:tc>
        <w:tc>
          <w:tcPr>
            <w:tcW w:w="1417" w:type="dxa"/>
            <w:tcBorders>
              <w:top w:val="nil"/>
              <w:left w:val="nil"/>
              <w:bottom w:val="single" w:sz="4" w:space="0" w:color="auto"/>
              <w:right w:val="single" w:sz="4" w:space="0" w:color="auto"/>
            </w:tcBorders>
            <w:shd w:val="clear" w:color="000000" w:fill="FFFFFF"/>
            <w:noWrap/>
            <w:vAlign w:val="bottom"/>
            <w:hideMark/>
          </w:tcPr>
          <w:p w14:paraId="064AAC0E" w14:textId="6CDAA9D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8,28%</w:t>
            </w:r>
          </w:p>
        </w:tc>
        <w:tc>
          <w:tcPr>
            <w:tcW w:w="1275" w:type="dxa"/>
            <w:tcBorders>
              <w:top w:val="nil"/>
              <w:left w:val="nil"/>
              <w:bottom w:val="single" w:sz="4" w:space="0" w:color="auto"/>
              <w:right w:val="single" w:sz="4" w:space="0" w:color="auto"/>
            </w:tcBorders>
            <w:shd w:val="clear" w:color="000000" w:fill="FFFFFF"/>
            <w:noWrap/>
            <w:vAlign w:val="bottom"/>
            <w:hideMark/>
          </w:tcPr>
          <w:p w14:paraId="79B73E5E" w14:textId="3029BBE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05E09F94" w14:textId="4B022BC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155694F5" w14:textId="6FE6EF4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359D4A94" w14:textId="7A05C48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271.249,66</w:t>
            </w:r>
          </w:p>
        </w:tc>
        <w:tc>
          <w:tcPr>
            <w:tcW w:w="1501" w:type="dxa"/>
            <w:tcBorders>
              <w:top w:val="nil"/>
              <w:left w:val="nil"/>
              <w:bottom w:val="single" w:sz="4" w:space="0" w:color="auto"/>
              <w:right w:val="single" w:sz="4" w:space="0" w:color="auto"/>
            </w:tcBorders>
            <w:shd w:val="clear" w:color="000000" w:fill="FFFFFF"/>
            <w:noWrap/>
            <w:vAlign w:val="bottom"/>
            <w:hideMark/>
          </w:tcPr>
          <w:p w14:paraId="6E42E5DB" w14:textId="080A0F2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shd w:val="clear" w:color="000000" w:fill="FFFFFF"/>
            <w:noWrap/>
            <w:vAlign w:val="bottom"/>
            <w:hideMark/>
          </w:tcPr>
          <w:p w14:paraId="1778F773" w14:textId="3FD07D4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65D482D8" w14:textId="77777777" w:rsidTr="00CC4948">
        <w:trPr>
          <w:trHeight w:val="29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DD6397D"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Parkirišče z vhodom v šolo</w:t>
            </w:r>
          </w:p>
        </w:tc>
        <w:tc>
          <w:tcPr>
            <w:tcW w:w="1560" w:type="dxa"/>
            <w:tcBorders>
              <w:top w:val="nil"/>
              <w:left w:val="nil"/>
              <w:bottom w:val="single" w:sz="4" w:space="0" w:color="auto"/>
              <w:right w:val="single" w:sz="4" w:space="0" w:color="auto"/>
            </w:tcBorders>
            <w:shd w:val="clear" w:color="000000" w:fill="FFFFFF"/>
            <w:noWrap/>
            <w:vAlign w:val="bottom"/>
            <w:hideMark/>
          </w:tcPr>
          <w:p w14:paraId="4E6852CA" w14:textId="431B149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397.454,42</w:t>
            </w:r>
          </w:p>
        </w:tc>
        <w:tc>
          <w:tcPr>
            <w:tcW w:w="1417" w:type="dxa"/>
            <w:tcBorders>
              <w:top w:val="nil"/>
              <w:left w:val="nil"/>
              <w:bottom w:val="single" w:sz="4" w:space="0" w:color="auto"/>
              <w:right w:val="single" w:sz="4" w:space="0" w:color="auto"/>
            </w:tcBorders>
            <w:noWrap/>
            <w:vAlign w:val="bottom"/>
            <w:hideMark/>
          </w:tcPr>
          <w:p w14:paraId="133CFC42" w14:textId="51704F6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12,13%</w:t>
            </w:r>
          </w:p>
        </w:tc>
        <w:tc>
          <w:tcPr>
            <w:tcW w:w="1275" w:type="dxa"/>
            <w:tcBorders>
              <w:top w:val="nil"/>
              <w:left w:val="nil"/>
              <w:bottom w:val="single" w:sz="4" w:space="0" w:color="auto"/>
              <w:right w:val="single" w:sz="4" w:space="0" w:color="auto"/>
            </w:tcBorders>
            <w:noWrap/>
            <w:vAlign w:val="bottom"/>
            <w:hideMark/>
          </w:tcPr>
          <w:p w14:paraId="25A62088" w14:textId="7252BD0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13ACFDA" w14:textId="4F40794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7844E537" w14:textId="23A3D1D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61A551D" w14:textId="7AF8E63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3B3FDCD4" w14:textId="08CE6D0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397.454,42</w:t>
            </w:r>
          </w:p>
        </w:tc>
        <w:tc>
          <w:tcPr>
            <w:tcW w:w="1192" w:type="dxa"/>
            <w:tcBorders>
              <w:top w:val="nil"/>
              <w:left w:val="nil"/>
              <w:bottom w:val="single" w:sz="4" w:space="0" w:color="auto"/>
              <w:right w:val="single" w:sz="4" w:space="0" w:color="auto"/>
            </w:tcBorders>
            <w:noWrap/>
            <w:vAlign w:val="bottom"/>
            <w:hideMark/>
          </w:tcPr>
          <w:p w14:paraId="1C0779B3" w14:textId="2F9CF13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27ABBB42"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DAE9F8"/>
            <w:noWrap/>
            <w:vAlign w:val="bottom"/>
            <w:hideMark/>
          </w:tcPr>
          <w:p w14:paraId="24AC88DD" w14:textId="77777777" w:rsidR="002D5AF3" w:rsidRPr="000020F0" w:rsidRDefault="002D5AF3" w:rsidP="002D5AF3">
            <w:pPr>
              <w:rPr>
                <w:rFonts w:ascii="Arial" w:hAnsi="Arial" w:cs="Arial"/>
                <w:b/>
                <w:bCs/>
                <w:i/>
                <w:iCs/>
                <w:color w:val="000000"/>
                <w:sz w:val="20"/>
                <w:szCs w:val="20"/>
              </w:rPr>
            </w:pPr>
            <w:r w:rsidRPr="000020F0">
              <w:rPr>
                <w:rFonts w:ascii="Arial" w:hAnsi="Arial" w:cs="Arial"/>
                <w:b/>
                <w:bCs/>
                <w:i/>
                <w:iCs/>
                <w:color w:val="000000"/>
                <w:sz w:val="20"/>
                <w:szCs w:val="20"/>
              </w:rPr>
              <w:t>Skupaj GOI dela</w:t>
            </w:r>
          </w:p>
        </w:tc>
        <w:tc>
          <w:tcPr>
            <w:tcW w:w="1560" w:type="dxa"/>
            <w:tcBorders>
              <w:top w:val="nil"/>
              <w:left w:val="nil"/>
              <w:bottom w:val="single" w:sz="4" w:space="0" w:color="auto"/>
              <w:right w:val="single" w:sz="4" w:space="0" w:color="auto"/>
            </w:tcBorders>
            <w:shd w:val="clear" w:color="000000" w:fill="DAE9F8"/>
            <w:noWrap/>
            <w:vAlign w:val="bottom"/>
            <w:hideMark/>
          </w:tcPr>
          <w:p w14:paraId="0A0B4B73" w14:textId="388A5EEE"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2.201.875,08</w:t>
            </w:r>
          </w:p>
        </w:tc>
        <w:tc>
          <w:tcPr>
            <w:tcW w:w="1417" w:type="dxa"/>
            <w:tcBorders>
              <w:top w:val="nil"/>
              <w:left w:val="nil"/>
              <w:bottom w:val="single" w:sz="4" w:space="0" w:color="auto"/>
              <w:right w:val="single" w:sz="4" w:space="0" w:color="auto"/>
            </w:tcBorders>
            <w:shd w:val="clear" w:color="000000" w:fill="DAE9F8"/>
            <w:noWrap/>
            <w:vAlign w:val="bottom"/>
            <w:hideMark/>
          </w:tcPr>
          <w:p w14:paraId="6E5A20FD" w14:textId="5E3A538E"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67,19%</w:t>
            </w:r>
          </w:p>
        </w:tc>
        <w:tc>
          <w:tcPr>
            <w:tcW w:w="1275" w:type="dxa"/>
            <w:tcBorders>
              <w:top w:val="nil"/>
              <w:left w:val="nil"/>
              <w:bottom w:val="single" w:sz="4" w:space="0" w:color="auto"/>
              <w:right w:val="single" w:sz="4" w:space="0" w:color="auto"/>
            </w:tcBorders>
            <w:shd w:val="clear" w:color="000000" w:fill="DAE9F8"/>
            <w:noWrap/>
            <w:vAlign w:val="bottom"/>
            <w:hideMark/>
          </w:tcPr>
          <w:p w14:paraId="12B07C2E" w14:textId="02FC26ED"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276" w:type="dxa"/>
            <w:tcBorders>
              <w:top w:val="nil"/>
              <w:left w:val="nil"/>
              <w:bottom w:val="single" w:sz="4" w:space="0" w:color="auto"/>
              <w:right w:val="single" w:sz="4" w:space="0" w:color="auto"/>
            </w:tcBorders>
            <w:shd w:val="clear" w:color="000000" w:fill="DAE9F8"/>
            <w:noWrap/>
            <w:vAlign w:val="bottom"/>
            <w:hideMark/>
          </w:tcPr>
          <w:p w14:paraId="1798A457" w14:textId="7AD64CBC"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134" w:type="dxa"/>
            <w:tcBorders>
              <w:top w:val="nil"/>
              <w:left w:val="nil"/>
              <w:bottom w:val="single" w:sz="4" w:space="0" w:color="auto"/>
              <w:right w:val="single" w:sz="4" w:space="0" w:color="auto"/>
            </w:tcBorders>
            <w:shd w:val="clear" w:color="000000" w:fill="DAE9F8"/>
            <w:noWrap/>
            <w:vAlign w:val="bottom"/>
            <w:hideMark/>
          </w:tcPr>
          <w:p w14:paraId="55E556DA" w14:textId="6E65B16D"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418" w:type="dxa"/>
            <w:tcBorders>
              <w:top w:val="nil"/>
              <w:left w:val="nil"/>
              <w:bottom w:val="single" w:sz="4" w:space="0" w:color="auto"/>
              <w:right w:val="single" w:sz="4" w:space="0" w:color="auto"/>
            </w:tcBorders>
            <w:shd w:val="clear" w:color="000000" w:fill="DAE9F8"/>
            <w:noWrap/>
            <w:vAlign w:val="bottom"/>
            <w:hideMark/>
          </w:tcPr>
          <w:p w14:paraId="5A41BA57" w14:textId="1BAF3592"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581.974,97</w:t>
            </w:r>
          </w:p>
        </w:tc>
        <w:tc>
          <w:tcPr>
            <w:tcW w:w="1501" w:type="dxa"/>
            <w:tcBorders>
              <w:top w:val="nil"/>
              <w:left w:val="nil"/>
              <w:bottom w:val="single" w:sz="4" w:space="0" w:color="auto"/>
              <w:right w:val="single" w:sz="4" w:space="0" w:color="auto"/>
            </w:tcBorders>
            <w:shd w:val="clear" w:color="000000" w:fill="DAE9F8"/>
            <w:noWrap/>
            <w:vAlign w:val="bottom"/>
            <w:hideMark/>
          </w:tcPr>
          <w:p w14:paraId="269690F2" w14:textId="3BF50822"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1.572.501,11</w:t>
            </w:r>
          </w:p>
        </w:tc>
        <w:tc>
          <w:tcPr>
            <w:tcW w:w="1192" w:type="dxa"/>
            <w:tcBorders>
              <w:top w:val="nil"/>
              <w:left w:val="nil"/>
              <w:bottom w:val="single" w:sz="4" w:space="0" w:color="auto"/>
              <w:right w:val="single" w:sz="4" w:space="0" w:color="auto"/>
            </w:tcBorders>
            <w:shd w:val="clear" w:color="000000" w:fill="DAE9F8"/>
            <w:noWrap/>
            <w:vAlign w:val="bottom"/>
            <w:hideMark/>
          </w:tcPr>
          <w:p w14:paraId="7943589F" w14:textId="0AAB542D" w:rsidR="002D5AF3" w:rsidRPr="000020F0" w:rsidRDefault="002D5AF3" w:rsidP="002D5AF3">
            <w:pPr>
              <w:jc w:val="right"/>
              <w:rPr>
                <w:rFonts w:ascii="Arial" w:hAnsi="Arial" w:cs="Arial"/>
                <w:b/>
                <w:bCs/>
                <w:i/>
                <w:iCs/>
                <w:color w:val="000000"/>
                <w:sz w:val="20"/>
                <w:szCs w:val="20"/>
              </w:rPr>
            </w:pPr>
            <w:r w:rsidRPr="000020F0">
              <w:rPr>
                <w:rFonts w:ascii="Arial" w:hAnsi="Arial" w:cs="Arial"/>
                <w:b/>
                <w:bCs/>
                <w:i/>
                <w:iCs/>
                <w:color w:val="000000"/>
                <w:sz w:val="20"/>
                <w:szCs w:val="20"/>
              </w:rPr>
              <w:t>47.399,00</w:t>
            </w:r>
          </w:p>
        </w:tc>
      </w:tr>
      <w:tr w:rsidR="002D5AF3" w:rsidRPr="000020F0" w14:paraId="3E53D1B7"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023B913F"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Strokovni nadzor</w:t>
            </w:r>
          </w:p>
        </w:tc>
        <w:tc>
          <w:tcPr>
            <w:tcW w:w="1560" w:type="dxa"/>
            <w:tcBorders>
              <w:top w:val="nil"/>
              <w:left w:val="nil"/>
              <w:bottom w:val="single" w:sz="4" w:space="0" w:color="auto"/>
              <w:right w:val="single" w:sz="4" w:space="0" w:color="auto"/>
            </w:tcBorders>
            <w:noWrap/>
            <w:vAlign w:val="bottom"/>
            <w:hideMark/>
          </w:tcPr>
          <w:p w14:paraId="423FCF31" w14:textId="6073EFD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66.056,25</w:t>
            </w:r>
          </w:p>
        </w:tc>
        <w:tc>
          <w:tcPr>
            <w:tcW w:w="1417" w:type="dxa"/>
            <w:tcBorders>
              <w:top w:val="nil"/>
              <w:left w:val="nil"/>
              <w:bottom w:val="single" w:sz="4" w:space="0" w:color="auto"/>
              <w:right w:val="single" w:sz="4" w:space="0" w:color="auto"/>
            </w:tcBorders>
            <w:noWrap/>
            <w:vAlign w:val="bottom"/>
            <w:hideMark/>
          </w:tcPr>
          <w:p w14:paraId="24FC5236" w14:textId="3E45053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2,02%</w:t>
            </w:r>
          </w:p>
        </w:tc>
        <w:tc>
          <w:tcPr>
            <w:tcW w:w="1275" w:type="dxa"/>
            <w:tcBorders>
              <w:top w:val="nil"/>
              <w:left w:val="nil"/>
              <w:bottom w:val="single" w:sz="4" w:space="0" w:color="auto"/>
              <w:right w:val="single" w:sz="4" w:space="0" w:color="auto"/>
            </w:tcBorders>
            <w:noWrap/>
            <w:vAlign w:val="bottom"/>
            <w:hideMark/>
          </w:tcPr>
          <w:p w14:paraId="7EEAB010" w14:textId="48CE2E1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C715CD6" w14:textId="30A747A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74033D81" w14:textId="5B30D40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3B5B6DCF" w14:textId="5FAE1BE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17.459,25</w:t>
            </w:r>
          </w:p>
        </w:tc>
        <w:tc>
          <w:tcPr>
            <w:tcW w:w="1501" w:type="dxa"/>
            <w:tcBorders>
              <w:top w:val="nil"/>
              <w:left w:val="nil"/>
              <w:bottom w:val="single" w:sz="4" w:space="0" w:color="auto"/>
              <w:right w:val="single" w:sz="4" w:space="0" w:color="auto"/>
            </w:tcBorders>
            <w:noWrap/>
            <w:vAlign w:val="bottom"/>
            <w:hideMark/>
          </w:tcPr>
          <w:p w14:paraId="3D906010" w14:textId="781BC5E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47.175,03</w:t>
            </w:r>
          </w:p>
        </w:tc>
        <w:tc>
          <w:tcPr>
            <w:tcW w:w="1192" w:type="dxa"/>
            <w:tcBorders>
              <w:top w:val="nil"/>
              <w:left w:val="nil"/>
              <w:bottom w:val="single" w:sz="4" w:space="0" w:color="auto"/>
              <w:right w:val="single" w:sz="4" w:space="0" w:color="auto"/>
            </w:tcBorders>
            <w:noWrap/>
            <w:vAlign w:val="bottom"/>
            <w:hideMark/>
          </w:tcPr>
          <w:p w14:paraId="66C212B0" w14:textId="43F11AB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1.421,97</w:t>
            </w:r>
          </w:p>
        </w:tc>
      </w:tr>
      <w:tr w:rsidR="002D5AF3" w:rsidRPr="000020F0" w14:paraId="6A4B2799"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30A122E9"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Projektna dokumentacija</w:t>
            </w:r>
          </w:p>
        </w:tc>
        <w:tc>
          <w:tcPr>
            <w:tcW w:w="1560" w:type="dxa"/>
            <w:tcBorders>
              <w:top w:val="nil"/>
              <w:left w:val="nil"/>
              <w:bottom w:val="single" w:sz="4" w:space="0" w:color="auto"/>
              <w:right w:val="single" w:sz="4" w:space="0" w:color="auto"/>
            </w:tcBorders>
            <w:noWrap/>
            <w:vAlign w:val="bottom"/>
            <w:hideMark/>
          </w:tcPr>
          <w:p w14:paraId="30C51EC9" w14:textId="574421D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105.095,33</w:t>
            </w:r>
          </w:p>
        </w:tc>
        <w:tc>
          <w:tcPr>
            <w:tcW w:w="1417" w:type="dxa"/>
            <w:tcBorders>
              <w:top w:val="nil"/>
              <w:left w:val="nil"/>
              <w:bottom w:val="single" w:sz="4" w:space="0" w:color="auto"/>
              <w:right w:val="single" w:sz="4" w:space="0" w:color="auto"/>
            </w:tcBorders>
            <w:noWrap/>
            <w:vAlign w:val="bottom"/>
            <w:hideMark/>
          </w:tcPr>
          <w:p w14:paraId="153ACC34" w14:textId="0E4F5D1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3,21%</w:t>
            </w:r>
          </w:p>
        </w:tc>
        <w:tc>
          <w:tcPr>
            <w:tcW w:w="1275" w:type="dxa"/>
            <w:tcBorders>
              <w:top w:val="nil"/>
              <w:left w:val="nil"/>
              <w:bottom w:val="single" w:sz="4" w:space="0" w:color="auto"/>
              <w:right w:val="single" w:sz="4" w:space="0" w:color="auto"/>
            </w:tcBorders>
            <w:noWrap/>
            <w:vAlign w:val="bottom"/>
            <w:hideMark/>
          </w:tcPr>
          <w:p w14:paraId="0BB8AFCD" w14:textId="0016021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7.200,00</w:t>
            </w:r>
          </w:p>
        </w:tc>
        <w:tc>
          <w:tcPr>
            <w:tcW w:w="1276" w:type="dxa"/>
            <w:tcBorders>
              <w:top w:val="nil"/>
              <w:left w:val="nil"/>
              <w:bottom w:val="single" w:sz="4" w:space="0" w:color="auto"/>
              <w:right w:val="single" w:sz="4" w:space="0" w:color="auto"/>
            </w:tcBorders>
            <w:noWrap/>
            <w:vAlign w:val="bottom"/>
            <w:hideMark/>
          </w:tcPr>
          <w:p w14:paraId="473CF4D5" w14:textId="231ECD8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67.622,95</w:t>
            </w:r>
          </w:p>
        </w:tc>
        <w:tc>
          <w:tcPr>
            <w:tcW w:w="1134" w:type="dxa"/>
            <w:tcBorders>
              <w:top w:val="nil"/>
              <w:left w:val="nil"/>
              <w:bottom w:val="single" w:sz="4" w:space="0" w:color="auto"/>
              <w:right w:val="single" w:sz="4" w:space="0" w:color="auto"/>
            </w:tcBorders>
            <w:noWrap/>
            <w:vAlign w:val="bottom"/>
            <w:hideMark/>
          </w:tcPr>
          <w:p w14:paraId="08897369" w14:textId="7D6B962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21.372,38</w:t>
            </w:r>
          </w:p>
        </w:tc>
        <w:tc>
          <w:tcPr>
            <w:tcW w:w="1418" w:type="dxa"/>
            <w:tcBorders>
              <w:top w:val="nil"/>
              <w:left w:val="nil"/>
              <w:bottom w:val="single" w:sz="4" w:space="0" w:color="auto"/>
              <w:right w:val="single" w:sz="4" w:space="0" w:color="auto"/>
            </w:tcBorders>
            <w:noWrap/>
            <w:vAlign w:val="bottom"/>
            <w:hideMark/>
          </w:tcPr>
          <w:p w14:paraId="1C1D496E" w14:textId="6F5F2FA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3.856,67</w:t>
            </w:r>
          </w:p>
        </w:tc>
        <w:tc>
          <w:tcPr>
            <w:tcW w:w="1501" w:type="dxa"/>
            <w:tcBorders>
              <w:top w:val="nil"/>
              <w:left w:val="nil"/>
              <w:bottom w:val="single" w:sz="4" w:space="0" w:color="auto"/>
              <w:right w:val="single" w:sz="4" w:space="0" w:color="auto"/>
            </w:tcBorders>
            <w:noWrap/>
            <w:vAlign w:val="bottom"/>
            <w:hideMark/>
          </w:tcPr>
          <w:p w14:paraId="2A96C2F9" w14:textId="562BA04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3.856,67</w:t>
            </w:r>
          </w:p>
        </w:tc>
        <w:tc>
          <w:tcPr>
            <w:tcW w:w="1192" w:type="dxa"/>
            <w:tcBorders>
              <w:top w:val="nil"/>
              <w:left w:val="nil"/>
              <w:bottom w:val="single" w:sz="4" w:space="0" w:color="auto"/>
              <w:right w:val="single" w:sz="4" w:space="0" w:color="auto"/>
            </w:tcBorders>
            <w:noWrap/>
            <w:vAlign w:val="bottom"/>
            <w:hideMark/>
          </w:tcPr>
          <w:p w14:paraId="74C2A544" w14:textId="451F273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1.186,67</w:t>
            </w:r>
          </w:p>
        </w:tc>
      </w:tr>
      <w:tr w:rsidR="002D5AF3" w:rsidRPr="000020F0" w14:paraId="077DA3F0"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603B0933"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Svetovalni inženiring</w:t>
            </w:r>
          </w:p>
        </w:tc>
        <w:tc>
          <w:tcPr>
            <w:tcW w:w="1560" w:type="dxa"/>
            <w:tcBorders>
              <w:top w:val="nil"/>
              <w:left w:val="nil"/>
              <w:bottom w:val="single" w:sz="4" w:space="0" w:color="auto"/>
              <w:right w:val="single" w:sz="4" w:space="0" w:color="auto"/>
            </w:tcBorders>
            <w:noWrap/>
            <w:vAlign w:val="bottom"/>
            <w:hideMark/>
          </w:tcPr>
          <w:p w14:paraId="53DCC397" w14:textId="630CCA6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22.018,75</w:t>
            </w:r>
          </w:p>
        </w:tc>
        <w:tc>
          <w:tcPr>
            <w:tcW w:w="1417" w:type="dxa"/>
            <w:tcBorders>
              <w:top w:val="nil"/>
              <w:left w:val="nil"/>
              <w:bottom w:val="single" w:sz="4" w:space="0" w:color="auto"/>
              <w:right w:val="single" w:sz="4" w:space="0" w:color="auto"/>
            </w:tcBorders>
            <w:noWrap/>
            <w:vAlign w:val="bottom"/>
            <w:hideMark/>
          </w:tcPr>
          <w:p w14:paraId="57485E6E" w14:textId="14C164B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0,67%</w:t>
            </w:r>
          </w:p>
        </w:tc>
        <w:tc>
          <w:tcPr>
            <w:tcW w:w="1275" w:type="dxa"/>
            <w:tcBorders>
              <w:top w:val="nil"/>
              <w:left w:val="nil"/>
              <w:bottom w:val="single" w:sz="4" w:space="0" w:color="auto"/>
              <w:right w:val="single" w:sz="4" w:space="0" w:color="auto"/>
            </w:tcBorders>
            <w:noWrap/>
            <w:vAlign w:val="bottom"/>
            <w:hideMark/>
          </w:tcPr>
          <w:p w14:paraId="0E5B955B" w14:textId="48C08CB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A7D6D0B" w14:textId="18026EC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8CD268B" w14:textId="2946F04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214CA3C0" w14:textId="396B0F4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5.819,75</w:t>
            </w:r>
          </w:p>
        </w:tc>
        <w:tc>
          <w:tcPr>
            <w:tcW w:w="1501" w:type="dxa"/>
            <w:tcBorders>
              <w:top w:val="nil"/>
              <w:left w:val="nil"/>
              <w:bottom w:val="single" w:sz="4" w:space="0" w:color="auto"/>
              <w:right w:val="single" w:sz="4" w:space="0" w:color="auto"/>
            </w:tcBorders>
            <w:noWrap/>
            <w:vAlign w:val="bottom"/>
            <w:hideMark/>
          </w:tcPr>
          <w:p w14:paraId="1432BCE4" w14:textId="621AF86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15.725,01</w:t>
            </w:r>
          </w:p>
        </w:tc>
        <w:tc>
          <w:tcPr>
            <w:tcW w:w="1192" w:type="dxa"/>
            <w:tcBorders>
              <w:top w:val="nil"/>
              <w:left w:val="nil"/>
              <w:bottom w:val="single" w:sz="4" w:space="0" w:color="auto"/>
              <w:right w:val="single" w:sz="4" w:space="0" w:color="auto"/>
            </w:tcBorders>
            <w:noWrap/>
            <w:vAlign w:val="bottom"/>
            <w:hideMark/>
          </w:tcPr>
          <w:p w14:paraId="79853CE2" w14:textId="0C10D22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473,99</w:t>
            </w:r>
          </w:p>
        </w:tc>
      </w:tr>
      <w:tr w:rsidR="002D5AF3" w:rsidRPr="000020F0" w14:paraId="356B973E" w14:textId="77777777" w:rsidTr="00CC4948">
        <w:trPr>
          <w:trHeight w:val="290"/>
        </w:trPr>
        <w:tc>
          <w:tcPr>
            <w:tcW w:w="3114" w:type="dxa"/>
            <w:tcBorders>
              <w:top w:val="nil"/>
              <w:left w:val="single" w:sz="4" w:space="0" w:color="auto"/>
              <w:bottom w:val="single" w:sz="4" w:space="0" w:color="auto"/>
              <w:right w:val="single" w:sz="4" w:space="0" w:color="auto"/>
            </w:tcBorders>
            <w:noWrap/>
            <w:vAlign w:val="bottom"/>
            <w:hideMark/>
          </w:tcPr>
          <w:p w14:paraId="7A06EF26"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Obveščanje javnosti</w:t>
            </w:r>
          </w:p>
        </w:tc>
        <w:tc>
          <w:tcPr>
            <w:tcW w:w="1560" w:type="dxa"/>
            <w:tcBorders>
              <w:top w:val="nil"/>
              <w:left w:val="nil"/>
              <w:bottom w:val="single" w:sz="4" w:space="0" w:color="auto"/>
              <w:right w:val="single" w:sz="4" w:space="0" w:color="auto"/>
            </w:tcBorders>
            <w:noWrap/>
            <w:vAlign w:val="bottom"/>
            <w:hideMark/>
          </w:tcPr>
          <w:p w14:paraId="77117126" w14:textId="1F0B538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4.098,36</w:t>
            </w:r>
          </w:p>
        </w:tc>
        <w:tc>
          <w:tcPr>
            <w:tcW w:w="1417" w:type="dxa"/>
            <w:tcBorders>
              <w:top w:val="nil"/>
              <w:left w:val="nil"/>
              <w:bottom w:val="single" w:sz="4" w:space="0" w:color="auto"/>
              <w:right w:val="single" w:sz="4" w:space="0" w:color="auto"/>
            </w:tcBorders>
            <w:noWrap/>
            <w:vAlign w:val="bottom"/>
            <w:hideMark/>
          </w:tcPr>
          <w:p w14:paraId="732EB1D1" w14:textId="6D12D8C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0,13%</w:t>
            </w:r>
          </w:p>
        </w:tc>
        <w:tc>
          <w:tcPr>
            <w:tcW w:w="1275" w:type="dxa"/>
            <w:tcBorders>
              <w:top w:val="nil"/>
              <w:left w:val="nil"/>
              <w:bottom w:val="single" w:sz="4" w:space="0" w:color="auto"/>
              <w:right w:val="single" w:sz="4" w:space="0" w:color="auto"/>
            </w:tcBorders>
            <w:noWrap/>
            <w:vAlign w:val="bottom"/>
            <w:hideMark/>
          </w:tcPr>
          <w:p w14:paraId="6168983C" w14:textId="03444AC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4A512A3" w14:textId="78DD364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4BC8ACB7" w14:textId="7CA7136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6C96B67A" w14:textId="7B87C80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2.049,18</w:t>
            </w:r>
          </w:p>
        </w:tc>
        <w:tc>
          <w:tcPr>
            <w:tcW w:w="1501" w:type="dxa"/>
            <w:tcBorders>
              <w:top w:val="nil"/>
              <w:left w:val="nil"/>
              <w:bottom w:val="single" w:sz="4" w:space="0" w:color="auto"/>
              <w:right w:val="single" w:sz="4" w:space="0" w:color="auto"/>
            </w:tcBorders>
            <w:noWrap/>
            <w:vAlign w:val="bottom"/>
            <w:hideMark/>
          </w:tcPr>
          <w:p w14:paraId="6CE369E4" w14:textId="705CDC4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409,84</w:t>
            </w:r>
          </w:p>
        </w:tc>
        <w:tc>
          <w:tcPr>
            <w:tcW w:w="1192" w:type="dxa"/>
            <w:tcBorders>
              <w:top w:val="nil"/>
              <w:left w:val="nil"/>
              <w:bottom w:val="single" w:sz="4" w:space="0" w:color="auto"/>
              <w:right w:val="single" w:sz="4" w:space="0" w:color="auto"/>
            </w:tcBorders>
            <w:noWrap/>
            <w:vAlign w:val="bottom"/>
            <w:hideMark/>
          </w:tcPr>
          <w:p w14:paraId="6B624E88" w14:textId="601F1DA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1.639,34</w:t>
            </w:r>
          </w:p>
        </w:tc>
      </w:tr>
      <w:tr w:rsidR="002D5AF3" w:rsidRPr="000020F0" w14:paraId="210FA17E"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7B95E549"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lastRenderedPageBreak/>
              <w:t>Investicijska in ostala dokumentacija</w:t>
            </w:r>
          </w:p>
        </w:tc>
        <w:tc>
          <w:tcPr>
            <w:tcW w:w="1560" w:type="dxa"/>
            <w:tcBorders>
              <w:top w:val="nil"/>
              <w:left w:val="nil"/>
              <w:bottom w:val="single" w:sz="4" w:space="0" w:color="auto"/>
              <w:right w:val="single" w:sz="4" w:space="0" w:color="auto"/>
            </w:tcBorders>
            <w:noWrap/>
            <w:vAlign w:val="bottom"/>
            <w:hideMark/>
          </w:tcPr>
          <w:p w14:paraId="408A1176" w14:textId="31BEC3E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21.650,00</w:t>
            </w:r>
          </w:p>
        </w:tc>
        <w:tc>
          <w:tcPr>
            <w:tcW w:w="1417" w:type="dxa"/>
            <w:tcBorders>
              <w:top w:val="nil"/>
              <w:left w:val="nil"/>
              <w:bottom w:val="single" w:sz="4" w:space="0" w:color="auto"/>
              <w:right w:val="single" w:sz="4" w:space="0" w:color="auto"/>
            </w:tcBorders>
            <w:noWrap/>
            <w:vAlign w:val="bottom"/>
            <w:hideMark/>
          </w:tcPr>
          <w:p w14:paraId="0BCCC419" w14:textId="7B48C56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0,66%</w:t>
            </w:r>
          </w:p>
        </w:tc>
        <w:tc>
          <w:tcPr>
            <w:tcW w:w="1275" w:type="dxa"/>
            <w:tcBorders>
              <w:top w:val="nil"/>
              <w:left w:val="nil"/>
              <w:bottom w:val="single" w:sz="4" w:space="0" w:color="auto"/>
              <w:right w:val="single" w:sz="4" w:space="0" w:color="auto"/>
            </w:tcBorders>
            <w:noWrap/>
            <w:vAlign w:val="bottom"/>
            <w:hideMark/>
          </w:tcPr>
          <w:p w14:paraId="498B9998" w14:textId="2F2492E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700,00</w:t>
            </w:r>
          </w:p>
        </w:tc>
        <w:tc>
          <w:tcPr>
            <w:tcW w:w="1276" w:type="dxa"/>
            <w:tcBorders>
              <w:top w:val="nil"/>
              <w:left w:val="nil"/>
              <w:bottom w:val="single" w:sz="4" w:space="0" w:color="auto"/>
              <w:right w:val="single" w:sz="4" w:space="0" w:color="auto"/>
            </w:tcBorders>
            <w:noWrap/>
            <w:vAlign w:val="bottom"/>
            <w:hideMark/>
          </w:tcPr>
          <w:p w14:paraId="0B9043FF" w14:textId="5FDBFDC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9.150,00</w:t>
            </w:r>
          </w:p>
        </w:tc>
        <w:tc>
          <w:tcPr>
            <w:tcW w:w="1134" w:type="dxa"/>
            <w:tcBorders>
              <w:top w:val="nil"/>
              <w:left w:val="nil"/>
              <w:bottom w:val="single" w:sz="4" w:space="0" w:color="auto"/>
              <w:right w:val="single" w:sz="4" w:space="0" w:color="auto"/>
            </w:tcBorders>
            <w:noWrap/>
            <w:vAlign w:val="bottom"/>
            <w:hideMark/>
          </w:tcPr>
          <w:p w14:paraId="388D5711" w14:textId="590BC61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11.800,00</w:t>
            </w:r>
          </w:p>
        </w:tc>
        <w:tc>
          <w:tcPr>
            <w:tcW w:w="1418" w:type="dxa"/>
            <w:tcBorders>
              <w:top w:val="nil"/>
              <w:left w:val="nil"/>
              <w:bottom w:val="single" w:sz="4" w:space="0" w:color="auto"/>
              <w:right w:val="single" w:sz="4" w:space="0" w:color="auto"/>
            </w:tcBorders>
            <w:noWrap/>
            <w:vAlign w:val="bottom"/>
            <w:hideMark/>
          </w:tcPr>
          <w:p w14:paraId="21520151" w14:textId="4019508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6209479B" w14:textId="1733F49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190CF494" w14:textId="3C11DE0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5518230"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6FB31C70"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Stroški varnosti pri delu</w:t>
            </w:r>
          </w:p>
        </w:tc>
        <w:tc>
          <w:tcPr>
            <w:tcW w:w="1560" w:type="dxa"/>
            <w:tcBorders>
              <w:top w:val="nil"/>
              <w:left w:val="nil"/>
              <w:bottom w:val="single" w:sz="4" w:space="0" w:color="auto"/>
              <w:right w:val="single" w:sz="4" w:space="0" w:color="auto"/>
            </w:tcBorders>
            <w:noWrap/>
            <w:vAlign w:val="bottom"/>
            <w:hideMark/>
          </w:tcPr>
          <w:p w14:paraId="4556E155" w14:textId="7734771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6.979,18</w:t>
            </w:r>
          </w:p>
        </w:tc>
        <w:tc>
          <w:tcPr>
            <w:tcW w:w="1417" w:type="dxa"/>
            <w:tcBorders>
              <w:top w:val="nil"/>
              <w:left w:val="nil"/>
              <w:bottom w:val="single" w:sz="4" w:space="0" w:color="auto"/>
              <w:right w:val="single" w:sz="4" w:space="0" w:color="auto"/>
            </w:tcBorders>
            <w:noWrap/>
            <w:vAlign w:val="bottom"/>
            <w:hideMark/>
          </w:tcPr>
          <w:p w14:paraId="310F6268" w14:textId="6CDD7F0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0,21%</w:t>
            </w:r>
          </w:p>
        </w:tc>
        <w:tc>
          <w:tcPr>
            <w:tcW w:w="1275" w:type="dxa"/>
            <w:tcBorders>
              <w:top w:val="nil"/>
              <w:left w:val="nil"/>
              <w:bottom w:val="single" w:sz="4" w:space="0" w:color="auto"/>
              <w:right w:val="single" w:sz="4" w:space="0" w:color="auto"/>
            </w:tcBorders>
            <w:noWrap/>
            <w:vAlign w:val="bottom"/>
            <w:hideMark/>
          </w:tcPr>
          <w:p w14:paraId="363EF22B" w14:textId="4122E47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7DD32EA" w14:textId="2128815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BF705EF" w14:textId="761A16E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EAB943C" w14:textId="200222E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2.785,38</w:t>
            </w:r>
          </w:p>
        </w:tc>
        <w:tc>
          <w:tcPr>
            <w:tcW w:w="1501" w:type="dxa"/>
            <w:tcBorders>
              <w:top w:val="nil"/>
              <w:left w:val="nil"/>
              <w:bottom w:val="single" w:sz="4" w:space="0" w:color="auto"/>
              <w:right w:val="single" w:sz="4" w:space="0" w:color="auto"/>
            </w:tcBorders>
            <w:noWrap/>
            <w:vAlign w:val="bottom"/>
            <w:hideMark/>
          </w:tcPr>
          <w:p w14:paraId="1762D017" w14:textId="76158D0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1.545,33</w:t>
            </w:r>
          </w:p>
        </w:tc>
        <w:tc>
          <w:tcPr>
            <w:tcW w:w="1192" w:type="dxa"/>
            <w:tcBorders>
              <w:top w:val="nil"/>
              <w:left w:val="nil"/>
              <w:bottom w:val="single" w:sz="4" w:space="0" w:color="auto"/>
              <w:right w:val="single" w:sz="4" w:space="0" w:color="auto"/>
            </w:tcBorders>
            <w:noWrap/>
            <w:vAlign w:val="bottom"/>
            <w:hideMark/>
          </w:tcPr>
          <w:p w14:paraId="44D5B36F" w14:textId="758A0E9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2.648,47</w:t>
            </w:r>
          </w:p>
        </w:tc>
      </w:tr>
      <w:tr w:rsidR="002D5AF3" w:rsidRPr="000020F0" w14:paraId="23E77E5F"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32FC559D"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Arheologija</w:t>
            </w:r>
          </w:p>
        </w:tc>
        <w:tc>
          <w:tcPr>
            <w:tcW w:w="1560" w:type="dxa"/>
            <w:tcBorders>
              <w:top w:val="nil"/>
              <w:left w:val="nil"/>
              <w:bottom w:val="single" w:sz="4" w:space="0" w:color="auto"/>
              <w:right w:val="single" w:sz="4" w:space="0" w:color="auto"/>
            </w:tcBorders>
            <w:noWrap/>
            <w:vAlign w:val="bottom"/>
            <w:hideMark/>
          </w:tcPr>
          <w:p w14:paraId="156D2A46" w14:textId="51AB34B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15.011,81</w:t>
            </w:r>
          </w:p>
        </w:tc>
        <w:tc>
          <w:tcPr>
            <w:tcW w:w="1417" w:type="dxa"/>
            <w:tcBorders>
              <w:top w:val="nil"/>
              <w:left w:val="nil"/>
              <w:bottom w:val="single" w:sz="4" w:space="0" w:color="auto"/>
              <w:right w:val="single" w:sz="4" w:space="0" w:color="auto"/>
            </w:tcBorders>
            <w:noWrap/>
            <w:vAlign w:val="bottom"/>
            <w:hideMark/>
          </w:tcPr>
          <w:p w14:paraId="17FB88CA" w14:textId="6C57AC0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0,46%</w:t>
            </w:r>
          </w:p>
        </w:tc>
        <w:tc>
          <w:tcPr>
            <w:tcW w:w="1275" w:type="dxa"/>
            <w:tcBorders>
              <w:top w:val="nil"/>
              <w:left w:val="nil"/>
              <w:bottom w:val="single" w:sz="4" w:space="0" w:color="auto"/>
              <w:right w:val="single" w:sz="4" w:space="0" w:color="auto"/>
            </w:tcBorders>
            <w:noWrap/>
            <w:vAlign w:val="bottom"/>
            <w:hideMark/>
          </w:tcPr>
          <w:p w14:paraId="27BB5A31" w14:textId="0F09A8F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97FD51A" w14:textId="20A6D71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181F3558" w14:textId="76295E1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04E1DDB" w14:textId="47D0A30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1.968,98</w:t>
            </w:r>
          </w:p>
        </w:tc>
        <w:tc>
          <w:tcPr>
            <w:tcW w:w="1501" w:type="dxa"/>
            <w:tcBorders>
              <w:top w:val="nil"/>
              <w:left w:val="nil"/>
              <w:bottom w:val="single" w:sz="4" w:space="0" w:color="auto"/>
              <w:right w:val="single" w:sz="4" w:space="0" w:color="auto"/>
            </w:tcBorders>
            <w:noWrap/>
            <w:vAlign w:val="bottom"/>
            <w:hideMark/>
          </w:tcPr>
          <w:p w14:paraId="4FDC0677" w14:textId="2FF357C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10.114,31</w:t>
            </w:r>
          </w:p>
        </w:tc>
        <w:tc>
          <w:tcPr>
            <w:tcW w:w="1192" w:type="dxa"/>
            <w:tcBorders>
              <w:top w:val="nil"/>
              <w:left w:val="nil"/>
              <w:bottom w:val="single" w:sz="4" w:space="0" w:color="auto"/>
              <w:right w:val="single" w:sz="4" w:space="0" w:color="auto"/>
            </w:tcBorders>
            <w:noWrap/>
            <w:vAlign w:val="bottom"/>
            <w:hideMark/>
          </w:tcPr>
          <w:p w14:paraId="46F0EE01" w14:textId="1F5D69E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2.928,52</w:t>
            </w:r>
          </w:p>
        </w:tc>
      </w:tr>
      <w:tr w:rsidR="002D5AF3" w:rsidRPr="000020F0" w14:paraId="74B1C774"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02E7CC78"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560" w:type="dxa"/>
            <w:tcBorders>
              <w:top w:val="nil"/>
              <w:left w:val="nil"/>
              <w:bottom w:val="single" w:sz="4" w:space="0" w:color="auto"/>
              <w:right w:val="single" w:sz="4" w:space="0" w:color="auto"/>
            </w:tcBorders>
            <w:noWrap/>
            <w:vAlign w:val="bottom"/>
            <w:hideMark/>
          </w:tcPr>
          <w:p w14:paraId="119BD5CA" w14:textId="66AED44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3.280,00</w:t>
            </w:r>
          </w:p>
        </w:tc>
        <w:tc>
          <w:tcPr>
            <w:tcW w:w="1417" w:type="dxa"/>
            <w:tcBorders>
              <w:top w:val="nil"/>
              <w:left w:val="nil"/>
              <w:bottom w:val="single" w:sz="4" w:space="0" w:color="auto"/>
              <w:right w:val="single" w:sz="4" w:space="0" w:color="auto"/>
            </w:tcBorders>
            <w:noWrap/>
            <w:vAlign w:val="bottom"/>
            <w:hideMark/>
          </w:tcPr>
          <w:p w14:paraId="226550B9" w14:textId="37C84A1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0,10%</w:t>
            </w:r>
          </w:p>
        </w:tc>
        <w:tc>
          <w:tcPr>
            <w:tcW w:w="1275" w:type="dxa"/>
            <w:tcBorders>
              <w:top w:val="nil"/>
              <w:left w:val="nil"/>
              <w:bottom w:val="single" w:sz="4" w:space="0" w:color="auto"/>
              <w:right w:val="single" w:sz="4" w:space="0" w:color="auto"/>
            </w:tcBorders>
            <w:noWrap/>
            <w:vAlign w:val="bottom"/>
            <w:hideMark/>
          </w:tcPr>
          <w:p w14:paraId="23D68560" w14:textId="2BA1E45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7C7883E" w14:textId="246CB7E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3CC2A098" w14:textId="6BAE57F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1197BA9E" w14:textId="205079CC"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3.280,00</w:t>
            </w:r>
          </w:p>
        </w:tc>
        <w:tc>
          <w:tcPr>
            <w:tcW w:w="1501" w:type="dxa"/>
            <w:tcBorders>
              <w:top w:val="nil"/>
              <w:left w:val="nil"/>
              <w:bottom w:val="single" w:sz="4" w:space="0" w:color="auto"/>
              <w:right w:val="single" w:sz="4" w:space="0" w:color="auto"/>
            </w:tcBorders>
            <w:noWrap/>
            <w:vAlign w:val="bottom"/>
            <w:hideMark/>
          </w:tcPr>
          <w:p w14:paraId="04DEF93F" w14:textId="78ED580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790CA20D" w14:textId="3E56FC5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11A96EFF"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633D9B5C"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Nakup nepremičnine</w:t>
            </w:r>
          </w:p>
        </w:tc>
        <w:tc>
          <w:tcPr>
            <w:tcW w:w="1560" w:type="dxa"/>
            <w:tcBorders>
              <w:top w:val="nil"/>
              <w:left w:val="nil"/>
              <w:bottom w:val="single" w:sz="4" w:space="0" w:color="auto"/>
              <w:right w:val="single" w:sz="4" w:space="0" w:color="auto"/>
            </w:tcBorders>
            <w:noWrap/>
            <w:vAlign w:val="bottom"/>
            <w:hideMark/>
          </w:tcPr>
          <w:p w14:paraId="4D7DF9C1" w14:textId="027C734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280.000,00</w:t>
            </w:r>
          </w:p>
        </w:tc>
        <w:tc>
          <w:tcPr>
            <w:tcW w:w="1417" w:type="dxa"/>
            <w:tcBorders>
              <w:top w:val="nil"/>
              <w:left w:val="nil"/>
              <w:bottom w:val="single" w:sz="4" w:space="0" w:color="auto"/>
              <w:right w:val="single" w:sz="4" w:space="0" w:color="auto"/>
            </w:tcBorders>
            <w:noWrap/>
            <w:vAlign w:val="bottom"/>
            <w:hideMark/>
          </w:tcPr>
          <w:p w14:paraId="74E33914" w14:textId="08BA8A0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8,54%</w:t>
            </w:r>
          </w:p>
        </w:tc>
        <w:tc>
          <w:tcPr>
            <w:tcW w:w="1275" w:type="dxa"/>
            <w:tcBorders>
              <w:top w:val="nil"/>
              <w:left w:val="nil"/>
              <w:bottom w:val="single" w:sz="4" w:space="0" w:color="auto"/>
              <w:right w:val="single" w:sz="4" w:space="0" w:color="auto"/>
            </w:tcBorders>
            <w:noWrap/>
            <w:vAlign w:val="bottom"/>
            <w:hideMark/>
          </w:tcPr>
          <w:p w14:paraId="4C11978C" w14:textId="091A187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280.000,00</w:t>
            </w:r>
          </w:p>
        </w:tc>
        <w:tc>
          <w:tcPr>
            <w:tcW w:w="1276" w:type="dxa"/>
            <w:tcBorders>
              <w:top w:val="nil"/>
              <w:left w:val="nil"/>
              <w:bottom w:val="single" w:sz="4" w:space="0" w:color="auto"/>
              <w:right w:val="single" w:sz="4" w:space="0" w:color="auto"/>
            </w:tcBorders>
            <w:noWrap/>
            <w:vAlign w:val="bottom"/>
            <w:hideMark/>
          </w:tcPr>
          <w:p w14:paraId="59EFA342" w14:textId="4EC6AFE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59570D2B" w14:textId="774BA99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BA0FD90" w14:textId="38E2EB8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6A2C806F" w14:textId="5FCCDC3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48481DBB" w14:textId="3726B20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EC9288F" w14:textId="77777777" w:rsidTr="00CC4948">
        <w:trPr>
          <w:trHeight w:val="290"/>
        </w:trPr>
        <w:tc>
          <w:tcPr>
            <w:tcW w:w="3114" w:type="dxa"/>
            <w:tcBorders>
              <w:top w:val="nil"/>
              <w:left w:val="single" w:sz="4" w:space="0" w:color="auto"/>
              <w:bottom w:val="single" w:sz="4" w:space="0" w:color="auto"/>
              <w:right w:val="single" w:sz="4" w:space="0" w:color="auto"/>
            </w:tcBorders>
            <w:noWrap/>
            <w:vAlign w:val="bottom"/>
            <w:hideMark/>
          </w:tcPr>
          <w:p w14:paraId="2C13DADE" w14:textId="77777777" w:rsidR="002D5AF3" w:rsidRPr="000020F0" w:rsidRDefault="002D5AF3" w:rsidP="002D5AF3">
            <w:pPr>
              <w:rPr>
                <w:rFonts w:ascii="Roboto" w:hAnsi="Roboto"/>
                <w:color w:val="000000"/>
                <w:sz w:val="20"/>
                <w:szCs w:val="20"/>
              </w:rPr>
            </w:pPr>
            <w:r w:rsidRPr="000020F0">
              <w:rPr>
                <w:rFonts w:ascii="Roboto" w:hAnsi="Roboto"/>
                <w:color w:val="000000"/>
                <w:sz w:val="20"/>
                <w:szCs w:val="20"/>
              </w:rPr>
              <w:t>Druga dela ob rušenju objekta (neobdavčeno)</w:t>
            </w:r>
          </w:p>
        </w:tc>
        <w:tc>
          <w:tcPr>
            <w:tcW w:w="1560" w:type="dxa"/>
            <w:tcBorders>
              <w:top w:val="nil"/>
              <w:left w:val="nil"/>
              <w:bottom w:val="single" w:sz="4" w:space="0" w:color="auto"/>
              <w:right w:val="single" w:sz="4" w:space="0" w:color="auto"/>
            </w:tcBorders>
            <w:noWrap/>
            <w:vAlign w:val="bottom"/>
            <w:hideMark/>
          </w:tcPr>
          <w:p w14:paraId="10C05343" w14:textId="02D12CA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776,00</w:t>
            </w:r>
          </w:p>
        </w:tc>
        <w:tc>
          <w:tcPr>
            <w:tcW w:w="1417" w:type="dxa"/>
            <w:tcBorders>
              <w:top w:val="nil"/>
              <w:left w:val="nil"/>
              <w:bottom w:val="single" w:sz="4" w:space="0" w:color="auto"/>
              <w:right w:val="single" w:sz="4" w:space="0" w:color="auto"/>
            </w:tcBorders>
            <w:noWrap/>
            <w:vAlign w:val="bottom"/>
            <w:hideMark/>
          </w:tcPr>
          <w:p w14:paraId="3D46F84C" w14:textId="309AF42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0,02%</w:t>
            </w:r>
          </w:p>
        </w:tc>
        <w:tc>
          <w:tcPr>
            <w:tcW w:w="1275" w:type="dxa"/>
            <w:tcBorders>
              <w:top w:val="nil"/>
              <w:left w:val="nil"/>
              <w:bottom w:val="single" w:sz="4" w:space="0" w:color="auto"/>
              <w:right w:val="single" w:sz="4" w:space="0" w:color="auto"/>
            </w:tcBorders>
            <w:noWrap/>
            <w:vAlign w:val="bottom"/>
            <w:hideMark/>
          </w:tcPr>
          <w:p w14:paraId="66B055F9" w14:textId="4B7753F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776,00</w:t>
            </w:r>
          </w:p>
        </w:tc>
        <w:tc>
          <w:tcPr>
            <w:tcW w:w="1276" w:type="dxa"/>
            <w:tcBorders>
              <w:top w:val="nil"/>
              <w:left w:val="nil"/>
              <w:bottom w:val="single" w:sz="4" w:space="0" w:color="auto"/>
              <w:right w:val="single" w:sz="4" w:space="0" w:color="auto"/>
            </w:tcBorders>
            <w:noWrap/>
            <w:vAlign w:val="bottom"/>
            <w:hideMark/>
          </w:tcPr>
          <w:p w14:paraId="15DF0D8C" w14:textId="161F605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29177067" w14:textId="1AB31D3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33FF045" w14:textId="4D468CA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46F13A2B" w14:textId="2A6CC5C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2F5158D1" w14:textId="0784FBD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37618BE5" w14:textId="77777777" w:rsidTr="00CC4948">
        <w:trPr>
          <w:trHeight w:val="290"/>
        </w:trPr>
        <w:tc>
          <w:tcPr>
            <w:tcW w:w="3114" w:type="dxa"/>
            <w:tcBorders>
              <w:top w:val="nil"/>
              <w:left w:val="single" w:sz="4" w:space="0" w:color="auto"/>
              <w:bottom w:val="single" w:sz="4" w:space="0" w:color="auto"/>
              <w:right w:val="single" w:sz="4" w:space="0" w:color="auto"/>
            </w:tcBorders>
            <w:noWrap/>
            <w:vAlign w:val="bottom"/>
            <w:hideMark/>
          </w:tcPr>
          <w:p w14:paraId="6625DF99" w14:textId="77777777" w:rsidR="002D5AF3" w:rsidRPr="000020F0" w:rsidRDefault="002D5AF3" w:rsidP="002D5AF3">
            <w:pPr>
              <w:rPr>
                <w:rFonts w:ascii="Roboto" w:hAnsi="Roboto"/>
                <w:color w:val="000000"/>
                <w:sz w:val="20"/>
                <w:szCs w:val="20"/>
              </w:rPr>
            </w:pPr>
            <w:r w:rsidRPr="000020F0">
              <w:rPr>
                <w:rFonts w:ascii="Roboto" w:hAnsi="Roboto"/>
                <w:color w:val="000000"/>
                <w:sz w:val="20"/>
                <w:szCs w:val="20"/>
              </w:rPr>
              <w:t>Druga dela ob rušenju objekta (9,5% DDV)</w:t>
            </w:r>
          </w:p>
        </w:tc>
        <w:tc>
          <w:tcPr>
            <w:tcW w:w="1560" w:type="dxa"/>
            <w:tcBorders>
              <w:top w:val="nil"/>
              <w:left w:val="nil"/>
              <w:bottom w:val="single" w:sz="4" w:space="0" w:color="auto"/>
              <w:right w:val="single" w:sz="4" w:space="0" w:color="auto"/>
            </w:tcBorders>
            <w:noWrap/>
            <w:vAlign w:val="bottom"/>
            <w:hideMark/>
          </w:tcPr>
          <w:p w14:paraId="55FFCEC4" w14:textId="125BD97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545,96</w:t>
            </w:r>
          </w:p>
        </w:tc>
        <w:tc>
          <w:tcPr>
            <w:tcW w:w="1417" w:type="dxa"/>
            <w:tcBorders>
              <w:top w:val="nil"/>
              <w:left w:val="nil"/>
              <w:bottom w:val="single" w:sz="4" w:space="0" w:color="auto"/>
              <w:right w:val="single" w:sz="4" w:space="0" w:color="auto"/>
            </w:tcBorders>
            <w:noWrap/>
            <w:vAlign w:val="bottom"/>
            <w:hideMark/>
          </w:tcPr>
          <w:p w14:paraId="51AC1B68" w14:textId="47E5B51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0,02%</w:t>
            </w:r>
          </w:p>
        </w:tc>
        <w:tc>
          <w:tcPr>
            <w:tcW w:w="1275" w:type="dxa"/>
            <w:tcBorders>
              <w:top w:val="nil"/>
              <w:left w:val="nil"/>
              <w:bottom w:val="single" w:sz="4" w:space="0" w:color="auto"/>
              <w:right w:val="single" w:sz="4" w:space="0" w:color="auto"/>
            </w:tcBorders>
            <w:noWrap/>
            <w:vAlign w:val="bottom"/>
            <w:hideMark/>
          </w:tcPr>
          <w:p w14:paraId="52A43554" w14:textId="4CD1411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545,96</w:t>
            </w:r>
          </w:p>
        </w:tc>
        <w:tc>
          <w:tcPr>
            <w:tcW w:w="1276" w:type="dxa"/>
            <w:tcBorders>
              <w:top w:val="nil"/>
              <w:left w:val="nil"/>
              <w:bottom w:val="single" w:sz="4" w:space="0" w:color="auto"/>
              <w:right w:val="single" w:sz="4" w:space="0" w:color="auto"/>
            </w:tcBorders>
            <w:noWrap/>
            <w:vAlign w:val="bottom"/>
            <w:hideMark/>
          </w:tcPr>
          <w:p w14:paraId="009EBB79" w14:textId="507E7D7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48AD045" w14:textId="3BCACCA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3C64D390" w14:textId="01A9324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3152138" w14:textId="6A6FBD1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5CA81604" w14:textId="70105F6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07796BB" w14:textId="77777777" w:rsidTr="00CC4948">
        <w:trPr>
          <w:trHeight w:val="290"/>
        </w:trPr>
        <w:tc>
          <w:tcPr>
            <w:tcW w:w="3114" w:type="dxa"/>
            <w:tcBorders>
              <w:top w:val="nil"/>
              <w:left w:val="single" w:sz="4" w:space="0" w:color="auto"/>
              <w:bottom w:val="single" w:sz="4" w:space="0" w:color="auto"/>
              <w:right w:val="single" w:sz="4" w:space="0" w:color="auto"/>
            </w:tcBorders>
            <w:noWrap/>
            <w:vAlign w:val="bottom"/>
            <w:hideMark/>
          </w:tcPr>
          <w:p w14:paraId="3440A503" w14:textId="77777777" w:rsidR="002D5AF3" w:rsidRPr="000020F0" w:rsidRDefault="002D5AF3" w:rsidP="002D5AF3">
            <w:pPr>
              <w:rPr>
                <w:rFonts w:ascii="Roboto" w:hAnsi="Roboto"/>
                <w:color w:val="000000"/>
                <w:sz w:val="20"/>
                <w:szCs w:val="20"/>
              </w:rPr>
            </w:pPr>
            <w:r w:rsidRPr="000020F0">
              <w:rPr>
                <w:rFonts w:ascii="Roboto" w:hAnsi="Roboto"/>
                <w:color w:val="000000"/>
                <w:sz w:val="20"/>
                <w:szCs w:val="20"/>
              </w:rPr>
              <w:t>Druga dela ob rušenju objekta</w:t>
            </w:r>
          </w:p>
        </w:tc>
        <w:tc>
          <w:tcPr>
            <w:tcW w:w="1560" w:type="dxa"/>
            <w:tcBorders>
              <w:top w:val="nil"/>
              <w:left w:val="nil"/>
              <w:bottom w:val="single" w:sz="4" w:space="0" w:color="auto"/>
              <w:right w:val="single" w:sz="4" w:space="0" w:color="auto"/>
            </w:tcBorders>
            <w:noWrap/>
            <w:vAlign w:val="bottom"/>
            <w:hideMark/>
          </w:tcPr>
          <w:p w14:paraId="2F072F3F" w14:textId="75BE60F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5.483,07</w:t>
            </w:r>
          </w:p>
        </w:tc>
        <w:tc>
          <w:tcPr>
            <w:tcW w:w="1417" w:type="dxa"/>
            <w:tcBorders>
              <w:top w:val="nil"/>
              <w:left w:val="nil"/>
              <w:bottom w:val="single" w:sz="4" w:space="0" w:color="auto"/>
              <w:right w:val="single" w:sz="4" w:space="0" w:color="auto"/>
            </w:tcBorders>
            <w:noWrap/>
            <w:vAlign w:val="bottom"/>
            <w:hideMark/>
          </w:tcPr>
          <w:p w14:paraId="41AC3E7B" w14:textId="6CC9F4D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0,17%</w:t>
            </w:r>
          </w:p>
        </w:tc>
        <w:tc>
          <w:tcPr>
            <w:tcW w:w="1275" w:type="dxa"/>
            <w:tcBorders>
              <w:top w:val="nil"/>
              <w:left w:val="nil"/>
              <w:bottom w:val="single" w:sz="4" w:space="0" w:color="auto"/>
              <w:right w:val="single" w:sz="4" w:space="0" w:color="auto"/>
            </w:tcBorders>
            <w:noWrap/>
            <w:vAlign w:val="bottom"/>
            <w:hideMark/>
          </w:tcPr>
          <w:p w14:paraId="07E5D02D" w14:textId="1358BD1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5.483,07</w:t>
            </w:r>
          </w:p>
        </w:tc>
        <w:tc>
          <w:tcPr>
            <w:tcW w:w="1276" w:type="dxa"/>
            <w:tcBorders>
              <w:top w:val="nil"/>
              <w:left w:val="nil"/>
              <w:bottom w:val="single" w:sz="4" w:space="0" w:color="auto"/>
              <w:right w:val="single" w:sz="4" w:space="0" w:color="auto"/>
            </w:tcBorders>
            <w:noWrap/>
            <w:vAlign w:val="bottom"/>
            <w:hideMark/>
          </w:tcPr>
          <w:p w14:paraId="166FF982" w14:textId="62EA14CA"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0C3BBAD" w14:textId="47ADAA7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5003D8AD" w14:textId="491C51B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3E9C5637" w14:textId="21A2953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0EA44F01" w14:textId="0938D3F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5F7E08FB"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16DE54B6"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Vpis v kataster</w:t>
            </w:r>
          </w:p>
        </w:tc>
        <w:tc>
          <w:tcPr>
            <w:tcW w:w="1560" w:type="dxa"/>
            <w:tcBorders>
              <w:top w:val="nil"/>
              <w:left w:val="nil"/>
              <w:bottom w:val="single" w:sz="4" w:space="0" w:color="auto"/>
              <w:right w:val="single" w:sz="4" w:space="0" w:color="auto"/>
            </w:tcBorders>
            <w:noWrap/>
            <w:vAlign w:val="bottom"/>
            <w:hideMark/>
          </w:tcPr>
          <w:p w14:paraId="6A64763F" w14:textId="1591BEF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930,55</w:t>
            </w:r>
          </w:p>
        </w:tc>
        <w:tc>
          <w:tcPr>
            <w:tcW w:w="1417" w:type="dxa"/>
            <w:tcBorders>
              <w:top w:val="nil"/>
              <w:left w:val="nil"/>
              <w:bottom w:val="single" w:sz="4" w:space="0" w:color="auto"/>
              <w:right w:val="single" w:sz="4" w:space="0" w:color="auto"/>
            </w:tcBorders>
            <w:noWrap/>
            <w:vAlign w:val="bottom"/>
            <w:hideMark/>
          </w:tcPr>
          <w:p w14:paraId="2B194E91" w14:textId="25114DD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0,03%</w:t>
            </w:r>
          </w:p>
        </w:tc>
        <w:tc>
          <w:tcPr>
            <w:tcW w:w="1275" w:type="dxa"/>
            <w:tcBorders>
              <w:top w:val="nil"/>
              <w:left w:val="nil"/>
              <w:bottom w:val="single" w:sz="4" w:space="0" w:color="auto"/>
              <w:right w:val="single" w:sz="4" w:space="0" w:color="auto"/>
            </w:tcBorders>
            <w:noWrap/>
            <w:vAlign w:val="bottom"/>
            <w:hideMark/>
          </w:tcPr>
          <w:p w14:paraId="04E7D7F0" w14:textId="514A408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D53BBB3" w14:textId="2AE6919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20548DA2" w14:textId="48FB13E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66CA3DE4" w14:textId="5B60EAF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77B53CF3" w14:textId="747811E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7EF03068" w14:textId="359AC472"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930,55</w:t>
            </w:r>
          </w:p>
        </w:tc>
      </w:tr>
      <w:tr w:rsidR="002D5AF3" w:rsidRPr="000020F0" w14:paraId="2213FFDC"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012B6120"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Geodetski načrt</w:t>
            </w:r>
          </w:p>
        </w:tc>
        <w:tc>
          <w:tcPr>
            <w:tcW w:w="1560" w:type="dxa"/>
            <w:tcBorders>
              <w:top w:val="nil"/>
              <w:left w:val="nil"/>
              <w:bottom w:val="single" w:sz="4" w:space="0" w:color="auto"/>
              <w:right w:val="single" w:sz="4" w:space="0" w:color="auto"/>
            </w:tcBorders>
            <w:noWrap/>
            <w:vAlign w:val="bottom"/>
            <w:hideMark/>
          </w:tcPr>
          <w:p w14:paraId="7839B73A" w14:textId="7B71A8B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2.261,75</w:t>
            </w:r>
          </w:p>
        </w:tc>
        <w:tc>
          <w:tcPr>
            <w:tcW w:w="1417" w:type="dxa"/>
            <w:tcBorders>
              <w:top w:val="nil"/>
              <w:left w:val="nil"/>
              <w:bottom w:val="single" w:sz="4" w:space="0" w:color="auto"/>
              <w:right w:val="single" w:sz="4" w:space="0" w:color="auto"/>
            </w:tcBorders>
            <w:noWrap/>
            <w:vAlign w:val="bottom"/>
            <w:hideMark/>
          </w:tcPr>
          <w:p w14:paraId="59372B86" w14:textId="48CCC02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0,07%</w:t>
            </w:r>
          </w:p>
        </w:tc>
        <w:tc>
          <w:tcPr>
            <w:tcW w:w="1275" w:type="dxa"/>
            <w:tcBorders>
              <w:top w:val="nil"/>
              <w:left w:val="nil"/>
              <w:bottom w:val="single" w:sz="4" w:space="0" w:color="auto"/>
              <w:right w:val="single" w:sz="4" w:space="0" w:color="auto"/>
            </w:tcBorders>
            <w:noWrap/>
            <w:vAlign w:val="bottom"/>
            <w:hideMark/>
          </w:tcPr>
          <w:p w14:paraId="348D9802" w14:textId="5F4730B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70D66E2" w14:textId="4489D9C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1.846,75</w:t>
            </w:r>
          </w:p>
        </w:tc>
        <w:tc>
          <w:tcPr>
            <w:tcW w:w="1134" w:type="dxa"/>
            <w:tcBorders>
              <w:top w:val="nil"/>
              <w:left w:val="nil"/>
              <w:bottom w:val="single" w:sz="4" w:space="0" w:color="auto"/>
              <w:right w:val="single" w:sz="4" w:space="0" w:color="auto"/>
            </w:tcBorders>
            <w:noWrap/>
            <w:vAlign w:val="bottom"/>
            <w:hideMark/>
          </w:tcPr>
          <w:p w14:paraId="1830C3FF" w14:textId="7801C6E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415,00</w:t>
            </w:r>
          </w:p>
        </w:tc>
        <w:tc>
          <w:tcPr>
            <w:tcW w:w="1418" w:type="dxa"/>
            <w:tcBorders>
              <w:top w:val="nil"/>
              <w:left w:val="nil"/>
              <w:bottom w:val="single" w:sz="4" w:space="0" w:color="auto"/>
              <w:right w:val="single" w:sz="4" w:space="0" w:color="auto"/>
            </w:tcBorders>
            <w:noWrap/>
            <w:vAlign w:val="bottom"/>
            <w:hideMark/>
          </w:tcPr>
          <w:p w14:paraId="21DBC396" w14:textId="3BDAB40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6EB22F1" w14:textId="4CE5592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92" w:type="dxa"/>
            <w:tcBorders>
              <w:top w:val="nil"/>
              <w:left w:val="nil"/>
              <w:bottom w:val="single" w:sz="4" w:space="0" w:color="auto"/>
              <w:right w:val="single" w:sz="4" w:space="0" w:color="auto"/>
            </w:tcBorders>
            <w:noWrap/>
            <w:vAlign w:val="bottom"/>
            <w:hideMark/>
          </w:tcPr>
          <w:p w14:paraId="05A83C0A" w14:textId="528CD811"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21AFA84F"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744B658C"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Baza cestnih podatkov</w:t>
            </w:r>
          </w:p>
        </w:tc>
        <w:tc>
          <w:tcPr>
            <w:tcW w:w="1560" w:type="dxa"/>
            <w:tcBorders>
              <w:top w:val="nil"/>
              <w:left w:val="nil"/>
              <w:bottom w:val="single" w:sz="4" w:space="0" w:color="auto"/>
              <w:right w:val="single" w:sz="4" w:space="0" w:color="auto"/>
            </w:tcBorders>
            <w:noWrap/>
            <w:vAlign w:val="bottom"/>
            <w:hideMark/>
          </w:tcPr>
          <w:p w14:paraId="0B83A8C5" w14:textId="3040E9D0"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819,67</w:t>
            </w:r>
          </w:p>
        </w:tc>
        <w:tc>
          <w:tcPr>
            <w:tcW w:w="1417" w:type="dxa"/>
            <w:tcBorders>
              <w:top w:val="nil"/>
              <w:left w:val="nil"/>
              <w:bottom w:val="single" w:sz="4" w:space="0" w:color="auto"/>
              <w:right w:val="single" w:sz="4" w:space="0" w:color="auto"/>
            </w:tcBorders>
            <w:noWrap/>
            <w:vAlign w:val="bottom"/>
            <w:hideMark/>
          </w:tcPr>
          <w:p w14:paraId="54EE3940" w14:textId="24FCFDB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0,03%</w:t>
            </w:r>
          </w:p>
        </w:tc>
        <w:tc>
          <w:tcPr>
            <w:tcW w:w="1275" w:type="dxa"/>
            <w:tcBorders>
              <w:top w:val="nil"/>
              <w:left w:val="nil"/>
              <w:bottom w:val="single" w:sz="4" w:space="0" w:color="auto"/>
              <w:right w:val="single" w:sz="4" w:space="0" w:color="auto"/>
            </w:tcBorders>
            <w:noWrap/>
            <w:vAlign w:val="bottom"/>
            <w:hideMark/>
          </w:tcPr>
          <w:p w14:paraId="5217221E" w14:textId="79C04D45"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C84B8E1" w14:textId="6CC17F47"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134" w:type="dxa"/>
            <w:tcBorders>
              <w:top w:val="nil"/>
              <w:left w:val="nil"/>
              <w:bottom w:val="single" w:sz="4" w:space="0" w:color="auto"/>
              <w:right w:val="single" w:sz="4" w:space="0" w:color="auto"/>
            </w:tcBorders>
            <w:noWrap/>
            <w:vAlign w:val="bottom"/>
            <w:hideMark/>
          </w:tcPr>
          <w:p w14:paraId="6AB583BA" w14:textId="720774B3"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508B574D" w14:textId="71F3B714"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CA111EC" w14:textId="3CC2DBF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819,67</w:t>
            </w:r>
          </w:p>
        </w:tc>
        <w:tc>
          <w:tcPr>
            <w:tcW w:w="1192" w:type="dxa"/>
            <w:tcBorders>
              <w:top w:val="nil"/>
              <w:left w:val="nil"/>
              <w:bottom w:val="single" w:sz="4" w:space="0" w:color="auto"/>
              <w:right w:val="single" w:sz="4" w:space="0" w:color="auto"/>
            </w:tcBorders>
            <w:noWrap/>
            <w:vAlign w:val="bottom"/>
            <w:hideMark/>
          </w:tcPr>
          <w:p w14:paraId="1A394242" w14:textId="073FF6EB"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r>
      <w:tr w:rsidR="002D5AF3" w:rsidRPr="000020F0" w14:paraId="71D09BB4"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6AD8995E" w14:textId="77777777" w:rsidR="002D5AF3" w:rsidRPr="000020F0" w:rsidRDefault="002D5AF3" w:rsidP="002D5AF3">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560" w:type="dxa"/>
            <w:tcBorders>
              <w:top w:val="nil"/>
              <w:left w:val="nil"/>
              <w:bottom w:val="single" w:sz="4" w:space="0" w:color="auto"/>
              <w:right w:val="single" w:sz="4" w:space="0" w:color="auto"/>
            </w:tcBorders>
            <w:shd w:val="clear" w:color="000000" w:fill="D9D9D9"/>
            <w:noWrap/>
            <w:vAlign w:val="bottom"/>
            <w:hideMark/>
          </w:tcPr>
          <w:p w14:paraId="12808D9B" w14:textId="0BCE6284"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2.736.881,76</w:t>
            </w:r>
          </w:p>
        </w:tc>
        <w:tc>
          <w:tcPr>
            <w:tcW w:w="1417" w:type="dxa"/>
            <w:tcBorders>
              <w:top w:val="nil"/>
              <w:left w:val="nil"/>
              <w:bottom w:val="single" w:sz="4" w:space="0" w:color="auto"/>
              <w:right w:val="single" w:sz="4" w:space="0" w:color="auto"/>
            </w:tcBorders>
            <w:shd w:val="clear" w:color="000000" w:fill="D9D9D9"/>
            <w:noWrap/>
            <w:vAlign w:val="bottom"/>
            <w:hideMark/>
          </w:tcPr>
          <w:p w14:paraId="68C540DB" w14:textId="0B65798E"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83,51%</w:t>
            </w:r>
          </w:p>
        </w:tc>
        <w:tc>
          <w:tcPr>
            <w:tcW w:w="1275" w:type="dxa"/>
            <w:tcBorders>
              <w:top w:val="nil"/>
              <w:left w:val="nil"/>
              <w:bottom w:val="single" w:sz="4" w:space="0" w:color="auto"/>
              <w:right w:val="single" w:sz="4" w:space="0" w:color="auto"/>
            </w:tcBorders>
            <w:shd w:val="clear" w:color="000000" w:fill="D9D9D9"/>
            <w:noWrap/>
            <w:vAlign w:val="bottom"/>
            <w:hideMark/>
          </w:tcPr>
          <w:p w14:paraId="725611AF" w14:textId="286AA7CD"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294.705,03</w:t>
            </w:r>
          </w:p>
        </w:tc>
        <w:tc>
          <w:tcPr>
            <w:tcW w:w="1276" w:type="dxa"/>
            <w:tcBorders>
              <w:top w:val="nil"/>
              <w:left w:val="nil"/>
              <w:bottom w:val="single" w:sz="4" w:space="0" w:color="auto"/>
              <w:right w:val="single" w:sz="4" w:space="0" w:color="auto"/>
            </w:tcBorders>
            <w:shd w:val="clear" w:color="000000" w:fill="D9D9D9"/>
            <w:noWrap/>
            <w:vAlign w:val="bottom"/>
            <w:hideMark/>
          </w:tcPr>
          <w:p w14:paraId="6AF157A4" w14:textId="01BB2D98"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78.619,70</w:t>
            </w:r>
          </w:p>
        </w:tc>
        <w:tc>
          <w:tcPr>
            <w:tcW w:w="1134" w:type="dxa"/>
            <w:tcBorders>
              <w:top w:val="nil"/>
              <w:left w:val="nil"/>
              <w:bottom w:val="single" w:sz="4" w:space="0" w:color="auto"/>
              <w:right w:val="single" w:sz="4" w:space="0" w:color="auto"/>
            </w:tcBorders>
            <w:shd w:val="clear" w:color="000000" w:fill="D9D9D9"/>
            <w:noWrap/>
            <w:vAlign w:val="bottom"/>
            <w:hideMark/>
          </w:tcPr>
          <w:p w14:paraId="47BC0C2A" w14:textId="5B27FBE5"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33.587,38</w:t>
            </w:r>
          </w:p>
        </w:tc>
        <w:tc>
          <w:tcPr>
            <w:tcW w:w="1418" w:type="dxa"/>
            <w:tcBorders>
              <w:top w:val="nil"/>
              <w:left w:val="nil"/>
              <w:bottom w:val="single" w:sz="4" w:space="0" w:color="auto"/>
              <w:right w:val="single" w:sz="4" w:space="0" w:color="auto"/>
            </w:tcBorders>
            <w:shd w:val="clear" w:color="000000" w:fill="D9D9D9"/>
            <w:noWrap/>
            <w:vAlign w:val="bottom"/>
            <w:hideMark/>
          </w:tcPr>
          <w:p w14:paraId="142B7C28" w14:textId="5B8F692A"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619.194,18</w:t>
            </w:r>
          </w:p>
        </w:tc>
        <w:tc>
          <w:tcPr>
            <w:tcW w:w="1501" w:type="dxa"/>
            <w:tcBorders>
              <w:top w:val="nil"/>
              <w:left w:val="nil"/>
              <w:bottom w:val="single" w:sz="4" w:space="0" w:color="auto"/>
              <w:right w:val="single" w:sz="4" w:space="0" w:color="auto"/>
            </w:tcBorders>
            <w:shd w:val="clear" w:color="000000" w:fill="D9D9D9"/>
            <w:noWrap/>
            <w:vAlign w:val="bottom"/>
            <w:hideMark/>
          </w:tcPr>
          <w:p w14:paraId="6346B64A" w14:textId="630BF97A"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1.652.146,96</w:t>
            </w:r>
          </w:p>
        </w:tc>
        <w:tc>
          <w:tcPr>
            <w:tcW w:w="1192" w:type="dxa"/>
            <w:tcBorders>
              <w:top w:val="nil"/>
              <w:left w:val="nil"/>
              <w:bottom w:val="single" w:sz="4" w:space="0" w:color="auto"/>
              <w:right w:val="single" w:sz="4" w:space="0" w:color="auto"/>
            </w:tcBorders>
            <w:shd w:val="clear" w:color="000000" w:fill="D9D9D9"/>
            <w:noWrap/>
            <w:vAlign w:val="bottom"/>
            <w:hideMark/>
          </w:tcPr>
          <w:p w14:paraId="2ACC11B8" w14:textId="79F6EB8B"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58.628,51</w:t>
            </w:r>
          </w:p>
        </w:tc>
      </w:tr>
      <w:tr w:rsidR="002D5AF3" w:rsidRPr="000020F0" w14:paraId="6BD26693"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6AF23CC1"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Davek na dodano vrednost</w:t>
            </w:r>
          </w:p>
        </w:tc>
        <w:tc>
          <w:tcPr>
            <w:tcW w:w="1560" w:type="dxa"/>
            <w:tcBorders>
              <w:top w:val="nil"/>
              <w:left w:val="nil"/>
              <w:bottom w:val="single" w:sz="4" w:space="0" w:color="auto"/>
              <w:right w:val="single" w:sz="4" w:space="0" w:color="auto"/>
            </w:tcBorders>
            <w:noWrap/>
            <w:vAlign w:val="bottom"/>
            <w:hideMark/>
          </w:tcPr>
          <w:p w14:paraId="6A119566" w14:textId="5BDD5316"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540.275,01</w:t>
            </w:r>
          </w:p>
        </w:tc>
        <w:tc>
          <w:tcPr>
            <w:tcW w:w="1417" w:type="dxa"/>
            <w:tcBorders>
              <w:top w:val="nil"/>
              <w:left w:val="nil"/>
              <w:bottom w:val="single" w:sz="4" w:space="0" w:color="auto"/>
              <w:right w:val="single" w:sz="4" w:space="0" w:color="auto"/>
            </w:tcBorders>
            <w:noWrap/>
            <w:vAlign w:val="bottom"/>
            <w:hideMark/>
          </w:tcPr>
          <w:p w14:paraId="3F9D4970" w14:textId="4E554258"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16,49%</w:t>
            </w:r>
          </w:p>
        </w:tc>
        <w:tc>
          <w:tcPr>
            <w:tcW w:w="1275" w:type="dxa"/>
            <w:tcBorders>
              <w:top w:val="nil"/>
              <w:left w:val="nil"/>
              <w:bottom w:val="single" w:sz="4" w:space="0" w:color="auto"/>
              <w:right w:val="single" w:sz="4" w:space="0" w:color="auto"/>
            </w:tcBorders>
            <w:noWrap/>
            <w:vAlign w:val="bottom"/>
            <w:hideMark/>
          </w:tcPr>
          <w:p w14:paraId="1017304C" w14:textId="04C9A98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2.996,14</w:t>
            </w:r>
          </w:p>
        </w:tc>
        <w:tc>
          <w:tcPr>
            <w:tcW w:w="1276" w:type="dxa"/>
            <w:tcBorders>
              <w:top w:val="nil"/>
              <w:left w:val="nil"/>
              <w:bottom w:val="single" w:sz="4" w:space="0" w:color="auto"/>
              <w:right w:val="single" w:sz="4" w:space="0" w:color="auto"/>
            </w:tcBorders>
            <w:noWrap/>
            <w:vAlign w:val="bottom"/>
            <w:hideMark/>
          </w:tcPr>
          <w:p w14:paraId="64A48895" w14:textId="1EE30F9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17.296,33</w:t>
            </w:r>
          </w:p>
        </w:tc>
        <w:tc>
          <w:tcPr>
            <w:tcW w:w="1134" w:type="dxa"/>
            <w:tcBorders>
              <w:top w:val="nil"/>
              <w:left w:val="nil"/>
              <w:bottom w:val="single" w:sz="4" w:space="0" w:color="auto"/>
              <w:right w:val="single" w:sz="4" w:space="0" w:color="auto"/>
            </w:tcBorders>
            <w:noWrap/>
            <w:vAlign w:val="bottom"/>
            <w:hideMark/>
          </w:tcPr>
          <w:p w14:paraId="1718A615" w14:textId="7B8FF05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7.389,22</w:t>
            </w:r>
          </w:p>
        </w:tc>
        <w:tc>
          <w:tcPr>
            <w:tcW w:w="1418" w:type="dxa"/>
            <w:tcBorders>
              <w:top w:val="nil"/>
              <w:left w:val="nil"/>
              <w:bottom w:val="single" w:sz="4" w:space="0" w:color="auto"/>
              <w:right w:val="single" w:sz="4" w:space="0" w:color="auto"/>
            </w:tcBorders>
            <w:noWrap/>
            <w:vAlign w:val="bottom"/>
            <w:hideMark/>
          </w:tcPr>
          <w:p w14:paraId="27A820F6" w14:textId="341D2DEE"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136.222,72</w:t>
            </w:r>
          </w:p>
        </w:tc>
        <w:tc>
          <w:tcPr>
            <w:tcW w:w="1501" w:type="dxa"/>
            <w:tcBorders>
              <w:top w:val="nil"/>
              <w:left w:val="nil"/>
              <w:bottom w:val="single" w:sz="4" w:space="0" w:color="auto"/>
              <w:right w:val="single" w:sz="4" w:space="0" w:color="auto"/>
            </w:tcBorders>
            <w:noWrap/>
            <w:vAlign w:val="bottom"/>
            <w:hideMark/>
          </w:tcPr>
          <w:p w14:paraId="78055315" w14:textId="353B5E1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363.472,33</w:t>
            </w:r>
          </w:p>
        </w:tc>
        <w:tc>
          <w:tcPr>
            <w:tcW w:w="1192" w:type="dxa"/>
            <w:tcBorders>
              <w:top w:val="nil"/>
              <w:left w:val="nil"/>
              <w:bottom w:val="single" w:sz="4" w:space="0" w:color="auto"/>
              <w:right w:val="single" w:sz="4" w:space="0" w:color="auto"/>
            </w:tcBorders>
            <w:noWrap/>
            <w:vAlign w:val="bottom"/>
            <w:hideMark/>
          </w:tcPr>
          <w:p w14:paraId="7F514509" w14:textId="4C25FE2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12.898,27</w:t>
            </w:r>
          </w:p>
        </w:tc>
      </w:tr>
      <w:tr w:rsidR="002D5AF3" w:rsidRPr="000020F0" w14:paraId="55CD48BA" w14:textId="77777777" w:rsidTr="00CC4948">
        <w:trPr>
          <w:trHeight w:val="280"/>
        </w:trPr>
        <w:tc>
          <w:tcPr>
            <w:tcW w:w="3114" w:type="dxa"/>
            <w:tcBorders>
              <w:top w:val="nil"/>
              <w:left w:val="single" w:sz="4" w:space="0" w:color="auto"/>
              <w:bottom w:val="single" w:sz="4" w:space="0" w:color="auto"/>
              <w:right w:val="single" w:sz="4" w:space="0" w:color="auto"/>
            </w:tcBorders>
            <w:noWrap/>
            <w:vAlign w:val="bottom"/>
            <w:hideMark/>
          </w:tcPr>
          <w:p w14:paraId="01B5FC6F" w14:textId="7777777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560" w:type="dxa"/>
            <w:tcBorders>
              <w:top w:val="nil"/>
              <w:left w:val="nil"/>
              <w:bottom w:val="single" w:sz="4" w:space="0" w:color="auto"/>
              <w:right w:val="single" w:sz="4" w:space="0" w:color="auto"/>
            </w:tcBorders>
            <w:noWrap/>
            <w:vAlign w:val="bottom"/>
            <w:hideMark/>
          </w:tcPr>
          <w:p w14:paraId="3DA1D882" w14:textId="197CE4B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21.362,57</w:t>
            </w:r>
          </w:p>
        </w:tc>
        <w:tc>
          <w:tcPr>
            <w:tcW w:w="1417" w:type="dxa"/>
            <w:tcBorders>
              <w:top w:val="nil"/>
              <w:left w:val="nil"/>
              <w:bottom w:val="single" w:sz="4" w:space="0" w:color="auto"/>
              <w:right w:val="single" w:sz="4" w:space="0" w:color="auto"/>
            </w:tcBorders>
            <w:noWrap/>
            <w:vAlign w:val="bottom"/>
            <w:hideMark/>
          </w:tcPr>
          <w:p w14:paraId="04FBD730" w14:textId="4F8005DF"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0,65%</w:t>
            </w:r>
          </w:p>
        </w:tc>
        <w:tc>
          <w:tcPr>
            <w:tcW w:w="1275" w:type="dxa"/>
            <w:tcBorders>
              <w:top w:val="nil"/>
              <w:left w:val="nil"/>
              <w:bottom w:val="single" w:sz="4" w:space="0" w:color="auto"/>
              <w:right w:val="single" w:sz="4" w:space="0" w:color="auto"/>
            </w:tcBorders>
            <w:noWrap/>
            <w:vAlign w:val="bottom"/>
            <w:hideMark/>
          </w:tcPr>
          <w:p w14:paraId="4C7AFC64" w14:textId="02F5C19F"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w:t>
            </w:r>
          </w:p>
        </w:tc>
        <w:tc>
          <w:tcPr>
            <w:tcW w:w="1276" w:type="dxa"/>
            <w:tcBorders>
              <w:top w:val="nil"/>
              <w:left w:val="nil"/>
              <w:bottom w:val="single" w:sz="4" w:space="0" w:color="auto"/>
              <w:right w:val="single" w:sz="4" w:space="0" w:color="auto"/>
            </w:tcBorders>
            <w:noWrap/>
            <w:vAlign w:val="bottom"/>
            <w:hideMark/>
          </w:tcPr>
          <w:p w14:paraId="25316BC3" w14:textId="2571C2DA"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w:t>
            </w:r>
          </w:p>
        </w:tc>
        <w:tc>
          <w:tcPr>
            <w:tcW w:w="1134" w:type="dxa"/>
            <w:tcBorders>
              <w:top w:val="nil"/>
              <w:left w:val="nil"/>
              <w:bottom w:val="single" w:sz="4" w:space="0" w:color="auto"/>
              <w:right w:val="single" w:sz="4" w:space="0" w:color="auto"/>
            </w:tcBorders>
            <w:noWrap/>
            <w:vAlign w:val="bottom"/>
            <w:hideMark/>
          </w:tcPr>
          <w:p w14:paraId="73FFCCBD" w14:textId="5BA77C09"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hideMark/>
          </w:tcPr>
          <w:p w14:paraId="375E51A4" w14:textId="2FDA18AD"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386ED878" w14:textId="35822F89" w:rsidR="002D5AF3" w:rsidRPr="000020F0" w:rsidRDefault="002D5AF3" w:rsidP="002D5AF3">
            <w:pPr>
              <w:jc w:val="right"/>
              <w:rPr>
                <w:rFonts w:ascii="Arial" w:hAnsi="Arial" w:cs="Arial"/>
                <w:color w:val="000000"/>
                <w:sz w:val="20"/>
                <w:szCs w:val="20"/>
              </w:rPr>
            </w:pPr>
            <w:r w:rsidRPr="000020F0">
              <w:rPr>
                <w:rFonts w:ascii="Arial" w:hAnsi="Arial" w:cs="Arial"/>
                <w:color w:val="000000"/>
                <w:sz w:val="20"/>
                <w:szCs w:val="20"/>
              </w:rPr>
              <w:t>21.362,57</w:t>
            </w:r>
          </w:p>
        </w:tc>
        <w:tc>
          <w:tcPr>
            <w:tcW w:w="1192" w:type="dxa"/>
            <w:tcBorders>
              <w:top w:val="nil"/>
              <w:left w:val="nil"/>
              <w:bottom w:val="single" w:sz="4" w:space="0" w:color="auto"/>
              <w:right w:val="single" w:sz="4" w:space="0" w:color="auto"/>
            </w:tcBorders>
            <w:noWrap/>
            <w:vAlign w:val="bottom"/>
            <w:hideMark/>
          </w:tcPr>
          <w:p w14:paraId="0F734FE9" w14:textId="1AC83F87" w:rsidR="002D5AF3" w:rsidRPr="000020F0" w:rsidRDefault="002D5AF3" w:rsidP="002D5AF3">
            <w:pPr>
              <w:rPr>
                <w:rFonts w:ascii="Arial" w:hAnsi="Arial" w:cs="Arial"/>
                <w:color w:val="000000"/>
                <w:sz w:val="20"/>
                <w:szCs w:val="20"/>
              </w:rPr>
            </w:pPr>
            <w:r w:rsidRPr="000020F0">
              <w:rPr>
                <w:rFonts w:ascii="Arial" w:hAnsi="Arial" w:cs="Arial"/>
                <w:color w:val="000000"/>
                <w:sz w:val="20"/>
                <w:szCs w:val="20"/>
              </w:rPr>
              <w:t> </w:t>
            </w:r>
          </w:p>
        </w:tc>
      </w:tr>
      <w:tr w:rsidR="002D5AF3" w:rsidRPr="000020F0" w14:paraId="2C0F9B79"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3F6BF26B" w14:textId="77777777" w:rsidR="002D5AF3" w:rsidRPr="000020F0" w:rsidRDefault="002D5AF3" w:rsidP="002D5AF3">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2B3FCD76" w14:textId="3BB12440"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1417" w:type="dxa"/>
            <w:tcBorders>
              <w:top w:val="nil"/>
              <w:left w:val="nil"/>
              <w:bottom w:val="single" w:sz="4" w:space="0" w:color="auto"/>
              <w:right w:val="single" w:sz="4" w:space="0" w:color="auto"/>
            </w:tcBorders>
            <w:shd w:val="clear" w:color="000000" w:fill="D9D9D9"/>
            <w:noWrap/>
            <w:vAlign w:val="bottom"/>
            <w:hideMark/>
          </w:tcPr>
          <w:p w14:paraId="49B9F27F" w14:textId="4983EB12"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1275" w:type="dxa"/>
            <w:tcBorders>
              <w:top w:val="nil"/>
              <w:left w:val="nil"/>
              <w:bottom w:val="single" w:sz="4" w:space="0" w:color="auto"/>
              <w:right w:val="single" w:sz="4" w:space="0" w:color="auto"/>
            </w:tcBorders>
            <w:shd w:val="clear" w:color="000000" w:fill="D9D9D9"/>
            <w:noWrap/>
            <w:vAlign w:val="bottom"/>
            <w:hideMark/>
          </w:tcPr>
          <w:p w14:paraId="7D98C8AD" w14:textId="2EFAECAA"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276" w:type="dxa"/>
            <w:tcBorders>
              <w:top w:val="nil"/>
              <w:left w:val="nil"/>
              <w:bottom w:val="single" w:sz="4" w:space="0" w:color="auto"/>
              <w:right w:val="single" w:sz="4" w:space="0" w:color="auto"/>
            </w:tcBorders>
            <w:shd w:val="clear" w:color="000000" w:fill="D9D9D9"/>
            <w:noWrap/>
            <w:vAlign w:val="bottom"/>
            <w:hideMark/>
          </w:tcPr>
          <w:p w14:paraId="69578D2E" w14:textId="5D202F18"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134" w:type="dxa"/>
            <w:tcBorders>
              <w:top w:val="nil"/>
              <w:left w:val="nil"/>
              <w:bottom w:val="single" w:sz="4" w:space="0" w:color="auto"/>
              <w:right w:val="single" w:sz="4" w:space="0" w:color="auto"/>
            </w:tcBorders>
            <w:shd w:val="clear" w:color="000000" w:fill="D9D9D9"/>
            <w:noWrap/>
            <w:vAlign w:val="bottom"/>
            <w:hideMark/>
          </w:tcPr>
          <w:p w14:paraId="5ED0131F" w14:textId="52AF143E"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418" w:type="dxa"/>
            <w:tcBorders>
              <w:top w:val="nil"/>
              <w:left w:val="nil"/>
              <w:bottom w:val="single" w:sz="4" w:space="0" w:color="auto"/>
              <w:right w:val="single" w:sz="4" w:space="0" w:color="auto"/>
            </w:tcBorders>
            <w:shd w:val="clear" w:color="000000" w:fill="D9D9D9"/>
            <w:noWrap/>
            <w:vAlign w:val="bottom"/>
            <w:hideMark/>
          </w:tcPr>
          <w:p w14:paraId="6F7A7E4D" w14:textId="54B2C9B7"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1501" w:type="dxa"/>
            <w:tcBorders>
              <w:top w:val="nil"/>
              <w:left w:val="nil"/>
              <w:bottom w:val="single" w:sz="4" w:space="0" w:color="auto"/>
              <w:right w:val="single" w:sz="4" w:space="0" w:color="auto"/>
            </w:tcBorders>
            <w:shd w:val="clear" w:color="000000" w:fill="D9D9D9"/>
            <w:noWrap/>
            <w:vAlign w:val="bottom"/>
            <w:hideMark/>
          </w:tcPr>
          <w:p w14:paraId="494C3B58" w14:textId="6A0E4D02"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2.015.619,29</w:t>
            </w:r>
          </w:p>
        </w:tc>
        <w:tc>
          <w:tcPr>
            <w:tcW w:w="1192" w:type="dxa"/>
            <w:tcBorders>
              <w:top w:val="nil"/>
              <w:left w:val="nil"/>
              <w:bottom w:val="single" w:sz="4" w:space="0" w:color="auto"/>
              <w:right w:val="single" w:sz="4" w:space="0" w:color="auto"/>
            </w:tcBorders>
            <w:shd w:val="clear" w:color="000000" w:fill="D9D9D9"/>
            <w:noWrap/>
            <w:vAlign w:val="bottom"/>
            <w:hideMark/>
          </w:tcPr>
          <w:p w14:paraId="0C8D840D" w14:textId="2E52594A"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71.526,78</w:t>
            </w:r>
          </w:p>
        </w:tc>
      </w:tr>
      <w:tr w:rsidR="002D5AF3" w:rsidRPr="000020F0" w14:paraId="78D90D12" w14:textId="77777777" w:rsidTr="00CC4948">
        <w:trPr>
          <w:trHeight w:val="28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6DCC4600" w14:textId="77777777" w:rsidR="002D5AF3" w:rsidRPr="000020F0" w:rsidRDefault="002D5AF3" w:rsidP="002D5AF3">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1560" w:type="dxa"/>
            <w:tcBorders>
              <w:top w:val="nil"/>
              <w:left w:val="nil"/>
              <w:bottom w:val="single" w:sz="4" w:space="0" w:color="auto"/>
              <w:right w:val="single" w:sz="4" w:space="0" w:color="auto"/>
            </w:tcBorders>
            <w:shd w:val="clear" w:color="000000" w:fill="D9D9D9"/>
            <w:noWrap/>
            <w:vAlign w:val="bottom"/>
            <w:hideMark/>
          </w:tcPr>
          <w:p w14:paraId="50A64E0F" w14:textId="12561631"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3.255.794,20</w:t>
            </w:r>
          </w:p>
        </w:tc>
        <w:tc>
          <w:tcPr>
            <w:tcW w:w="1417" w:type="dxa"/>
            <w:tcBorders>
              <w:top w:val="nil"/>
              <w:left w:val="nil"/>
              <w:bottom w:val="single" w:sz="4" w:space="0" w:color="auto"/>
              <w:right w:val="single" w:sz="4" w:space="0" w:color="auto"/>
            </w:tcBorders>
            <w:shd w:val="clear" w:color="000000" w:fill="D9D9D9"/>
            <w:noWrap/>
            <w:vAlign w:val="bottom"/>
            <w:hideMark/>
          </w:tcPr>
          <w:p w14:paraId="170D6A32" w14:textId="4A57E923"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99,35%</w:t>
            </w:r>
          </w:p>
        </w:tc>
        <w:tc>
          <w:tcPr>
            <w:tcW w:w="1275" w:type="dxa"/>
            <w:tcBorders>
              <w:top w:val="nil"/>
              <w:left w:val="nil"/>
              <w:bottom w:val="single" w:sz="4" w:space="0" w:color="auto"/>
              <w:right w:val="single" w:sz="4" w:space="0" w:color="auto"/>
            </w:tcBorders>
            <w:shd w:val="clear" w:color="000000" w:fill="D9D9D9"/>
            <w:noWrap/>
            <w:vAlign w:val="bottom"/>
            <w:hideMark/>
          </w:tcPr>
          <w:p w14:paraId="78AFC458" w14:textId="3AF9DD28"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276" w:type="dxa"/>
            <w:tcBorders>
              <w:top w:val="nil"/>
              <w:left w:val="nil"/>
              <w:bottom w:val="single" w:sz="4" w:space="0" w:color="auto"/>
              <w:right w:val="single" w:sz="4" w:space="0" w:color="auto"/>
            </w:tcBorders>
            <w:shd w:val="clear" w:color="000000" w:fill="D9D9D9"/>
            <w:noWrap/>
            <w:vAlign w:val="bottom"/>
            <w:hideMark/>
          </w:tcPr>
          <w:p w14:paraId="0A0C6F6A" w14:textId="6843B532"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134" w:type="dxa"/>
            <w:tcBorders>
              <w:top w:val="nil"/>
              <w:left w:val="nil"/>
              <w:bottom w:val="single" w:sz="4" w:space="0" w:color="auto"/>
              <w:right w:val="single" w:sz="4" w:space="0" w:color="auto"/>
            </w:tcBorders>
            <w:shd w:val="clear" w:color="000000" w:fill="D9D9D9"/>
            <w:noWrap/>
            <w:vAlign w:val="bottom"/>
            <w:hideMark/>
          </w:tcPr>
          <w:p w14:paraId="1A1AEA56" w14:textId="5F785CED"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418" w:type="dxa"/>
            <w:tcBorders>
              <w:top w:val="nil"/>
              <w:left w:val="nil"/>
              <w:bottom w:val="single" w:sz="4" w:space="0" w:color="auto"/>
              <w:right w:val="single" w:sz="4" w:space="0" w:color="auto"/>
            </w:tcBorders>
            <w:shd w:val="clear" w:color="000000" w:fill="D9D9D9"/>
            <w:noWrap/>
            <w:vAlign w:val="bottom"/>
            <w:hideMark/>
          </w:tcPr>
          <w:p w14:paraId="159C9AE5" w14:textId="1F250C0D"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1501" w:type="dxa"/>
            <w:tcBorders>
              <w:top w:val="nil"/>
              <w:left w:val="nil"/>
              <w:bottom w:val="single" w:sz="4" w:space="0" w:color="auto"/>
              <w:right w:val="single" w:sz="4" w:space="0" w:color="auto"/>
            </w:tcBorders>
            <w:shd w:val="clear" w:color="000000" w:fill="D9D9D9"/>
            <w:noWrap/>
            <w:vAlign w:val="bottom"/>
            <w:hideMark/>
          </w:tcPr>
          <w:p w14:paraId="33EEF8C4" w14:textId="60C61020"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1.994.256,73</w:t>
            </w:r>
          </w:p>
        </w:tc>
        <w:tc>
          <w:tcPr>
            <w:tcW w:w="1192" w:type="dxa"/>
            <w:tcBorders>
              <w:top w:val="nil"/>
              <w:left w:val="nil"/>
              <w:bottom w:val="single" w:sz="4" w:space="0" w:color="auto"/>
              <w:right w:val="single" w:sz="4" w:space="0" w:color="auto"/>
            </w:tcBorders>
            <w:shd w:val="clear" w:color="000000" w:fill="D9D9D9"/>
            <w:noWrap/>
            <w:vAlign w:val="bottom"/>
            <w:hideMark/>
          </w:tcPr>
          <w:p w14:paraId="71CA4C2B" w14:textId="365D90A0" w:rsidR="002D5AF3" w:rsidRPr="000020F0" w:rsidRDefault="002D5AF3" w:rsidP="002D5AF3">
            <w:pPr>
              <w:jc w:val="right"/>
              <w:rPr>
                <w:rFonts w:ascii="Arial" w:hAnsi="Arial" w:cs="Arial"/>
                <w:b/>
                <w:bCs/>
                <w:color w:val="000000"/>
                <w:sz w:val="20"/>
                <w:szCs w:val="20"/>
              </w:rPr>
            </w:pPr>
            <w:r w:rsidRPr="000020F0">
              <w:rPr>
                <w:rFonts w:ascii="Arial" w:hAnsi="Arial" w:cs="Arial"/>
                <w:b/>
                <w:bCs/>
                <w:color w:val="000000"/>
                <w:sz w:val="20"/>
                <w:szCs w:val="20"/>
              </w:rPr>
              <w:t>71.526,78</w:t>
            </w:r>
          </w:p>
        </w:tc>
      </w:tr>
    </w:tbl>
    <w:p w14:paraId="0819DA54" w14:textId="77777777" w:rsidR="004A6E4D" w:rsidRPr="000020F0" w:rsidRDefault="004A6E4D" w:rsidP="00BD1D20">
      <w:pPr>
        <w:spacing w:after="120" w:line="276" w:lineRule="auto"/>
        <w:jc w:val="both"/>
        <w:rPr>
          <w:rFonts w:asciiTheme="majorHAnsi" w:hAnsiTheme="majorHAnsi" w:cstheme="majorHAnsi"/>
          <w:sz w:val="22"/>
          <w:szCs w:val="22"/>
        </w:rPr>
      </w:pPr>
    </w:p>
    <w:p w14:paraId="1B080B69" w14:textId="24C5DBA0" w:rsidR="00AB0B89" w:rsidRPr="000020F0" w:rsidRDefault="00AB0B89" w:rsidP="00AB0B89">
      <w:pPr>
        <w:spacing w:after="120" w:line="276" w:lineRule="auto"/>
        <w:jc w:val="both"/>
        <w:rPr>
          <w:rFonts w:asciiTheme="majorHAnsi" w:hAnsiTheme="majorHAnsi" w:cstheme="majorHAnsi"/>
          <w:sz w:val="22"/>
          <w:szCs w:val="22"/>
        </w:rPr>
      </w:pPr>
      <w:bookmarkStart w:id="357" w:name="_Toc230882300"/>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20</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Finančni terminski plan upra</w:t>
      </w:r>
      <w:r w:rsidR="00B02F3A" w:rsidRPr="000020F0">
        <w:rPr>
          <w:rFonts w:asciiTheme="majorHAnsi" w:hAnsiTheme="majorHAnsi" w:cstheme="majorHAnsi"/>
          <w:sz w:val="22"/>
          <w:szCs w:val="22"/>
        </w:rPr>
        <w:t>vičenih stroškov</w:t>
      </w:r>
      <w:r w:rsidRPr="000020F0">
        <w:rPr>
          <w:rFonts w:asciiTheme="majorHAnsi" w:hAnsiTheme="majorHAnsi" w:cstheme="majorHAnsi"/>
          <w:sz w:val="22"/>
          <w:szCs w:val="22"/>
        </w:rPr>
        <w:t xml:space="preserve"> v stalnih cenah v EUR</w:t>
      </w:r>
      <w:bookmarkEnd w:id="357"/>
    </w:p>
    <w:tbl>
      <w:tblPr>
        <w:tblW w:w="13686" w:type="dxa"/>
        <w:tblLook w:val="04A0" w:firstRow="1" w:lastRow="0" w:firstColumn="1" w:lastColumn="0" w:noHBand="0" w:noVBand="1"/>
      </w:tblPr>
      <w:tblGrid>
        <w:gridCol w:w="4106"/>
        <w:gridCol w:w="1450"/>
        <w:gridCol w:w="1275"/>
        <w:gridCol w:w="1276"/>
        <w:gridCol w:w="1217"/>
        <w:gridCol w:w="1418"/>
        <w:gridCol w:w="1501"/>
        <w:gridCol w:w="1443"/>
      </w:tblGrid>
      <w:tr w:rsidR="00467D72" w:rsidRPr="000020F0" w14:paraId="553EDB46" w14:textId="77777777" w:rsidTr="005749C3">
        <w:trPr>
          <w:trHeight w:val="280"/>
          <w:tblHeader/>
        </w:trPr>
        <w:tc>
          <w:tcPr>
            <w:tcW w:w="410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0CE50277" w14:textId="77777777" w:rsidR="00467D72" w:rsidRPr="000020F0" w:rsidRDefault="00467D72" w:rsidP="00467D72">
            <w:pPr>
              <w:rPr>
                <w:rFonts w:ascii="Arial" w:hAnsi="Arial" w:cs="Arial"/>
                <w:b/>
                <w:bCs/>
                <w:color w:val="FFFFFF"/>
                <w:sz w:val="20"/>
                <w:szCs w:val="20"/>
              </w:rPr>
            </w:pPr>
            <w:r w:rsidRPr="000020F0">
              <w:rPr>
                <w:rFonts w:ascii="Arial" w:hAnsi="Arial" w:cs="Arial"/>
                <w:b/>
                <w:bCs/>
                <w:color w:val="FFFFFF"/>
                <w:sz w:val="20"/>
                <w:szCs w:val="20"/>
              </w:rPr>
              <w:t>Postavka</w:t>
            </w:r>
          </w:p>
        </w:tc>
        <w:tc>
          <w:tcPr>
            <w:tcW w:w="1450" w:type="dxa"/>
            <w:tcBorders>
              <w:top w:val="single" w:sz="4" w:space="0" w:color="auto"/>
              <w:left w:val="nil"/>
              <w:bottom w:val="single" w:sz="4" w:space="0" w:color="auto"/>
              <w:right w:val="single" w:sz="4" w:space="0" w:color="auto"/>
            </w:tcBorders>
            <w:shd w:val="clear" w:color="000000" w:fill="153D64"/>
            <w:noWrap/>
            <w:vAlign w:val="bottom"/>
            <w:hideMark/>
          </w:tcPr>
          <w:p w14:paraId="2DFCE853" w14:textId="408E448F" w:rsidR="00467D72" w:rsidRPr="000020F0" w:rsidRDefault="00467D72" w:rsidP="00467D72">
            <w:pPr>
              <w:rPr>
                <w:rFonts w:ascii="Arial" w:hAnsi="Arial" w:cs="Arial"/>
                <w:b/>
                <w:bCs/>
                <w:color w:val="FFFFFF"/>
                <w:sz w:val="20"/>
                <w:szCs w:val="20"/>
              </w:rPr>
            </w:pPr>
            <w:r w:rsidRPr="000020F0">
              <w:rPr>
                <w:rFonts w:ascii="Arial" w:hAnsi="Arial" w:cs="Arial"/>
                <w:b/>
                <w:bCs/>
                <w:color w:val="FFFFFF"/>
                <w:sz w:val="20"/>
                <w:szCs w:val="20"/>
              </w:rPr>
              <w:t>UPRAVIČENI STROŠKI</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5A697B5D"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1BAE7601"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217" w:type="dxa"/>
            <w:tcBorders>
              <w:top w:val="single" w:sz="4" w:space="0" w:color="auto"/>
              <w:left w:val="nil"/>
              <w:bottom w:val="single" w:sz="4" w:space="0" w:color="auto"/>
              <w:right w:val="single" w:sz="4" w:space="0" w:color="auto"/>
            </w:tcBorders>
            <w:shd w:val="clear" w:color="000000" w:fill="153D64"/>
            <w:noWrap/>
            <w:vAlign w:val="bottom"/>
            <w:hideMark/>
          </w:tcPr>
          <w:p w14:paraId="0EF1C854"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418" w:type="dxa"/>
            <w:tcBorders>
              <w:top w:val="single" w:sz="4" w:space="0" w:color="auto"/>
              <w:left w:val="nil"/>
              <w:bottom w:val="single" w:sz="4" w:space="0" w:color="auto"/>
              <w:right w:val="single" w:sz="4" w:space="0" w:color="auto"/>
            </w:tcBorders>
            <w:shd w:val="clear" w:color="000000" w:fill="153D64"/>
            <w:noWrap/>
            <w:vAlign w:val="bottom"/>
            <w:hideMark/>
          </w:tcPr>
          <w:p w14:paraId="6C9EE853"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501" w:type="dxa"/>
            <w:tcBorders>
              <w:top w:val="single" w:sz="4" w:space="0" w:color="auto"/>
              <w:left w:val="nil"/>
              <w:bottom w:val="single" w:sz="4" w:space="0" w:color="auto"/>
              <w:right w:val="single" w:sz="4" w:space="0" w:color="auto"/>
            </w:tcBorders>
            <w:shd w:val="clear" w:color="000000" w:fill="153D64"/>
            <w:noWrap/>
            <w:vAlign w:val="bottom"/>
            <w:hideMark/>
          </w:tcPr>
          <w:p w14:paraId="27439FA1"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443" w:type="dxa"/>
            <w:tcBorders>
              <w:top w:val="single" w:sz="4" w:space="0" w:color="auto"/>
              <w:left w:val="nil"/>
              <w:bottom w:val="single" w:sz="4" w:space="0" w:color="auto"/>
              <w:right w:val="single" w:sz="4" w:space="0" w:color="auto"/>
            </w:tcBorders>
            <w:shd w:val="clear" w:color="000000" w:fill="153D64"/>
            <w:noWrap/>
            <w:vAlign w:val="bottom"/>
            <w:hideMark/>
          </w:tcPr>
          <w:p w14:paraId="684FB77B" w14:textId="77777777" w:rsidR="00467D72" w:rsidRPr="000020F0" w:rsidRDefault="00467D72" w:rsidP="00467D72">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F60CAE" w:rsidRPr="000020F0" w14:paraId="5D0C0D51"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676EF45A"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Govekarjeva cesta</w:t>
            </w:r>
          </w:p>
        </w:tc>
        <w:tc>
          <w:tcPr>
            <w:tcW w:w="1450" w:type="dxa"/>
            <w:tcBorders>
              <w:top w:val="nil"/>
              <w:left w:val="nil"/>
              <w:bottom w:val="single" w:sz="4" w:space="0" w:color="auto"/>
              <w:right w:val="single" w:sz="4" w:space="0" w:color="auto"/>
            </w:tcBorders>
            <w:shd w:val="clear" w:color="000000" w:fill="FFFFFF"/>
            <w:noWrap/>
            <w:vAlign w:val="bottom"/>
            <w:hideMark/>
          </w:tcPr>
          <w:p w14:paraId="0E190D7F" w14:textId="686E784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72278911" w14:textId="793E3BE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1C23966" w14:textId="14512B3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4320F15F" w14:textId="66FB8C9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1D891F7" w14:textId="3A106C6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777.689,69</w:t>
            </w:r>
          </w:p>
        </w:tc>
        <w:tc>
          <w:tcPr>
            <w:tcW w:w="1501" w:type="dxa"/>
            <w:tcBorders>
              <w:top w:val="nil"/>
              <w:left w:val="nil"/>
              <w:bottom w:val="single" w:sz="4" w:space="0" w:color="auto"/>
              <w:right w:val="single" w:sz="4" w:space="0" w:color="auto"/>
            </w:tcBorders>
            <w:shd w:val="clear" w:color="000000" w:fill="FFFFFF"/>
            <w:noWrap/>
            <w:vAlign w:val="bottom"/>
            <w:hideMark/>
          </w:tcPr>
          <w:p w14:paraId="4C64A35F" w14:textId="5D9B0F9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47.399,00</w:t>
            </w:r>
          </w:p>
        </w:tc>
        <w:tc>
          <w:tcPr>
            <w:tcW w:w="1443" w:type="dxa"/>
            <w:tcBorders>
              <w:top w:val="nil"/>
              <w:left w:val="nil"/>
              <w:bottom w:val="single" w:sz="4" w:space="0" w:color="auto"/>
              <w:right w:val="single" w:sz="4" w:space="0" w:color="auto"/>
            </w:tcBorders>
            <w:shd w:val="clear" w:color="000000" w:fill="FFFFFF"/>
            <w:noWrap/>
            <w:vAlign w:val="bottom"/>
            <w:hideMark/>
          </w:tcPr>
          <w:p w14:paraId="4BDC49E7" w14:textId="4007C3A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7FFDF2D6"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3267B392"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Troštova ulica</w:t>
            </w:r>
          </w:p>
        </w:tc>
        <w:tc>
          <w:tcPr>
            <w:tcW w:w="1450" w:type="dxa"/>
            <w:tcBorders>
              <w:top w:val="nil"/>
              <w:left w:val="nil"/>
              <w:bottom w:val="single" w:sz="4" w:space="0" w:color="auto"/>
              <w:right w:val="single" w:sz="4" w:space="0" w:color="auto"/>
            </w:tcBorders>
            <w:shd w:val="clear" w:color="000000" w:fill="FFFFFF"/>
            <w:noWrap/>
            <w:vAlign w:val="bottom"/>
            <w:hideMark/>
          </w:tcPr>
          <w:p w14:paraId="49A7F833" w14:textId="3F5828B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4BE9A3A1" w14:textId="1122189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5D372EEE" w14:textId="5B09EF4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29103954" w14:textId="41B211B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E740F53" w14:textId="0625877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48.950,81</w:t>
            </w:r>
          </w:p>
        </w:tc>
        <w:tc>
          <w:tcPr>
            <w:tcW w:w="1501" w:type="dxa"/>
            <w:tcBorders>
              <w:top w:val="nil"/>
              <w:left w:val="nil"/>
              <w:bottom w:val="single" w:sz="4" w:space="0" w:color="auto"/>
              <w:right w:val="single" w:sz="4" w:space="0" w:color="auto"/>
            </w:tcBorders>
            <w:shd w:val="clear" w:color="000000" w:fill="FFFFFF"/>
            <w:noWrap/>
            <w:vAlign w:val="bottom"/>
            <w:hideMark/>
          </w:tcPr>
          <w:p w14:paraId="757CCBC0" w14:textId="687615E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4FA17478" w14:textId="6CC8795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991095E"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4C59F460"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450" w:type="dxa"/>
            <w:tcBorders>
              <w:top w:val="nil"/>
              <w:left w:val="nil"/>
              <w:bottom w:val="single" w:sz="4" w:space="0" w:color="auto"/>
              <w:right w:val="single" w:sz="4" w:space="0" w:color="auto"/>
            </w:tcBorders>
            <w:shd w:val="clear" w:color="000000" w:fill="FFFFFF"/>
            <w:noWrap/>
            <w:vAlign w:val="bottom"/>
            <w:hideMark/>
          </w:tcPr>
          <w:p w14:paraId="694900AA" w14:textId="70EB6AA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30AB66A1" w14:textId="29C6BBA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A8D0568" w14:textId="1FA5322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4F15353B" w14:textId="37E9AC8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7BA7F916" w14:textId="3DADAE8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60.000,00</w:t>
            </w:r>
          </w:p>
        </w:tc>
        <w:tc>
          <w:tcPr>
            <w:tcW w:w="1501" w:type="dxa"/>
            <w:tcBorders>
              <w:top w:val="nil"/>
              <w:left w:val="nil"/>
              <w:bottom w:val="single" w:sz="4" w:space="0" w:color="auto"/>
              <w:right w:val="single" w:sz="4" w:space="0" w:color="auto"/>
            </w:tcBorders>
            <w:shd w:val="clear" w:color="000000" w:fill="FFFFFF"/>
            <w:noWrap/>
            <w:vAlign w:val="bottom"/>
            <w:hideMark/>
          </w:tcPr>
          <w:p w14:paraId="760BCD54" w14:textId="767512E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3DD117F6" w14:textId="0065D78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7CBB3011"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6C211C2F"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450" w:type="dxa"/>
            <w:tcBorders>
              <w:top w:val="nil"/>
              <w:left w:val="nil"/>
              <w:bottom w:val="single" w:sz="4" w:space="0" w:color="auto"/>
              <w:right w:val="single" w:sz="4" w:space="0" w:color="auto"/>
            </w:tcBorders>
            <w:shd w:val="clear" w:color="000000" w:fill="FFFFFF"/>
            <w:noWrap/>
            <w:vAlign w:val="bottom"/>
            <w:hideMark/>
          </w:tcPr>
          <w:p w14:paraId="24BE06C9" w14:textId="73F4384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2917194C" w14:textId="038C215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76324F00" w14:textId="221406B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030D9D67" w14:textId="76598A1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3C5C2932" w14:textId="34CDE0A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41.574,32</w:t>
            </w:r>
          </w:p>
        </w:tc>
        <w:tc>
          <w:tcPr>
            <w:tcW w:w="1501" w:type="dxa"/>
            <w:tcBorders>
              <w:top w:val="nil"/>
              <w:left w:val="nil"/>
              <w:bottom w:val="single" w:sz="4" w:space="0" w:color="auto"/>
              <w:right w:val="single" w:sz="4" w:space="0" w:color="auto"/>
            </w:tcBorders>
            <w:shd w:val="clear" w:color="000000" w:fill="FFFFFF"/>
            <w:noWrap/>
            <w:vAlign w:val="bottom"/>
            <w:hideMark/>
          </w:tcPr>
          <w:p w14:paraId="36A54686" w14:textId="275ED87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7D8F479C" w14:textId="4FC087D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090EE81D"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342FFAE1"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450" w:type="dxa"/>
            <w:tcBorders>
              <w:top w:val="nil"/>
              <w:left w:val="nil"/>
              <w:bottom w:val="single" w:sz="4" w:space="0" w:color="auto"/>
              <w:right w:val="single" w:sz="4" w:space="0" w:color="auto"/>
            </w:tcBorders>
            <w:shd w:val="clear" w:color="000000" w:fill="FFFFFF"/>
            <w:noWrap/>
            <w:vAlign w:val="bottom"/>
            <w:hideMark/>
          </w:tcPr>
          <w:p w14:paraId="50B6EC17" w14:textId="323479C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148C1755" w14:textId="6A27F1C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5D67DDB6" w14:textId="5577433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74B1740B" w14:textId="0E1F1AD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56BDBD89" w14:textId="25FD0D2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13.464,91</w:t>
            </w:r>
          </w:p>
        </w:tc>
        <w:tc>
          <w:tcPr>
            <w:tcW w:w="1501" w:type="dxa"/>
            <w:tcBorders>
              <w:top w:val="nil"/>
              <w:left w:val="nil"/>
              <w:bottom w:val="single" w:sz="4" w:space="0" w:color="auto"/>
              <w:right w:val="single" w:sz="4" w:space="0" w:color="auto"/>
            </w:tcBorders>
            <w:shd w:val="clear" w:color="000000" w:fill="FFFFFF"/>
            <w:noWrap/>
            <w:vAlign w:val="bottom"/>
            <w:hideMark/>
          </w:tcPr>
          <w:p w14:paraId="481D0E34" w14:textId="036314F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1DB6CE23" w14:textId="41C6E0B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7D0E5D6"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1BEB5A62"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lastRenderedPageBreak/>
              <w:t>Parkirišča za kolesa - Govekarjeva cesta</w:t>
            </w:r>
          </w:p>
        </w:tc>
        <w:tc>
          <w:tcPr>
            <w:tcW w:w="1450" w:type="dxa"/>
            <w:tcBorders>
              <w:top w:val="nil"/>
              <w:left w:val="nil"/>
              <w:bottom w:val="single" w:sz="4" w:space="0" w:color="auto"/>
              <w:right w:val="single" w:sz="4" w:space="0" w:color="auto"/>
            </w:tcBorders>
            <w:shd w:val="clear" w:color="000000" w:fill="FFFFFF"/>
            <w:noWrap/>
            <w:vAlign w:val="bottom"/>
            <w:hideMark/>
          </w:tcPr>
          <w:p w14:paraId="593DE2EF" w14:textId="22BB74B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3637D8E5" w14:textId="4B74CFE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17889C84" w14:textId="038D6E8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6EE926D4" w14:textId="0583015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18379AC" w14:textId="74EFA1C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9.540,90</w:t>
            </w:r>
          </w:p>
        </w:tc>
        <w:tc>
          <w:tcPr>
            <w:tcW w:w="1501" w:type="dxa"/>
            <w:tcBorders>
              <w:top w:val="nil"/>
              <w:left w:val="nil"/>
              <w:bottom w:val="single" w:sz="4" w:space="0" w:color="auto"/>
              <w:right w:val="single" w:sz="4" w:space="0" w:color="auto"/>
            </w:tcBorders>
            <w:shd w:val="clear" w:color="000000" w:fill="FFFFFF"/>
            <w:noWrap/>
            <w:vAlign w:val="bottom"/>
            <w:hideMark/>
          </w:tcPr>
          <w:p w14:paraId="2BDF6944" w14:textId="02DB3C3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34D62EDF" w14:textId="1F9E236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8ABEC7D"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440E0325" w14:textId="74C2C2E1"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450" w:type="dxa"/>
            <w:tcBorders>
              <w:top w:val="nil"/>
              <w:left w:val="nil"/>
              <w:bottom w:val="single" w:sz="4" w:space="0" w:color="auto"/>
              <w:right w:val="single" w:sz="4" w:space="0" w:color="auto"/>
            </w:tcBorders>
            <w:shd w:val="clear" w:color="000000" w:fill="FFFFFF"/>
            <w:noWrap/>
            <w:vAlign w:val="bottom"/>
            <w:hideMark/>
          </w:tcPr>
          <w:p w14:paraId="2DCC9105" w14:textId="5D1B826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1BE4459C" w14:textId="6B45259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1F4F2E84" w14:textId="0888BAD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3BB84450" w14:textId="73B3F4D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27217A0B" w14:textId="5DDD53E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9.540,90</w:t>
            </w:r>
          </w:p>
        </w:tc>
        <w:tc>
          <w:tcPr>
            <w:tcW w:w="1501" w:type="dxa"/>
            <w:tcBorders>
              <w:top w:val="nil"/>
              <w:left w:val="nil"/>
              <w:bottom w:val="single" w:sz="4" w:space="0" w:color="auto"/>
              <w:right w:val="single" w:sz="4" w:space="0" w:color="auto"/>
            </w:tcBorders>
            <w:shd w:val="clear" w:color="000000" w:fill="FFFFFF"/>
            <w:noWrap/>
            <w:vAlign w:val="bottom"/>
            <w:hideMark/>
          </w:tcPr>
          <w:p w14:paraId="4A53CEB0" w14:textId="650677F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0C2D15D9" w14:textId="454AE3E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6DA66ACF"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369C5C44"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450" w:type="dxa"/>
            <w:tcBorders>
              <w:top w:val="nil"/>
              <w:left w:val="nil"/>
              <w:bottom w:val="single" w:sz="4" w:space="0" w:color="auto"/>
              <w:right w:val="single" w:sz="4" w:space="0" w:color="auto"/>
            </w:tcBorders>
            <w:shd w:val="clear" w:color="000000" w:fill="FFFFFF"/>
            <w:noWrap/>
            <w:vAlign w:val="bottom"/>
            <w:hideMark/>
          </w:tcPr>
          <w:p w14:paraId="4FBB660D" w14:textId="4D23214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6346DFA8" w14:textId="3EB21BB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0FF0F31" w14:textId="4359ECE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43F69880" w14:textId="76C7C3B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66454E33" w14:textId="292ADB5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68.411,77</w:t>
            </w:r>
          </w:p>
        </w:tc>
        <w:tc>
          <w:tcPr>
            <w:tcW w:w="1501" w:type="dxa"/>
            <w:tcBorders>
              <w:top w:val="nil"/>
              <w:left w:val="nil"/>
              <w:bottom w:val="single" w:sz="4" w:space="0" w:color="auto"/>
              <w:right w:val="single" w:sz="4" w:space="0" w:color="auto"/>
            </w:tcBorders>
            <w:shd w:val="clear" w:color="000000" w:fill="FFFFFF"/>
            <w:noWrap/>
            <w:vAlign w:val="bottom"/>
            <w:hideMark/>
          </w:tcPr>
          <w:p w14:paraId="0BD5E35B" w14:textId="52E9721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277FD1F5" w14:textId="3414197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AAEA0DF"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245C79FE" w14:textId="2826D5FE"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1450" w:type="dxa"/>
            <w:tcBorders>
              <w:top w:val="nil"/>
              <w:left w:val="nil"/>
              <w:bottom w:val="single" w:sz="4" w:space="0" w:color="auto"/>
              <w:right w:val="single" w:sz="4" w:space="0" w:color="auto"/>
            </w:tcBorders>
            <w:shd w:val="clear" w:color="000000" w:fill="FFFFFF"/>
            <w:noWrap/>
            <w:vAlign w:val="bottom"/>
            <w:hideMark/>
          </w:tcPr>
          <w:p w14:paraId="200EDD52" w14:textId="073C38D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754D4450" w14:textId="04858C1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3042B3BD" w14:textId="7A4FD4D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09F62B1C" w14:textId="57015DA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43E095A8" w14:textId="7B5FAEB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9.540,91</w:t>
            </w:r>
          </w:p>
        </w:tc>
        <w:tc>
          <w:tcPr>
            <w:tcW w:w="1501" w:type="dxa"/>
            <w:tcBorders>
              <w:top w:val="nil"/>
              <w:left w:val="nil"/>
              <w:bottom w:val="single" w:sz="4" w:space="0" w:color="auto"/>
              <w:right w:val="single" w:sz="4" w:space="0" w:color="auto"/>
            </w:tcBorders>
            <w:shd w:val="clear" w:color="000000" w:fill="FFFFFF"/>
            <w:noWrap/>
            <w:vAlign w:val="bottom"/>
            <w:hideMark/>
          </w:tcPr>
          <w:p w14:paraId="19DA289F" w14:textId="4F3FA50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61552663" w14:textId="75F2CE5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0DCE30B5"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385E5CFC"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Parkirišča za kolesa - park</w:t>
            </w:r>
          </w:p>
        </w:tc>
        <w:tc>
          <w:tcPr>
            <w:tcW w:w="1450" w:type="dxa"/>
            <w:tcBorders>
              <w:top w:val="nil"/>
              <w:left w:val="nil"/>
              <w:bottom w:val="single" w:sz="4" w:space="0" w:color="auto"/>
              <w:right w:val="single" w:sz="4" w:space="0" w:color="auto"/>
            </w:tcBorders>
            <w:shd w:val="clear" w:color="000000" w:fill="FFFFFF"/>
            <w:noWrap/>
            <w:vAlign w:val="bottom"/>
            <w:hideMark/>
          </w:tcPr>
          <w:p w14:paraId="0E2B3F86" w14:textId="6876238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2C309E92" w14:textId="1ABA28B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604004EE" w14:textId="3E86B89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1309F9A7" w14:textId="345D6E6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shd w:val="clear" w:color="000000" w:fill="FFFFFF"/>
            <w:noWrap/>
            <w:vAlign w:val="bottom"/>
            <w:hideMark/>
          </w:tcPr>
          <w:p w14:paraId="00BB3152" w14:textId="256D0BD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12.180,49</w:t>
            </w:r>
          </w:p>
        </w:tc>
        <w:tc>
          <w:tcPr>
            <w:tcW w:w="1501" w:type="dxa"/>
            <w:tcBorders>
              <w:top w:val="nil"/>
              <w:left w:val="nil"/>
              <w:bottom w:val="single" w:sz="4" w:space="0" w:color="auto"/>
              <w:right w:val="single" w:sz="4" w:space="0" w:color="auto"/>
            </w:tcBorders>
            <w:shd w:val="clear" w:color="000000" w:fill="FFFFFF"/>
            <w:noWrap/>
            <w:vAlign w:val="bottom"/>
            <w:hideMark/>
          </w:tcPr>
          <w:p w14:paraId="285FCC5D" w14:textId="4D4178F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7E2FE0C0" w14:textId="512F438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ECA6661" w14:textId="77777777" w:rsidTr="005749C3">
        <w:trPr>
          <w:trHeight w:val="29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3A2F50DE" w14:textId="77777777" w:rsidR="00F60CAE" w:rsidRPr="000020F0" w:rsidRDefault="00F60CAE" w:rsidP="00F60CAE">
            <w:pPr>
              <w:rPr>
                <w:rFonts w:ascii="Roboto" w:hAnsi="Roboto"/>
                <w:color w:val="000000"/>
                <w:sz w:val="20"/>
                <w:szCs w:val="20"/>
              </w:rPr>
            </w:pPr>
            <w:r w:rsidRPr="000020F0">
              <w:rPr>
                <w:rFonts w:ascii="Roboto" w:hAnsi="Roboto"/>
                <w:color w:val="000000"/>
                <w:sz w:val="20"/>
                <w:szCs w:val="20"/>
              </w:rPr>
              <w:t>Avtobusno postajališče - nivo ceste</w:t>
            </w:r>
          </w:p>
        </w:tc>
        <w:tc>
          <w:tcPr>
            <w:tcW w:w="1450" w:type="dxa"/>
            <w:tcBorders>
              <w:top w:val="nil"/>
              <w:left w:val="nil"/>
              <w:bottom w:val="single" w:sz="4" w:space="0" w:color="auto"/>
              <w:right w:val="single" w:sz="4" w:space="0" w:color="auto"/>
            </w:tcBorders>
            <w:shd w:val="clear" w:color="000000" w:fill="FFFFFF"/>
            <w:noWrap/>
            <w:vAlign w:val="bottom"/>
            <w:hideMark/>
          </w:tcPr>
          <w:p w14:paraId="1FA72D4D" w14:textId="5663CAA6"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6B81A8A7" w14:textId="4AE0E67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68300C05" w14:textId="6177A6A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164A17AD" w14:textId="5F0F3A2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310.725,31</w:t>
            </w:r>
          </w:p>
        </w:tc>
        <w:tc>
          <w:tcPr>
            <w:tcW w:w="1418" w:type="dxa"/>
            <w:tcBorders>
              <w:top w:val="nil"/>
              <w:left w:val="nil"/>
              <w:bottom w:val="single" w:sz="4" w:space="0" w:color="auto"/>
              <w:right w:val="single" w:sz="4" w:space="0" w:color="auto"/>
            </w:tcBorders>
            <w:shd w:val="clear" w:color="000000" w:fill="FFFFFF"/>
            <w:noWrap/>
            <w:vAlign w:val="bottom"/>
            <w:hideMark/>
          </w:tcPr>
          <w:p w14:paraId="337B04FE" w14:textId="0D94EED6"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117B4025" w14:textId="502D1A2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405883F0" w14:textId="1D1FF0D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5749C3" w:rsidRPr="000020F0" w14:paraId="0524F494" w14:textId="77777777" w:rsidTr="005749C3">
        <w:trPr>
          <w:trHeight w:val="29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55C6690F" w14:textId="77777777" w:rsidR="005749C3" w:rsidRPr="000020F0" w:rsidRDefault="005749C3" w:rsidP="005749C3">
            <w:pPr>
              <w:rPr>
                <w:rFonts w:ascii="Arial" w:hAnsi="Arial" w:cs="Arial"/>
                <w:color w:val="000000"/>
                <w:sz w:val="20"/>
                <w:szCs w:val="20"/>
              </w:rPr>
            </w:pPr>
            <w:r w:rsidRPr="000020F0">
              <w:rPr>
                <w:rFonts w:ascii="Arial" w:hAnsi="Arial" w:cs="Arial"/>
                <w:color w:val="000000"/>
                <w:sz w:val="20"/>
                <w:szCs w:val="20"/>
              </w:rPr>
              <w:t>Sanitarije</w:t>
            </w:r>
          </w:p>
        </w:tc>
        <w:tc>
          <w:tcPr>
            <w:tcW w:w="1450" w:type="dxa"/>
            <w:tcBorders>
              <w:top w:val="nil"/>
              <w:left w:val="nil"/>
              <w:bottom w:val="single" w:sz="4" w:space="0" w:color="auto"/>
              <w:right w:val="single" w:sz="4" w:space="0" w:color="auto"/>
            </w:tcBorders>
            <w:shd w:val="clear" w:color="000000" w:fill="FFFFFF"/>
            <w:noWrap/>
            <w:vAlign w:val="bottom"/>
            <w:hideMark/>
          </w:tcPr>
          <w:p w14:paraId="5A9CD746" w14:textId="6AE986C4" w:rsidR="005749C3" w:rsidRPr="000020F0" w:rsidRDefault="005749C3" w:rsidP="005749C3">
            <w:pPr>
              <w:jc w:val="right"/>
              <w:rPr>
                <w:rFonts w:ascii="Arial" w:hAnsi="Arial" w:cs="Arial"/>
                <w:i/>
                <w:iCs/>
                <w:color w:val="000000"/>
                <w:sz w:val="20"/>
                <w:szCs w:val="20"/>
              </w:rPr>
            </w:pPr>
            <w:r w:rsidRPr="000020F0">
              <w:rPr>
                <w:rFonts w:ascii="Arial" w:hAnsi="Arial" w:cs="Arial"/>
                <w:color w:val="000000"/>
                <w:sz w:val="20"/>
                <w:szCs w:val="20"/>
              </w:rPr>
              <w:t>0,00</w:t>
            </w:r>
            <w:r w:rsidRPr="000020F0">
              <w:rPr>
                <w:rFonts w:ascii="Arial" w:hAnsi="Arial" w:cs="Arial"/>
                <w:i/>
                <w:iCs/>
                <w:color w:val="000000"/>
                <w:sz w:val="20"/>
                <w:szCs w:val="20"/>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4DFB8B4B" w14:textId="1BE4004C" w:rsidR="005749C3" w:rsidRPr="000020F0" w:rsidRDefault="005749C3" w:rsidP="005749C3">
            <w:pPr>
              <w:jc w:val="right"/>
              <w:rPr>
                <w:rFonts w:ascii="Arial" w:hAnsi="Arial" w:cs="Arial"/>
                <w:i/>
                <w:iCs/>
                <w:color w:val="000000"/>
                <w:sz w:val="20"/>
                <w:szCs w:val="20"/>
              </w:rPr>
            </w:pPr>
            <w:r w:rsidRPr="000020F0">
              <w:rPr>
                <w:rFonts w:ascii="Arial" w:hAnsi="Arial" w:cs="Arial"/>
                <w:color w:val="000000"/>
                <w:sz w:val="20"/>
                <w:szCs w:val="20"/>
              </w:rPr>
              <w:t>0,00</w:t>
            </w:r>
            <w:r w:rsidRPr="000020F0">
              <w:rPr>
                <w:rFonts w:ascii="Arial" w:hAnsi="Arial" w:cs="Arial"/>
                <w:i/>
                <w:iCs/>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61BA78B" w14:textId="14EC1717" w:rsidR="005749C3" w:rsidRPr="000020F0" w:rsidRDefault="005749C3" w:rsidP="005749C3">
            <w:pPr>
              <w:jc w:val="right"/>
              <w:rPr>
                <w:rFonts w:ascii="Arial" w:hAnsi="Arial" w:cs="Arial"/>
                <w:i/>
                <w:iCs/>
                <w:color w:val="000000"/>
                <w:sz w:val="20"/>
                <w:szCs w:val="20"/>
              </w:rPr>
            </w:pPr>
            <w:r w:rsidRPr="000020F0">
              <w:rPr>
                <w:rFonts w:ascii="Arial" w:hAnsi="Arial" w:cs="Arial"/>
                <w:color w:val="000000"/>
                <w:sz w:val="20"/>
                <w:szCs w:val="20"/>
              </w:rPr>
              <w:t>0,00</w:t>
            </w:r>
            <w:r w:rsidRPr="000020F0">
              <w:rPr>
                <w:rFonts w:ascii="Arial" w:hAnsi="Arial" w:cs="Arial"/>
                <w:i/>
                <w:iCs/>
                <w:color w:val="000000"/>
                <w:sz w:val="20"/>
                <w:szCs w:val="20"/>
              </w:rPr>
              <w:t> </w:t>
            </w:r>
          </w:p>
        </w:tc>
        <w:tc>
          <w:tcPr>
            <w:tcW w:w="1217" w:type="dxa"/>
            <w:tcBorders>
              <w:top w:val="nil"/>
              <w:left w:val="nil"/>
              <w:bottom w:val="single" w:sz="4" w:space="0" w:color="auto"/>
              <w:right w:val="single" w:sz="4" w:space="0" w:color="auto"/>
            </w:tcBorders>
            <w:shd w:val="clear" w:color="000000" w:fill="FFFFFF"/>
            <w:noWrap/>
            <w:vAlign w:val="bottom"/>
            <w:hideMark/>
          </w:tcPr>
          <w:p w14:paraId="2DF75D88" w14:textId="679A96F4" w:rsidR="005749C3" w:rsidRPr="000020F0" w:rsidRDefault="005749C3" w:rsidP="005749C3">
            <w:pPr>
              <w:jc w:val="right"/>
              <w:rPr>
                <w:rFonts w:ascii="Arial" w:hAnsi="Arial" w:cs="Arial"/>
                <w:i/>
                <w:iCs/>
                <w:color w:val="000000"/>
                <w:sz w:val="20"/>
                <w:szCs w:val="20"/>
              </w:rPr>
            </w:pPr>
            <w:r w:rsidRPr="000020F0">
              <w:rPr>
                <w:rFonts w:ascii="Arial" w:hAnsi="Arial" w:cs="Arial"/>
                <w:i/>
                <w:iCs/>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05CC02AD" w14:textId="364578D6" w:rsidR="005749C3" w:rsidRPr="000020F0" w:rsidRDefault="005749C3" w:rsidP="005749C3">
            <w:pPr>
              <w:jc w:val="right"/>
              <w:rPr>
                <w:rFonts w:ascii="Arial" w:hAnsi="Arial" w:cs="Arial"/>
                <w:i/>
                <w:iCs/>
                <w:color w:val="000000"/>
                <w:sz w:val="20"/>
                <w:szCs w:val="20"/>
              </w:rPr>
            </w:pPr>
            <w:r w:rsidRPr="000020F0">
              <w:rPr>
                <w:rFonts w:ascii="Arial" w:hAnsi="Arial" w:cs="Arial"/>
                <w:i/>
                <w:iCs/>
                <w:color w:val="000000"/>
                <w:sz w:val="20"/>
                <w:szCs w:val="20"/>
              </w:rPr>
              <w:t>92.284,99</w:t>
            </w:r>
          </w:p>
        </w:tc>
        <w:tc>
          <w:tcPr>
            <w:tcW w:w="1501" w:type="dxa"/>
            <w:tcBorders>
              <w:top w:val="nil"/>
              <w:left w:val="nil"/>
              <w:bottom w:val="single" w:sz="4" w:space="0" w:color="auto"/>
              <w:right w:val="single" w:sz="4" w:space="0" w:color="auto"/>
            </w:tcBorders>
            <w:shd w:val="clear" w:color="000000" w:fill="FFFFFF"/>
            <w:noWrap/>
            <w:hideMark/>
          </w:tcPr>
          <w:p w14:paraId="7E8F5945" w14:textId="3638CD00" w:rsidR="005749C3" w:rsidRPr="000020F0" w:rsidRDefault="005749C3" w:rsidP="005749C3">
            <w:pPr>
              <w:jc w:val="right"/>
              <w:rPr>
                <w:rFonts w:ascii="Arial" w:hAnsi="Arial" w:cs="Arial"/>
                <w:i/>
                <w:iCs/>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hideMark/>
          </w:tcPr>
          <w:p w14:paraId="5C60B5A2" w14:textId="4BAF5766" w:rsidR="005749C3" w:rsidRPr="000020F0" w:rsidRDefault="005749C3" w:rsidP="005749C3">
            <w:pPr>
              <w:jc w:val="right"/>
              <w:rPr>
                <w:rFonts w:ascii="Arial" w:hAnsi="Arial" w:cs="Arial"/>
                <w:i/>
                <w:iCs/>
                <w:color w:val="000000"/>
                <w:sz w:val="20"/>
                <w:szCs w:val="20"/>
              </w:rPr>
            </w:pPr>
            <w:r w:rsidRPr="000020F0">
              <w:rPr>
                <w:rFonts w:ascii="Arial" w:hAnsi="Arial" w:cs="Arial"/>
                <w:color w:val="000000"/>
                <w:sz w:val="20"/>
                <w:szCs w:val="20"/>
              </w:rPr>
              <w:t>0,00</w:t>
            </w:r>
          </w:p>
        </w:tc>
      </w:tr>
      <w:tr w:rsidR="00F60CAE" w:rsidRPr="000020F0" w14:paraId="5FC6EA0F" w14:textId="77777777" w:rsidTr="005749C3">
        <w:trPr>
          <w:trHeight w:val="29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75C77461" w14:textId="77777777" w:rsidR="00F60CAE" w:rsidRPr="000020F0" w:rsidRDefault="00F60CAE" w:rsidP="00F60CAE">
            <w:pPr>
              <w:rPr>
                <w:rFonts w:ascii="Roboto" w:hAnsi="Roboto"/>
                <w:color w:val="000000"/>
                <w:sz w:val="20"/>
                <w:szCs w:val="20"/>
              </w:rPr>
            </w:pPr>
            <w:r w:rsidRPr="000020F0">
              <w:rPr>
                <w:rFonts w:ascii="Roboto" w:hAnsi="Roboto"/>
                <w:color w:val="000000"/>
                <w:sz w:val="20"/>
                <w:szCs w:val="20"/>
              </w:rPr>
              <w:t>Avtobusno postajališče - nadstrešnica</w:t>
            </w:r>
          </w:p>
        </w:tc>
        <w:tc>
          <w:tcPr>
            <w:tcW w:w="1450" w:type="dxa"/>
            <w:tcBorders>
              <w:top w:val="nil"/>
              <w:left w:val="nil"/>
              <w:bottom w:val="single" w:sz="4" w:space="0" w:color="auto"/>
              <w:right w:val="single" w:sz="4" w:space="0" w:color="auto"/>
            </w:tcBorders>
            <w:shd w:val="clear" w:color="000000" w:fill="FFFFFF"/>
            <w:noWrap/>
            <w:vAlign w:val="bottom"/>
            <w:hideMark/>
          </w:tcPr>
          <w:p w14:paraId="5039DF3B" w14:textId="04CFDFA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FFFFFF"/>
            <w:noWrap/>
            <w:vAlign w:val="bottom"/>
            <w:hideMark/>
          </w:tcPr>
          <w:p w14:paraId="5735A822" w14:textId="317B434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vAlign w:val="bottom"/>
            <w:hideMark/>
          </w:tcPr>
          <w:p w14:paraId="4080080D" w14:textId="38D2B9C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shd w:val="clear" w:color="000000" w:fill="FFFFFF"/>
            <w:noWrap/>
            <w:vAlign w:val="bottom"/>
            <w:hideMark/>
          </w:tcPr>
          <w:p w14:paraId="0AC1C38D" w14:textId="0F68FC3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271.249,66</w:t>
            </w:r>
          </w:p>
        </w:tc>
        <w:tc>
          <w:tcPr>
            <w:tcW w:w="1418" w:type="dxa"/>
            <w:tcBorders>
              <w:top w:val="nil"/>
              <w:left w:val="nil"/>
              <w:bottom w:val="single" w:sz="4" w:space="0" w:color="auto"/>
              <w:right w:val="single" w:sz="4" w:space="0" w:color="auto"/>
            </w:tcBorders>
            <w:shd w:val="clear" w:color="000000" w:fill="FFFFFF"/>
            <w:noWrap/>
            <w:vAlign w:val="bottom"/>
            <w:hideMark/>
          </w:tcPr>
          <w:p w14:paraId="4677B01E" w14:textId="1D35F8C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shd w:val="clear" w:color="000000" w:fill="FFFFFF"/>
            <w:noWrap/>
            <w:vAlign w:val="bottom"/>
            <w:hideMark/>
          </w:tcPr>
          <w:p w14:paraId="78AC5C11" w14:textId="753A3A3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shd w:val="clear" w:color="000000" w:fill="FFFFFF"/>
            <w:noWrap/>
            <w:vAlign w:val="bottom"/>
            <w:hideMark/>
          </w:tcPr>
          <w:p w14:paraId="0754EAF8" w14:textId="45F0C5C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5749C3" w:rsidRPr="000020F0" w14:paraId="31875765" w14:textId="77777777" w:rsidTr="00612080">
        <w:trPr>
          <w:trHeight w:val="290"/>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6D0E239A" w14:textId="77777777" w:rsidR="005749C3" w:rsidRPr="000020F0" w:rsidRDefault="005749C3" w:rsidP="005749C3">
            <w:pPr>
              <w:rPr>
                <w:rFonts w:ascii="Arial" w:hAnsi="Arial" w:cs="Arial"/>
                <w:color w:val="000000"/>
                <w:sz w:val="20"/>
                <w:szCs w:val="20"/>
              </w:rPr>
            </w:pPr>
            <w:r w:rsidRPr="000020F0">
              <w:rPr>
                <w:rFonts w:ascii="Arial" w:hAnsi="Arial" w:cs="Arial"/>
                <w:color w:val="000000"/>
                <w:sz w:val="20"/>
                <w:szCs w:val="20"/>
              </w:rPr>
              <w:t>Parkirišče z vhodom v šolo</w:t>
            </w:r>
          </w:p>
        </w:tc>
        <w:tc>
          <w:tcPr>
            <w:tcW w:w="1450" w:type="dxa"/>
            <w:tcBorders>
              <w:top w:val="nil"/>
              <w:left w:val="nil"/>
              <w:bottom w:val="single" w:sz="4" w:space="0" w:color="auto"/>
              <w:right w:val="single" w:sz="4" w:space="0" w:color="auto"/>
            </w:tcBorders>
            <w:shd w:val="clear" w:color="000000" w:fill="FFFFFF"/>
            <w:noWrap/>
            <w:hideMark/>
          </w:tcPr>
          <w:p w14:paraId="7ECB85E9" w14:textId="644E0C88"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hideMark/>
          </w:tcPr>
          <w:p w14:paraId="60DD3A6C" w14:textId="3967398D"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hideMark/>
          </w:tcPr>
          <w:p w14:paraId="221727F7" w14:textId="4DD31E1E"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hideMark/>
          </w:tcPr>
          <w:p w14:paraId="6D64E354" w14:textId="5C35586D"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hideMark/>
          </w:tcPr>
          <w:p w14:paraId="5271FAFC" w14:textId="3D8DF731"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hideMark/>
          </w:tcPr>
          <w:p w14:paraId="79B67DEB" w14:textId="5B7F592D"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hideMark/>
          </w:tcPr>
          <w:p w14:paraId="6909A18C" w14:textId="1BA8054B" w:rsidR="005749C3" w:rsidRPr="000020F0" w:rsidRDefault="005749C3" w:rsidP="005749C3">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A3A0298"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DAE9F8"/>
            <w:noWrap/>
            <w:vAlign w:val="bottom"/>
            <w:hideMark/>
          </w:tcPr>
          <w:p w14:paraId="303087DF" w14:textId="77777777" w:rsidR="00F60CAE" w:rsidRPr="000020F0" w:rsidRDefault="00F60CAE" w:rsidP="00F60CAE">
            <w:pPr>
              <w:rPr>
                <w:rFonts w:ascii="Arial" w:hAnsi="Arial" w:cs="Arial"/>
                <w:b/>
                <w:bCs/>
                <w:i/>
                <w:iCs/>
                <w:color w:val="000000"/>
                <w:sz w:val="20"/>
                <w:szCs w:val="20"/>
              </w:rPr>
            </w:pPr>
            <w:r w:rsidRPr="000020F0">
              <w:rPr>
                <w:rFonts w:ascii="Arial" w:hAnsi="Arial" w:cs="Arial"/>
                <w:b/>
                <w:bCs/>
                <w:i/>
                <w:iCs/>
                <w:color w:val="000000"/>
                <w:sz w:val="20"/>
                <w:szCs w:val="20"/>
              </w:rPr>
              <w:t>Skupaj GOI dela</w:t>
            </w:r>
          </w:p>
        </w:tc>
        <w:tc>
          <w:tcPr>
            <w:tcW w:w="1450" w:type="dxa"/>
            <w:tcBorders>
              <w:top w:val="nil"/>
              <w:left w:val="nil"/>
              <w:bottom w:val="single" w:sz="4" w:space="0" w:color="auto"/>
              <w:right w:val="single" w:sz="4" w:space="0" w:color="auto"/>
            </w:tcBorders>
            <w:shd w:val="clear" w:color="000000" w:fill="DAE9F8"/>
            <w:noWrap/>
            <w:vAlign w:val="bottom"/>
            <w:hideMark/>
          </w:tcPr>
          <w:p w14:paraId="3AD67B82" w14:textId="700E80D7"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275" w:type="dxa"/>
            <w:tcBorders>
              <w:top w:val="nil"/>
              <w:left w:val="nil"/>
              <w:bottom w:val="single" w:sz="4" w:space="0" w:color="auto"/>
              <w:right w:val="single" w:sz="4" w:space="0" w:color="auto"/>
            </w:tcBorders>
            <w:shd w:val="clear" w:color="000000" w:fill="DAE9F8"/>
            <w:noWrap/>
            <w:vAlign w:val="bottom"/>
            <w:hideMark/>
          </w:tcPr>
          <w:p w14:paraId="514CF6E1" w14:textId="5D124A8D"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276" w:type="dxa"/>
            <w:tcBorders>
              <w:top w:val="nil"/>
              <w:left w:val="nil"/>
              <w:bottom w:val="single" w:sz="4" w:space="0" w:color="auto"/>
              <w:right w:val="single" w:sz="4" w:space="0" w:color="auto"/>
            </w:tcBorders>
            <w:shd w:val="clear" w:color="000000" w:fill="DAE9F8"/>
            <w:noWrap/>
            <w:vAlign w:val="bottom"/>
            <w:hideMark/>
          </w:tcPr>
          <w:p w14:paraId="10A7E89D" w14:textId="4D2E6EE5"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c>
          <w:tcPr>
            <w:tcW w:w="1217" w:type="dxa"/>
            <w:tcBorders>
              <w:top w:val="nil"/>
              <w:left w:val="nil"/>
              <w:bottom w:val="single" w:sz="4" w:space="0" w:color="auto"/>
              <w:right w:val="single" w:sz="4" w:space="0" w:color="auto"/>
            </w:tcBorders>
            <w:shd w:val="clear" w:color="000000" w:fill="DAE9F8"/>
            <w:noWrap/>
            <w:vAlign w:val="bottom"/>
            <w:hideMark/>
          </w:tcPr>
          <w:p w14:paraId="14937E78" w14:textId="706AA87C"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581.974,97</w:t>
            </w:r>
          </w:p>
        </w:tc>
        <w:tc>
          <w:tcPr>
            <w:tcW w:w="1418" w:type="dxa"/>
            <w:tcBorders>
              <w:top w:val="nil"/>
              <w:left w:val="nil"/>
              <w:bottom w:val="single" w:sz="4" w:space="0" w:color="auto"/>
              <w:right w:val="single" w:sz="4" w:space="0" w:color="auto"/>
            </w:tcBorders>
            <w:shd w:val="clear" w:color="000000" w:fill="DAE9F8"/>
            <w:noWrap/>
            <w:vAlign w:val="bottom"/>
            <w:hideMark/>
          </w:tcPr>
          <w:p w14:paraId="7967743E" w14:textId="004DE82C"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1.143.179,69</w:t>
            </w:r>
          </w:p>
        </w:tc>
        <w:tc>
          <w:tcPr>
            <w:tcW w:w="1501" w:type="dxa"/>
            <w:tcBorders>
              <w:top w:val="nil"/>
              <w:left w:val="nil"/>
              <w:bottom w:val="single" w:sz="4" w:space="0" w:color="auto"/>
              <w:right w:val="single" w:sz="4" w:space="0" w:color="auto"/>
            </w:tcBorders>
            <w:shd w:val="clear" w:color="000000" w:fill="DAE9F8"/>
            <w:noWrap/>
            <w:vAlign w:val="bottom"/>
            <w:hideMark/>
          </w:tcPr>
          <w:p w14:paraId="10E366A3" w14:textId="27BE8728"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47.399,00</w:t>
            </w:r>
          </w:p>
        </w:tc>
        <w:tc>
          <w:tcPr>
            <w:tcW w:w="1443" w:type="dxa"/>
            <w:tcBorders>
              <w:top w:val="nil"/>
              <w:left w:val="nil"/>
              <w:bottom w:val="single" w:sz="4" w:space="0" w:color="auto"/>
              <w:right w:val="single" w:sz="4" w:space="0" w:color="auto"/>
            </w:tcBorders>
            <w:shd w:val="clear" w:color="000000" w:fill="DAE9F8"/>
            <w:noWrap/>
            <w:vAlign w:val="bottom"/>
            <w:hideMark/>
          </w:tcPr>
          <w:p w14:paraId="7EE53548" w14:textId="7E01164C" w:rsidR="00F60CAE" w:rsidRPr="000020F0" w:rsidRDefault="00F60CAE" w:rsidP="00F60CAE">
            <w:pPr>
              <w:jc w:val="right"/>
              <w:rPr>
                <w:rFonts w:ascii="Arial" w:hAnsi="Arial" w:cs="Arial"/>
                <w:b/>
                <w:bCs/>
                <w:i/>
                <w:iCs/>
                <w:color w:val="000000"/>
                <w:sz w:val="20"/>
                <w:szCs w:val="20"/>
              </w:rPr>
            </w:pPr>
            <w:r w:rsidRPr="000020F0">
              <w:rPr>
                <w:rFonts w:ascii="Arial" w:hAnsi="Arial" w:cs="Arial"/>
                <w:b/>
                <w:bCs/>
                <w:i/>
                <w:iCs/>
                <w:color w:val="000000"/>
                <w:sz w:val="20"/>
                <w:szCs w:val="20"/>
              </w:rPr>
              <w:t>0,00</w:t>
            </w:r>
          </w:p>
        </w:tc>
      </w:tr>
      <w:tr w:rsidR="00F60CAE" w:rsidRPr="000020F0" w14:paraId="3DB2D336"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5E824960"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Strokovni nadzor</w:t>
            </w:r>
          </w:p>
        </w:tc>
        <w:tc>
          <w:tcPr>
            <w:tcW w:w="1450" w:type="dxa"/>
            <w:tcBorders>
              <w:top w:val="nil"/>
              <w:left w:val="nil"/>
              <w:bottom w:val="single" w:sz="4" w:space="0" w:color="auto"/>
              <w:right w:val="single" w:sz="4" w:space="0" w:color="auto"/>
            </w:tcBorders>
            <w:noWrap/>
            <w:vAlign w:val="bottom"/>
            <w:hideMark/>
          </w:tcPr>
          <w:p w14:paraId="59AF8074" w14:textId="4EC324A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3CDFCB0A" w14:textId="086210E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07D23DC" w14:textId="6A6EE4E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0BD597FA" w14:textId="026B7BF6"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14.055,05</w:t>
            </w:r>
          </w:p>
        </w:tc>
        <w:tc>
          <w:tcPr>
            <w:tcW w:w="1418" w:type="dxa"/>
            <w:tcBorders>
              <w:top w:val="nil"/>
              <w:left w:val="nil"/>
              <w:bottom w:val="single" w:sz="4" w:space="0" w:color="auto"/>
              <w:right w:val="single" w:sz="4" w:space="0" w:color="auto"/>
            </w:tcBorders>
            <w:noWrap/>
            <w:vAlign w:val="bottom"/>
            <w:hideMark/>
          </w:tcPr>
          <w:p w14:paraId="1C33F869" w14:textId="59D894A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37.976,85</w:t>
            </w:r>
          </w:p>
        </w:tc>
        <w:tc>
          <w:tcPr>
            <w:tcW w:w="1501" w:type="dxa"/>
            <w:tcBorders>
              <w:top w:val="nil"/>
              <w:left w:val="nil"/>
              <w:bottom w:val="single" w:sz="4" w:space="0" w:color="auto"/>
              <w:right w:val="single" w:sz="4" w:space="0" w:color="auto"/>
            </w:tcBorders>
            <w:noWrap/>
            <w:vAlign w:val="bottom"/>
            <w:hideMark/>
          </w:tcPr>
          <w:p w14:paraId="10CD9C87" w14:textId="5ECF8E9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1.144,71</w:t>
            </w:r>
          </w:p>
        </w:tc>
        <w:tc>
          <w:tcPr>
            <w:tcW w:w="1443" w:type="dxa"/>
            <w:tcBorders>
              <w:top w:val="nil"/>
              <w:left w:val="nil"/>
              <w:bottom w:val="single" w:sz="4" w:space="0" w:color="auto"/>
              <w:right w:val="single" w:sz="4" w:space="0" w:color="auto"/>
            </w:tcBorders>
            <w:noWrap/>
            <w:vAlign w:val="bottom"/>
            <w:hideMark/>
          </w:tcPr>
          <w:p w14:paraId="3AFAAC5A" w14:textId="3817373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511711C"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105D8248"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Projektna dokumentacija</w:t>
            </w:r>
          </w:p>
        </w:tc>
        <w:tc>
          <w:tcPr>
            <w:tcW w:w="1450" w:type="dxa"/>
            <w:tcBorders>
              <w:top w:val="nil"/>
              <w:left w:val="nil"/>
              <w:bottom w:val="single" w:sz="4" w:space="0" w:color="auto"/>
              <w:right w:val="single" w:sz="4" w:space="0" w:color="auto"/>
            </w:tcBorders>
            <w:noWrap/>
            <w:vAlign w:val="bottom"/>
            <w:hideMark/>
          </w:tcPr>
          <w:p w14:paraId="4FC0321A" w14:textId="67EB2D7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5.796,14</w:t>
            </w:r>
          </w:p>
        </w:tc>
        <w:tc>
          <w:tcPr>
            <w:tcW w:w="1275" w:type="dxa"/>
            <w:tcBorders>
              <w:top w:val="nil"/>
              <w:left w:val="nil"/>
              <w:bottom w:val="single" w:sz="4" w:space="0" w:color="auto"/>
              <w:right w:val="single" w:sz="4" w:space="0" w:color="auto"/>
            </w:tcBorders>
            <w:noWrap/>
            <w:vAlign w:val="bottom"/>
            <w:hideMark/>
          </w:tcPr>
          <w:p w14:paraId="1B4EE1F2" w14:textId="3EDA5B5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54.437,83</w:t>
            </w:r>
          </w:p>
        </w:tc>
        <w:tc>
          <w:tcPr>
            <w:tcW w:w="1276" w:type="dxa"/>
            <w:tcBorders>
              <w:top w:val="nil"/>
              <w:left w:val="nil"/>
              <w:bottom w:val="single" w:sz="4" w:space="0" w:color="auto"/>
              <w:right w:val="single" w:sz="4" w:space="0" w:color="auto"/>
            </w:tcBorders>
            <w:noWrap/>
            <w:vAlign w:val="bottom"/>
            <w:hideMark/>
          </w:tcPr>
          <w:p w14:paraId="3C3EB3DE" w14:textId="1EDD416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17.205,20</w:t>
            </w:r>
          </w:p>
        </w:tc>
        <w:tc>
          <w:tcPr>
            <w:tcW w:w="1217" w:type="dxa"/>
            <w:tcBorders>
              <w:top w:val="nil"/>
              <w:left w:val="nil"/>
              <w:bottom w:val="single" w:sz="4" w:space="0" w:color="auto"/>
              <w:right w:val="single" w:sz="4" w:space="0" w:color="auto"/>
            </w:tcBorders>
            <w:noWrap/>
            <w:vAlign w:val="bottom"/>
            <w:hideMark/>
          </w:tcPr>
          <w:p w14:paraId="4C8712E8" w14:textId="403AC65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3.104,69</w:t>
            </w:r>
          </w:p>
        </w:tc>
        <w:tc>
          <w:tcPr>
            <w:tcW w:w="1418" w:type="dxa"/>
            <w:tcBorders>
              <w:top w:val="nil"/>
              <w:left w:val="nil"/>
              <w:bottom w:val="single" w:sz="4" w:space="0" w:color="auto"/>
              <w:right w:val="single" w:sz="4" w:space="0" w:color="auto"/>
            </w:tcBorders>
            <w:noWrap/>
            <w:vAlign w:val="bottom"/>
            <w:hideMark/>
          </w:tcPr>
          <w:p w14:paraId="74ED1E27" w14:textId="6371CB0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3.104,69</w:t>
            </w:r>
          </w:p>
        </w:tc>
        <w:tc>
          <w:tcPr>
            <w:tcW w:w="1501" w:type="dxa"/>
            <w:tcBorders>
              <w:top w:val="nil"/>
              <w:left w:val="nil"/>
              <w:bottom w:val="single" w:sz="4" w:space="0" w:color="auto"/>
              <w:right w:val="single" w:sz="4" w:space="0" w:color="auto"/>
            </w:tcBorders>
            <w:noWrap/>
            <w:vAlign w:val="bottom"/>
            <w:hideMark/>
          </w:tcPr>
          <w:p w14:paraId="47AAB022" w14:textId="63F779C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955,29</w:t>
            </w:r>
          </w:p>
        </w:tc>
        <w:tc>
          <w:tcPr>
            <w:tcW w:w="1443" w:type="dxa"/>
            <w:tcBorders>
              <w:top w:val="nil"/>
              <w:left w:val="nil"/>
              <w:bottom w:val="single" w:sz="4" w:space="0" w:color="auto"/>
              <w:right w:val="single" w:sz="4" w:space="0" w:color="auto"/>
            </w:tcBorders>
            <w:noWrap/>
            <w:vAlign w:val="bottom"/>
            <w:hideMark/>
          </w:tcPr>
          <w:p w14:paraId="7A33ECD4" w14:textId="3C3C936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5.796,14</w:t>
            </w:r>
          </w:p>
        </w:tc>
      </w:tr>
      <w:tr w:rsidR="00F60CAE" w:rsidRPr="000020F0" w14:paraId="21EC9DCC"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792D0ED1"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Svetovalni inženiring</w:t>
            </w:r>
          </w:p>
        </w:tc>
        <w:tc>
          <w:tcPr>
            <w:tcW w:w="1450" w:type="dxa"/>
            <w:tcBorders>
              <w:top w:val="nil"/>
              <w:left w:val="nil"/>
              <w:bottom w:val="single" w:sz="4" w:space="0" w:color="auto"/>
              <w:right w:val="single" w:sz="4" w:space="0" w:color="auto"/>
            </w:tcBorders>
            <w:noWrap/>
            <w:vAlign w:val="bottom"/>
            <w:hideMark/>
          </w:tcPr>
          <w:p w14:paraId="6889263F" w14:textId="2CE19C5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08D34D2" w14:textId="2A2E8C4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743058BE" w14:textId="325BF14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7DC965FC" w14:textId="25D2232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5.819,75</w:t>
            </w:r>
          </w:p>
        </w:tc>
        <w:tc>
          <w:tcPr>
            <w:tcW w:w="1418" w:type="dxa"/>
            <w:tcBorders>
              <w:top w:val="nil"/>
              <w:left w:val="nil"/>
              <w:bottom w:val="single" w:sz="4" w:space="0" w:color="auto"/>
              <w:right w:val="single" w:sz="4" w:space="0" w:color="auto"/>
            </w:tcBorders>
            <w:noWrap/>
            <w:vAlign w:val="bottom"/>
            <w:hideMark/>
          </w:tcPr>
          <w:p w14:paraId="325A6338" w14:textId="0BBBA11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15.725,01</w:t>
            </w:r>
          </w:p>
        </w:tc>
        <w:tc>
          <w:tcPr>
            <w:tcW w:w="1501" w:type="dxa"/>
            <w:tcBorders>
              <w:top w:val="nil"/>
              <w:left w:val="nil"/>
              <w:bottom w:val="single" w:sz="4" w:space="0" w:color="auto"/>
              <w:right w:val="single" w:sz="4" w:space="0" w:color="auto"/>
            </w:tcBorders>
            <w:noWrap/>
            <w:vAlign w:val="bottom"/>
            <w:hideMark/>
          </w:tcPr>
          <w:p w14:paraId="509D19C2" w14:textId="3ED6B45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473,99</w:t>
            </w:r>
          </w:p>
        </w:tc>
        <w:tc>
          <w:tcPr>
            <w:tcW w:w="1443" w:type="dxa"/>
            <w:tcBorders>
              <w:top w:val="nil"/>
              <w:left w:val="nil"/>
              <w:bottom w:val="single" w:sz="4" w:space="0" w:color="auto"/>
              <w:right w:val="single" w:sz="4" w:space="0" w:color="auto"/>
            </w:tcBorders>
            <w:noWrap/>
            <w:vAlign w:val="bottom"/>
            <w:hideMark/>
          </w:tcPr>
          <w:p w14:paraId="35F20D15" w14:textId="71D23F8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45AD15DE" w14:textId="77777777" w:rsidTr="005749C3">
        <w:trPr>
          <w:trHeight w:val="290"/>
        </w:trPr>
        <w:tc>
          <w:tcPr>
            <w:tcW w:w="4106" w:type="dxa"/>
            <w:tcBorders>
              <w:top w:val="nil"/>
              <w:left w:val="single" w:sz="4" w:space="0" w:color="auto"/>
              <w:bottom w:val="single" w:sz="4" w:space="0" w:color="auto"/>
              <w:right w:val="single" w:sz="4" w:space="0" w:color="auto"/>
            </w:tcBorders>
            <w:noWrap/>
            <w:vAlign w:val="bottom"/>
            <w:hideMark/>
          </w:tcPr>
          <w:p w14:paraId="0D6E534F"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Obveščanje javnosti</w:t>
            </w:r>
          </w:p>
        </w:tc>
        <w:tc>
          <w:tcPr>
            <w:tcW w:w="1450" w:type="dxa"/>
            <w:tcBorders>
              <w:top w:val="nil"/>
              <w:left w:val="nil"/>
              <w:bottom w:val="single" w:sz="4" w:space="0" w:color="auto"/>
              <w:right w:val="single" w:sz="4" w:space="0" w:color="auto"/>
            </w:tcBorders>
            <w:noWrap/>
            <w:vAlign w:val="bottom"/>
            <w:hideMark/>
          </w:tcPr>
          <w:p w14:paraId="04B30DC3" w14:textId="0C92F0D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423B14D" w14:textId="1684E88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855D168" w14:textId="1A50052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1F4F54FB" w14:textId="20411CC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2.049,18</w:t>
            </w:r>
          </w:p>
        </w:tc>
        <w:tc>
          <w:tcPr>
            <w:tcW w:w="1418" w:type="dxa"/>
            <w:tcBorders>
              <w:top w:val="nil"/>
              <w:left w:val="nil"/>
              <w:bottom w:val="single" w:sz="4" w:space="0" w:color="auto"/>
              <w:right w:val="single" w:sz="4" w:space="0" w:color="auto"/>
            </w:tcBorders>
            <w:noWrap/>
            <w:vAlign w:val="bottom"/>
            <w:hideMark/>
          </w:tcPr>
          <w:p w14:paraId="417BDEA0" w14:textId="69DBF44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409,84</w:t>
            </w:r>
          </w:p>
        </w:tc>
        <w:tc>
          <w:tcPr>
            <w:tcW w:w="1501" w:type="dxa"/>
            <w:tcBorders>
              <w:top w:val="nil"/>
              <w:left w:val="nil"/>
              <w:bottom w:val="single" w:sz="4" w:space="0" w:color="auto"/>
              <w:right w:val="single" w:sz="4" w:space="0" w:color="auto"/>
            </w:tcBorders>
            <w:noWrap/>
            <w:vAlign w:val="bottom"/>
            <w:hideMark/>
          </w:tcPr>
          <w:p w14:paraId="481877DE" w14:textId="61C044A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1.639,34</w:t>
            </w:r>
          </w:p>
        </w:tc>
        <w:tc>
          <w:tcPr>
            <w:tcW w:w="1443" w:type="dxa"/>
            <w:tcBorders>
              <w:top w:val="nil"/>
              <w:left w:val="nil"/>
              <w:bottom w:val="single" w:sz="4" w:space="0" w:color="auto"/>
              <w:right w:val="single" w:sz="4" w:space="0" w:color="auto"/>
            </w:tcBorders>
            <w:noWrap/>
            <w:vAlign w:val="bottom"/>
            <w:hideMark/>
          </w:tcPr>
          <w:p w14:paraId="6DBB4E05" w14:textId="28D5AA0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309EC82"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1C2CCFD3"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450" w:type="dxa"/>
            <w:tcBorders>
              <w:top w:val="nil"/>
              <w:left w:val="nil"/>
              <w:bottom w:val="single" w:sz="4" w:space="0" w:color="auto"/>
              <w:right w:val="single" w:sz="4" w:space="0" w:color="auto"/>
            </w:tcBorders>
            <w:noWrap/>
            <w:vAlign w:val="bottom"/>
            <w:hideMark/>
          </w:tcPr>
          <w:p w14:paraId="358F5B2F" w14:textId="154F187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7A9ED52" w14:textId="20E0734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9.150,00</w:t>
            </w:r>
          </w:p>
        </w:tc>
        <w:tc>
          <w:tcPr>
            <w:tcW w:w="1276" w:type="dxa"/>
            <w:tcBorders>
              <w:top w:val="nil"/>
              <w:left w:val="nil"/>
              <w:bottom w:val="single" w:sz="4" w:space="0" w:color="auto"/>
              <w:right w:val="single" w:sz="4" w:space="0" w:color="auto"/>
            </w:tcBorders>
            <w:noWrap/>
            <w:vAlign w:val="bottom"/>
            <w:hideMark/>
          </w:tcPr>
          <w:p w14:paraId="2D023510" w14:textId="4B4F99F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11.800,00</w:t>
            </w:r>
          </w:p>
        </w:tc>
        <w:tc>
          <w:tcPr>
            <w:tcW w:w="1217" w:type="dxa"/>
            <w:tcBorders>
              <w:top w:val="nil"/>
              <w:left w:val="nil"/>
              <w:bottom w:val="single" w:sz="4" w:space="0" w:color="auto"/>
              <w:right w:val="single" w:sz="4" w:space="0" w:color="auto"/>
            </w:tcBorders>
            <w:noWrap/>
            <w:vAlign w:val="bottom"/>
            <w:hideMark/>
          </w:tcPr>
          <w:p w14:paraId="48BA6B39" w14:textId="4BEFB66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32B03D54" w14:textId="1CC1061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2E2D8E44" w14:textId="6713469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24B79CDF" w14:textId="4C33553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126B7C4"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1EC2F45F"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Stroški varnosti pri delu</w:t>
            </w:r>
          </w:p>
        </w:tc>
        <w:tc>
          <w:tcPr>
            <w:tcW w:w="1450" w:type="dxa"/>
            <w:tcBorders>
              <w:top w:val="nil"/>
              <w:left w:val="nil"/>
              <w:bottom w:val="single" w:sz="4" w:space="0" w:color="auto"/>
              <w:right w:val="single" w:sz="4" w:space="0" w:color="auto"/>
            </w:tcBorders>
            <w:noWrap/>
            <w:vAlign w:val="bottom"/>
            <w:hideMark/>
          </w:tcPr>
          <w:p w14:paraId="15ED141A" w14:textId="7892B4F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328DB46" w14:textId="4FAA93F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170DE41" w14:textId="6621353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320B2494" w14:textId="729EAF7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2.242,29</w:t>
            </w:r>
          </w:p>
        </w:tc>
        <w:tc>
          <w:tcPr>
            <w:tcW w:w="1418" w:type="dxa"/>
            <w:tcBorders>
              <w:top w:val="nil"/>
              <w:left w:val="nil"/>
              <w:bottom w:val="single" w:sz="4" w:space="0" w:color="auto"/>
              <w:right w:val="single" w:sz="4" w:space="0" w:color="auto"/>
            </w:tcBorders>
            <w:noWrap/>
            <w:vAlign w:val="bottom"/>
            <w:hideMark/>
          </w:tcPr>
          <w:p w14:paraId="708707BF" w14:textId="18C59CC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1.244,02</w:t>
            </w:r>
          </w:p>
        </w:tc>
        <w:tc>
          <w:tcPr>
            <w:tcW w:w="1501" w:type="dxa"/>
            <w:tcBorders>
              <w:top w:val="nil"/>
              <w:left w:val="nil"/>
              <w:bottom w:val="single" w:sz="4" w:space="0" w:color="auto"/>
              <w:right w:val="single" w:sz="4" w:space="0" w:color="auto"/>
            </w:tcBorders>
            <w:noWrap/>
            <w:vAlign w:val="bottom"/>
            <w:hideMark/>
          </w:tcPr>
          <w:p w14:paraId="07411D41" w14:textId="0A6B022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2.132,07</w:t>
            </w:r>
          </w:p>
        </w:tc>
        <w:tc>
          <w:tcPr>
            <w:tcW w:w="1443" w:type="dxa"/>
            <w:tcBorders>
              <w:top w:val="nil"/>
              <w:left w:val="nil"/>
              <w:bottom w:val="single" w:sz="4" w:space="0" w:color="auto"/>
              <w:right w:val="single" w:sz="4" w:space="0" w:color="auto"/>
            </w:tcBorders>
            <w:noWrap/>
            <w:vAlign w:val="bottom"/>
            <w:hideMark/>
          </w:tcPr>
          <w:p w14:paraId="680C0B9F" w14:textId="61DCE35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8C0B1F2"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3564AE59"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Arheologija</w:t>
            </w:r>
          </w:p>
        </w:tc>
        <w:tc>
          <w:tcPr>
            <w:tcW w:w="1450" w:type="dxa"/>
            <w:tcBorders>
              <w:top w:val="nil"/>
              <w:left w:val="nil"/>
              <w:bottom w:val="single" w:sz="4" w:space="0" w:color="auto"/>
              <w:right w:val="single" w:sz="4" w:space="0" w:color="auto"/>
            </w:tcBorders>
            <w:noWrap/>
            <w:vAlign w:val="bottom"/>
            <w:hideMark/>
          </w:tcPr>
          <w:p w14:paraId="691F98D1" w14:textId="645213E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C36887A" w14:textId="3C5491C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31EA881" w14:textId="4BCC7C2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5A334430" w14:textId="5C736DB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1.968,98</w:t>
            </w:r>
          </w:p>
        </w:tc>
        <w:tc>
          <w:tcPr>
            <w:tcW w:w="1418" w:type="dxa"/>
            <w:tcBorders>
              <w:top w:val="nil"/>
              <w:left w:val="nil"/>
              <w:bottom w:val="single" w:sz="4" w:space="0" w:color="auto"/>
              <w:right w:val="single" w:sz="4" w:space="0" w:color="auto"/>
            </w:tcBorders>
            <w:noWrap/>
            <w:vAlign w:val="bottom"/>
            <w:hideMark/>
          </w:tcPr>
          <w:p w14:paraId="7BCBD1C8" w14:textId="2343F12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10.114,31</w:t>
            </w:r>
          </w:p>
        </w:tc>
        <w:tc>
          <w:tcPr>
            <w:tcW w:w="1501" w:type="dxa"/>
            <w:tcBorders>
              <w:top w:val="nil"/>
              <w:left w:val="nil"/>
              <w:bottom w:val="single" w:sz="4" w:space="0" w:color="auto"/>
              <w:right w:val="single" w:sz="4" w:space="0" w:color="auto"/>
            </w:tcBorders>
            <w:noWrap/>
            <w:vAlign w:val="bottom"/>
            <w:hideMark/>
          </w:tcPr>
          <w:p w14:paraId="553BD885" w14:textId="710777E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2.928,52</w:t>
            </w:r>
          </w:p>
        </w:tc>
        <w:tc>
          <w:tcPr>
            <w:tcW w:w="1443" w:type="dxa"/>
            <w:tcBorders>
              <w:top w:val="nil"/>
              <w:left w:val="nil"/>
              <w:bottom w:val="single" w:sz="4" w:space="0" w:color="auto"/>
              <w:right w:val="single" w:sz="4" w:space="0" w:color="auto"/>
            </w:tcBorders>
            <w:noWrap/>
            <w:vAlign w:val="bottom"/>
            <w:hideMark/>
          </w:tcPr>
          <w:p w14:paraId="73EE51B0" w14:textId="7DA7A62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7E392F30"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33773EB2"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450" w:type="dxa"/>
            <w:tcBorders>
              <w:top w:val="nil"/>
              <w:left w:val="nil"/>
              <w:bottom w:val="single" w:sz="4" w:space="0" w:color="auto"/>
              <w:right w:val="single" w:sz="4" w:space="0" w:color="auto"/>
            </w:tcBorders>
            <w:noWrap/>
            <w:vAlign w:val="bottom"/>
            <w:hideMark/>
          </w:tcPr>
          <w:p w14:paraId="09ABA3B4" w14:textId="1B212E2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8B3E226" w14:textId="65300F2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7F77BCC" w14:textId="4942C2F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7C5514D7" w14:textId="6768ED2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670D6873" w14:textId="3425CBD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86CF6CC" w14:textId="4CD15E3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57449C9E" w14:textId="6D98AC1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7B34DC43"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72D443D0"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Nakup nepremičnine</w:t>
            </w:r>
          </w:p>
        </w:tc>
        <w:tc>
          <w:tcPr>
            <w:tcW w:w="1450" w:type="dxa"/>
            <w:tcBorders>
              <w:top w:val="nil"/>
              <w:left w:val="nil"/>
              <w:bottom w:val="single" w:sz="4" w:space="0" w:color="auto"/>
              <w:right w:val="single" w:sz="4" w:space="0" w:color="auto"/>
            </w:tcBorders>
            <w:noWrap/>
            <w:vAlign w:val="bottom"/>
            <w:hideMark/>
          </w:tcPr>
          <w:p w14:paraId="6280F8EA" w14:textId="18E2E92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8DA2072" w14:textId="00B0501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31B7D6C" w14:textId="614B454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40A76111" w14:textId="0F619FF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704391EE" w14:textId="37D5346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6B423F9C" w14:textId="4521E6A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678F3017" w14:textId="0437132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06B75F5B" w14:textId="77777777" w:rsidTr="005749C3">
        <w:trPr>
          <w:trHeight w:val="290"/>
        </w:trPr>
        <w:tc>
          <w:tcPr>
            <w:tcW w:w="4106" w:type="dxa"/>
            <w:tcBorders>
              <w:top w:val="nil"/>
              <w:left w:val="single" w:sz="4" w:space="0" w:color="auto"/>
              <w:bottom w:val="single" w:sz="4" w:space="0" w:color="auto"/>
              <w:right w:val="single" w:sz="4" w:space="0" w:color="auto"/>
            </w:tcBorders>
            <w:noWrap/>
            <w:vAlign w:val="bottom"/>
            <w:hideMark/>
          </w:tcPr>
          <w:p w14:paraId="35F2E47C" w14:textId="77777777" w:rsidR="00F60CAE" w:rsidRPr="000020F0" w:rsidRDefault="00F60CAE" w:rsidP="00F60CAE">
            <w:pPr>
              <w:rPr>
                <w:rFonts w:ascii="Roboto" w:hAnsi="Roboto"/>
                <w:color w:val="000000"/>
                <w:sz w:val="20"/>
                <w:szCs w:val="20"/>
              </w:rPr>
            </w:pPr>
            <w:r w:rsidRPr="000020F0">
              <w:rPr>
                <w:rFonts w:ascii="Roboto" w:hAnsi="Roboto"/>
                <w:color w:val="000000"/>
                <w:sz w:val="20"/>
                <w:szCs w:val="20"/>
              </w:rPr>
              <w:t>Druga dela ob rušenju objekta (neobdavčeno)</w:t>
            </w:r>
          </w:p>
        </w:tc>
        <w:tc>
          <w:tcPr>
            <w:tcW w:w="1450" w:type="dxa"/>
            <w:tcBorders>
              <w:top w:val="nil"/>
              <w:left w:val="nil"/>
              <w:bottom w:val="single" w:sz="4" w:space="0" w:color="auto"/>
              <w:right w:val="single" w:sz="4" w:space="0" w:color="auto"/>
            </w:tcBorders>
            <w:noWrap/>
            <w:vAlign w:val="bottom"/>
            <w:hideMark/>
          </w:tcPr>
          <w:p w14:paraId="6A0DCF1A" w14:textId="6A21B9A6"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ECEF73B" w14:textId="57E7314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4EF63A8" w14:textId="19AD11D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7ECEF9F8" w14:textId="70E08AC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6558AC68" w14:textId="3C097F2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15DB01CD" w14:textId="12668A8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0DE0DE28" w14:textId="3D7CB8F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57385C42" w14:textId="77777777" w:rsidTr="005749C3">
        <w:trPr>
          <w:trHeight w:val="290"/>
        </w:trPr>
        <w:tc>
          <w:tcPr>
            <w:tcW w:w="4106" w:type="dxa"/>
            <w:tcBorders>
              <w:top w:val="nil"/>
              <w:left w:val="single" w:sz="4" w:space="0" w:color="auto"/>
              <w:bottom w:val="single" w:sz="4" w:space="0" w:color="auto"/>
              <w:right w:val="single" w:sz="4" w:space="0" w:color="auto"/>
            </w:tcBorders>
            <w:noWrap/>
            <w:vAlign w:val="bottom"/>
            <w:hideMark/>
          </w:tcPr>
          <w:p w14:paraId="43D1C9B9" w14:textId="77777777" w:rsidR="00F60CAE" w:rsidRPr="000020F0" w:rsidRDefault="00F60CAE" w:rsidP="00F60CAE">
            <w:pPr>
              <w:rPr>
                <w:rFonts w:ascii="Roboto" w:hAnsi="Roboto"/>
                <w:color w:val="000000"/>
                <w:sz w:val="20"/>
                <w:szCs w:val="20"/>
              </w:rPr>
            </w:pPr>
            <w:r w:rsidRPr="000020F0">
              <w:rPr>
                <w:rFonts w:ascii="Roboto" w:hAnsi="Roboto"/>
                <w:color w:val="000000"/>
                <w:sz w:val="20"/>
                <w:szCs w:val="20"/>
              </w:rPr>
              <w:t>Druga dela ob rušenju objekta (9,5% DDV)</w:t>
            </w:r>
          </w:p>
        </w:tc>
        <w:tc>
          <w:tcPr>
            <w:tcW w:w="1450" w:type="dxa"/>
            <w:tcBorders>
              <w:top w:val="nil"/>
              <w:left w:val="nil"/>
              <w:bottom w:val="single" w:sz="4" w:space="0" w:color="auto"/>
              <w:right w:val="single" w:sz="4" w:space="0" w:color="auto"/>
            </w:tcBorders>
            <w:noWrap/>
            <w:vAlign w:val="bottom"/>
            <w:hideMark/>
          </w:tcPr>
          <w:p w14:paraId="19603783" w14:textId="215ADA7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B3E687F" w14:textId="690C7F8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43B83B0" w14:textId="57166FB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3A37CF94" w14:textId="60035D6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A23360A" w14:textId="59D348A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3DCC5E0" w14:textId="76EB8DB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479FC43E" w14:textId="229F87F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DF29119" w14:textId="77777777" w:rsidTr="005749C3">
        <w:trPr>
          <w:trHeight w:val="290"/>
        </w:trPr>
        <w:tc>
          <w:tcPr>
            <w:tcW w:w="4106" w:type="dxa"/>
            <w:tcBorders>
              <w:top w:val="nil"/>
              <w:left w:val="single" w:sz="4" w:space="0" w:color="auto"/>
              <w:bottom w:val="single" w:sz="4" w:space="0" w:color="auto"/>
              <w:right w:val="single" w:sz="4" w:space="0" w:color="auto"/>
            </w:tcBorders>
            <w:noWrap/>
            <w:vAlign w:val="bottom"/>
            <w:hideMark/>
          </w:tcPr>
          <w:p w14:paraId="283832BC" w14:textId="77777777" w:rsidR="00F60CAE" w:rsidRPr="000020F0" w:rsidRDefault="00F60CAE" w:rsidP="00F60CAE">
            <w:pPr>
              <w:rPr>
                <w:rFonts w:ascii="Roboto" w:hAnsi="Roboto"/>
                <w:color w:val="000000"/>
                <w:sz w:val="20"/>
                <w:szCs w:val="20"/>
              </w:rPr>
            </w:pPr>
            <w:r w:rsidRPr="000020F0">
              <w:rPr>
                <w:rFonts w:ascii="Roboto" w:hAnsi="Roboto"/>
                <w:color w:val="000000"/>
                <w:sz w:val="20"/>
                <w:szCs w:val="20"/>
              </w:rPr>
              <w:t>Druga dela ob rušenju objekta</w:t>
            </w:r>
          </w:p>
        </w:tc>
        <w:tc>
          <w:tcPr>
            <w:tcW w:w="1450" w:type="dxa"/>
            <w:tcBorders>
              <w:top w:val="nil"/>
              <w:left w:val="nil"/>
              <w:bottom w:val="single" w:sz="4" w:space="0" w:color="auto"/>
              <w:right w:val="single" w:sz="4" w:space="0" w:color="auto"/>
            </w:tcBorders>
            <w:noWrap/>
            <w:vAlign w:val="bottom"/>
            <w:hideMark/>
          </w:tcPr>
          <w:p w14:paraId="6B76E7F5" w14:textId="174D0DA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BAD9CD0" w14:textId="0C17DD2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E65A650" w14:textId="08EF18D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7CAA213A" w14:textId="080B0F0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25C9A9EE" w14:textId="481FE773"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4488CCAD" w14:textId="730CA77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4F20F20C" w14:textId="37134F6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2A9B817D"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1DB544A6"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Vpis v kataster</w:t>
            </w:r>
          </w:p>
        </w:tc>
        <w:tc>
          <w:tcPr>
            <w:tcW w:w="1450" w:type="dxa"/>
            <w:tcBorders>
              <w:top w:val="nil"/>
              <w:left w:val="nil"/>
              <w:bottom w:val="single" w:sz="4" w:space="0" w:color="auto"/>
              <w:right w:val="single" w:sz="4" w:space="0" w:color="auto"/>
            </w:tcBorders>
            <w:noWrap/>
            <w:vAlign w:val="bottom"/>
            <w:hideMark/>
          </w:tcPr>
          <w:p w14:paraId="722EA707" w14:textId="597D518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2CAA5C4" w14:textId="7750925B"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3460B2C" w14:textId="0011145F"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21276EF4" w14:textId="057A86E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0D85A91" w14:textId="62FD0706"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07170A93" w14:textId="3E6C766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19FD6F17" w14:textId="2F0FF46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0E76ED24"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2AC3561D"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Geodetski načrt</w:t>
            </w:r>
          </w:p>
        </w:tc>
        <w:tc>
          <w:tcPr>
            <w:tcW w:w="1450" w:type="dxa"/>
            <w:tcBorders>
              <w:top w:val="nil"/>
              <w:left w:val="nil"/>
              <w:bottom w:val="single" w:sz="4" w:space="0" w:color="auto"/>
              <w:right w:val="single" w:sz="4" w:space="0" w:color="auto"/>
            </w:tcBorders>
            <w:noWrap/>
            <w:vAlign w:val="bottom"/>
            <w:hideMark/>
          </w:tcPr>
          <w:p w14:paraId="721A2F2D" w14:textId="62D145BD"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190D2B5" w14:textId="29416DA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BF06E00" w14:textId="745A2A49"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31B8E6C5" w14:textId="42BD8F9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1D79D535" w14:textId="31EB998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501" w:type="dxa"/>
            <w:tcBorders>
              <w:top w:val="nil"/>
              <w:left w:val="nil"/>
              <w:bottom w:val="single" w:sz="4" w:space="0" w:color="auto"/>
              <w:right w:val="single" w:sz="4" w:space="0" w:color="auto"/>
            </w:tcBorders>
            <w:noWrap/>
            <w:vAlign w:val="bottom"/>
            <w:hideMark/>
          </w:tcPr>
          <w:p w14:paraId="65F50A39" w14:textId="275D5D50"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049620DA" w14:textId="5E8CFF0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145FA7F3"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03743C6C"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Baza cestnih podatkov</w:t>
            </w:r>
          </w:p>
        </w:tc>
        <w:tc>
          <w:tcPr>
            <w:tcW w:w="1450" w:type="dxa"/>
            <w:tcBorders>
              <w:top w:val="nil"/>
              <w:left w:val="nil"/>
              <w:bottom w:val="single" w:sz="4" w:space="0" w:color="auto"/>
              <w:right w:val="single" w:sz="4" w:space="0" w:color="auto"/>
            </w:tcBorders>
            <w:noWrap/>
            <w:vAlign w:val="bottom"/>
            <w:hideMark/>
          </w:tcPr>
          <w:p w14:paraId="09794584" w14:textId="56A36FA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C6C90C7" w14:textId="78E2F367"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BFAE222" w14:textId="71514618"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217" w:type="dxa"/>
            <w:tcBorders>
              <w:top w:val="nil"/>
              <w:left w:val="nil"/>
              <w:bottom w:val="single" w:sz="4" w:space="0" w:color="auto"/>
              <w:right w:val="single" w:sz="4" w:space="0" w:color="auto"/>
            </w:tcBorders>
            <w:noWrap/>
            <w:vAlign w:val="bottom"/>
            <w:hideMark/>
          </w:tcPr>
          <w:p w14:paraId="22C202E7" w14:textId="165A2AB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18" w:type="dxa"/>
            <w:tcBorders>
              <w:top w:val="nil"/>
              <w:left w:val="nil"/>
              <w:bottom w:val="single" w:sz="4" w:space="0" w:color="auto"/>
              <w:right w:val="single" w:sz="4" w:space="0" w:color="auto"/>
            </w:tcBorders>
            <w:noWrap/>
            <w:vAlign w:val="bottom"/>
            <w:hideMark/>
          </w:tcPr>
          <w:p w14:paraId="07F61583" w14:textId="43843B3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819,67</w:t>
            </w:r>
          </w:p>
        </w:tc>
        <w:tc>
          <w:tcPr>
            <w:tcW w:w="1501" w:type="dxa"/>
            <w:tcBorders>
              <w:top w:val="nil"/>
              <w:left w:val="nil"/>
              <w:bottom w:val="single" w:sz="4" w:space="0" w:color="auto"/>
              <w:right w:val="single" w:sz="4" w:space="0" w:color="auto"/>
            </w:tcBorders>
            <w:noWrap/>
            <w:vAlign w:val="bottom"/>
            <w:hideMark/>
          </w:tcPr>
          <w:p w14:paraId="06A401E8" w14:textId="4A1725E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c>
          <w:tcPr>
            <w:tcW w:w="1443" w:type="dxa"/>
            <w:tcBorders>
              <w:top w:val="nil"/>
              <w:left w:val="nil"/>
              <w:bottom w:val="single" w:sz="4" w:space="0" w:color="auto"/>
              <w:right w:val="single" w:sz="4" w:space="0" w:color="auto"/>
            </w:tcBorders>
            <w:noWrap/>
            <w:vAlign w:val="bottom"/>
            <w:hideMark/>
          </w:tcPr>
          <w:p w14:paraId="5CE9E76A" w14:textId="34F3195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0,00</w:t>
            </w:r>
          </w:p>
        </w:tc>
      </w:tr>
      <w:tr w:rsidR="00F60CAE" w:rsidRPr="000020F0" w14:paraId="392B3164"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34BAD1F8" w14:textId="77777777" w:rsidR="00F60CAE" w:rsidRPr="000020F0" w:rsidRDefault="00F60CAE" w:rsidP="00F60CAE">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450" w:type="dxa"/>
            <w:tcBorders>
              <w:top w:val="nil"/>
              <w:left w:val="nil"/>
              <w:bottom w:val="single" w:sz="4" w:space="0" w:color="auto"/>
              <w:right w:val="single" w:sz="4" w:space="0" w:color="auto"/>
            </w:tcBorders>
            <w:shd w:val="clear" w:color="000000" w:fill="D9D9D9"/>
            <w:noWrap/>
            <w:vAlign w:val="bottom"/>
            <w:hideMark/>
          </w:tcPr>
          <w:p w14:paraId="2B8689F6" w14:textId="427554E9"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5.796,14</w:t>
            </w:r>
          </w:p>
        </w:tc>
        <w:tc>
          <w:tcPr>
            <w:tcW w:w="1275" w:type="dxa"/>
            <w:tcBorders>
              <w:top w:val="nil"/>
              <w:left w:val="nil"/>
              <w:bottom w:val="single" w:sz="4" w:space="0" w:color="auto"/>
              <w:right w:val="single" w:sz="4" w:space="0" w:color="auto"/>
            </w:tcBorders>
            <w:shd w:val="clear" w:color="000000" w:fill="D9D9D9"/>
            <w:noWrap/>
            <w:vAlign w:val="bottom"/>
            <w:hideMark/>
          </w:tcPr>
          <w:p w14:paraId="6367784F" w14:textId="0D07BF76"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63.587,83</w:t>
            </w:r>
          </w:p>
        </w:tc>
        <w:tc>
          <w:tcPr>
            <w:tcW w:w="1276" w:type="dxa"/>
            <w:tcBorders>
              <w:top w:val="nil"/>
              <w:left w:val="nil"/>
              <w:bottom w:val="single" w:sz="4" w:space="0" w:color="auto"/>
              <w:right w:val="single" w:sz="4" w:space="0" w:color="auto"/>
            </w:tcBorders>
            <w:shd w:val="clear" w:color="000000" w:fill="D9D9D9"/>
            <w:noWrap/>
            <w:vAlign w:val="bottom"/>
            <w:hideMark/>
          </w:tcPr>
          <w:p w14:paraId="137F55A7" w14:textId="6D937DF2"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29.005,20</w:t>
            </w:r>
          </w:p>
        </w:tc>
        <w:tc>
          <w:tcPr>
            <w:tcW w:w="1217" w:type="dxa"/>
            <w:tcBorders>
              <w:top w:val="nil"/>
              <w:left w:val="nil"/>
              <w:bottom w:val="single" w:sz="4" w:space="0" w:color="auto"/>
              <w:right w:val="single" w:sz="4" w:space="0" w:color="auto"/>
            </w:tcBorders>
            <w:shd w:val="clear" w:color="000000" w:fill="D9D9D9"/>
            <w:noWrap/>
            <w:vAlign w:val="bottom"/>
            <w:hideMark/>
          </w:tcPr>
          <w:p w14:paraId="1705B12D" w14:textId="7A05B693"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611.214,91</w:t>
            </w:r>
          </w:p>
        </w:tc>
        <w:tc>
          <w:tcPr>
            <w:tcW w:w="1418" w:type="dxa"/>
            <w:tcBorders>
              <w:top w:val="nil"/>
              <w:left w:val="nil"/>
              <w:bottom w:val="single" w:sz="4" w:space="0" w:color="auto"/>
              <w:right w:val="single" w:sz="4" w:space="0" w:color="auto"/>
            </w:tcBorders>
            <w:shd w:val="clear" w:color="000000" w:fill="D9D9D9"/>
            <w:noWrap/>
            <w:vAlign w:val="bottom"/>
            <w:hideMark/>
          </w:tcPr>
          <w:p w14:paraId="506AC617" w14:textId="794022F2"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1.212.574,08</w:t>
            </w:r>
          </w:p>
        </w:tc>
        <w:tc>
          <w:tcPr>
            <w:tcW w:w="1501" w:type="dxa"/>
            <w:tcBorders>
              <w:top w:val="nil"/>
              <w:left w:val="nil"/>
              <w:bottom w:val="single" w:sz="4" w:space="0" w:color="auto"/>
              <w:right w:val="single" w:sz="4" w:space="0" w:color="auto"/>
            </w:tcBorders>
            <w:shd w:val="clear" w:color="000000" w:fill="D9D9D9"/>
            <w:noWrap/>
            <w:vAlign w:val="bottom"/>
            <w:hideMark/>
          </w:tcPr>
          <w:p w14:paraId="2B3E49C8" w14:textId="3794CA6F"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56.672,93</w:t>
            </w:r>
          </w:p>
        </w:tc>
        <w:tc>
          <w:tcPr>
            <w:tcW w:w="1443" w:type="dxa"/>
            <w:tcBorders>
              <w:top w:val="nil"/>
              <w:left w:val="nil"/>
              <w:bottom w:val="single" w:sz="4" w:space="0" w:color="auto"/>
              <w:right w:val="single" w:sz="4" w:space="0" w:color="auto"/>
            </w:tcBorders>
            <w:shd w:val="clear" w:color="000000" w:fill="D9D9D9"/>
            <w:noWrap/>
            <w:vAlign w:val="bottom"/>
            <w:hideMark/>
          </w:tcPr>
          <w:p w14:paraId="0FA146F0" w14:textId="5B2696B8"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5.796,14</w:t>
            </w:r>
          </w:p>
        </w:tc>
      </w:tr>
      <w:tr w:rsidR="00F60CAE" w:rsidRPr="000020F0" w14:paraId="6ADA8296"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491298C0"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Davek na dodano vrednost</w:t>
            </w:r>
          </w:p>
        </w:tc>
        <w:tc>
          <w:tcPr>
            <w:tcW w:w="1450" w:type="dxa"/>
            <w:tcBorders>
              <w:top w:val="nil"/>
              <w:left w:val="nil"/>
              <w:bottom w:val="single" w:sz="4" w:space="0" w:color="auto"/>
              <w:right w:val="single" w:sz="4" w:space="0" w:color="auto"/>
            </w:tcBorders>
            <w:noWrap/>
            <w:vAlign w:val="bottom"/>
            <w:hideMark/>
          </w:tcPr>
          <w:p w14:paraId="2BC6E9D6" w14:textId="08FD593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1.275,15</w:t>
            </w:r>
          </w:p>
        </w:tc>
        <w:tc>
          <w:tcPr>
            <w:tcW w:w="1275" w:type="dxa"/>
            <w:tcBorders>
              <w:top w:val="nil"/>
              <w:left w:val="nil"/>
              <w:bottom w:val="single" w:sz="4" w:space="0" w:color="auto"/>
              <w:right w:val="single" w:sz="4" w:space="0" w:color="auto"/>
            </w:tcBorders>
            <w:noWrap/>
            <w:vAlign w:val="bottom"/>
            <w:hideMark/>
          </w:tcPr>
          <w:p w14:paraId="09057742" w14:textId="2A79E1A1"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13.989,32</w:t>
            </w:r>
          </w:p>
        </w:tc>
        <w:tc>
          <w:tcPr>
            <w:tcW w:w="1276" w:type="dxa"/>
            <w:tcBorders>
              <w:top w:val="nil"/>
              <w:left w:val="nil"/>
              <w:bottom w:val="single" w:sz="4" w:space="0" w:color="auto"/>
              <w:right w:val="single" w:sz="4" w:space="0" w:color="auto"/>
            </w:tcBorders>
            <w:noWrap/>
            <w:vAlign w:val="bottom"/>
            <w:hideMark/>
          </w:tcPr>
          <w:p w14:paraId="31BCE184" w14:textId="2702F3B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6.381,14</w:t>
            </w:r>
          </w:p>
        </w:tc>
        <w:tc>
          <w:tcPr>
            <w:tcW w:w="1217" w:type="dxa"/>
            <w:tcBorders>
              <w:top w:val="nil"/>
              <w:left w:val="nil"/>
              <w:bottom w:val="single" w:sz="4" w:space="0" w:color="auto"/>
              <w:right w:val="single" w:sz="4" w:space="0" w:color="auto"/>
            </w:tcBorders>
            <w:noWrap/>
            <w:vAlign w:val="bottom"/>
            <w:hideMark/>
          </w:tcPr>
          <w:p w14:paraId="362443D2" w14:textId="3593564A"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134.467,28</w:t>
            </w:r>
          </w:p>
        </w:tc>
        <w:tc>
          <w:tcPr>
            <w:tcW w:w="1418" w:type="dxa"/>
            <w:tcBorders>
              <w:top w:val="nil"/>
              <w:left w:val="nil"/>
              <w:bottom w:val="single" w:sz="4" w:space="0" w:color="auto"/>
              <w:right w:val="single" w:sz="4" w:space="0" w:color="auto"/>
            </w:tcBorders>
            <w:noWrap/>
            <w:vAlign w:val="bottom"/>
            <w:hideMark/>
          </w:tcPr>
          <w:p w14:paraId="284A91FA" w14:textId="7E1AE9BE"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266.766,30</w:t>
            </w:r>
          </w:p>
        </w:tc>
        <w:tc>
          <w:tcPr>
            <w:tcW w:w="1501" w:type="dxa"/>
            <w:tcBorders>
              <w:top w:val="nil"/>
              <w:left w:val="nil"/>
              <w:bottom w:val="single" w:sz="4" w:space="0" w:color="auto"/>
              <w:right w:val="single" w:sz="4" w:space="0" w:color="auto"/>
            </w:tcBorders>
            <w:noWrap/>
            <w:vAlign w:val="bottom"/>
            <w:hideMark/>
          </w:tcPr>
          <w:p w14:paraId="4FCEF09F" w14:textId="58E66CF4"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12.468,05</w:t>
            </w:r>
          </w:p>
        </w:tc>
        <w:tc>
          <w:tcPr>
            <w:tcW w:w="1443" w:type="dxa"/>
            <w:tcBorders>
              <w:top w:val="nil"/>
              <w:left w:val="nil"/>
              <w:bottom w:val="single" w:sz="4" w:space="0" w:color="auto"/>
              <w:right w:val="single" w:sz="4" w:space="0" w:color="auto"/>
            </w:tcBorders>
            <w:noWrap/>
            <w:vAlign w:val="bottom"/>
            <w:hideMark/>
          </w:tcPr>
          <w:p w14:paraId="50F1E492" w14:textId="7446667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1.275,15</w:t>
            </w:r>
          </w:p>
        </w:tc>
      </w:tr>
      <w:tr w:rsidR="00F60CAE" w:rsidRPr="000020F0" w14:paraId="5C7DBF05" w14:textId="77777777" w:rsidTr="005749C3">
        <w:trPr>
          <w:trHeight w:val="280"/>
        </w:trPr>
        <w:tc>
          <w:tcPr>
            <w:tcW w:w="4106" w:type="dxa"/>
            <w:tcBorders>
              <w:top w:val="nil"/>
              <w:left w:val="single" w:sz="4" w:space="0" w:color="auto"/>
              <w:bottom w:val="single" w:sz="4" w:space="0" w:color="auto"/>
              <w:right w:val="single" w:sz="4" w:space="0" w:color="auto"/>
            </w:tcBorders>
            <w:noWrap/>
            <w:vAlign w:val="bottom"/>
            <w:hideMark/>
          </w:tcPr>
          <w:p w14:paraId="5BD0B49E" w14:textId="7777777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450" w:type="dxa"/>
            <w:tcBorders>
              <w:top w:val="nil"/>
              <w:left w:val="nil"/>
              <w:bottom w:val="single" w:sz="4" w:space="0" w:color="auto"/>
              <w:right w:val="single" w:sz="4" w:space="0" w:color="auto"/>
            </w:tcBorders>
            <w:noWrap/>
            <w:vAlign w:val="bottom"/>
            <w:hideMark/>
          </w:tcPr>
          <w:p w14:paraId="5EA72C7B" w14:textId="53F38622"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 </w:t>
            </w:r>
          </w:p>
        </w:tc>
        <w:tc>
          <w:tcPr>
            <w:tcW w:w="1275" w:type="dxa"/>
            <w:tcBorders>
              <w:top w:val="nil"/>
              <w:left w:val="nil"/>
              <w:bottom w:val="single" w:sz="4" w:space="0" w:color="auto"/>
              <w:right w:val="single" w:sz="4" w:space="0" w:color="auto"/>
            </w:tcBorders>
            <w:noWrap/>
            <w:vAlign w:val="bottom"/>
            <w:hideMark/>
          </w:tcPr>
          <w:p w14:paraId="4E6256CE" w14:textId="4BFD0310"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w:t>
            </w:r>
          </w:p>
        </w:tc>
        <w:tc>
          <w:tcPr>
            <w:tcW w:w="1276" w:type="dxa"/>
            <w:tcBorders>
              <w:top w:val="nil"/>
              <w:left w:val="nil"/>
              <w:bottom w:val="single" w:sz="4" w:space="0" w:color="auto"/>
              <w:right w:val="single" w:sz="4" w:space="0" w:color="auto"/>
            </w:tcBorders>
            <w:noWrap/>
            <w:vAlign w:val="bottom"/>
            <w:hideMark/>
          </w:tcPr>
          <w:p w14:paraId="2DA8FACC" w14:textId="6563B0C7"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w:t>
            </w:r>
          </w:p>
        </w:tc>
        <w:tc>
          <w:tcPr>
            <w:tcW w:w="1217" w:type="dxa"/>
            <w:tcBorders>
              <w:top w:val="nil"/>
              <w:left w:val="nil"/>
              <w:bottom w:val="single" w:sz="4" w:space="0" w:color="auto"/>
              <w:right w:val="single" w:sz="4" w:space="0" w:color="auto"/>
            </w:tcBorders>
            <w:noWrap/>
            <w:vAlign w:val="bottom"/>
            <w:hideMark/>
          </w:tcPr>
          <w:p w14:paraId="46AA3568" w14:textId="556EDD94"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hideMark/>
          </w:tcPr>
          <w:p w14:paraId="0ACFB3B2" w14:textId="7E0D0E95"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 </w:t>
            </w:r>
          </w:p>
        </w:tc>
        <w:tc>
          <w:tcPr>
            <w:tcW w:w="1501" w:type="dxa"/>
            <w:tcBorders>
              <w:top w:val="nil"/>
              <w:left w:val="nil"/>
              <w:bottom w:val="single" w:sz="4" w:space="0" w:color="auto"/>
              <w:right w:val="single" w:sz="4" w:space="0" w:color="auto"/>
            </w:tcBorders>
            <w:noWrap/>
            <w:vAlign w:val="bottom"/>
            <w:hideMark/>
          </w:tcPr>
          <w:p w14:paraId="5D2D7021" w14:textId="449DDDCC" w:rsidR="00F60CAE" w:rsidRPr="000020F0" w:rsidRDefault="00F60CAE" w:rsidP="00F60CAE">
            <w:pPr>
              <w:jc w:val="right"/>
              <w:rPr>
                <w:rFonts w:ascii="Arial" w:hAnsi="Arial" w:cs="Arial"/>
                <w:color w:val="000000"/>
                <w:sz w:val="20"/>
                <w:szCs w:val="20"/>
              </w:rPr>
            </w:pPr>
            <w:r w:rsidRPr="000020F0">
              <w:rPr>
                <w:rFonts w:ascii="Arial" w:hAnsi="Arial" w:cs="Arial"/>
                <w:color w:val="000000"/>
                <w:sz w:val="20"/>
                <w:szCs w:val="20"/>
              </w:rPr>
              <w:t> </w:t>
            </w:r>
          </w:p>
        </w:tc>
        <w:tc>
          <w:tcPr>
            <w:tcW w:w="1443" w:type="dxa"/>
            <w:tcBorders>
              <w:top w:val="nil"/>
              <w:left w:val="nil"/>
              <w:bottom w:val="single" w:sz="4" w:space="0" w:color="auto"/>
              <w:right w:val="single" w:sz="4" w:space="0" w:color="auto"/>
            </w:tcBorders>
            <w:noWrap/>
            <w:vAlign w:val="bottom"/>
            <w:hideMark/>
          </w:tcPr>
          <w:p w14:paraId="3333923B" w14:textId="496B45AA" w:rsidR="00F60CAE" w:rsidRPr="000020F0" w:rsidRDefault="00F60CAE" w:rsidP="00F60CAE">
            <w:pPr>
              <w:rPr>
                <w:rFonts w:ascii="Arial" w:hAnsi="Arial" w:cs="Arial"/>
                <w:color w:val="000000"/>
                <w:sz w:val="20"/>
                <w:szCs w:val="20"/>
              </w:rPr>
            </w:pPr>
            <w:r w:rsidRPr="000020F0">
              <w:rPr>
                <w:rFonts w:ascii="Arial" w:hAnsi="Arial" w:cs="Arial"/>
                <w:color w:val="000000"/>
                <w:sz w:val="20"/>
                <w:szCs w:val="20"/>
              </w:rPr>
              <w:t> </w:t>
            </w:r>
          </w:p>
        </w:tc>
      </w:tr>
      <w:tr w:rsidR="00F60CAE" w:rsidRPr="000020F0" w14:paraId="651CC2A2" w14:textId="77777777" w:rsidTr="005749C3">
        <w:trPr>
          <w:trHeight w:val="28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5F15F7A2" w14:textId="77777777" w:rsidR="00F60CAE" w:rsidRPr="000020F0" w:rsidRDefault="00F60CAE" w:rsidP="00F60CAE">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450" w:type="dxa"/>
            <w:tcBorders>
              <w:top w:val="nil"/>
              <w:left w:val="nil"/>
              <w:bottom w:val="single" w:sz="4" w:space="0" w:color="auto"/>
              <w:right w:val="single" w:sz="4" w:space="0" w:color="auto"/>
            </w:tcBorders>
            <w:shd w:val="clear" w:color="000000" w:fill="D9D9D9"/>
            <w:noWrap/>
            <w:vAlign w:val="bottom"/>
            <w:hideMark/>
          </w:tcPr>
          <w:p w14:paraId="268A3E1C" w14:textId="3D5324A9"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1275" w:type="dxa"/>
            <w:tcBorders>
              <w:top w:val="nil"/>
              <w:left w:val="nil"/>
              <w:bottom w:val="single" w:sz="4" w:space="0" w:color="auto"/>
              <w:right w:val="single" w:sz="4" w:space="0" w:color="auto"/>
            </w:tcBorders>
            <w:shd w:val="clear" w:color="000000" w:fill="D9D9D9"/>
            <w:noWrap/>
            <w:vAlign w:val="bottom"/>
            <w:hideMark/>
          </w:tcPr>
          <w:p w14:paraId="207D6D4C" w14:textId="085A9701"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1276" w:type="dxa"/>
            <w:tcBorders>
              <w:top w:val="nil"/>
              <w:left w:val="nil"/>
              <w:bottom w:val="single" w:sz="4" w:space="0" w:color="auto"/>
              <w:right w:val="single" w:sz="4" w:space="0" w:color="auto"/>
            </w:tcBorders>
            <w:shd w:val="clear" w:color="000000" w:fill="D9D9D9"/>
            <w:noWrap/>
            <w:vAlign w:val="bottom"/>
            <w:hideMark/>
          </w:tcPr>
          <w:p w14:paraId="06D6CE23" w14:textId="718F636E"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1217" w:type="dxa"/>
            <w:tcBorders>
              <w:top w:val="nil"/>
              <w:left w:val="nil"/>
              <w:bottom w:val="single" w:sz="4" w:space="0" w:color="auto"/>
              <w:right w:val="single" w:sz="4" w:space="0" w:color="auto"/>
            </w:tcBorders>
            <w:shd w:val="clear" w:color="000000" w:fill="D9D9D9"/>
            <w:noWrap/>
            <w:vAlign w:val="bottom"/>
            <w:hideMark/>
          </w:tcPr>
          <w:p w14:paraId="79AEB9CD" w14:textId="3461CC19"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745.682,19</w:t>
            </w:r>
          </w:p>
        </w:tc>
        <w:tc>
          <w:tcPr>
            <w:tcW w:w="1418" w:type="dxa"/>
            <w:tcBorders>
              <w:top w:val="nil"/>
              <w:left w:val="nil"/>
              <w:bottom w:val="single" w:sz="4" w:space="0" w:color="auto"/>
              <w:right w:val="single" w:sz="4" w:space="0" w:color="auto"/>
            </w:tcBorders>
            <w:shd w:val="clear" w:color="000000" w:fill="D9D9D9"/>
            <w:noWrap/>
            <w:vAlign w:val="bottom"/>
            <w:hideMark/>
          </w:tcPr>
          <w:p w14:paraId="3F1AEA4E" w14:textId="6C219673"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1.479.340,38</w:t>
            </w:r>
          </w:p>
        </w:tc>
        <w:tc>
          <w:tcPr>
            <w:tcW w:w="1501" w:type="dxa"/>
            <w:tcBorders>
              <w:top w:val="nil"/>
              <w:left w:val="nil"/>
              <w:bottom w:val="single" w:sz="4" w:space="0" w:color="auto"/>
              <w:right w:val="single" w:sz="4" w:space="0" w:color="auto"/>
            </w:tcBorders>
            <w:shd w:val="clear" w:color="000000" w:fill="D9D9D9"/>
            <w:noWrap/>
            <w:vAlign w:val="bottom"/>
            <w:hideMark/>
          </w:tcPr>
          <w:p w14:paraId="069B7D7E" w14:textId="0E9F3D6A"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69.140,98</w:t>
            </w:r>
          </w:p>
        </w:tc>
        <w:tc>
          <w:tcPr>
            <w:tcW w:w="1443" w:type="dxa"/>
            <w:tcBorders>
              <w:top w:val="nil"/>
              <w:left w:val="nil"/>
              <w:bottom w:val="single" w:sz="4" w:space="0" w:color="auto"/>
              <w:right w:val="single" w:sz="4" w:space="0" w:color="auto"/>
            </w:tcBorders>
            <w:shd w:val="clear" w:color="000000" w:fill="D9D9D9"/>
            <w:noWrap/>
            <w:vAlign w:val="bottom"/>
            <w:hideMark/>
          </w:tcPr>
          <w:p w14:paraId="162A055F" w14:textId="7AE52F3E" w:rsidR="00F60CAE" w:rsidRPr="000020F0" w:rsidRDefault="00F60CAE" w:rsidP="00F60CAE">
            <w:pPr>
              <w:jc w:val="right"/>
              <w:rPr>
                <w:rFonts w:ascii="Arial" w:hAnsi="Arial" w:cs="Arial"/>
                <w:b/>
                <w:bCs/>
                <w:color w:val="000000"/>
                <w:sz w:val="20"/>
                <w:szCs w:val="20"/>
              </w:rPr>
            </w:pPr>
            <w:r w:rsidRPr="000020F0">
              <w:rPr>
                <w:rFonts w:ascii="Arial" w:hAnsi="Arial" w:cs="Arial"/>
                <w:b/>
                <w:bCs/>
                <w:color w:val="000000"/>
                <w:sz w:val="20"/>
                <w:szCs w:val="20"/>
              </w:rPr>
              <w:t>7.071,29</w:t>
            </w:r>
          </w:p>
        </w:tc>
      </w:tr>
    </w:tbl>
    <w:p w14:paraId="37D3A14E" w14:textId="46D9491D" w:rsidR="007D4BA5" w:rsidRPr="000020F0" w:rsidRDefault="007D4BA5" w:rsidP="007D4BA5">
      <w:pPr>
        <w:spacing w:after="120" w:line="276" w:lineRule="auto"/>
        <w:jc w:val="both"/>
        <w:rPr>
          <w:rFonts w:asciiTheme="majorHAnsi" w:hAnsiTheme="majorHAnsi" w:cstheme="majorHAnsi"/>
          <w:sz w:val="22"/>
          <w:szCs w:val="22"/>
        </w:rPr>
      </w:pPr>
      <w:bookmarkStart w:id="358" w:name="_Toc230882301"/>
      <w:r w:rsidRPr="000020F0">
        <w:rPr>
          <w:rFonts w:asciiTheme="majorHAnsi" w:hAnsiTheme="majorHAnsi" w:cstheme="majorHAnsi"/>
          <w:b/>
          <w:sz w:val="22"/>
          <w:szCs w:val="22"/>
        </w:rPr>
        <w:lastRenderedPageBreak/>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21</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Finančni terminski plan neupravičenih stroškov v stalnih cenah v EUR</w:t>
      </w:r>
      <w:bookmarkEnd w:id="358"/>
    </w:p>
    <w:tbl>
      <w:tblPr>
        <w:tblW w:w="14406" w:type="dxa"/>
        <w:tblLook w:val="04A0" w:firstRow="1" w:lastRow="0" w:firstColumn="1" w:lastColumn="0" w:noHBand="0" w:noVBand="1"/>
      </w:tblPr>
      <w:tblGrid>
        <w:gridCol w:w="4096"/>
        <w:gridCol w:w="1853"/>
        <w:gridCol w:w="1217"/>
        <w:gridCol w:w="1536"/>
        <w:gridCol w:w="1317"/>
        <w:gridCol w:w="1357"/>
        <w:gridCol w:w="1656"/>
        <w:gridCol w:w="1377"/>
      </w:tblGrid>
      <w:tr w:rsidR="00FC3BB7" w:rsidRPr="000020F0" w14:paraId="3B928BA4" w14:textId="77777777" w:rsidTr="00FC3BB7">
        <w:trPr>
          <w:trHeight w:val="300"/>
          <w:tblHeader/>
        </w:trPr>
        <w:tc>
          <w:tcPr>
            <w:tcW w:w="409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4B90DE4C" w14:textId="77777777" w:rsidR="00FC3BB7" w:rsidRPr="000020F0" w:rsidRDefault="00FC3BB7">
            <w:pP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Postavka</w:t>
            </w:r>
          </w:p>
        </w:tc>
        <w:tc>
          <w:tcPr>
            <w:tcW w:w="1853" w:type="dxa"/>
            <w:tcBorders>
              <w:top w:val="single" w:sz="4" w:space="0" w:color="auto"/>
              <w:left w:val="nil"/>
              <w:bottom w:val="single" w:sz="4" w:space="0" w:color="auto"/>
              <w:right w:val="single" w:sz="4" w:space="0" w:color="auto"/>
            </w:tcBorders>
            <w:shd w:val="clear" w:color="000000" w:fill="153D64"/>
            <w:noWrap/>
            <w:vAlign w:val="bottom"/>
            <w:hideMark/>
          </w:tcPr>
          <w:p w14:paraId="0FACDE5B" w14:textId="77777777" w:rsidR="00FC3BB7" w:rsidRPr="000020F0" w:rsidRDefault="00FC3BB7">
            <w:pP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NEUPRAVIČENI STROŠKI</w:t>
            </w:r>
          </w:p>
        </w:tc>
        <w:tc>
          <w:tcPr>
            <w:tcW w:w="1214"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5DB0D3E"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2024</w:t>
            </w:r>
          </w:p>
        </w:tc>
        <w:tc>
          <w:tcPr>
            <w:tcW w:w="1536" w:type="dxa"/>
            <w:tcBorders>
              <w:top w:val="single" w:sz="4" w:space="0" w:color="auto"/>
              <w:left w:val="nil"/>
              <w:bottom w:val="single" w:sz="4" w:space="0" w:color="auto"/>
              <w:right w:val="single" w:sz="4" w:space="0" w:color="auto"/>
            </w:tcBorders>
            <w:shd w:val="clear" w:color="000000" w:fill="153D64"/>
            <w:noWrap/>
            <w:vAlign w:val="bottom"/>
            <w:hideMark/>
          </w:tcPr>
          <w:p w14:paraId="6F97E899"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2025</w:t>
            </w:r>
          </w:p>
        </w:tc>
        <w:tc>
          <w:tcPr>
            <w:tcW w:w="1317" w:type="dxa"/>
            <w:tcBorders>
              <w:top w:val="single" w:sz="4" w:space="0" w:color="auto"/>
              <w:left w:val="nil"/>
              <w:bottom w:val="single" w:sz="4" w:space="0" w:color="auto"/>
              <w:right w:val="single" w:sz="4" w:space="0" w:color="auto"/>
            </w:tcBorders>
            <w:shd w:val="clear" w:color="000000" w:fill="153D64"/>
            <w:noWrap/>
            <w:vAlign w:val="bottom"/>
            <w:hideMark/>
          </w:tcPr>
          <w:p w14:paraId="31C33722"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2026</w:t>
            </w:r>
          </w:p>
        </w:tc>
        <w:tc>
          <w:tcPr>
            <w:tcW w:w="1357" w:type="dxa"/>
            <w:tcBorders>
              <w:top w:val="single" w:sz="4" w:space="0" w:color="auto"/>
              <w:left w:val="nil"/>
              <w:bottom w:val="single" w:sz="4" w:space="0" w:color="auto"/>
              <w:right w:val="single" w:sz="4" w:space="0" w:color="auto"/>
            </w:tcBorders>
            <w:shd w:val="clear" w:color="000000" w:fill="153D64"/>
            <w:noWrap/>
            <w:vAlign w:val="bottom"/>
            <w:hideMark/>
          </w:tcPr>
          <w:p w14:paraId="2926EF71"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2027</w:t>
            </w:r>
          </w:p>
        </w:tc>
        <w:tc>
          <w:tcPr>
            <w:tcW w:w="1656" w:type="dxa"/>
            <w:tcBorders>
              <w:top w:val="single" w:sz="4" w:space="0" w:color="auto"/>
              <w:left w:val="nil"/>
              <w:bottom w:val="single" w:sz="4" w:space="0" w:color="auto"/>
              <w:right w:val="single" w:sz="4" w:space="0" w:color="auto"/>
            </w:tcBorders>
            <w:shd w:val="clear" w:color="000000" w:fill="153D64"/>
            <w:noWrap/>
            <w:vAlign w:val="bottom"/>
            <w:hideMark/>
          </w:tcPr>
          <w:p w14:paraId="55BC7E98"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2028</w:t>
            </w:r>
          </w:p>
        </w:tc>
        <w:tc>
          <w:tcPr>
            <w:tcW w:w="1377" w:type="dxa"/>
            <w:tcBorders>
              <w:top w:val="single" w:sz="4" w:space="0" w:color="auto"/>
              <w:left w:val="nil"/>
              <w:bottom w:val="single" w:sz="4" w:space="0" w:color="auto"/>
              <w:right w:val="single" w:sz="4" w:space="0" w:color="auto"/>
            </w:tcBorders>
            <w:shd w:val="clear" w:color="000000" w:fill="153D64"/>
            <w:noWrap/>
            <w:vAlign w:val="bottom"/>
            <w:hideMark/>
          </w:tcPr>
          <w:p w14:paraId="3B515E11" w14:textId="77777777" w:rsidR="00FC3BB7" w:rsidRPr="000020F0" w:rsidRDefault="00FC3BB7">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2029</w:t>
            </w:r>
          </w:p>
        </w:tc>
      </w:tr>
      <w:tr w:rsidR="00FC3BB7" w:rsidRPr="000020F0" w14:paraId="6F097497"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003E7C7"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Govekarjeva cesta</w:t>
            </w:r>
          </w:p>
        </w:tc>
        <w:tc>
          <w:tcPr>
            <w:tcW w:w="1853" w:type="dxa"/>
            <w:tcBorders>
              <w:top w:val="nil"/>
              <w:left w:val="nil"/>
              <w:bottom w:val="single" w:sz="4" w:space="0" w:color="auto"/>
              <w:right w:val="single" w:sz="4" w:space="0" w:color="auto"/>
            </w:tcBorders>
            <w:shd w:val="clear" w:color="000000" w:fill="FFFFFF"/>
            <w:noWrap/>
            <w:vAlign w:val="bottom"/>
            <w:hideMark/>
          </w:tcPr>
          <w:p w14:paraId="30DF5E9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31.867,00</w:t>
            </w:r>
          </w:p>
        </w:tc>
        <w:tc>
          <w:tcPr>
            <w:tcW w:w="1214" w:type="dxa"/>
            <w:tcBorders>
              <w:top w:val="nil"/>
              <w:left w:val="single" w:sz="4" w:space="0" w:color="auto"/>
              <w:bottom w:val="single" w:sz="4" w:space="0" w:color="auto"/>
              <w:right w:val="single" w:sz="4" w:space="0" w:color="auto"/>
            </w:tcBorders>
            <w:noWrap/>
            <w:vAlign w:val="bottom"/>
            <w:hideMark/>
          </w:tcPr>
          <w:p w14:paraId="043B86A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7AAA12F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9A58E5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F5184B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55DC27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31.867,00</w:t>
            </w:r>
          </w:p>
        </w:tc>
        <w:tc>
          <w:tcPr>
            <w:tcW w:w="1377" w:type="dxa"/>
            <w:tcBorders>
              <w:top w:val="nil"/>
              <w:left w:val="nil"/>
              <w:bottom w:val="single" w:sz="4" w:space="0" w:color="auto"/>
              <w:right w:val="single" w:sz="4" w:space="0" w:color="auto"/>
            </w:tcBorders>
            <w:noWrap/>
            <w:vAlign w:val="bottom"/>
            <w:hideMark/>
          </w:tcPr>
          <w:p w14:paraId="38FA227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42534D9A"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8CAAFA1"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Troštova ulica</w:t>
            </w:r>
          </w:p>
        </w:tc>
        <w:tc>
          <w:tcPr>
            <w:tcW w:w="1853" w:type="dxa"/>
            <w:tcBorders>
              <w:top w:val="nil"/>
              <w:left w:val="nil"/>
              <w:bottom w:val="single" w:sz="4" w:space="0" w:color="auto"/>
              <w:right w:val="single" w:sz="4" w:space="0" w:color="auto"/>
            </w:tcBorders>
            <w:shd w:val="clear" w:color="000000" w:fill="FFFFFF"/>
            <w:noWrap/>
            <w:vAlign w:val="bottom"/>
            <w:hideMark/>
          </w:tcPr>
          <w:p w14:paraId="72C0872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5F0EEBC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A789CC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023ED9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D5F800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3BF0D7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37388C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60957236"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10D4EAD5"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Križišče Govekarjeva-Troštova</w:t>
            </w:r>
          </w:p>
        </w:tc>
        <w:tc>
          <w:tcPr>
            <w:tcW w:w="1853" w:type="dxa"/>
            <w:tcBorders>
              <w:top w:val="nil"/>
              <w:left w:val="nil"/>
              <w:bottom w:val="single" w:sz="4" w:space="0" w:color="auto"/>
              <w:right w:val="single" w:sz="4" w:space="0" w:color="auto"/>
            </w:tcBorders>
            <w:shd w:val="clear" w:color="000000" w:fill="FFFFFF"/>
            <w:noWrap/>
            <w:vAlign w:val="bottom"/>
            <w:hideMark/>
          </w:tcPr>
          <w:p w14:paraId="5341B7B5"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1B317BC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466B07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28D05B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721560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4EE6A3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96DB3B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01B00FA3"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604B7AED"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avtobusno postajališče (javni sistem izposoje)</w:t>
            </w:r>
          </w:p>
        </w:tc>
        <w:tc>
          <w:tcPr>
            <w:tcW w:w="1853" w:type="dxa"/>
            <w:tcBorders>
              <w:top w:val="nil"/>
              <w:left w:val="nil"/>
              <w:bottom w:val="single" w:sz="4" w:space="0" w:color="auto"/>
              <w:right w:val="single" w:sz="4" w:space="0" w:color="auto"/>
            </w:tcBorders>
            <w:shd w:val="clear" w:color="000000" w:fill="FFFFFF"/>
            <w:noWrap/>
            <w:vAlign w:val="bottom"/>
            <w:hideMark/>
          </w:tcPr>
          <w:p w14:paraId="4AB7B2D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045576D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DBC020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0A7633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095510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B52478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1E8F7CB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734109EC"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A54988F"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pokopališče (javni sistem izposoje)</w:t>
            </w:r>
          </w:p>
        </w:tc>
        <w:tc>
          <w:tcPr>
            <w:tcW w:w="1853" w:type="dxa"/>
            <w:tcBorders>
              <w:top w:val="nil"/>
              <w:left w:val="nil"/>
              <w:bottom w:val="single" w:sz="4" w:space="0" w:color="auto"/>
              <w:right w:val="single" w:sz="4" w:space="0" w:color="auto"/>
            </w:tcBorders>
            <w:shd w:val="clear" w:color="000000" w:fill="FFFFFF"/>
            <w:noWrap/>
            <w:vAlign w:val="bottom"/>
            <w:hideMark/>
          </w:tcPr>
          <w:p w14:paraId="7A6D969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593629B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DEC3B9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AB7A47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22E40E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37DA50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631E59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2245E879"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2126948D"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Govekarjeva cesta</w:t>
            </w:r>
          </w:p>
        </w:tc>
        <w:tc>
          <w:tcPr>
            <w:tcW w:w="1853" w:type="dxa"/>
            <w:tcBorders>
              <w:top w:val="nil"/>
              <w:left w:val="nil"/>
              <w:bottom w:val="single" w:sz="4" w:space="0" w:color="auto"/>
              <w:right w:val="single" w:sz="4" w:space="0" w:color="auto"/>
            </w:tcBorders>
            <w:shd w:val="clear" w:color="000000" w:fill="FFFFFF"/>
            <w:noWrap/>
            <w:vAlign w:val="bottom"/>
            <w:hideMark/>
          </w:tcPr>
          <w:p w14:paraId="601DBBC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6FB9202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C142D4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D18AE1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6DA9665"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1AC880D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1902FA3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1B7E4A04"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6EF43149"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staro župnišče</w:t>
            </w:r>
          </w:p>
        </w:tc>
        <w:tc>
          <w:tcPr>
            <w:tcW w:w="1853" w:type="dxa"/>
            <w:tcBorders>
              <w:top w:val="nil"/>
              <w:left w:val="nil"/>
              <w:bottom w:val="single" w:sz="4" w:space="0" w:color="auto"/>
              <w:right w:val="single" w:sz="4" w:space="0" w:color="auto"/>
            </w:tcBorders>
            <w:shd w:val="clear" w:color="000000" w:fill="FFFFFF"/>
            <w:noWrap/>
            <w:vAlign w:val="bottom"/>
            <w:hideMark/>
          </w:tcPr>
          <w:p w14:paraId="2913BAB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74EF392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86F6C6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59D5A2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0980AE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3E7AC2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9C4BC7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6777F045"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6EA44CF"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trg (kolesarnica)</w:t>
            </w:r>
          </w:p>
        </w:tc>
        <w:tc>
          <w:tcPr>
            <w:tcW w:w="1853" w:type="dxa"/>
            <w:tcBorders>
              <w:top w:val="nil"/>
              <w:left w:val="nil"/>
              <w:bottom w:val="single" w:sz="4" w:space="0" w:color="auto"/>
              <w:right w:val="single" w:sz="4" w:space="0" w:color="auto"/>
            </w:tcBorders>
            <w:shd w:val="clear" w:color="000000" w:fill="FFFFFF"/>
            <w:noWrap/>
            <w:vAlign w:val="bottom"/>
            <w:hideMark/>
          </w:tcPr>
          <w:p w14:paraId="745E8C5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6A3BE3D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69F918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29EE8A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254EE9E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F707AC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923A4D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3936C98E"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7F49865E"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telovadnica</w:t>
            </w:r>
          </w:p>
        </w:tc>
        <w:tc>
          <w:tcPr>
            <w:tcW w:w="1853" w:type="dxa"/>
            <w:tcBorders>
              <w:top w:val="nil"/>
              <w:left w:val="nil"/>
              <w:bottom w:val="single" w:sz="4" w:space="0" w:color="auto"/>
              <w:right w:val="single" w:sz="4" w:space="0" w:color="auto"/>
            </w:tcBorders>
            <w:shd w:val="clear" w:color="000000" w:fill="FFFFFF"/>
            <w:noWrap/>
            <w:vAlign w:val="bottom"/>
            <w:hideMark/>
          </w:tcPr>
          <w:p w14:paraId="42B4B54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299BBC8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69BC54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0EB3C6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B78596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30AFAD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3746FBC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23841509"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5DF1D83"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park</w:t>
            </w:r>
          </w:p>
        </w:tc>
        <w:tc>
          <w:tcPr>
            <w:tcW w:w="1853" w:type="dxa"/>
            <w:tcBorders>
              <w:top w:val="nil"/>
              <w:left w:val="nil"/>
              <w:bottom w:val="single" w:sz="4" w:space="0" w:color="auto"/>
              <w:right w:val="single" w:sz="4" w:space="0" w:color="auto"/>
            </w:tcBorders>
            <w:shd w:val="clear" w:color="000000" w:fill="FFFFFF"/>
            <w:noWrap/>
            <w:vAlign w:val="bottom"/>
            <w:hideMark/>
          </w:tcPr>
          <w:p w14:paraId="5B7BE4A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3AFFF87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8EBDB9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B546BC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0B77A0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29D2068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950957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2F81B752" w14:textId="77777777" w:rsidTr="00FC3BB7">
        <w:trPr>
          <w:trHeight w:val="300"/>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1D27C354"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Avtobusno postajališče - nivo ceste</w:t>
            </w:r>
          </w:p>
        </w:tc>
        <w:tc>
          <w:tcPr>
            <w:tcW w:w="1853" w:type="dxa"/>
            <w:tcBorders>
              <w:top w:val="nil"/>
              <w:left w:val="nil"/>
              <w:bottom w:val="single" w:sz="4" w:space="0" w:color="auto"/>
              <w:right w:val="single" w:sz="4" w:space="0" w:color="auto"/>
            </w:tcBorders>
            <w:shd w:val="clear" w:color="000000" w:fill="FFFFFF"/>
            <w:noWrap/>
            <w:vAlign w:val="bottom"/>
            <w:hideMark/>
          </w:tcPr>
          <w:p w14:paraId="197D24D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70FA1B5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45F812B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8F34AE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88D57E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1715C6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64F1E8E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5F742928"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1E629BDC"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Sanitarije</w:t>
            </w:r>
          </w:p>
        </w:tc>
        <w:tc>
          <w:tcPr>
            <w:tcW w:w="1853" w:type="dxa"/>
            <w:tcBorders>
              <w:top w:val="nil"/>
              <w:left w:val="nil"/>
              <w:bottom w:val="single" w:sz="4" w:space="0" w:color="auto"/>
              <w:right w:val="single" w:sz="4" w:space="0" w:color="auto"/>
            </w:tcBorders>
            <w:shd w:val="clear" w:color="000000" w:fill="FFFFFF"/>
            <w:noWrap/>
            <w:vAlign w:val="bottom"/>
            <w:hideMark/>
          </w:tcPr>
          <w:p w14:paraId="4801FCF2"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0F51A855"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c>
          <w:tcPr>
            <w:tcW w:w="1536" w:type="dxa"/>
            <w:tcBorders>
              <w:top w:val="nil"/>
              <w:left w:val="nil"/>
              <w:bottom w:val="single" w:sz="4" w:space="0" w:color="auto"/>
              <w:right w:val="single" w:sz="4" w:space="0" w:color="auto"/>
            </w:tcBorders>
            <w:noWrap/>
            <w:vAlign w:val="bottom"/>
            <w:hideMark/>
          </w:tcPr>
          <w:p w14:paraId="4AB3853E"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c>
          <w:tcPr>
            <w:tcW w:w="1317" w:type="dxa"/>
            <w:tcBorders>
              <w:top w:val="nil"/>
              <w:left w:val="nil"/>
              <w:bottom w:val="single" w:sz="4" w:space="0" w:color="auto"/>
              <w:right w:val="single" w:sz="4" w:space="0" w:color="auto"/>
            </w:tcBorders>
            <w:noWrap/>
            <w:vAlign w:val="bottom"/>
            <w:hideMark/>
          </w:tcPr>
          <w:p w14:paraId="640B767C"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c>
          <w:tcPr>
            <w:tcW w:w="1357" w:type="dxa"/>
            <w:tcBorders>
              <w:top w:val="nil"/>
              <w:left w:val="nil"/>
              <w:bottom w:val="single" w:sz="4" w:space="0" w:color="auto"/>
              <w:right w:val="single" w:sz="4" w:space="0" w:color="auto"/>
            </w:tcBorders>
            <w:noWrap/>
            <w:vAlign w:val="bottom"/>
            <w:hideMark/>
          </w:tcPr>
          <w:p w14:paraId="26CD6085"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c>
          <w:tcPr>
            <w:tcW w:w="1656" w:type="dxa"/>
            <w:tcBorders>
              <w:top w:val="nil"/>
              <w:left w:val="nil"/>
              <w:bottom w:val="single" w:sz="4" w:space="0" w:color="auto"/>
              <w:right w:val="single" w:sz="4" w:space="0" w:color="auto"/>
            </w:tcBorders>
            <w:noWrap/>
            <w:vAlign w:val="bottom"/>
            <w:hideMark/>
          </w:tcPr>
          <w:p w14:paraId="2FFC9041"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c>
          <w:tcPr>
            <w:tcW w:w="1377" w:type="dxa"/>
            <w:tcBorders>
              <w:top w:val="nil"/>
              <w:left w:val="nil"/>
              <w:bottom w:val="single" w:sz="4" w:space="0" w:color="auto"/>
              <w:right w:val="single" w:sz="4" w:space="0" w:color="auto"/>
            </w:tcBorders>
            <w:noWrap/>
            <w:vAlign w:val="bottom"/>
            <w:hideMark/>
          </w:tcPr>
          <w:p w14:paraId="0736E176"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 </w:t>
            </w:r>
          </w:p>
        </w:tc>
      </w:tr>
      <w:tr w:rsidR="00FC3BB7" w:rsidRPr="000020F0" w14:paraId="4720815B" w14:textId="77777777" w:rsidTr="00FC3BB7">
        <w:trPr>
          <w:trHeight w:val="300"/>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65BD3B4"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Avtobusno postajališče - nadstrešnica</w:t>
            </w:r>
          </w:p>
        </w:tc>
        <w:tc>
          <w:tcPr>
            <w:tcW w:w="1853" w:type="dxa"/>
            <w:tcBorders>
              <w:top w:val="nil"/>
              <w:left w:val="nil"/>
              <w:bottom w:val="single" w:sz="4" w:space="0" w:color="auto"/>
              <w:right w:val="single" w:sz="4" w:space="0" w:color="auto"/>
            </w:tcBorders>
            <w:shd w:val="clear" w:color="000000" w:fill="FFFFFF"/>
            <w:noWrap/>
            <w:vAlign w:val="bottom"/>
            <w:hideMark/>
          </w:tcPr>
          <w:p w14:paraId="0BD550A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1183A2E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20C82E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505D63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BF7EC1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1287B8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918CA9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220E8A8B" w14:textId="77777777" w:rsidTr="00FC3BB7">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450F67FC"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Parkirišče z vhodom v šolo</w:t>
            </w:r>
          </w:p>
        </w:tc>
        <w:tc>
          <w:tcPr>
            <w:tcW w:w="1853" w:type="dxa"/>
            <w:tcBorders>
              <w:top w:val="nil"/>
              <w:left w:val="nil"/>
              <w:bottom w:val="single" w:sz="4" w:space="0" w:color="auto"/>
              <w:right w:val="single" w:sz="4" w:space="0" w:color="auto"/>
            </w:tcBorders>
            <w:noWrap/>
            <w:vAlign w:val="bottom"/>
            <w:hideMark/>
          </w:tcPr>
          <w:p w14:paraId="7B1505E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397.454,42</w:t>
            </w:r>
          </w:p>
        </w:tc>
        <w:tc>
          <w:tcPr>
            <w:tcW w:w="1214" w:type="dxa"/>
            <w:tcBorders>
              <w:top w:val="nil"/>
              <w:left w:val="single" w:sz="4" w:space="0" w:color="auto"/>
              <w:bottom w:val="single" w:sz="4" w:space="0" w:color="auto"/>
              <w:right w:val="single" w:sz="4" w:space="0" w:color="auto"/>
            </w:tcBorders>
            <w:shd w:val="clear" w:color="000000" w:fill="FFFFFF"/>
            <w:noWrap/>
            <w:vAlign w:val="bottom"/>
            <w:hideMark/>
          </w:tcPr>
          <w:p w14:paraId="7090B3E7"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c>
          <w:tcPr>
            <w:tcW w:w="1536" w:type="dxa"/>
            <w:tcBorders>
              <w:top w:val="nil"/>
              <w:left w:val="nil"/>
              <w:bottom w:val="single" w:sz="4" w:space="0" w:color="auto"/>
              <w:right w:val="single" w:sz="4" w:space="0" w:color="auto"/>
            </w:tcBorders>
            <w:shd w:val="clear" w:color="000000" w:fill="FFFFFF"/>
            <w:noWrap/>
            <w:vAlign w:val="bottom"/>
            <w:hideMark/>
          </w:tcPr>
          <w:p w14:paraId="7A529349"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c>
          <w:tcPr>
            <w:tcW w:w="1317" w:type="dxa"/>
            <w:tcBorders>
              <w:top w:val="nil"/>
              <w:left w:val="nil"/>
              <w:bottom w:val="single" w:sz="4" w:space="0" w:color="auto"/>
              <w:right w:val="single" w:sz="4" w:space="0" w:color="auto"/>
            </w:tcBorders>
            <w:shd w:val="clear" w:color="000000" w:fill="FFFFFF"/>
            <w:noWrap/>
            <w:vAlign w:val="bottom"/>
            <w:hideMark/>
          </w:tcPr>
          <w:p w14:paraId="4CE946CA"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c>
          <w:tcPr>
            <w:tcW w:w="1357" w:type="dxa"/>
            <w:tcBorders>
              <w:top w:val="nil"/>
              <w:left w:val="nil"/>
              <w:bottom w:val="single" w:sz="4" w:space="0" w:color="auto"/>
              <w:right w:val="single" w:sz="4" w:space="0" w:color="auto"/>
            </w:tcBorders>
            <w:shd w:val="clear" w:color="000000" w:fill="FFFFFF"/>
            <w:noWrap/>
            <w:vAlign w:val="bottom"/>
            <w:hideMark/>
          </w:tcPr>
          <w:p w14:paraId="2C4D832F"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c>
          <w:tcPr>
            <w:tcW w:w="1656" w:type="dxa"/>
            <w:tcBorders>
              <w:top w:val="nil"/>
              <w:left w:val="nil"/>
              <w:bottom w:val="single" w:sz="4" w:space="0" w:color="auto"/>
              <w:right w:val="single" w:sz="4" w:space="0" w:color="auto"/>
            </w:tcBorders>
            <w:shd w:val="clear" w:color="000000" w:fill="FFFFFF"/>
            <w:noWrap/>
            <w:vAlign w:val="bottom"/>
            <w:hideMark/>
          </w:tcPr>
          <w:p w14:paraId="34AE66B6"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397.454,42</w:t>
            </w:r>
          </w:p>
        </w:tc>
        <w:tc>
          <w:tcPr>
            <w:tcW w:w="1377" w:type="dxa"/>
            <w:tcBorders>
              <w:top w:val="nil"/>
              <w:left w:val="nil"/>
              <w:bottom w:val="single" w:sz="4" w:space="0" w:color="auto"/>
              <w:right w:val="single" w:sz="4" w:space="0" w:color="auto"/>
            </w:tcBorders>
            <w:shd w:val="clear" w:color="000000" w:fill="FFFFFF"/>
            <w:noWrap/>
            <w:vAlign w:val="bottom"/>
            <w:hideMark/>
          </w:tcPr>
          <w:p w14:paraId="21A71648" w14:textId="77777777" w:rsidR="00FC3BB7" w:rsidRPr="000020F0" w:rsidRDefault="00FC3BB7">
            <w:pPr>
              <w:jc w:val="right"/>
              <w:rPr>
                <w:rFonts w:asciiTheme="majorHAnsi" w:hAnsiTheme="majorHAnsi" w:cstheme="majorHAnsi"/>
                <w:i/>
                <w:iCs/>
                <w:color w:val="000000"/>
                <w:sz w:val="20"/>
                <w:szCs w:val="20"/>
              </w:rPr>
            </w:pPr>
            <w:r w:rsidRPr="000020F0">
              <w:rPr>
                <w:rFonts w:asciiTheme="majorHAnsi" w:hAnsiTheme="majorHAnsi" w:cstheme="majorHAnsi"/>
                <w:i/>
                <w:iCs/>
                <w:color w:val="000000"/>
                <w:sz w:val="20"/>
                <w:szCs w:val="20"/>
              </w:rPr>
              <w:t>0,00</w:t>
            </w:r>
          </w:p>
        </w:tc>
      </w:tr>
      <w:tr w:rsidR="00FC3BB7" w:rsidRPr="000020F0" w14:paraId="63EAD562" w14:textId="77777777" w:rsidTr="00FC3BB7">
        <w:trPr>
          <w:trHeight w:val="300"/>
        </w:trPr>
        <w:tc>
          <w:tcPr>
            <w:tcW w:w="4096" w:type="dxa"/>
            <w:tcBorders>
              <w:top w:val="nil"/>
              <w:left w:val="single" w:sz="4" w:space="0" w:color="auto"/>
              <w:bottom w:val="single" w:sz="4" w:space="0" w:color="auto"/>
              <w:right w:val="single" w:sz="4" w:space="0" w:color="auto"/>
            </w:tcBorders>
            <w:shd w:val="clear" w:color="000000" w:fill="DAE9F8"/>
            <w:noWrap/>
            <w:vAlign w:val="bottom"/>
            <w:hideMark/>
          </w:tcPr>
          <w:p w14:paraId="22E5CDCA" w14:textId="77777777" w:rsidR="00FC3BB7" w:rsidRPr="000020F0" w:rsidRDefault="00FC3BB7">
            <w:pPr>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Skupaj GOI dela</w:t>
            </w:r>
          </w:p>
        </w:tc>
        <w:tc>
          <w:tcPr>
            <w:tcW w:w="1853" w:type="dxa"/>
            <w:tcBorders>
              <w:top w:val="nil"/>
              <w:left w:val="nil"/>
              <w:bottom w:val="single" w:sz="4" w:space="0" w:color="auto"/>
              <w:right w:val="single" w:sz="4" w:space="0" w:color="auto"/>
            </w:tcBorders>
            <w:shd w:val="clear" w:color="000000" w:fill="DAE9F8"/>
            <w:noWrap/>
            <w:vAlign w:val="bottom"/>
            <w:hideMark/>
          </w:tcPr>
          <w:p w14:paraId="6514894F"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429.321,42</w:t>
            </w:r>
          </w:p>
        </w:tc>
        <w:tc>
          <w:tcPr>
            <w:tcW w:w="1214" w:type="dxa"/>
            <w:tcBorders>
              <w:top w:val="nil"/>
              <w:left w:val="single" w:sz="4" w:space="0" w:color="auto"/>
              <w:bottom w:val="single" w:sz="4" w:space="0" w:color="auto"/>
              <w:right w:val="single" w:sz="4" w:space="0" w:color="auto"/>
            </w:tcBorders>
            <w:shd w:val="clear" w:color="000000" w:fill="D9D9D9"/>
            <w:noWrap/>
            <w:vAlign w:val="bottom"/>
            <w:hideMark/>
          </w:tcPr>
          <w:p w14:paraId="5FE48E1D"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0,00</w:t>
            </w:r>
          </w:p>
        </w:tc>
        <w:tc>
          <w:tcPr>
            <w:tcW w:w="1536" w:type="dxa"/>
            <w:tcBorders>
              <w:top w:val="nil"/>
              <w:left w:val="nil"/>
              <w:bottom w:val="single" w:sz="4" w:space="0" w:color="auto"/>
              <w:right w:val="single" w:sz="4" w:space="0" w:color="auto"/>
            </w:tcBorders>
            <w:shd w:val="clear" w:color="000000" w:fill="D9D9D9"/>
            <w:noWrap/>
            <w:vAlign w:val="bottom"/>
            <w:hideMark/>
          </w:tcPr>
          <w:p w14:paraId="5E2CD662"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0,00</w:t>
            </w:r>
          </w:p>
        </w:tc>
        <w:tc>
          <w:tcPr>
            <w:tcW w:w="1317" w:type="dxa"/>
            <w:tcBorders>
              <w:top w:val="nil"/>
              <w:left w:val="nil"/>
              <w:bottom w:val="single" w:sz="4" w:space="0" w:color="auto"/>
              <w:right w:val="single" w:sz="4" w:space="0" w:color="auto"/>
            </w:tcBorders>
            <w:shd w:val="clear" w:color="000000" w:fill="D9D9D9"/>
            <w:noWrap/>
            <w:vAlign w:val="bottom"/>
            <w:hideMark/>
          </w:tcPr>
          <w:p w14:paraId="7929645C"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0,00</w:t>
            </w:r>
          </w:p>
        </w:tc>
        <w:tc>
          <w:tcPr>
            <w:tcW w:w="1357" w:type="dxa"/>
            <w:tcBorders>
              <w:top w:val="nil"/>
              <w:left w:val="nil"/>
              <w:bottom w:val="single" w:sz="4" w:space="0" w:color="auto"/>
              <w:right w:val="single" w:sz="4" w:space="0" w:color="auto"/>
            </w:tcBorders>
            <w:shd w:val="clear" w:color="000000" w:fill="D9D9D9"/>
            <w:noWrap/>
            <w:vAlign w:val="bottom"/>
            <w:hideMark/>
          </w:tcPr>
          <w:p w14:paraId="43FC19CE"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0,00</w:t>
            </w:r>
          </w:p>
        </w:tc>
        <w:tc>
          <w:tcPr>
            <w:tcW w:w="1656" w:type="dxa"/>
            <w:tcBorders>
              <w:top w:val="nil"/>
              <w:left w:val="nil"/>
              <w:bottom w:val="single" w:sz="4" w:space="0" w:color="auto"/>
              <w:right w:val="single" w:sz="4" w:space="0" w:color="auto"/>
            </w:tcBorders>
            <w:shd w:val="clear" w:color="000000" w:fill="D9D9D9"/>
            <w:noWrap/>
            <w:vAlign w:val="bottom"/>
            <w:hideMark/>
          </w:tcPr>
          <w:p w14:paraId="3976BB65"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397.454,42</w:t>
            </w:r>
          </w:p>
        </w:tc>
        <w:tc>
          <w:tcPr>
            <w:tcW w:w="1377" w:type="dxa"/>
            <w:tcBorders>
              <w:top w:val="nil"/>
              <w:left w:val="nil"/>
              <w:bottom w:val="single" w:sz="4" w:space="0" w:color="auto"/>
              <w:right w:val="single" w:sz="4" w:space="0" w:color="auto"/>
            </w:tcBorders>
            <w:shd w:val="clear" w:color="000000" w:fill="D9D9D9"/>
            <w:noWrap/>
            <w:vAlign w:val="bottom"/>
            <w:hideMark/>
          </w:tcPr>
          <w:p w14:paraId="1AFFD714" w14:textId="77777777" w:rsidR="00FC3BB7" w:rsidRPr="000020F0" w:rsidRDefault="00FC3BB7">
            <w:pPr>
              <w:jc w:val="right"/>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0,00</w:t>
            </w:r>
          </w:p>
        </w:tc>
      </w:tr>
      <w:tr w:rsidR="00FC3BB7" w:rsidRPr="000020F0" w14:paraId="1F2B12F2"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4308F681"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Strokovni nadzor</w:t>
            </w:r>
          </w:p>
        </w:tc>
        <w:tc>
          <w:tcPr>
            <w:tcW w:w="1853" w:type="dxa"/>
            <w:tcBorders>
              <w:top w:val="nil"/>
              <w:left w:val="nil"/>
              <w:bottom w:val="single" w:sz="4" w:space="0" w:color="auto"/>
              <w:right w:val="single" w:sz="4" w:space="0" w:color="auto"/>
            </w:tcBorders>
            <w:noWrap/>
            <w:vAlign w:val="bottom"/>
            <w:hideMark/>
          </w:tcPr>
          <w:p w14:paraId="49E58DE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12.879,64</w:t>
            </w:r>
          </w:p>
        </w:tc>
        <w:tc>
          <w:tcPr>
            <w:tcW w:w="1214" w:type="dxa"/>
            <w:tcBorders>
              <w:top w:val="nil"/>
              <w:left w:val="single" w:sz="4" w:space="0" w:color="auto"/>
              <w:bottom w:val="single" w:sz="4" w:space="0" w:color="auto"/>
              <w:right w:val="single" w:sz="4" w:space="0" w:color="auto"/>
            </w:tcBorders>
            <w:noWrap/>
            <w:vAlign w:val="bottom"/>
            <w:hideMark/>
          </w:tcPr>
          <w:p w14:paraId="0681A4F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36A3887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AB69E5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AE60F8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3.404,20</w:t>
            </w:r>
          </w:p>
        </w:tc>
        <w:tc>
          <w:tcPr>
            <w:tcW w:w="1656" w:type="dxa"/>
            <w:tcBorders>
              <w:top w:val="nil"/>
              <w:left w:val="nil"/>
              <w:bottom w:val="single" w:sz="4" w:space="0" w:color="auto"/>
              <w:right w:val="single" w:sz="4" w:space="0" w:color="auto"/>
            </w:tcBorders>
            <w:noWrap/>
            <w:vAlign w:val="bottom"/>
            <w:hideMark/>
          </w:tcPr>
          <w:p w14:paraId="36EF962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9.198,18</w:t>
            </w:r>
          </w:p>
        </w:tc>
        <w:tc>
          <w:tcPr>
            <w:tcW w:w="1377" w:type="dxa"/>
            <w:tcBorders>
              <w:top w:val="nil"/>
              <w:left w:val="nil"/>
              <w:bottom w:val="single" w:sz="4" w:space="0" w:color="auto"/>
              <w:right w:val="single" w:sz="4" w:space="0" w:color="auto"/>
            </w:tcBorders>
            <w:noWrap/>
            <w:vAlign w:val="bottom"/>
            <w:hideMark/>
          </w:tcPr>
          <w:p w14:paraId="2060084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277,26</w:t>
            </w:r>
          </w:p>
        </w:tc>
      </w:tr>
      <w:tr w:rsidR="00FC3BB7" w:rsidRPr="000020F0" w14:paraId="00F0DF63"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52827E64"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Projektna dokumentacija</w:t>
            </w:r>
          </w:p>
        </w:tc>
        <w:tc>
          <w:tcPr>
            <w:tcW w:w="1853" w:type="dxa"/>
            <w:tcBorders>
              <w:top w:val="nil"/>
              <w:left w:val="nil"/>
              <w:bottom w:val="single" w:sz="4" w:space="0" w:color="auto"/>
              <w:right w:val="single" w:sz="4" w:space="0" w:color="auto"/>
            </w:tcBorders>
            <w:noWrap/>
            <w:vAlign w:val="bottom"/>
            <w:hideMark/>
          </w:tcPr>
          <w:p w14:paraId="7337B02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20.491,48</w:t>
            </w:r>
          </w:p>
        </w:tc>
        <w:tc>
          <w:tcPr>
            <w:tcW w:w="1214" w:type="dxa"/>
            <w:tcBorders>
              <w:top w:val="nil"/>
              <w:left w:val="single" w:sz="4" w:space="0" w:color="auto"/>
              <w:bottom w:val="single" w:sz="4" w:space="0" w:color="auto"/>
              <w:right w:val="single" w:sz="4" w:space="0" w:color="auto"/>
            </w:tcBorders>
            <w:noWrap/>
            <w:vAlign w:val="bottom"/>
            <w:hideMark/>
          </w:tcPr>
          <w:p w14:paraId="3A6E6CC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1.403,86</w:t>
            </w:r>
          </w:p>
        </w:tc>
        <w:tc>
          <w:tcPr>
            <w:tcW w:w="1536" w:type="dxa"/>
            <w:tcBorders>
              <w:top w:val="nil"/>
              <w:left w:val="nil"/>
              <w:bottom w:val="single" w:sz="4" w:space="0" w:color="auto"/>
              <w:right w:val="single" w:sz="4" w:space="0" w:color="auto"/>
            </w:tcBorders>
            <w:noWrap/>
            <w:vAlign w:val="bottom"/>
            <w:hideMark/>
          </w:tcPr>
          <w:p w14:paraId="394F5A85"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13.185,12</w:t>
            </w:r>
          </w:p>
        </w:tc>
        <w:tc>
          <w:tcPr>
            <w:tcW w:w="1317" w:type="dxa"/>
            <w:tcBorders>
              <w:top w:val="nil"/>
              <w:left w:val="nil"/>
              <w:bottom w:val="single" w:sz="4" w:space="0" w:color="auto"/>
              <w:right w:val="single" w:sz="4" w:space="0" w:color="auto"/>
            </w:tcBorders>
            <w:noWrap/>
            <w:vAlign w:val="bottom"/>
            <w:hideMark/>
          </w:tcPr>
          <w:p w14:paraId="3450667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4.167,18</w:t>
            </w:r>
          </w:p>
        </w:tc>
        <w:tc>
          <w:tcPr>
            <w:tcW w:w="1357" w:type="dxa"/>
            <w:tcBorders>
              <w:top w:val="nil"/>
              <w:left w:val="nil"/>
              <w:bottom w:val="single" w:sz="4" w:space="0" w:color="auto"/>
              <w:right w:val="single" w:sz="4" w:space="0" w:color="auto"/>
            </w:tcBorders>
            <w:noWrap/>
            <w:vAlign w:val="bottom"/>
            <w:hideMark/>
          </w:tcPr>
          <w:p w14:paraId="0B77243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751,97</w:t>
            </w:r>
          </w:p>
        </w:tc>
        <w:tc>
          <w:tcPr>
            <w:tcW w:w="1656" w:type="dxa"/>
            <w:tcBorders>
              <w:top w:val="nil"/>
              <w:left w:val="nil"/>
              <w:bottom w:val="single" w:sz="4" w:space="0" w:color="auto"/>
              <w:right w:val="single" w:sz="4" w:space="0" w:color="auto"/>
            </w:tcBorders>
            <w:noWrap/>
            <w:vAlign w:val="bottom"/>
            <w:hideMark/>
          </w:tcPr>
          <w:p w14:paraId="74B5350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751,97</w:t>
            </w:r>
          </w:p>
        </w:tc>
        <w:tc>
          <w:tcPr>
            <w:tcW w:w="1377" w:type="dxa"/>
            <w:tcBorders>
              <w:top w:val="nil"/>
              <w:left w:val="nil"/>
              <w:bottom w:val="single" w:sz="4" w:space="0" w:color="auto"/>
              <w:right w:val="single" w:sz="4" w:space="0" w:color="auto"/>
            </w:tcBorders>
            <w:noWrap/>
            <w:vAlign w:val="bottom"/>
            <w:hideMark/>
          </w:tcPr>
          <w:p w14:paraId="66C0790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231,38</w:t>
            </w:r>
          </w:p>
        </w:tc>
      </w:tr>
      <w:tr w:rsidR="00FC3BB7" w:rsidRPr="000020F0" w14:paraId="54AC562E"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33B68F84"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Svetovalni inženiring</w:t>
            </w:r>
          </w:p>
        </w:tc>
        <w:tc>
          <w:tcPr>
            <w:tcW w:w="1853" w:type="dxa"/>
            <w:tcBorders>
              <w:top w:val="nil"/>
              <w:left w:val="nil"/>
              <w:bottom w:val="single" w:sz="4" w:space="0" w:color="auto"/>
              <w:right w:val="single" w:sz="4" w:space="0" w:color="auto"/>
            </w:tcBorders>
            <w:noWrap/>
            <w:vAlign w:val="bottom"/>
            <w:hideMark/>
          </w:tcPr>
          <w:p w14:paraId="7DAC776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5C6E3F9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C8B564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87ADA3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C12F8D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EE1A0D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30E4CD7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0B37A642" w14:textId="77777777" w:rsidTr="00FC3BB7">
        <w:trPr>
          <w:trHeight w:val="300"/>
        </w:trPr>
        <w:tc>
          <w:tcPr>
            <w:tcW w:w="4096" w:type="dxa"/>
            <w:tcBorders>
              <w:top w:val="nil"/>
              <w:left w:val="single" w:sz="4" w:space="0" w:color="auto"/>
              <w:bottom w:val="single" w:sz="4" w:space="0" w:color="auto"/>
              <w:right w:val="single" w:sz="4" w:space="0" w:color="auto"/>
            </w:tcBorders>
            <w:noWrap/>
            <w:vAlign w:val="bottom"/>
            <w:hideMark/>
          </w:tcPr>
          <w:p w14:paraId="727302C4"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Obveščanje javnosti</w:t>
            </w:r>
          </w:p>
        </w:tc>
        <w:tc>
          <w:tcPr>
            <w:tcW w:w="1853" w:type="dxa"/>
            <w:tcBorders>
              <w:top w:val="nil"/>
              <w:left w:val="nil"/>
              <w:bottom w:val="single" w:sz="4" w:space="0" w:color="auto"/>
              <w:right w:val="single" w:sz="4" w:space="0" w:color="auto"/>
            </w:tcBorders>
            <w:noWrap/>
            <w:vAlign w:val="bottom"/>
            <w:hideMark/>
          </w:tcPr>
          <w:p w14:paraId="413E142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0598459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3DB2330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85D765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49150F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5DC665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334F7B3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5662AA0F"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70F1F64F"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Investicijska in ostala dokumentacija</w:t>
            </w:r>
          </w:p>
        </w:tc>
        <w:tc>
          <w:tcPr>
            <w:tcW w:w="1853" w:type="dxa"/>
            <w:tcBorders>
              <w:top w:val="nil"/>
              <w:left w:val="nil"/>
              <w:bottom w:val="single" w:sz="4" w:space="0" w:color="auto"/>
              <w:right w:val="single" w:sz="4" w:space="0" w:color="auto"/>
            </w:tcBorders>
            <w:noWrap/>
            <w:vAlign w:val="bottom"/>
            <w:hideMark/>
          </w:tcPr>
          <w:p w14:paraId="0D8327B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700,00</w:t>
            </w:r>
          </w:p>
        </w:tc>
        <w:tc>
          <w:tcPr>
            <w:tcW w:w="1214" w:type="dxa"/>
            <w:tcBorders>
              <w:top w:val="nil"/>
              <w:left w:val="single" w:sz="4" w:space="0" w:color="auto"/>
              <w:bottom w:val="single" w:sz="4" w:space="0" w:color="auto"/>
              <w:right w:val="single" w:sz="4" w:space="0" w:color="auto"/>
            </w:tcBorders>
            <w:noWrap/>
            <w:vAlign w:val="bottom"/>
            <w:hideMark/>
          </w:tcPr>
          <w:p w14:paraId="7B976A6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700,00</w:t>
            </w:r>
          </w:p>
        </w:tc>
        <w:tc>
          <w:tcPr>
            <w:tcW w:w="1536" w:type="dxa"/>
            <w:tcBorders>
              <w:top w:val="nil"/>
              <w:left w:val="nil"/>
              <w:bottom w:val="single" w:sz="4" w:space="0" w:color="auto"/>
              <w:right w:val="single" w:sz="4" w:space="0" w:color="auto"/>
            </w:tcBorders>
            <w:noWrap/>
            <w:vAlign w:val="bottom"/>
            <w:hideMark/>
          </w:tcPr>
          <w:p w14:paraId="7ADAB45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346027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1FD96F5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3921E5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7A314D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0CF2B140"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2222DF43"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Stroški varnosti pri delu</w:t>
            </w:r>
          </w:p>
        </w:tc>
        <w:tc>
          <w:tcPr>
            <w:tcW w:w="1853" w:type="dxa"/>
            <w:tcBorders>
              <w:top w:val="nil"/>
              <w:left w:val="nil"/>
              <w:bottom w:val="single" w:sz="4" w:space="0" w:color="auto"/>
              <w:right w:val="single" w:sz="4" w:space="0" w:color="auto"/>
            </w:tcBorders>
            <w:noWrap/>
            <w:vAlign w:val="bottom"/>
            <w:hideMark/>
          </w:tcPr>
          <w:p w14:paraId="2EDBD0B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1.360,80</w:t>
            </w:r>
          </w:p>
        </w:tc>
        <w:tc>
          <w:tcPr>
            <w:tcW w:w="1214" w:type="dxa"/>
            <w:tcBorders>
              <w:top w:val="nil"/>
              <w:left w:val="single" w:sz="4" w:space="0" w:color="auto"/>
              <w:bottom w:val="single" w:sz="4" w:space="0" w:color="auto"/>
              <w:right w:val="single" w:sz="4" w:space="0" w:color="auto"/>
            </w:tcBorders>
            <w:noWrap/>
            <w:vAlign w:val="bottom"/>
            <w:hideMark/>
          </w:tcPr>
          <w:p w14:paraId="41E2482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0F7EEC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290B2A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64232A8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543,09</w:t>
            </w:r>
          </w:p>
        </w:tc>
        <w:tc>
          <w:tcPr>
            <w:tcW w:w="1656" w:type="dxa"/>
            <w:tcBorders>
              <w:top w:val="nil"/>
              <w:left w:val="nil"/>
              <w:bottom w:val="single" w:sz="4" w:space="0" w:color="auto"/>
              <w:right w:val="single" w:sz="4" w:space="0" w:color="auto"/>
            </w:tcBorders>
            <w:noWrap/>
            <w:vAlign w:val="bottom"/>
            <w:hideMark/>
          </w:tcPr>
          <w:p w14:paraId="34245AA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301,31</w:t>
            </w:r>
          </w:p>
        </w:tc>
        <w:tc>
          <w:tcPr>
            <w:tcW w:w="1377" w:type="dxa"/>
            <w:tcBorders>
              <w:top w:val="nil"/>
              <w:left w:val="nil"/>
              <w:bottom w:val="single" w:sz="4" w:space="0" w:color="auto"/>
              <w:right w:val="single" w:sz="4" w:space="0" w:color="auto"/>
            </w:tcBorders>
            <w:noWrap/>
            <w:vAlign w:val="bottom"/>
            <w:hideMark/>
          </w:tcPr>
          <w:p w14:paraId="71B6CD6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516,40</w:t>
            </w:r>
          </w:p>
        </w:tc>
      </w:tr>
      <w:tr w:rsidR="00FC3BB7" w:rsidRPr="000020F0" w14:paraId="146E0EFD"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5586AD01"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Arheologija</w:t>
            </w:r>
          </w:p>
        </w:tc>
        <w:tc>
          <w:tcPr>
            <w:tcW w:w="1853" w:type="dxa"/>
            <w:tcBorders>
              <w:top w:val="nil"/>
              <w:left w:val="nil"/>
              <w:bottom w:val="single" w:sz="4" w:space="0" w:color="auto"/>
              <w:right w:val="single" w:sz="4" w:space="0" w:color="auto"/>
            </w:tcBorders>
            <w:noWrap/>
            <w:vAlign w:val="bottom"/>
            <w:hideMark/>
          </w:tcPr>
          <w:p w14:paraId="2AA7E78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066978D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74E7BD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8F0F05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E413DA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7E6254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330DBD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6B59F680"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5D41B183"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Čiščenje in pregled kanalizacije</w:t>
            </w:r>
          </w:p>
        </w:tc>
        <w:tc>
          <w:tcPr>
            <w:tcW w:w="1853" w:type="dxa"/>
            <w:tcBorders>
              <w:top w:val="nil"/>
              <w:left w:val="nil"/>
              <w:bottom w:val="single" w:sz="4" w:space="0" w:color="auto"/>
              <w:right w:val="single" w:sz="4" w:space="0" w:color="auto"/>
            </w:tcBorders>
            <w:noWrap/>
            <w:vAlign w:val="bottom"/>
            <w:hideMark/>
          </w:tcPr>
          <w:p w14:paraId="3C43D1D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3.280,00</w:t>
            </w:r>
          </w:p>
        </w:tc>
        <w:tc>
          <w:tcPr>
            <w:tcW w:w="1214" w:type="dxa"/>
            <w:tcBorders>
              <w:top w:val="nil"/>
              <w:left w:val="single" w:sz="4" w:space="0" w:color="auto"/>
              <w:bottom w:val="single" w:sz="4" w:space="0" w:color="auto"/>
              <w:right w:val="single" w:sz="4" w:space="0" w:color="auto"/>
            </w:tcBorders>
            <w:noWrap/>
            <w:vAlign w:val="bottom"/>
            <w:hideMark/>
          </w:tcPr>
          <w:p w14:paraId="10D7255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8C03F7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24F8F4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13932F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3.280,00</w:t>
            </w:r>
          </w:p>
        </w:tc>
        <w:tc>
          <w:tcPr>
            <w:tcW w:w="1656" w:type="dxa"/>
            <w:tcBorders>
              <w:top w:val="nil"/>
              <w:left w:val="nil"/>
              <w:bottom w:val="single" w:sz="4" w:space="0" w:color="auto"/>
              <w:right w:val="single" w:sz="4" w:space="0" w:color="auto"/>
            </w:tcBorders>
            <w:noWrap/>
            <w:vAlign w:val="bottom"/>
            <w:hideMark/>
          </w:tcPr>
          <w:p w14:paraId="3A66392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EAA6E6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15EE8644"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75527639"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Nakup nepremičnine</w:t>
            </w:r>
          </w:p>
        </w:tc>
        <w:tc>
          <w:tcPr>
            <w:tcW w:w="1853" w:type="dxa"/>
            <w:tcBorders>
              <w:top w:val="nil"/>
              <w:left w:val="nil"/>
              <w:bottom w:val="single" w:sz="4" w:space="0" w:color="auto"/>
              <w:right w:val="single" w:sz="4" w:space="0" w:color="auto"/>
            </w:tcBorders>
            <w:noWrap/>
            <w:vAlign w:val="bottom"/>
            <w:hideMark/>
          </w:tcPr>
          <w:p w14:paraId="778E4DE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280.000,00</w:t>
            </w:r>
          </w:p>
        </w:tc>
        <w:tc>
          <w:tcPr>
            <w:tcW w:w="1214" w:type="dxa"/>
            <w:tcBorders>
              <w:top w:val="nil"/>
              <w:left w:val="single" w:sz="4" w:space="0" w:color="auto"/>
              <w:bottom w:val="single" w:sz="4" w:space="0" w:color="auto"/>
              <w:right w:val="single" w:sz="4" w:space="0" w:color="auto"/>
            </w:tcBorders>
            <w:noWrap/>
            <w:vAlign w:val="bottom"/>
            <w:hideMark/>
          </w:tcPr>
          <w:p w14:paraId="2950B2F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280.000,00</w:t>
            </w:r>
          </w:p>
        </w:tc>
        <w:tc>
          <w:tcPr>
            <w:tcW w:w="1536" w:type="dxa"/>
            <w:tcBorders>
              <w:top w:val="nil"/>
              <w:left w:val="nil"/>
              <w:bottom w:val="single" w:sz="4" w:space="0" w:color="auto"/>
              <w:right w:val="single" w:sz="4" w:space="0" w:color="auto"/>
            </w:tcBorders>
            <w:noWrap/>
            <w:vAlign w:val="bottom"/>
            <w:hideMark/>
          </w:tcPr>
          <w:p w14:paraId="17EDE82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CEED0E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10D1912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2BB41F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4DE79A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72B396C0" w14:textId="77777777" w:rsidTr="00FC3BB7">
        <w:trPr>
          <w:trHeight w:val="300"/>
        </w:trPr>
        <w:tc>
          <w:tcPr>
            <w:tcW w:w="4096" w:type="dxa"/>
            <w:tcBorders>
              <w:top w:val="nil"/>
              <w:left w:val="single" w:sz="4" w:space="0" w:color="auto"/>
              <w:bottom w:val="single" w:sz="4" w:space="0" w:color="auto"/>
              <w:right w:val="single" w:sz="4" w:space="0" w:color="auto"/>
            </w:tcBorders>
            <w:noWrap/>
            <w:vAlign w:val="bottom"/>
            <w:hideMark/>
          </w:tcPr>
          <w:p w14:paraId="7AA19CF7"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Druga dela ob rušenju objekta (neobdavčeno)</w:t>
            </w:r>
          </w:p>
        </w:tc>
        <w:tc>
          <w:tcPr>
            <w:tcW w:w="1853" w:type="dxa"/>
            <w:tcBorders>
              <w:top w:val="nil"/>
              <w:left w:val="nil"/>
              <w:bottom w:val="single" w:sz="4" w:space="0" w:color="auto"/>
              <w:right w:val="single" w:sz="4" w:space="0" w:color="auto"/>
            </w:tcBorders>
            <w:noWrap/>
            <w:vAlign w:val="bottom"/>
            <w:hideMark/>
          </w:tcPr>
          <w:p w14:paraId="250FADC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776,00</w:t>
            </w:r>
          </w:p>
        </w:tc>
        <w:tc>
          <w:tcPr>
            <w:tcW w:w="1214" w:type="dxa"/>
            <w:tcBorders>
              <w:top w:val="nil"/>
              <w:left w:val="single" w:sz="4" w:space="0" w:color="auto"/>
              <w:bottom w:val="single" w:sz="4" w:space="0" w:color="auto"/>
              <w:right w:val="single" w:sz="4" w:space="0" w:color="auto"/>
            </w:tcBorders>
            <w:noWrap/>
            <w:vAlign w:val="bottom"/>
            <w:hideMark/>
          </w:tcPr>
          <w:p w14:paraId="6589D965"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776,00</w:t>
            </w:r>
          </w:p>
        </w:tc>
        <w:tc>
          <w:tcPr>
            <w:tcW w:w="1536" w:type="dxa"/>
            <w:tcBorders>
              <w:top w:val="nil"/>
              <w:left w:val="nil"/>
              <w:bottom w:val="single" w:sz="4" w:space="0" w:color="auto"/>
              <w:right w:val="single" w:sz="4" w:space="0" w:color="auto"/>
            </w:tcBorders>
            <w:noWrap/>
            <w:vAlign w:val="bottom"/>
            <w:hideMark/>
          </w:tcPr>
          <w:p w14:paraId="7465E36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3D3212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5AC549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F36539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23191C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1CC4C4F5" w14:textId="77777777" w:rsidTr="00FC3BB7">
        <w:trPr>
          <w:trHeight w:val="300"/>
        </w:trPr>
        <w:tc>
          <w:tcPr>
            <w:tcW w:w="4096" w:type="dxa"/>
            <w:tcBorders>
              <w:top w:val="nil"/>
              <w:left w:val="single" w:sz="4" w:space="0" w:color="auto"/>
              <w:bottom w:val="single" w:sz="4" w:space="0" w:color="auto"/>
              <w:right w:val="single" w:sz="4" w:space="0" w:color="auto"/>
            </w:tcBorders>
            <w:noWrap/>
            <w:vAlign w:val="bottom"/>
            <w:hideMark/>
          </w:tcPr>
          <w:p w14:paraId="6EAB3AF5"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Druga dela ob rušenju objekta (9,5% DDV)</w:t>
            </w:r>
          </w:p>
        </w:tc>
        <w:tc>
          <w:tcPr>
            <w:tcW w:w="1853" w:type="dxa"/>
            <w:tcBorders>
              <w:top w:val="nil"/>
              <w:left w:val="nil"/>
              <w:bottom w:val="single" w:sz="4" w:space="0" w:color="auto"/>
              <w:right w:val="single" w:sz="4" w:space="0" w:color="auto"/>
            </w:tcBorders>
            <w:noWrap/>
            <w:vAlign w:val="bottom"/>
            <w:hideMark/>
          </w:tcPr>
          <w:p w14:paraId="3A01C8E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545,96</w:t>
            </w:r>
          </w:p>
        </w:tc>
        <w:tc>
          <w:tcPr>
            <w:tcW w:w="1214" w:type="dxa"/>
            <w:tcBorders>
              <w:top w:val="nil"/>
              <w:left w:val="single" w:sz="4" w:space="0" w:color="auto"/>
              <w:bottom w:val="single" w:sz="4" w:space="0" w:color="auto"/>
              <w:right w:val="single" w:sz="4" w:space="0" w:color="auto"/>
            </w:tcBorders>
            <w:noWrap/>
            <w:vAlign w:val="bottom"/>
            <w:hideMark/>
          </w:tcPr>
          <w:p w14:paraId="7185488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545,96</w:t>
            </w:r>
          </w:p>
        </w:tc>
        <w:tc>
          <w:tcPr>
            <w:tcW w:w="1536" w:type="dxa"/>
            <w:tcBorders>
              <w:top w:val="nil"/>
              <w:left w:val="nil"/>
              <w:bottom w:val="single" w:sz="4" w:space="0" w:color="auto"/>
              <w:right w:val="single" w:sz="4" w:space="0" w:color="auto"/>
            </w:tcBorders>
            <w:noWrap/>
            <w:vAlign w:val="bottom"/>
            <w:hideMark/>
          </w:tcPr>
          <w:p w14:paraId="213BE0C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12BBAD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5AC986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960C69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0AFA11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3F98B90C" w14:textId="77777777" w:rsidTr="00FC3BB7">
        <w:trPr>
          <w:trHeight w:val="300"/>
        </w:trPr>
        <w:tc>
          <w:tcPr>
            <w:tcW w:w="4096" w:type="dxa"/>
            <w:tcBorders>
              <w:top w:val="nil"/>
              <w:left w:val="single" w:sz="4" w:space="0" w:color="auto"/>
              <w:bottom w:val="single" w:sz="4" w:space="0" w:color="auto"/>
              <w:right w:val="single" w:sz="4" w:space="0" w:color="auto"/>
            </w:tcBorders>
            <w:noWrap/>
            <w:vAlign w:val="bottom"/>
            <w:hideMark/>
          </w:tcPr>
          <w:p w14:paraId="43C4A260"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Druga dela ob rušenju objekta</w:t>
            </w:r>
          </w:p>
        </w:tc>
        <w:tc>
          <w:tcPr>
            <w:tcW w:w="1853" w:type="dxa"/>
            <w:tcBorders>
              <w:top w:val="nil"/>
              <w:left w:val="nil"/>
              <w:bottom w:val="single" w:sz="4" w:space="0" w:color="auto"/>
              <w:right w:val="single" w:sz="4" w:space="0" w:color="auto"/>
            </w:tcBorders>
            <w:noWrap/>
            <w:vAlign w:val="bottom"/>
            <w:hideMark/>
          </w:tcPr>
          <w:p w14:paraId="69961FA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5.483,07</w:t>
            </w:r>
          </w:p>
        </w:tc>
        <w:tc>
          <w:tcPr>
            <w:tcW w:w="1214" w:type="dxa"/>
            <w:tcBorders>
              <w:top w:val="nil"/>
              <w:left w:val="single" w:sz="4" w:space="0" w:color="auto"/>
              <w:bottom w:val="single" w:sz="4" w:space="0" w:color="auto"/>
              <w:right w:val="single" w:sz="4" w:space="0" w:color="auto"/>
            </w:tcBorders>
            <w:noWrap/>
            <w:vAlign w:val="bottom"/>
            <w:hideMark/>
          </w:tcPr>
          <w:p w14:paraId="3F484CC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5.483,07</w:t>
            </w:r>
          </w:p>
        </w:tc>
        <w:tc>
          <w:tcPr>
            <w:tcW w:w="1536" w:type="dxa"/>
            <w:tcBorders>
              <w:top w:val="nil"/>
              <w:left w:val="nil"/>
              <w:bottom w:val="single" w:sz="4" w:space="0" w:color="auto"/>
              <w:right w:val="single" w:sz="4" w:space="0" w:color="auto"/>
            </w:tcBorders>
            <w:noWrap/>
            <w:vAlign w:val="bottom"/>
            <w:hideMark/>
          </w:tcPr>
          <w:p w14:paraId="53B5B68C"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D28ED4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2624980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4E87A7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5AE023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46F55B55"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60FFE7DC"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Vpis v kataster</w:t>
            </w:r>
          </w:p>
        </w:tc>
        <w:tc>
          <w:tcPr>
            <w:tcW w:w="1853" w:type="dxa"/>
            <w:tcBorders>
              <w:top w:val="nil"/>
              <w:left w:val="nil"/>
              <w:bottom w:val="single" w:sz="4" w:space="0" w:color="auto"/>
              <w:right w:val="single" w:sz="4" w:space="0" w:color="auto"/>
            </w:tcBorders>
            <w:noWrap/>
            <w:vAlign w:val="bottom"/>
            <w:hideMark/>
          </w:tcPr>
          <w:p w14:paraId="546ECF5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930,55</w:t>
            </w:r>
          </w:p>
        </w:tc>
        <w:tc>
          <w:tcPr>
            <w:tcW w:w="1214" w:type="dxa"/>
            <w:tcBorders>
              <w:top w:val="nil"/>
              <w:left w:val="single" w:sz="4" w:space="0" w:color="auto"/>
              <w:bottom w:val="single" w:sz="4" w:space="0" w:color="auto"/>
              <w:right w:val="single" w:sz="4" w:space="0" w:color="auto"/>
            </w:tcBorders>
            <w:noWrap/>
            <w:vAlign w:val="bottom"/>
            <w:hideMark/>
          </w:tcPr>
          <w:p w14:paraId="3A15367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AD64DD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A75F5B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A5F826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D1ABA5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156B0D9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930,55</w:t>
            </w:r>
          </w:p>
        </w:tc>
      </w:tr>
      <w:tr w:rsidR="00FC3BB7" w:rsidRPr="000020F0" w14:paraId="6C480CFC"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4DBDA0EC"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Geodetski načrt</w:t>
            </w:r>
          </w:p>
        </w:tc>
        <w:tc>
          <w:tcPr>
            <w:tcW w:w="1853" w:type="dxa"/>
            <w:tcBorders>
              <w:top w:val="nil"/>
              <w:left w:val="nil"/>
              <w:bottom w:val="single" w:sz="4" w:space="0" w:color="auto"/>
              <w:right w:val="single" w:sz="4" w:space="0" w:color="auto"/>
            </w:tcBorders>
            <w:noWrap/>
            <w:vAlign w:val="bottom"/>
            <w:hideMark/>
          </w:tcPr>
          <w:p w14:paraId="7ED35DC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2.261,75</w:t>
            </w:r>
          </w:p>
        </w:tc>
        <w:tc>
          <w:tcPr>
            <w:tcW w:w="1214" w:type="dxa"/>
            <w:tcBorders>
              <w:top w:val="nil"/>
              <w:left w:val="single" w:sz="4" w:space="0" w:color="auto"/>
              <w:bottom w:val="single" w:sz="4" w:space="0" w:color="auto"/>
              <w:right w:val="single" w:sz="4" w:space="0" w:color="auto"/>
            </w:tcBorders>
            <w:noWrap/>
            <w:vAlign w:val="bottom"/>
            <w:hideMark/>
          </w:tcPr>
          <w:p w14:paraId="0DC2095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67ED2B4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1.846,75</w:t>
            </w:r>
          </w:p>
        </w:tc>
        <w:tc>
          <w:tcPr>
            <w:tcW w:w="1317" w:type="dxa"/>
            <w:tcBorders>
              <w:top w:val="nil"/>
              <w:left w:val="nil"/>
              <w:bottom w:val="single" w:sz="4" w:space="0" w:color="auto"/>
              <w:right w:val="single" w:sz="4" w:space="0" w:color="auto"/>
            </w:tcBorders>
            <w:noWrap/>
            <w:vAlign w:val="bottom"/>
            <w:hideMark/>
          </w:tcPr>
          <w:p w14:paraId="10A2AA2D"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415,00</w:t>
            </w:r>
          </w:p>
        </w:tc>
        <w:tc>
          <w:tcPr>
            <w:tcW w:w="1357" w:type="dxa"/>
            <w:tcBorders>
              <w:top w:val="nil"/>
              <w:left w:val="nil"/>
              <w:bottom w:val="single" w:sz="4" w:space="0" w:color="auto"/>
              <w:right w:val="single" w:sz="4" w:space="0" w:color="auto"/>
            </w:tcBorders>
            <w:noWrap/>
            <w:vAlign w:val="bottom"/>
            <w:hideMark/>
          </w:tcPr>
          <w:p w14:paraId="4B67303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0B1FD88"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75829CA"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76C7C6F1"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23272140"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Baza cestnih podatkov</w:t>
            </w:r>
          </w:p>
        </w:tc>
        <w:tc>
          <w:tcPr>
            <w:tcW w:w="1853" w:type="dxa"/>
            <w:tcBorders>
              <w:top w:val="nil"/>
              <w:left w:val="nil"/>
              <w:bottom w:val="single" w:sz="4" w:space="0" w:color="auto"/>
              <w:right w:val="single" w:sz="4" w:space="0" w:color="auto"/>
            </w:tcBorders>
            <w:noWrap/>
            <w:vAlign w:val="bottom"/>
            <w:hideMark/>
          </w:tcPr>
          <w:p w14:paraId="2F3357E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4" w:type="dxa"/>
            <w:tcBorders>
              <w:top w:val="nil"/>
              <w:left w:val="single" w:sz="4" w:space="0" w:color="auto"/>
              <w:bottom w:val="single" w:sz="4" w:space="0" w:color="auto"/>
              <w:right w:val="single" w:sz="4" w:space="0" w:color="auto"/>
            </w:tcBorders>
            <w:noWrap/>
            <w:vAlign w:val="bottom"/>
            <w:hideMark/>
          </w:tcPr>
          <w:p w14:paraId="5FC0604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723B884B"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0E89E0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27036B4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936681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7432AA5"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26385134" w14:textId="77777777" w:rsidTr="00FC3BB7">
        <w:trPr>
          <w:trHeight w:val="300"/>
        </w:trPr>
        <w:tc>
          <w:tcPr>
            <w:tcW w:w="4096" w:type="dxa"/>
            <w:tcBorders>
              <w:top w:val="nil"/>
              <w:left w:val="single" w:sz="4" w:space="0" w:color="auto"/>
              <w:bottom w:val="single" w:sz="4" w:space="0" w:color="auto"/>
              <w:right w:val="single" w:sz="4" w:space="0" w:color="auto"/>
            </w:tcBorders>
            <w:shd w:val="clear" w:color="000000" w:fill="D9D9D9"/>
            <w:noWrap/>
            <w:vAlign w:val="bottom"/>
            <w:hideMark/>
          </w:tcPr>
          <w:p w14:paraId="692804EF" w14:textId="77777777" w:rsidR="00FC3BB7" w:rsidRPr="000020F0" w:rsidRDefault="00FC3BB7">
            <w:pP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Skupaj brez DDV</w:t>
            </w:r>
          </w:p>
        </w:tc>
        <w:tc>
          <w:tcPr>
            <w:tcW w:w="1853" w:type="dxa"/>
            <w:tcBorders>
              <w:top w:val="nil"/>
              <w:left w:val="nil"/>
              <w:bottom w:val="single" w:sz="4" w:space="0" w:color="auto"/>
              <w:right w:val="single" w:sz="4" w:space="0" w:color="auto"/>
            </w:tcBorders>
            <w:shd w:val="clear" w:color="000000" w:fill="D9D9D9"/>
            <w:noWrap/>
            <w:vAlign w:val="bottom"/>
            <w:hideMark/>
          </w:tcPr>
          <w:p w14:paraId="3F52288E"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758.030,67</w:t>
            </w:r>
          </w:p>
        </w:tc>
        <w:tc>
          <w:tcPr>
            <w:tcW w:w="1214" w:type="dxa"/>
            <w:tcBorders>
              <w:top w:val="nil"/>
              <w:left w:val="single" w:sz="4" w:space="0" w:color="auto"/>
              <w:bottom w:val="single" w:sz="4" w:space="0" w:color="auto"/>
              <w:right w:val="single" w:sz="4" w:space="0" w:color="auto"/>
            </w:tcBorders>
            <w:shd w:val="clear" w:color="000000" w:fill="D9D9D9"/>
            <w:noWrap/>
            <w:vAlign w:val="bottom"/>
            <w:hideMark/>
          </w:tcPr>
          <w:p w14:paraId="4DEAA05C"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288.908,89</w:t>
            </w:r>
          </w:p>
        </w:tc>
        <w:tc>
          <w:tcPr>
            <w:tcW w:w="1536" w:type="dxa"/>
            <w:tcBorders>
              <w:top w:val="nil"/>
              <w:left w:val="nil"/>
              <w:bottom w:val="single" w:sz="4" w:space="0" w:color="auto"/>
              <w:right w:val="single" w:sz="4" w:space="0" w:color="auto"/>
            </w:tcBorders>
            <w:shd w:val="clear" w:color="000000" w:fill="D9D9D9"/>
            <w:noWrap/>
            <w:vAlign w:val="bottom"/>
            <w:hideMark/>
          </w:tcPr>
          <w:p w14:paraId="3D16BBEB"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15.031,87</w:t>
            </w:r>
          </w:p>
        </w:tc>
        <w:tc>
          <w:tcPr>
            <w:tcW w:w="1317" w:type="dxa"/>
            <w:tcBorders>
              <w:top w:val="nil"/>
              <w:left w:val="nil"/>
              <w:bottom w:val="single" w:sz="4" w:space="0" w:color="auto"/>
              <w:right w:val="single" w:sz="4" w:space="0" w:color="auto"/>
            </w:tcBorders>
            <w:shd w:val="clear" w:color="000000" w:fill="D9D9D9"/>
            <w:noWrap/>
            <w:vAlign w:val="bottom"/>
            <w:hideMark/>
          </w:tcPr>
          <w:p w14:paraId="2C33FFB0"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4.582,18</w:t>
            </w:r>
          </w:p>
        </w:tc>
        <w:tc>
          <w:tcPr>
            <w:tcW w:w="1357" w:type="dxa"/>
            <w:tcBorders>
              <w:top w:val="nil"/>
              <w:left w:val="nil"/>
              <w:bottom w:val="single" w:sz="4" w:space="0" w:color="auto"/>
              <w:right w:val="single" w:sz="4" w:space="0" w:color="auto"/>
            </w:tcBorders>
            <w:shd w:val="clear" w:color="000000" w:fill="D9D9D9"/>
            <w:noWrap/>
            <w:vAlign w:val="bottom"/>
            <w:hideMark/>
          </w:tcPr>
          <w:p w14:paraId="61E4CA31"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7.979,27</w:t>
            </w:r>
          </w:p>
        </w:tc>
        <w:tc>
          <w:tcPr>
            <w:tcW w:w="1656" w:type="dxa"/>
            <w:tcBorders>
              <w:top w:val="nil"/>
              <w:left w:val="nil"/>
              <w:bottom w:val="single" w:sz="4" w:space="0" w:color="auto"/>
              <w:right w:val="single" w:sz="4" w:space="0" w:color="auto"/>
            </w:tcBorders>
            <w:shd w:val="clear" w:color="000000" w:fill="D9D9D9"/>
            <w:noWrap/>
            <w:vAlign w:val="bottom"/>
            <w:hideMark/>
          </w:tcPr>
          <w:p w14:paraId="212DB00A"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407.705,88</w:t>
            </w:r>
          </w:p>
        </w:tc>
        <w:tc>
          <w:tcPr>
            <w:tcW w:w="1377" w:type="dxa"/>
            <w:tcBorders>
              <w:top w:val="nil"/>
              <w:left w:val="nil"/>
              <w:bottom w:val="single" w:sz="4" w:space="0" w:color="auto"/>
              <w:right w:val="single" w:sz="4" w:space="0" w:color="auto"/>
            </w:tcBorders>
            <w:shd w:val="clear" w:color="000000" w:fill="D9D9D9"/>
            <w:noWrap/>
            <w:vAlign w:val="bottom"/>
            <w:hideMark/>
          </w:tcPr>
          <w:p w14:paraId="70C73B3C"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1.955,58</w:t>
            </w:r>
          </w:p>
        </w:tc>
      </w:tr>
      <w:tr w:rsidR="00FC3BB7" w:rsidRPr="000020F0" w14:paraId="4FDA504D"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598FFAA7"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Davek na dodano vrednost</w:t>
            </w:r>
          </w:p>
        </w:tc>
        <w:tc>
          <w:tcPr>
            <w:tcW w:w="1853" w:type="dxa"/>
            <w:tcBorders>
              <w:top w:val="nil"/>
              <w:left w:val="nil"/>
              <w:bottom w:val="single" w:sz="4" w:space="0" w:color="auto"/>
              <w:right w:val="single" w:sz="4" w:space="0" w:color="auto"/>
            </w:tcBorders>
            <w:noWrap/>
            <w:vAlign w:val="bottom"/>
            <w:hideMark/>
          </w:tcPr>
          <w:p w14:paraId="038FAC7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104.927,77</w:t>
            </w:r>
          </w:p>
        </w:tc>
        <w:tc>
          <w:tcPr>
            <w:tcW w:w="1214" w:type="dxa"/>
            <w:tcBorders>
              <w:top w:val="nil"/>
              <w:left w:val="single" w:sz="4" w:space="0" w:color="auto"/>
              <w:bottom w:val="single" w:sz="4" w:space="0" w:color="auto"/>
              <w:right w:val="single" w:sz="4" w:space="0" w:color="auto"/>
            </w:tcBorders>
            <w:noWrap/>
            <w:vAlign w:val="bottom"/>
            <w:hideMark/>
          </w:tcPr>
          <w:p w14:paraId="39D7216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1.720,99</w:t>
            </w:r>
          </w:p>
        </w:tc>
        <w:tc>
          <w:tcPr>
            <w:tcW w:w="1536" w:type="dxa"/>
            <w:tcBorders>
              <w:top w:val="nil"/>
              <w:left w:val="nil"/>
              <w:bottom w:val="single" w:sz="4" w:space="0" w:color="auto"/>
              <w:right w:val="single" w:sz="4" w:space="0" w:color="auto"/>
            </w:tcBorders>
            <w:noWrap/>
            <w:vAlign w:val="bottom"/>
            <w:hideMark/>
          </w:tcPr>
          <w:p w14:paraId="0D282DCE"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3.307,01</w:t>
            </w:r>
          </w:p>
        </w:tc>
        <w:tc>
          <w:tcPr>
            <w:tcW w:w="1317" w:type="dxa"/>
            <w:tcBorders>
              <w:top w:val="nil"/>
              <w:left w:val="nil"/>
              <w:bottom w:val="single" w:sz="4" w:space="0" w:color="auto"/>
              <w:right w:val="single" w:sz="4" w:space="0" w:color="auto"/>
            </w:tcBorders>
            <w:noWrap/>
            <w:vAlign w:val="bottom"/>
            <w:hideMark/>
          </w:tcPr>
          <w:p w14:paraId="5971E7B7"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1.008,08</w:t>
            </w:r>
          </w:p>
        </w:tc>
        <w:tc>
          <w:tcPr>
            <w:tcW w:w="1357" w:type="dxa"/>
            <w:tcBorders>
              <w:top w:val="nil"/>
              <w:left w:val="nil"/>
              <w:bottom w:val="single" w:sz="4" w:space="0" w:color="auto"/>
              <w:right w:val="single" w:sz="4" w:space="0" w:color="auto"/>
            </w:tcBorders>
            <w:noWrap/>
            <w:vAlign w:val="bottom"/>
            <w:hideMark/>
          </w:tcPr>
          <w:p w14:paraId="01D333F2"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1E7C83F0"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89.695,29</w:t>
            </w:r>
          </w:p>
        </w:tc>
        <w:tc>
          <w:tcPr>
            <w:tcW w:w="1377" w:type="dxa"/>
            <w:tcBorders>
              <w:top w:val="nil"/>
              <w:left w:val="nil"/>
              <w:bottom w:val="single" w:sz="4" w:space="0" w:color="auto"/>
              <w:right w:val="single" w:sz="4" w:space="0" w:color="auto"/>
            </w:tcBorders>
            <w:noWrap/>
            <w:vAlign w:val="bottom"/>
            <w:hideMark/>
          </w:tcPr>
          <w:p w14:paraId="29DE4A6F"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430,23</w:t>
            </w:r>
          </w:p>
        </w:tc>
      </w:tr>
      <w:tr w:rsidR="00FC3BB7" w:rsidRPr="000020F0" w14:paraId="71466266" w14:textId="77777777" w:rsidTr="00FC3BB7">
        <w:trPr>
          <w:trHeight w:val="285"/>
        </w:trPr>
        <w:tc>
          <w:tcPr>
            <w:tcW w:w="4096" w:type="dxa"/>
            <w:tcBorders>
              <w:top w:val="nil"/>
              <w:left w:val="single" w:sz="4" w:space="0" w:color="auto"/>
              <w:bottom w:val="single" w:sz="4" w:space="0" w:color="auto"/>
              <w:right w:val="single" w:sz="4" w:space="0" w:color="auto"/>
            </w:tcBorders>
            <w:noWrap/>
            <w:vAlign w:val="bottom"/>
            <w:hideMark/>
          </w:tcPr>
          <w:p w14:paraId="05477ADC" w14:textId="77777777" w:rsidR="00FC3BB7" w:rsidRPr="000020F0" w:rsidRDefault="00FC3BB7">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Povračljiv davek na dodano vrednost</w:t>
            </w:r>
          </w:p>
        </w:tc>
        <w:tc>
          <w:tcPr>
            <w:tcW w:w="1853" w:type="dxa"/>
            <w:tcBorders>
              <w:top w:val="nil"/>
              <w:left w:val="nil"/>
              <w:bottom w:val="single" w:sz="4" w:space="0" w:color="auto"/>
              <w:right w:val="single" w:sz="4" w:space="0" w:color="auto"/>
            </w:tcBorders>
            <w:noWrap/>
            <w:vAlign w:val="bottom"/>
            <w:hideMark/>
          </w:tcPr>
          <w:p w14:paraId="2240F81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21.362,57</w:t>
            </w:r>
          </w:p>
        </w:tc>
        <w:tc>
          <w:tcPr>
            <w:tcW w:w="1214" w:type="dxa"/>
            <w:tcBorders>
              <w:top w:val="nil"/>
              <w:left w:val="single" w:sz="4" w:space="0" w:color="auto"/>
              <w:bottom w:val="single" w:sz="4" w:space="0" w:color="auto"/>
              <w:right w:val="single" w:sz="4" w:space="0" w:color="auto"/>
            </w:tcBorders>
            <w:noWrap/>
            <w:vAlign w:val="bottom"/>
            <w:hideMark/>
          </w:tcPr>
          <w:p w14:paraId="3179ECE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D8271B9"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051A033"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67B7DC6"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A94E614"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21.362,57</w:t>
            </w:r>
          </w:p>
        </w:tc>
        <w:tc>
          <w:tcPr>
            <w:tcW w:w="1377" w:type="dxa"/>
            <w:tcBorders>
              <w:top w:val="nil"/>
              <w:left w:val="nil"/>
              <w:bottom w:val="single" w:sz="4" w:space="0" w:color="auto"/>
              <w:right w:val="single" w:sz="4" w:space="0" w:color="auto"/>
            </w:tcBorders>
            <w:noWrap/>
            <w:vAlign w:val="bottom"/>
            <w:hideMark/>
          </w:tcPr>
          <w:p w14:paraId="1D4B6AA1" w14:textId="77777777" w:rsidR="00FC3BB7" w:rsidRPr="000020F0" w:rsidRDefault="00FC3BB7">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FC3BB7" w:rsidRPr="000020F0" w14:paraId="192AF718" w14:textId="77777777" w:rsidTr="00FC3BB7">
        <w:trPr>
          <w:trHeight w:val="300"/>
        </w:trPr>
        <w:tc>
          <w:tcPr>
            <w:tcW w:w="4096" w:type="dxa"/>
            <w:tcBorders>
              <w:top w:val="nil"/>
              <w:left w:val="single" w:sz="4" w:space="0" w:color="auto"/>
              <w:bottom w:val="single" w:sz="4" w:space="0" w:color="auto"/>
              <w:right w:val="single" w:sz="4" w:space="0" w:color="auto"/>
            </w:tcBorders>
            <w:shd w:val="clear" w:color="000000" w:fill="D9D9D9"/>
            <w:noWrap/>
            <w:vAlign w:val="bottom"/>
            <w:hideMark/>
          </w:tcPr>
          <w:p w14:paraId="3439E0EF" w14:textId="77777777" w:rsidR="00FC3BB7" w:rsidRPr="000020F0" w:rsidRDefault="00FC3BB7">
            <w:pP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Skupaj z davkom na dodano vrednost</w:t>
            </w:r>
          </w:p>
        </w:tc>
        <w:tc>
          <w:tcPr>
            <w:tcW w:w="1853" w:type="dxa"/>
            <w:tcBorders>
              <w:top w:val="nil"/>
              <w:left w:val="nil"/>
              <w:bottom w:val="single" w:sz="4" w:space="0" w:color="auto"/>
              <w:right w:val="single" w:sz="4" w:space="0" w:color="auto"/>
            </w:tcBorders>
            <w:shd w:val="clear" w:color="000000" w:fill="D9D9D9"/>
            <w:noWrap/>
            <w:vAlign w:val="bottom"/>
            <w:hideMark/>
          </w:tcPr>
          <w:p w14:paraId="2B7710A9"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862.958,44</w:t>
            </w:r>
          </w:p>
        </w:tc>
        <w:tc>
          <w:tcPr>
            <w:tcW w:w="1214" w:type="dxa"/>
            <w:tcBorders>
              <w:top w:val="nil"/>
              <w:left w:val="single" w:sz="4" w:space="0" w:color="auto"/>
              <w:bottom w:val="single" w:sz="4" w:space="0" w:color="auto"/>
              <w:right w:val="single" w:sz="4" w:space="0" w:color="auto"/>
            </w:tcBorders>
            <w:shd w:val="clear" w:color="000000" w:fill="D9D9D9"/>
            <w:noWrap/>
            <w:vAlign w:val="bottom"/>
            <w:hideMark/>
          </w:tcPr>
          <w:p w14:paraId="11C6E316"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290.629,88</w:t>
            </w:r>
          </w:p>
        </w:tc>
        <w:tc>
          <w:tcPr>
            <w:tcW w:w="1536" w:type="dxa"/>
            <w:tcBorders>
              <w:top w:val="nil"/>
              <w:left w:val="nil"/>
              <w:bottom w:val="single" w:sz="4" w:space="0" w:color="auto"/>
              <w:right w:val="single" w:sz="4" w:space="0" w:color="auto"/>
            </w:tcBorders>
            <w:shd w:val="clear" w:color="000000" w:fill="D9D9D9"/>
            <w:noWrap/>
            <w:vAlign w:val="bottom"/>
            <w:hideMark/>
          </w:tcPr>
          <w:p w14:paraId="1602859B"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18.338,88</w:t>
            </w:r>
          </w:p>
        </w:tc>
        <w:tc>
          <w:tcPr>
            <w:tcW w:w="1317" w:type="dxa"/>
            <w:tcBorders>
              <w:top w:val="nil"/>
              <w:left w:val="nil"/>
              <w:bottom w:val="single" w:sz="4" w:space="0" w:color="auto"/>
              <w:right w:val="single" w:sz="4" w:space="0" w:color="auto"/>
            </w:tcBorders>
            <w:shd w:val="clear" w:color="000000" w:fill="D9D9D9"/>
            <w:noWrap/>
            <w:vAlign w:val="bottom"/>
            <w:hideMark/>
          </w:tcPr>
          <w:p w14:paraId="79CC5123"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5.590,26</w:t>
            </w:r>
          </w:p>
        </w:tc>
        <w:tc>
          <w:tcPr>
            <w:tcW w:w="1357" w:type="dxa"/>
            <w:tcBorders>
              <w:top w:val="nil"/>
              <w:left w:val="nil"/>
              <w:bottom w:val="single" w:sz="4" w:space="0" w:color="auto"/>
              <w:right w:val="single" w:sz="4" w:space="0" w:color="auto"/>
            </w:tcBorders>
            <w:shd w:val="clear" w:color="000000" w:fill="D9D9D9"/>
            <w:noWrap/>
            <w:vAlign w:val="bottom"/>
            <w:hideMark/>
          </w:tcPr>
          <w:p w14:paraId="2E51B702"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7.979,27</w:t>
            </w:r>
          </w:p>
        </w:tc>
        <w:tc>
          <w:tcPr>
            <w:tcW w:w="1656" w:type="dxa"/>
            <w:tcBorders>
              <w:top w:val="nil"/>
              <w:left w:val="nil"/>
              <w:bottom w:val="single" w:sz="4" w:space="0" w:color="auto"/>
              <w:right w:val="single" w:sz="4" w:space="0" w:color="auto"/>
            </w:tcBorders>
            <w:shd w:val="clear" w:color="000000" w:fill="D9D9D9"/>
            <w:noWrap/>
            <w:vAlign w:val="bottom"/>
            <w:hideMark/>
          </w:tcPr>
          <w:p w14:paraId="0FE694FB"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497.401,17</w:t>
            </w:r>
          </w:p>
        </w:tc>
        <w:tc>
          <w:tcPr>
            <w:tcW w:w="1377" w:type="dxa"/>
            <w:tcBorders>
              <w:top w:val="nil"/>
              <w:left w:val="nil"/>
              <w:bottom w:val="single" w:sz="4" w:space="0" w:color="auto"/>
              <w:right w:val="single" w:sz="4" w:space="0" w:color="auto"/>
            </w:tcBorders>
            <w:shd w:val="clear" w:color="000000" w:fill="D9D9D9"/>
            <w:noWrap/>
            <w:vAlign w:val="bottom"/>
            <w:hideMark/>
          </w:tcPr>
          <w:p w14:paraId="1BEE1F14" w14:textId="77777777" w:rsidR="00FC3BB7" w:rsidRPr="000020F0" w:rsidRDefault="00FC3BB7">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2.385,81</w:t>
            </w:r>
          </w:p>
        </w:tc>
      </w:tr>
    </w:tbl>
    <w:p w14:paraId="11ECB464" w14:textId="77777777" w:rsidR="00FC3BB7" w:rsidRPr="000020F0" w:rsidRDefault="00FC3BB7" w:rsidP="00BD1D20">
      <w:pPr>
        <w:spacing w:after="120" w:line="276" w:lineRule="auto"/>
        <w:jc w:val="both"/>
        <w:rPr>
          <w:rFonts w:asciiTheme="majorHAnsi" w:hAnsiTheme="majorHAnsi" w:cstheme="majorHAnsi"/>
          <w:b/>
          <w:sz w:val="22"/>
          <w:szCs w:val="22"/>
        </w:rPr>
      </w:pPr>
    </w:p>
    <w:p w14:paraId="26B913A2" w14:textId="2955BC82" w:rsidR="008D1C61" w:rsidRPr="000020F0" w:rsidRDefault="008D1C61" w:rsidP="00BD1D20">
      <w:pPr>
        <w:spacing w:after="120" w:line="276" w:lineRule="auto"/>
        <w:jc w:val="both"/>
        <w:rPr>
          <w:rFonts w:asciiTheme="majorHAnsi" w:hAnsiTheme="majorHAnsi" w:cstheme="majorHAnsi"/>
          <w:sz w:val="22"/>
          <w:szCs w:val="22"/>
        </w:rPr>
      </w:pPr>
      <w:bookmarkStart w:id="359" w:name="_Toc230882302"/>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22</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Viri financiranja v stalnih cenah v EUR</w:t>
      </w:r>
      <w:bookmarkEnd w:id="359"/>
      <w:r w:rsidRPr="000020F0">
        <w:rPr>
          <w:rFonts w:asciiTheme="majorHAnsi" w:hAnsiTheme="majorHAnsi" w:cstheme="majorHAnsi"/>
          <w:sz w:val="22"/>
          <w:szCs w:val="22"/>
        </w:rPr>
        <w:t xml:space="preserve"> </w:t>
      </w:r>
    </w:p>
    <w:tbl>
      <w:tblPr>
        <w:tblW w:w="5000" w:type="pct"/>
        <w:tblCellMar>
          <w:left w:w="70" w:type="dxa"/>
          <w:right w:w="70" w:type="dxa"/>
        </w:tblCellMar>
        <w:tblLook w:val="04A0" w:firstRow="1" w:lastRow="0" w:firstColumn="1" w:lastColumn="0" w:noHBand="0" w:noVBand="1"/>
      </w:tblPr>
      <w:tblGrid>
        <w:gridCol w:w="2976"/>
        <w:gridCol w:w="1433"/>
        <w:gridCol w:w="1293"/>
        <w:gridCol w:w="1416"/>
        <w:gridCol w:w="1593"/>
        <w:gridCol w:w="1365"/>
        <w:gridCol w:w="1331"/>
        <w:gridCol w:w="1505"/>
        <w:gridCol w:w="1365"/>
      </w:tblGrid>
      <w:tr w:rsidR="00D63958" w:rsidRPr="000020F0" w14:paraId="29ECB392" w14:textId="77777777" w:rsidTr="00CC4948">
        <w:trPr>
          <w:trHeight w:val="300"/>
          <w:tblHeader/>
        </w:trPr>
        <w:tc>
          <w:tcPr>
            <w:tcW w:w="1042" w:type="pct"/>
            <w:tcBorders>
              <w:top w:val="single" w:sz="4" w:space="0" w:color="auto"/>
              <w:left w:val="single" w:sz="4" w:space="0" w:color="auto"/>
              <w:bottom w:val="single" w:sz="4" w:space="0" w:color="auto"/>
              <w:right w:val="single" w:sz="4" w:space="0" w:color="auto"/>
            </w:tcBorders>
            <w:shd w:val="clear" w:color="000000" w:fill="0B3040"/>
            <w:vAlign w:val="bottom"/>
            <w:hideMark/>
          </w:tcPr>
          <w:p w14:paraId="41B8623D"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VIRI FINANCIRANJA</w:t>
            </w:r>
          </w:p>
        </w:tc>
        <w:tc>
          <w:tcPr>
            <w:tcW w:w="502" w:type="pct"/>
            <w:tcBorders>
              <w:top w:val="single" w:sz="4" w:space="0" w:color="auto"/>
              <w:left w:val="nil"/>
              <w:bottom w:val="single" w:sz="4" w:space="0" w:color="auto"/>
              <w:right w:val="single" w:sz="4" w:space="0" w:color="auto"/>
            </w:tcBorders>
            <w:shd w:val="clear" w:color="000000" w:fill="0B3040"/>
            <w:noWrap/>
            <w:vAlign w:val="bottom"/>
            <w:hideMark/>
          </w:tcPr>
          <w:p w14:paraId="599DA376"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SKUPAJ</w:t>
            </w:r>
          </w:p>
        </w:tc>
        <w:tc>
          <w:tcPr>
            <w:tcW w:w="453" w:type="pct"/>
            <w:tcBorders>
              <w:top w:val="single" w:sz="4" w:space="0" w:color="auto"/>
              <w:left w:val="nil"/>
              <w:bottom w:val="single" w:sz="4" w:space="0" w:color="auto"/>
              <w:right w:val="single" w:sz="4" w:space="0" w:color="auto"/>
            </w:tcBorders>
            <w:shd w:val="clear" w:color="000000" w:fill="0B3040"/>
            <w:noWrap/>
            <w:vAlign w:val="bottom"/>
            <w:hideMark/>
          </w:tcPr>
          <w:p w14:paraId="0F94D5E3"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DELEŽ</w:t>
            </w:r>
          </w:p>
        </w:tc>
        <w:tc>
          <w:tcPr>
            <w:tcW w:w="496" w:type="pct"/>
            <w:tcBorders>
              <w:top w:val="single" w:sz="4" w:space="0" w:color="auto"/>
              <w:left w:val="nil"/>
              <w:bottom w:val="single" w:sz="4" w:space="0" w:color="auto"/>
              <w:right w:val="single" w:sz="4" w:space="0" w:color="auto"/>
            </w:tcBorders>
            <w:shd w:val="clear" w:color="000000" w:fill="0B3040"/>
            <w:noWrap/>
            <w:vAlign w:val="bottom"/>
            <w:hideMark/>
          </w:tcPr>
          <w:p w14:paraId="5BDE2E25"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558" w:type="pct"/>
            <w:tcBorders>
              <w:top w:val="single" w:sz="4" w:space="0" w:color="auto"/>
              <w:left w:val="nil"/>
              <w:bottom w:val="single" w:sz="4" w:space="0" w:color="auto"/>
              <w:right w:val="single" w:sz="4" w:space="0" w:color="auto"/>
            </w:tcBorders>
            <w:shd w:val="clear" w:color="000000" w:fill="0B3040"/>
            <w:noWrap/>
            <w:vAlign w:val="bottom"/>
            <w:hideMark/>
          </w:tcPr>
          <w:p w14:paraId="759D229F"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28461E28"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466" w:type="pct"/>
            <w:tcBorders>
              <w:top w:val="single" w:sz="4" w:space="0" w:color="auto"/>
              <w:left w:val="nil"/>
              <w:bottom w:val="single" w:sz="4" w:space="0" w:color="auto"/>
              <w:right w:val="single" w:sz="4" w:space="0" w:color="auto"/>
            </w:tcBorders>
            <w:shd w:val="clear" w:color="000000" w:fill="0B3040"/>
            <w:noWrap/>
            <w:vAlign w:val="bottom"/>
            <w:hideMark/>
          </w:tcPr>
          <w:p w14:paraId="24FFA9B1"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527" w:type="pct"/>
            <w:tcBorders>
              <w:top w:val="single" w:sz="4" w:space="0" w:color="auto"/>
              <w:left w:val="nil"/>
              <w:bottom w:val="single" w:sz="4" w:space="0" w:color="auto"/>
              <w:right w:val="single" w:sz="4" w:space="0" w:color="auto"/>
            </w:tcBorders>
            <w:shd w:val="clear" w:color="000000" w:fill="0B3040"/>
            <w:noWrap/>
            <w:vAlign w:val="bottom"/>
            <w:hideMark/>
          </w:tcPr>
          <w:p w14:paraId="7F1DB7E0"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3223FEA4"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190A7C" w:rsidRPr="000020F0" w14:paraId="6BD25778" w14:textId="77777777" w:rsidTr="00CC494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78B1A148" w14:textId="77777777" w:rsidR="00190A7C" w:rsidRPr="000020F0" w:rsidRDefault="00190A7C" w:rsidP="00190A7C">
            <w:pPr>
              <w:rPr>
                <w:rFonts w:ascii="Arial" w:hAnsi="Arial" w:cs="Arial"/>
                <w:b/>
                <w:bCs/>
                <w:color w:val="000000"/>
                <w:sz w:val="20"/>
                <w:szCs w:val="20"/>
              </w:rPr>
            </w:pPr>
            <w:r w:rsidRPr="000020F0">
              <w:rPr>
                <w:rFonts w:ascii="Arial" w:hAnsi="Arial" w:cs="Arial"/>
                <w:b/>
                <w:bCs/>
                <w:color w:val="000000"/>
                <w:sz w:val="20"/>
                <w:szCs w:val="20"/>
              </w:rPr>
              <w:t>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51853EAB" w14:textId="197A1F0B"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2.414.198,33</w:t>
            </w:r>
          </w:p>
        </w:tc>
        <w:tc>
          <w:tcPr>
            <w:tcW w:w="453" w:type="pct"/>
            <w:tcBorders>
              <w:top w:val="nil"/>
              <w:left w:val="nil"/>
              <w:bottom w:val="single" w:sz="4" w:space="0" w:color="auto"/>
              <w:right w:val="single" w:sz="4" w:space="0" w:color="auto"/>
            </w:tcBorders>
            <w:shd w:val="clear" w:color="000000" w:fill="D9D9D9"/>
            <w:noWrap/>
            <w:vAlign w:val="bottom"/>
            <w:hideMark/>
          </w:tcPr>
          <w:p w14:paraId="7FC1F52B" w14:textId="5AC6A5D6"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73,67%</w:t>
            </w:r>
          </w:p>
        </w:tc>
        <w:tc>
          <w:tcPr>
            <w:tcW w:w="496" w:type="pct"/>
            <w:tcBorders>
              <w:top w:val="nil"/>
              <w:left w:val="nil"/>
              <w:bottom w:val="single" w:sz="4" w:space="0" w:color="auto"/>
              <w:right w:val="single" w:sz="4" w:space="0" w:color="auto"/>
            </w:tcBorders>
            <w:shd w:val="clear" w:color="000000" w:fill="D9D9D9"/>
            <w:noWrap/>
            <w:vAlign w:val="bottom"/>
            <w:hideMark/>
          </w:tcPr>
          <w:p w14:paraId="4EE764A9" w14:textId="2EF987F9"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558" w:type="pct"/>
            <w:tcBorders>
              <w:top w:val="nil"/>
              <w:left w:val="nil"/>
              <w:bottom w:val="single" w:sz="4" w:space="0" w:color="auto"/>
              <w:right w:val="single" w:sz="4" w:space="0" w:color="auto"/>
            </w:tcBorders>
            <w:shd w:val="clear" w:color="000000" w:fill="D9D9D9"/>
            <w:noWrap/>
            <w:vAlign w:val="bottom"/>
            <w:hideMark/>
          </w:tcPr>
          <w:p w14:paraId="1E0D92EB" w14:textId="4120C1EC"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478" w:type="pct"/>
            <w:tcBorders>
              <w:top w:val="nil"/>
              <w:left w:val="nil"/>
              <w:bottom w:val="single" w:sz="4" w:space="0" w:color="auto"/>
              <w:right w:val="single" w:sz="4" w:space="0" w:color="auto"/>
            </w:tcBorders>
            <w:shd w:val="clear" w:color="000000" w:fill="D9D9D9"/>
            <w:noWrap/>
            <w:vAlign w:val="bottom"/>
            <w:hideMark/>
          </w:tcPr>
          <w:p w14:paraId="09CA0DF4" w14:textId="720B73D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466" w:type="pct"/>
            <w:tcBorders>
              <w:top w:val="nil"/>
              <w:left w:val="nil"/>
              <w:bottom w:val="single" w:sz="4" w:space="0" w:color="auto"/>
              <w:right w:val="single" w:sz="4" w:space="0" w:color="auto"/>
            </w:tcBorders>
            <w:shd w:val="clear" w:color="000000" w:fill="D9D9D9"/>
            <w:noWrap/>
            <w:vAlign w:val="bottom"/>
            <w:hideMark/>
          </w:tcPr>
          <w:p w14:paraId="2785EF2E" w14:textId="709F96DB"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745.682,19</w:t>
            </w:r>
          </w:p>
        </w:tc>
        <w:tc>
          <w:tcPr>
            <w:tcW w:w="527" w:type="pct"/>
            <w:tcBorders>
              <w:top w:val="nil"/>
              <w:left w:val="nil"/>
              <w:bottom w:val="single" w:sz="4" w:space="0" w:color="auto"/>
              <w:right w:val="single" w:sz="4" w:space="0" w:color="auto"/>
            </w:tcBorders>
            <w:shd w:val="clear" w:color="000000" w:fill="D9D9D9"/>
            <w:noWrap/>
            <w:vAlign w:val="bottom"/>
            <w:hideMark/>
          </w:tcPr>
          <w:p w14:paraId="583591A0" w14:textId="70B49F73"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1.479.340,38</w:t>
            </w:r>
          </w:p>
        </w:tc>
        <w:tc>
          <w:tcPr>
            <w:tcW w:w="478" w:type="pct"/>
            <w:tcBorders>
              <w:top w:val="nil"/>
              <w:left w:val="nil"/>
              <w:bottom w:val="single" w:sz="4" w:space="0" w:color="auto"/>
              <w:right w:val="single" w:sz="4" w:space="0" w:color="auto"/>
            </w:tcBorders>
            <w:shd w:val="clear" w:color="000000" w:fill="D9D9D9"/>
            <w:noWrap/>
            <w:vAlign w:val="bottom"/>
            <w:hideMark/>
          </w:tcPr>
          <w:p w14:paraId="1A207FC5" w14:textId="67D66F84"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69.140,98</w:t>
            </w:r>
          </w:p>
        </w:tc>
      </w:tr>
      <w:tr w:rsidR="00190A7C" w:rsidRPr="000020F0" w14:paraId="5301D9B2"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7F728B8E"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6860B541" w14:textId="7860E8B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1.641.654,86</w:t>
            </w:r>
          </w:p>
        </w:tc>
        <w:tc>
          <w:tcPr>
            <w:tcW w:w="453" w:type="pct"/>
            <w:tcBorders>
              <w:top w:val="nil"/>
              <w:left w:val="nil"/>
              <w:bottom w:val="single" w:sz="4" w:space="0" w:color="auto"/>
              <w:right w:val="single" w:sz="4" w:space="0" w:color="auto"/>
            </w:tcBorders>
            <w:noWrap/>
            <w:vAlign w:val="bottom"/>
            <w:hideMark/>
          </w:tcPr>
          <w:p w14:paraId="61166364" w14:textId="1D31724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50,09%</w:t>
            </w:r>
          </w:p>
        </w:tc>
        <w:tc>
          <w:tcPr>
            <w:tcW w:w="496" w:type="pct"/>
            <w:tcBorders>
              <w:top w:val="nil"/>
              <w:left w:val="nil"/>
              <w:bottom w:val="single" w:sz="4" w:space="0" w:color="auto"/>
              <w:right w:val="single" w:sz="4" w:space="0" w:color="auto"/>
            </w:tcBorders>
            <w:noWrap/>
            <w:vAlign w:val="bottom"/>
            <w:hideMark/>
          </w:tcPr>
          <w:p w14:paraId="32EFD8EF" w14:textId="01C9941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366207FD" w14:textId="6140EB5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69D95378" w14:textId="1AD76AE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51640546" w14:textId="31F62F8A"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507.063,89</w:t>
            </w:r>
          </w:p>
        </w:tc>
        <w:tc>
          <w:tcPr>
            <w:tcW w:w="527" w:type="pct"/>
            <w:tcBorders>
              <w:top w:val="nil"/>
              <w:left w:val="nil"/>
              <w:bottom w:val="single" w:sz="4" w:space="0" w:color="auto"/>
              <w:right w:val="single" w:sz="4" w:space="0" w:color="auto"/>
            </w:tcBorders>
            <w:noWrap/>
            <w:vAlign w:val="bottom"/>
            <w:hideMark/>
          </w:tcPr>
          <w:p w14:paraId="052B30BD" w14:textId="7AF264F0"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1.005.951,46</w:t>
            </w:r>
          </w:p>
        </w:tc>
        <w:tc>
          <w:tcPr>
            <w:tcW w:w="478" w:type="pct"/>
            <w:tcBorders>
              <w:top w:val="nil"/>
              <w:left w:val="nil"/>
              <w:bottom w:val="single" w:sz="4" w:space="0" w:color="auto"/>
              <w:right w:val="single" w:sz="4" w:space="0" w:color="auto"/>
            </w:tcBorders>
            <w:noWrap/>
            <w:vAlign w:val="bottom"/>
            <w:hideMark/>
          </w:tcPr>
          <w:p w14:paraId="64F9821F" w14:textId="586F102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47.015,86</w:t>
            </w:r>
          </w:p>
        </w:tc>
      </w:tr>
      <w:tr w:rsidR="00190A7C" w:rsidRPr="000020F0" w14:paraId="2B5FD96A"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090953DD"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45E302BA" w14:textId="3C12B99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289.703,81</w:t>
            </w:r>
          </w:p>
        </w:tc>
        <w:tc>
          <w:tcPr>
            <w:tcW w:w="453" w:type="pct"/>
            <w:tcBorders>
              <w:top w:val="nil"/>
              <w:left w:val="nil"/>
              <w:bottom w:val="single" w:sz="4" w:space="0" w:color="auto"/>
              <w:right w:val="single" w:sz="4" w:space="0" w:color="auto"/>
            </w:tcBorders>
            <w:noWrap/>
            <w:vAlign w:val="bottom"/>
            <w:hideMark/>
          </w:tcPr>
          <w:p w14:paraId="30EC7150" w14:textId="2D4CC23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8,84%</w:t>
            </w:r>
          </w:p>
        </w:tc>
        <w:tc>
          <w:tcPr>
            <w:tcW w:w="496" w:type="pct"/>
            <w:tcBorders>
              <w:top w:val="nil"/>
              <w:left w:val="nil"/>
              <w:bottom w:val="single" w:sz="4" w:space="0" w:color="auto"/>
              <w:right w:val="single" w:sz="4" w:space="0" w:color="auto"/>
            </w:tcBorders>
            <w:noWrap/>
            <w:vAlign w:val="bottom"/>
            <w:hideMark/>
          </w:tcPr>
          <w:p w14:paraId="79C3D86F" w14:textId="73B9C29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848,56</w:t>
            </w:r>
          </w:p>
        </w:tc>
        <w:tc>
          <w:tcPr>
            <w:tcW w:w="558" w:type="pct"/>
            <w:tcBorders>
              <w:top w:val="nil"/>
              <w:left w:val="nil"/>
              <w:bottom w:val="single" w:sz="4" w:space="0" w:color="auto"/>
              <w:right w:val="single" w:sz="4" w:space="0" w:color="auto"/>
            </w:tcBorders>
            <w:noWrap/>
            <w:vAlign w:val="bottom"/>
            <w:hideMark/>
          </w:tcPr>
          <w:p w14:paraId="69531A60" w14:textId="16521ED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3427BF0D" w14:textId="3043584A"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73D917F5" w14:textId="4521F51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89.481,86</w:t>
            </w:r>
          </w:p>
        </w:tc>
        <w:tc>
          <w:tcPr>
            <w:tcW w:w="527" w:type="pct"/>
            <w:tcBorders>
              <w:top w:val="nil"/>
              <w:left w:val="nil"/>
              <w:bottom w:val="single" w:sz="4" w:space="0" w:color="auto"/>
              <w:right w:val="single" w:sz="4" w:space="0" w:color="auto"/>
            </w:tcBorders>
            <w:noWrap/>
            <w:vAlign w:val="bottom"/>
            <w:hideMark/>
          </w:tcPr>
          <w:p w14:paraId="6A7901B8" w14:textId="6D81FBC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177.520,85</w:t>
            </w:r>
          </w:p>
        </w:tc>
        <w:tc>
          <w:tcPr>
            <w:tcW w:w="478" w:type="pct"/>
            <w:tcBorders>
              <w:top w:val="nil"/>
              <w:left w:val="nil"/>
              <w:bottom w:val="single" w:sz="4" w:space="0" w:color="auto"/>
              <w:right w:val="single" w:sz="4" w:space="0" w:color="auto"/>
            </w:tcBorders>
            <w:noWrap/>
            <w:vAlign w:val="bottom"/>
            <w:hideMark/>
          </w:tcPr>
          <w:p w14:paraId="3F43E974" w14:textId="7554D30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8.296,92</w:t>
            </w:r>
          </w:p>
        </w:tc>
      </w:tr>
      <w:tr w:rsidR="00190A7C" w:rsidRPr="000020F0" w14:paraId="77C5B839"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17247BEC"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6DB2B9FD" w14:textId="18CCB3D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482.839,66</w:t>
            </w:r>
          </w:p>
        </w:tc>
        <w:tc>
          <w:tcPr>
            <w:tcW w:w="453" w:type="pct"/>
            <w:tcBorders>
              <w:top w:val="nil"/>
              <w:left w:val="nil"/>
              <w:bottom w:val="single" w:sz="4" w:space="0" w:color="auto"/>
              <w:right w:val="single" w:sz="4" w:space="0" w:color="auto"/>
            </w:tcBorders>
            <w:noWrap/>
            <w:vAlign w:val="bottom"/>
            <w:hideMark/>
          </w:tcPr>
          <w:p w14:paraId="7C961405" w14:textId="33CCBD7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14,73%</w:t>
            </w:r>
          </w:p>
        </w:tc>
        <w:tc>
          <w:tcPr>
            <w:tcW w:w="496" w:type="pct"/>
            <w:tcBorders>
              <w:top w:val="nil"/>
              <w:left w:val="nil"/>
              <w:bottom w:val="single" w:sz="4" w:space="0" w:color="auto"/>
              <w:right w:val="single" w:sz="4" w:space="0" w:color="auto"/>
            </w:tcBorders>
            <w:noWrap/>
            <w:vAlign w:val="bottom"/>
            <w:hideMark/>
          </w:tcPr>
          <w:p w14:paraId="248B006D" w14:textId="3C833821"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1.414,25</w:t>
            </w:r>
          </w:p>
        </w:tc>
        <w:tc>
          <w:tcPr>
            <w:tcW w:w="558" w:type="pct"/>
            <w:tcBorders>
              <w:top w:val="nil"/>
              <w:left w:val="nil"/>
              <w:bottom w:val="single" w:sz="4" w:space="0" w:color="auto"/>
              <w:right w:val="single" w:sz="4" w:space="0" w:color="auto"/>
            </w:tcBorders>
            <w:noWrap/>
            <w:vAlign w:val="bottom"/>
            <w:hideMark/>
          </w:tcPr>
          <w:p w14:paraId="039C0BC6" w14:textId="3F97740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15.515,43</w:t>
            </w:r>
          </w:p>
        </w:tc>
        <w:tc>
          <w:tcPr>
            <w:tcW w:w="478" w:type="pct"/>
            <w:tcBorders>
              <w:top w:val="nil"/>
              <w:left w:val="nil"/>
              <w:bottom w:val="single" w:sz="4" w:space="0" w:color="auto"/>
              <w:right w:val="single" w:sz="4" w:space="0" w:color="auto"/>
            </w:tcBorders>
            <w:noWrap/>
            <w:vAlign w:val="bottom"/>
            <w:hideMark/>
          </w:tcPr>
          <w:p w14:paraId="147C6AEC" w14:textId="458D34C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7.077,27</w:t>
            </w:r>
          </w:p>
        </w:tc>
        <w:tc>
          <w:tcPr>
            <w:tcW w:w="466" w:type="pct"/>
            <w:tcBorders>
              <w:top w:val="nil"/>
              <w:left w:val="nil"/>
              <w:bottom w:val="single" w:sz="4" w:space="0" w:color="auto"/>
              <w:right w:val="single" w:sz="4" w:space="0" w:color="auto"/>
            </w:tcBorders>
            <w:noWrap/>
            <w:vAlign w:val="bottom"/>
            <w:hideMark/>
          </w:tcPr>
          <w:p w14:paraId="041E97DC" w14:textId="1F5B01D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149.136,44</w:t>
            </w:r>
          </w:p>
        </w:tc>
        <w:tc>
          <w:tcPr>
            <w:tcW w:w="527" w:type="pct"/>
            <w:tcBorders>
              <w:top w:val="nil"/>
              <w:left w:val="nil"/>
              <w:bottom w:val="single" w:sz="4" w:space="0" w:color="auto"/>
              <w:right w:val="single" w:sz="4" w:space="0" w:color="auto"/>
            </w:tcBorders>
            <w:noWrap/>
            <w:vAlign w:val="bottom"/>
            <w:hideMark/>
          </w:tcPr>
          <w:p w14:paraId="24B48846" w14:textId="4E127090"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295.868,07</w:t>
            </w:r>
          </w:p>
        </w:tc>
        <w:tc>
          <w:tcPr>
            <w:tcW w:w="478" w:type="pct"/>
            <w:tcBorders>
              <w:top w:val="nil"/>
              <w:left w:val="nil"/>
              <w:bottom w:val="single" w:sz="4" w:space="0" w:color="auto"/>
              <w:right w:val="single" w:sz="4" w:space="0" w:color="auto"/>
            </w:tcBorders>
            <w:noWrap/>
            <w:vAlign w:val="bottom"/>
            <w:hideMark/>
          </w:tcPr>
          <w:p w14:paraId="3CDCA57E" w14:textId="0ED89B5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13.828,20</w:t>
            </w:r>
          </w:p>
        </w:tc>
      </w:tr>
      <w:tr w:rsidR="00190A7C" w:rsidRPr="000020F0" w14:paraId="7260550E" w14:textId="77777777" w:rsidTr="00CC4948">
        <w:trPr>
          <w:trHeight w:val="468"/>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773960A9" w14:textId="77777777" w:rsidR="00190A7C" w:rsidRPr="000020F0" w:rsidRDefault="00190A7C" w:rsidP="00190A7C">
            <w:pPr>
              <w:rPr>
                <w:rFonts w:ascii="Arial" w:hAnsi="Arial" w:cs="Arial"/>
                <w:b/>
                <w:bCs/>
                <w:color w:val="000000"/>
                <w:sz w:val="20"/>
                <w:szCs w:val="20"/>
              </w:rPr>
            </w:pPr>
            <w:r w:rsidRPr="000020F0">
              <w:rPr>
                <w:rFonts w:ascii="Arial" w:hAnsi="Arial" w:cs="Arial"/>
                <w:b/>
                <w:bCs/>
                <w:color w:val="000000"/>
                <w:sz w:val="20"/>
                <w:szCs w:val="20"/>
              </w:rPr>
              <w:t>NEUPRAVIČENI STROŠKI BREZ POVRATNEGA DDV</w:t>
            </w:r>
          </w:p>
        </w:tc>
        <w:tc>
          <w:tcPr>
            <w:tcW w:w="502" w:type="pct"/>
            <w:tcBorders>
              <w:top w:val="nil"/>
              <w:left w:val="nil"/>
              <w:bottom w:val="single" w:sz="4" w:space="0" w:color="auto"/>
              <w:right w:val="single" w:sz="4" w:space="0" w:color="auto"/>
            </w:tcBorders>
            <w:shd w:val="clear" w:color="000000" w:fill="D9D9D9"/>
            <w:noWrap/>
            <w:vAlign w:val="bottom"/>
            <w:hideMark/>
          </w:tcPr>
          <w:p w14:paraId="6F3E1A45" w14:textId="20E0F5B8"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841.595,87</w:t>
            </w:r>
          </w:p>
        </w:tc>
        <w:tc>
          <w:tcPr>
            <w:tcW w:w="453" w:type="pct"/>
            <w:tcBorders>
              <w:top w:val="nil"/>
              <w:left w:val="nil"/>
              <w:bottom w:val="single" w:sz="4" w:space="0" w:color="auto"/>
              <w:right w:val="single" w:sz="4" w:space="0" w:color="auto"/>
            </w:tcBorders>
            <w:shd w:val="clear" w:color="000000" w:fill="D9D9D9"/>
            <w:noWrap/>
            <w:vAlign w:val="bottom"/>
            <w:hideMark/>
          </w:tcPr>
          <w:p w14:paraId="3C82B20B" w14:textId="263AC876"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25,68%</w:t>
            </w:r>
          </w:p>
        </w:tc>
        <w:tc>
          <w:tcPr>
            <w:tcW w:w="496" w:type="pct"/>
            <w:tcBorders>
              <w:top w:val="nil"/>
              <w:left w:val="nil"/>
              <w:bottom w:val="single" w:sz="4" w:space="0" w:color="auto"/>
              <w:right w:val="single" w:sz="4" w:space="0" w:color="auto"/>
            </w:tcBorders>
            <w:shd w:val="clear" w:color="000000" w:fill="D9D9D9"/>
            <w:noWrap/>
            <w:vAlign w:val="bottom"/>
            <w:hideMark/>
          </w:tcPr>
          <w:p w14:paraId="7CF515E7" w14:textId="19E61EFD"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290.629,88</w:t>
            </w:r>
          </w:p>
        </w:tc>
        <w:tc>
          <w:tcPr>
            <w:tcW w:w="558" w:type="pct"/>
            <w:tcBorders>
              <w:top w:val="nil"/>
              <w:left w:val="nil"/>
              <w:bottom w:val="single" w:sz="4" w:space="0" w:color="auto"/>
              <w:right w:val="single" w:sz="4" w:space="0" w:color="auto"/>
            </w:tcBorders>
            <w:shd w:val="clear" w:color="000000" w:fill="D9D9D9"/>
            <w:noWrap/>
            <w:vAlign w:val="bottom"/>
            <w:hideMark/>
          </w:tcPr>
          <w:p w14:paraId="61562AD0" w14:textId="1C52769F"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18.338,88</w:t>
            </w:r>
          </w:p>
        </w:tc>
        <w:tc>
          <w:tcPr>
            <w:tcW w:w="478" w:type="pct"/>
            <w:tcBorders>
              <w:top w:val="nil"/>
              <w:left w:val="nil"/>
              <w:bottom w:val="single" w:sz="4" w:space="0" w:color="auto"/>
              <w:right w:val="single" w:sz="4" w:space="0" w:color="auto"/>
            </w:tcBorders>
            <w:shd w:val="clear" w:color="000000" w:fill="D9D9D9"/>
            <w:noWrap/>
            <w:vAlign w:val="bottom"/>
            <w:hideMark/>
          </w:tcPr>
          <w:p w14:paraId="41B55CFB" w14:textId="0D24911C"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5.590,26</w:t>
            </w:r>
          </w:p>
        </w:tc>
        <w:tc>
          <w:tcPr>
            <w:tcW w:w="466" w:type="pct"/>
            <w:tcBorders>
              <w:top w:val="nil"/>
              <w:left w:val="nil"/>
              <w:bottom w:val="single" w:sz="4" w:space="0" w:color="auto"/>
              <w:right w:val="single" w:sz="4" w:space="0" w:color="auto"/>
            </w:tcBorders>
            <w:shd w:val="clear" w:color="000000" w:fill="D9D9D9"/>
            <w:noWrap/>
            <w:vAlign w:val="bottom"/>
            <w:hideMark/>
          </w:tcPr>
          <w:p w14:paraId="65BCE6D8" w14:textId="71B37FDB"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9.734,71</w:t>
            </w:r>
          </w:p>
        </w:tc>
        <w:tc>
          <w:tcPr>
            <w:tcW w:w="527" w:type="pct"/>
            <w:tcBorders>
              <w:top w:val="nil"/>
              <w:left w:val="nil"/>
              <w:bottom w:val="single" w:sz="4" w:space="0" w:color="auto"/>
              <w:right w:val="single" w:sz="4" w:space="0" w:color="auto"/>
            </w:tcBorders>
            <w:shd w:val="clear" w:color="000000" w:fill="D9D9D9"/>
            <w:noWrap/>
            <w:vAlign w:val="bottom"/>
            <w:hideMark/>
          </w:tcPr>
          <w:p w14:paraId="1AF0C842" w14:textId="4EFD62D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514.916,35</w:t>
            </w:r>
          </w:p>
        </w:tc>
        <w:tc>
          <w:tcPr>
            <w:tcW w:w="478" w:type="pct"/>
            <w:tcBorders>
              <w:top w:val="nil"/>
              <w:left w:val="nil"/>
              <w:bottom w:val="single" w:sz="4" w:space="0" w:color="auto"/>
              <w:right w:val="single" w:sz="4" w:space="0" w:color="auto"/>
            </w:tcBorders>
            <w:shd w:val="clear" w:color="000000" w:fill="D9D9D9"/>
            <w:noWrap/>
            <w:vAlign w:val="bottom"/>
            <w:hideMark/>
          </w:tcPr>
          <w:p w14:paraId="223F5303" w14:textId="57273361"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2.385,80</w:t>
            </w:r>
          </w:p>
        </w:tc>
      </w:tr>
      <w:tr w:rsidR="00190A7C" w:rsidRPr="000020F0" w14:paraId="30B3FB72"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74ABF86A"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0465DDF1" w14:textId="745302B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53001B86" w14:textId="775049C5"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462CCDA1" w14:textId="32E1A98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3FD96D2F" w14:textId="2A1703E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33E79CC" w14:textId="31569CD1"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5ED332CB" w14:textId="1ACCEB7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67506B9D" w14:textId="4D258309"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33D4605" w14:textId="0E046E2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r>
      <w:tr w:rsidR="00190A7C" w:rsidRPr="000020F0" w14:paraId="6E65DB38"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03C1FECA"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44582B9A" w14:textId="34586341"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058D90D6" w14:textId="034574C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22FA05B6" w14:textId="5C3402A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6CB9D1C9" w14:textId="42E747A5"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2FB1EE7A" w14:textId="4BF56CB5"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58168BDF" w14:textId="4FF01B2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7400C3C6" w14:textId="1211E58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C6373FF" w14:textId="34B295A9"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r>
      <w:tr w:rsidR="00190A7C" w:rsidRPr="000020F0" w14:paraId="21B52C63"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5497EE86"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63A67C32" w14:textId="0419B9A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841.595,87</w:t>
            </w:r>
          </w:p>
        </w:tc>
        <w:tc>
          <w:tcPr>
            <w:tcW w:w="453" w:type="pct"/>
            <w:tcBorders>
              <w:top w:val="nil"/>
              <w:left w:val="nil"/>
              <w:bottom w:val="single" w:sz="4" w:space="0" w:color="auto"/>
              <w:right w:val="single" w:sz="4" w:space="0" w:color="auto"/>
            </w:tcBorders>
            <w:noWrap/>
            <w:vAlign w:val="bottom"/>
            <w:hideMark/>
          </w:tcPr>
          <w:p w14:paraId="04F76B20" w14:textId="46F4C32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25,68%</w:t>
            </w:r>
          </w:p>
        </w:tc>
        <w:tc>
          <w:tcPr>
            <w:tcW w:w="496" w:type="pct"/>
            <w:tcBorders>
              <w:top w:val="nil"/>
              <w:left w:val="nil"/>
              <w:bottom w:val="single" w:sz="4" w:space="0" w:color="auto"/>
              <w:right w:val="single" w:sz="4" w:space="0" w:color="auto"/>
            </w:tcBorders>
            <w:noWrap/>
            <w:vAlign w:val="bottom"/>
            <w:hideMark/>
          </w:tcPr>
          <w:p w14:paraId="22D55FC0" w14:textId="0CE3AD2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290.629,88</w:t>
            </w:r>
          </w:p>
        </w:tc>
        <w:tc>
          <w:tcPr>
            <w:tcW w:w="558" w:type="pct"/>
            <w:tcBorders>
              <w:top w:val="nil"/>
              <w:left w:val="nil"/>
              <w:bottom w:val="single" w:sz="4" w:space="0" w:color="auto"/>
              <w:right w:val="single" w:sz="4" w:space="0" w:color="auto"/>
            </w:tcBorders>
            <w:noWrap/>
            <w:vAlign w:val="bottom"/>
            <w:hideMark/>
          </w:tcPr>
          <w:p w14:paraId="6EC71A45" w14:textId="7781BC5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18.338,88</w:t>
            </w:r>
          </w:p>
        </w:tc>
        <w:tc>
          <w:tcPr>
            <w:tcW w:w="478" w:type="pct"/>
            <w:tcBorders>
              <w:top w:val="nil"/>
              <w:left w:val="nil"/>
              <w:bottom w:val="single" w:sz="4" w:space="0" w:color="auto"/>
              <w:right w:val="single" w:sz="4" w:space="0" w:color="auto"/>
            </w:tcBorders>
            <w:noWrap/>
            <w:vAlign w:val="bottom"/>
            <w:hideMark/>
          </w:tcPr>
          <w:p w14:paraId="6747BAE1" w14:textId="13EF8DE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5.590,26</w:t>
            </w:r>
          </w:p>
        </w:tc>
        <w:tc>
          <w:tcPr>
            <w:tcW w:w="466" w:type="pct"/>
            <w:tcBorders>
              <w:top w:val="nil"/>
              <w:left w:val="nil"/>
              <w:bottom w:val="single" w:sz="4" w:space="0" w:color="auto"/>
              <w:right w:val="single" w:sz="4" w:space="0" w:color="auto"/>
            </w:tcBorders>
            <w:noWrap/>
            <w:vAlign w:val="bottom"/>
            <w:hideMark/>
          </w:tcPr>
          <w:p w14:paraId="45D946A5" w14:textId="209EB26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9.734,71</w:t>
            </w:r>
          </w:p>
        </w:tc>
        <w:tc>
          <w:tcPr>
            <w:tcW w:w="527" w:type="pct"/>
            <w:tcBorders>
              <w:top w:val="nil"/>
              <w:left w:val="nil"/>
              <w:bottom w:val="single" w:sz="4" w:space="0" w:color="auto"/>
              <w:right w:val="single" w:sz="4" w:space="0" w:color="auto"/>
            </w:tcBorders>
            <w:noWrap/>
            <w:vAlign w:val="bottom"/>
            <w:hideMark/>
          </w:tcPr>
          <w:p w14:paraId="3B77F9EA" w14:textId="543E3C61"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514.916,35</w:t>
            </w:r>
          </w:p>
        </w:tc>
        <w:tc>
          <w:tcPr>
            <w:tcW w:w="478" w:type="pct"/>
            <w:tcBorders>
              <w:top w:val="nil"/>
              <w:left w:val="nil"/>
              <w:bottom w:val="single" w:sz="4" w:space="0" w:color="auto"/>
              <w:right w:val="single" w:sz="4" w:space="0" w:color="auto"/>
            </w:tcBorders>
            <w:noWrap/>
            <w:vAlign w:val="bottom"/>
            <w:hideMark/>
          </w:tcPr>
          <w:p w14:paraId="04BB54E9" w14:textId="62FFF6D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2.385,80</w:t>
            </w:r>
          </w:p>
        </w:tc>
      </w:tr>
      <w:tr w:rsidR="00190A7C" w:rsidRPr="000020F0" w14:paraId="737AC248" w14:textId="77777777" w:rsidTr="00CC494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3E749F37" w14:textId="77777777" w:rsidR="00190A7C" w:rsidRPr="000020F0" w:rsidRDefault="00190A7C" w:rsidP="00190A7C">
            <w:pPr>
              <w:rPr>
                <w:rFonts w:ascii="Arial" w:hAnsi="Arial" w:cs="Arial"/>
                <w:b/>
                <w:bCs/>
                <w:color w:val="000000"/>
                <w:sz w:val="20"/>
                <w:szCs w:val="20"/>
              </w:rPr>
            </w:pPr>
            <w:r w:rsidRPr="000020F0">
              <w:rPr>
                <w:rFonts w:ascii="Arial" w:hAnsi="Arial" w:cs="Arial"/>
                <w:b/>
                <w:bCs/>
                <w:color w:val="000000"/>
                <w:sz w:val="20"/>
                <w:szCs w:val="20"/>
              </w:rPr>
              <w:t>POVRATNI DDV</w:t>
            </w:r>
          </w:p>
        </w:tc>
        <w:tc>
          <w:tcPr>
            <w:tcW w:w="502" w:type="pct"/>
            <w:tcBorders>
              <w:top w:val="nil"/>
              <w:left w:val="nil"/>
              <w:bottom w:val="single" w:sz="4" w:space="0" w:color="auto"/>
              <w:right w:val="single" w:sz="4" w:space="0" w:color="auto"/>
            </w:tcBorders>
            <w:shd w:val="clear" w:color="000000" w:fill="D9D9D9"/>
            <w:noWrap/>
            <w:vAlign w:val="bottom"/>
            <w:hideMark/>
          </w:tcPr>
          <w:p w14:paraId="1B0CE53D" w14:textId="04292C00"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21.362,57</w:t>
            </w:r>
          </w:p>
        </w:tc>
        <w:tc>
          <w:tcPr>
            <w:tcW w:w="453" w:type="pct"/>
            <w:tcBorders>
              <w:top w:val="nil"/>
              <w:left w:val="nil"/>
              <w:bottom w:val="single" w:sz="4" w:space="0" w:color="auto"/>
              <w:right w:val="single" w:sz="4" w:space="0" w:color="auto"/>
            </w:tcBorders>
            <w:shd w:val="clear" w:color="000000" w:fill="D9D9D9"/>
            <w:noWrap/>
            <w:vAlign w:val="bottom"/>
            <w:hideMark/>
          </w:tcPr>
          <w:p w14:paraId="58C309FC" w14:textId="4F3A6BB3"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0,65%</w:t>
            </w:r>
          </w:p>
        </w:tc>
        <w:tc>
          <w:tcPr>
            <w:tcW w:w="496" w:type="pct"/>
            <w:tcBorders>
              <w:top w:val="nil"/>
              <w:left w:val="nil"/>
              <w:bottom w:val="single" w:sz="4" w:space="0" w:color="auto"/>
              <w:right w:val="single" w:sz="4" w:space="0" w:color="auto"/>
            </w:tcBorders>
            <w:shd w:val="clear" w:color="000000" w:fill="D9D9D9"/>
            <w:noWrap/>
            <w:vAlign w:val="bottom"/>
            <w:hideMark/>
          </w:tcPr>
          <w:p w14:paraId="4D62E48F" w14:textId="067E1B04"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58" w:type="pct"/>
            <w:tcBorders>
              <w:top w:val="nil"/>
              <w:left w:val="nil"/>
              <w:bottom w:val="single" w:sz="4" w:space="0" w:color="auto"/>
              <w:right w:val="single" w:sz="4" w:space="0" w:color="auto"/>
            </w:tcBorders>
            <w:shd w:val="clear" w:color="000000" w:fill="D9D9D9"/>
            <w:noWrap/>
            <w:vAlign w:val="bottom"/>
            <w:hideMark/>
          </w:tcPr>
          <w:p w14:paraId="65E71DE2" w14:textId="3E9B9E04"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78" w:type="pct"/>
            <w:tcBorders>
              <w:top w:val="nil"/>
              <w:left w:val="nil"/>
              <w:bottom w:val="single" w:sz="4" w:space="0" w:color="auto"/>
              <w:right w:val="single" w:sz="4" w:space="0" w:color="auto"/>
            </w:tcBorders>
            <w:shd w:val="clear" w:color="000000" w:fill="D9D9D9"/>
            <w:noWrap/>
            <w:vAlign w:val="bottom"/>
            <w:hideMark/>
          </w:tcPr>
          <w:p w14:paraId="6E72626E" w14:textId="59FEF9A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66" w:type="pct"/>
            <w:tcBorders>
              <w:top w:val="nil"/>
              <w:left w:val="nil"/>
              <w:bottom w:val="single" w:sz="4" w:space="0" w:color="auto"/>
              <w:right w:val="single" w:sz="4" w:space="0" w:color="auto"/>
            </w:tcBorders>
            <w:shd w:val="clear" w:color="000000" w:fill="D9D9D9"/>
            <w:noWrap/>
            <w:vAlign w:val="bottom"/>
            <w:hideMark/>
          </w:tcPr>
          <w:p w14:paraId="3537156A" w14:textId="39E32FBE"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27" w:type="pct"/>
            <w:tcBorders>
              <w:top w:val="nil"/>
              <w:left w:val="nil"/>
              <w:bottom w:val="single" w:sz="4" w:space="0" w:color="auto"/>
              <w:right w:val="single" w:sz="4" w:space="0" w:color="auto"/>
            </w:tcBorders>
            <w:shd w:val="clear" w:color="000000" w:fill="D9D9D9"/>
            <w:noWrap/>
            <w:vAlign w:val="bottom"/>
            <w:hideMark/>
          </w:tcPr>
          <w:p w14:paraId="1D3D5C4D" w14:textId="5883EB8F"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21.362,57</w:t>
            </w:r>
          </w:p>
        </w:tc>
        <w:tc>
          <w:tcPr>
            <w:tcW w:w="478" w:type="pct"/>
            <w:tcBorders>
              <w:top w:val="nil"/>
              <w:left w:val="nil"/>
              <w:bottom w:val="single" w:sz="4" w:space="0" w:color="auto"/>
              <w:right w:val="single" w:sz="4" w:space="0" w:color="auto"/>
            </w:tcBorders>
            <w:shd w:val="clear" w:color="000000" w:fill="D9D9D9"/>
            <w:noWrap/>
            <w:vAlign w:val="bottom"/>
            <w:hideMark/>
          </w:tcPr>
          <w:p w14:paraId="560AB2D0" w14:textId="4AD0304A"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0,00</w:t>
            </w:r>
          </w:p>
        </w:tc>
      </w:tr>
      <w:tr w:rsidR="00190A7C" w:rsidRPr="000020F0" w14:paraId="15247DE0"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477C3380"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02D08C59" w14:textId="424C204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15A4D374" w14:textId="0BE957D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6F50C78E" w14:textId="34278A5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09048F32" w14:textId="6ABC37A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0EF62757" w14:textId="0D976BC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144FF499" w14:textId="41C1DEF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5A6749B4" w14:textId="330C317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7835A1A" w14:textId="23FD7219"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r>
      <w:tr w:rsidR="00190A7C" w:rsidRPr="000020F0" w14:paraId="4C2B55AE"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33FDB977"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27C0E1D3" w14:textId="4EF3A2D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2DA41C18" w14:textId="51E9902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0BD6804A" w14:textId="1172EF0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3F0459DE" w14:textId="60E254E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24F88253" w14:textId="641C4A4A"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6CAC7A79" w14:textId="379443D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2FE3695F" w14:textId="65099E0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24E2D44" w14:textId="0253F3D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r>
      <w:tr w:rsidR="00190A7C" w:rsidRPr="000020F0" w14:paraId="686D7DDD"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3582D518"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7735CE3C" w14:textId="221F8F71"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21.362,57</w:t>
            </w:r>
          </w:p>
        </w:tc>
        <w:tc>
          <w:tcPr>
            <w:tcW w:w="453" w:type="pct"/>
            <w:tcBorders>
              <w:top w:val="nil"/>
              <w:left w:val="nil"/>
              <w:bottom w:val="single" w:sz="4" w:space="0" w:color="auto"/>
              <w:right w:val="single" w:sz="4" w:space="0" w:color="auto"/>
            </w:tcBorders>
            <w:noWrap/>
            <w:vAlign w:val="bottom"/>
            <w:hideMark/>
          </w:tcPr>
          <w:p w14:paraId="6635CFCD" w14:textId="2722417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0,65%</w:t>
            </w:r>
          </w:p>
        </w:tc>
        <w:tc>
          <w:tcPr>
            <w:tcW w:w="496" w:type="pct"/>
            <w:tcBorders>
              <w:top w:val="nil"/>
              <w:left w:val="nil"/>
              <w:bottom w:val="single" w:sz="4" w:space="0" w:color="auto"/>
              <w:right w:val="single" w:sz="4" w:space="0" w:color="auto"/>
            </w:tcBorders>
            <w:noWrap/>
            <w:vAlign w:val="bottom"/>
            <w:hideMark/>
          </w:tcPr>
          <w:p w14:paraId="3971DCFD" w14:textId="243FC496"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6037B6DE" w14:textId="76CAE8F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46F3E23" w14:textId="2F781E4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4AAF963D" w14:textId="25BC1414"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4D236D9D" w14:textId="2C95FEB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21.362,57</w:t>
            </w:r>
          </w:p>
        </w:tc>
        <w:tc>
          <w:tcPr>
            <w:tcW w:w="478" w:type="pct"/>
            <w:tcBorders>
              <w:top w:val="nil"/>
              <w:left w:val="nil"/>
              <w:bottom w:val="single" w:sz="4" w:space="0" w:color="auto"/>
              <w:right w:val="single" w:sz="4" w:space="0" w:color="auto"/>
            </w:tcBorders>
            <w:noWrap/>
            <w:vAlign w:val="bottom"/>
            <w:hideMark/>
          </w:tcPr>
          <w:p w14:paraId="6330F680" w14:textId="54469CE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0,00</w:t>
            </w:r>
          </w:p>
        </w:tc>
      </w:tr>
      <w:tr w:rsidR="00190A7C" w:rsidRPr="000020F0" w14:paraId="134A0574" w14:textId="77777777" w:rsidTr="00CC4948">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4B8280AB" w14:textId="77777777" w:rsidR="00190A7C" w:rsidRPr="000020F0" w:rsidRDefault="00190A7C" w:rsidP="00190A7C">
            <w:pPr>
              <w:rPr>
                <w:rFonts w:ascii="Arial" w:hAnsi="Arial" w:cs="Arial"/>
                <w:b/>
                <w:bCs/>
                <w:color w:val="000000"/>
                <w:sz w:val="20"/>
                <w:szCs w:val="20"/>
              </w:rPr>
            </w:pPr>
            <w:r w:rsidRPr="000020F0">
              <w:rPr>
                <w:rFonts w:ascii="Arial" w:hAnsi="Arial" w:cs="Arial"/>
                <w:b/>
                <w:bCs/>
                <w:color w:val="000000"/>
                <w:sz w:val="20"/>
                <w:szCs w:val="20"/>
              </w:rPr>
              <w:t>SKUPAJ</w:t>
            </w:r>
          </w:p>
        </w:tc>
        <w:tc>
          <w:tcPr>
            <w:tcW w:w="502" w:type="pct"/>
            <w:tcBorders>
              <w:top w:val="nil"/>
              <w:left w:val="nil"/>
              <w:bottom w:val="single" w:sz="4" w:space="0" w:color="auto"/>
              <w:right w:val="single" w:sz="4" w:space="0" w:color="auto"/>
            </w:tcBorders>
            <w:shd w:val="clear" w:color="000000" w:fill="D9D9D9"/>
            <w:noWrap/>
            <w:vAlign w:val="bottom"/>
            <w:hideMark/>
          </w:tcPr>
          <w:p w14:paraId="688F03D9" w14:textId="57AC0AB3"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3.277.156,77</w:t>
            </w:r>
          </w:p>
        </w:tc>
        <w:tc>
          <w:tcPr>
            <w:tcW w:w="453" w:type="pct"/>
            <w:tcBorders>
              <w:top w:val="nil"/>
              <w:left w:val="nil"/>
              <w:bottom w:val="single" w:sz="4" w:space="0" w:color="auto"/>
              <w:right w:val="single" w:sz="4" w:space="0" w:color="auto"/>
            </w:tcBorders>
            <w:shd w:val="clear" w:color="000000" w:fill="D9D9D9"/>
            <w:noWrap/>
            <w:vAlign w:val="bottom"/>
            <w:hideMark/>
          </w:tcPr>
          <w:p w14:paraId="519392F8" w14:textId="2B421013"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96" w:type="pct"/>
            <w:tcBorders>
              <w:top w:val="nil"/>
              <w:left w:val="nil"/>
              <w:bottom w:val="single" w:sz="4" w:space="0" w:color="auto"/>
              <w:right w:val="single" w:sz="4" w:space="0" w:color="auto"/>
            </w:tcBorders>
            <w:shd w:val="clear" w:color="000000" w:fill="D9D9D9"/>
            <w:noWrap/>
            <w:vAlign w:val="bottom"/>
            <w:hideMark/>
          </w:tcPr>
          <w:p w14:paraId="257A0697" w14:textId="6BD2FFED"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558" w:type="pct"/>
            <w:tcBorders>
              <w:top w:val="nil"/>
              <w:left w:val="nil"/>
              <w:bottom w:val="single" w:sz="4" w:space="0" w:color="auto"/>
              <w:right w:val="single" w:sz="4" w:space="0" w:color="auto"/>
            </w:tcBorders>
            <w:shd w:val="clear" w:color="000000" w:fill="D9D9D9"/>
            <w:noWrap/>
            <w:vAlign w:val="bottom"/>
            <w:hideMark/>
          </w:tcPr>
          <w:p w14:paraId="555BA82B" w14:textId="5A91BC8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478" w:type="pct"/>
            <w:tcBorders>
              <w:top w:val="nil"/>
              <w:left w:val="nil"/>
              <w:bottom w:val="single" w:sz="4" w:space="0" w:color="auto"/>
              <w:right w:val="single" w:sz="4" w:space="0" w:color="auto"/>
            </w:tcBorders>
            <w:shd w:val="clear" w:color="000000" w:fill="D9D9D9"/>
            <w:noWrap/>
            <w:vAlign w:val="bottom"/>
            <w:hideMark/>
          </w:tcPr>
          <w:p w14:paraId="384F673E" w14:textId="4B123DA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466" w:type="pct"/>
            <w:tcBorders>
              <w:top w:val="nil"/>
              <w:left w:val="nil"/>
              <w:bottom w:val="single" w:sz="4" w:space="0" w:color="auto"/>
              <w:right w:val="single" w:sz="4" w:space="0" w:color="auto"/>
            </w:tcBorders>
            <w:shd w:val="clear" w:color="000000" w:fill="D9D9D9"/>
            <w:noWrap/>
            <w:vAlign w:val="bottom"/>
            <w:hideMark/>
          </w:tcPr>
          <w:p w14:paraId="59388565" w14:textId="76040194"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755.416,90</w:t>
            </w:r>
          </w:p>
        </w:tc>
        <w:tc>
          <w:tcPr>
            <w:tcW w:w="527" w:type="pct"/>
            <w:tcBorders>
              <w:top w:val="nil"/>
              <w:left w:val="nil"/>
              <w:bottom w:val="single" w:sz="4" w:space="0" w:color="auto"/>
              <w:right w:val="single" w:sz="4" w:space="0" w:color="auto"/>
            </w:tcBorders>
            <w:shd w:val="clear" w:color="000000" w:fill="D9D9D9"/>
            <w:noWrap/>
            <w:vAlign w:val="bottom"/>
            <w:hideMark/>
          </w:tcPr>
          <w:p w14:paraId="686265A8" w14:textId="08B4EA05"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2.015.619,29</w:t>
            </w:r>
          </w:p>
        </w:tc>
        <w:tc>
          <w:tcPr>
            <w:tcW w:w="478" w:type="pct"/>
            <w:tcBorders>
              <w:top w:val="nil"/>
              <w:left w:val="nil"/>
              <w:bottom w:val="single" w:sz="4" w:space="0" w:color="auto"/>
              <w:right w:val="single" w:sz="4" w:space="0" w:color="auto"/>
            </w:tcBorders>
            <w:shd w:val="clear" w:color="000000" w:fill="D9D9D9"/>
            <w:noWrap/>
            <w:vAlign w:val="bottom"/>
            <w:hideMark/>
          </w:tcPr>
          <w:p w14:paraId="21E2C270" w14:textId="6AC0B114" w:rsidR="00190A7C" w:rsidRPr="000020F0" w:rsidRDefault="00190A7C" w:rsidP="00190A7C">
            <w:pPr>
              <w:jc w:val="right"/>
              <w:rPr>
                <w:rFonts w:ascii="Arial" w:hAnsi="Arial" w:cs="Arial"/>
                <w:b/>
                <w:bCs/>
                <w:color w:val="000000"/>
                <w:sz w:val="20"/>
                <w:szCs w:val="20"/>
              </w:rPr>
            </w:pPr>
            <w:r w:rsidRPr="000020F0">
              <w:rPr>
                <w:rFonts w:ascii="Arial" w:hAnsi="Arial" w:cs="Arial"/>
                <w:b/>
                <w:bCs/>
                <w:color w:val="000000"/>
                <w:sz w:val="20"/>
                <w:szCs w:val="20"/>
              </w:rPr>
              <w:t>71.526,78</w:t>
            </w:r>
          </w:p>
        </w:tc>
      </w:tr>
      <w:tr w:rsidR="00190A7C" w:rsidRPr="000020F0" w14:paraId="2EE45039"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19BFE08D"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7116378B" w14:textId="727E4C3D"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1.641.654,86</w:t>
            </w:r>
          </w:p>
        </w:tc>
        <w:tc>
          <w:tcPr>
            <w:tcW w:w="453" w:type="pct"/>
            <w:tcBorders>
              <w:top w:val="nil"/>
              <w:left w:val="nil"/>
              <w:bottom w:val="single" w:sz="4" w:space="0" w:color="auto"/>
              <w:right w:val="single" w:sz="4" w:space="0" w:color="auto"/>
            </w:tcBorders>
            <w:noWrap/>
            <w:vAlign w:val="bottom"/>
            <w:hideMark/>
          </w:tcPr>
          <w:p w14:paraId="7C5DC3C8" w14:textId="0FAA253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50,09%</w:t>
            </w:r>
          </w:p>
        </w:tc>
        <w:tc>
          <w:tcPr>
            <w:tcW w:w="496" w:type="pct"/>
            <w:tcBorders>
              <w:top w:val="nil"/>
              <w:left w:val="nil"/>
              <w:bottom w:val="single" w:sz="4" w:space="0" w:color="auto"/>
              <w:right w:val="single" w:sz="4" w:space="0" w:color="auto"/>
            </w:tcBorders>
            <w:noWrap/>
            <w:vAlign w:val="bottom"/>
            <w:hideMark/>
          </w:tcPr>
          <w:p w14:paraId="342CCC43" w14:textId="285E773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35A502E1" w14:textId="4B885C7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166C31BB" w14:textId="4F9C3C5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4FBC8B0E" w14:textId="4AA9999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507.063,89</w:t>
            </w:r>
          </w:p>
        </w:tc>
        <w:tc>
          <w:tcPr>
            <w:tcW w:w="527" w:type="pct"/>
            <w:tcBorders>
              <w:top w:val="nil"/>
              <w:left w:val="nil"/>
              <w:bottom w:val="single" w:sz="4" w:space="0" w:color="auto"/>
              <w:right w:val="single" w:sz="4" w:space="0" w:color="auto"/>
            </w:tcBorders>
            <w:noWrap/>
            <w:vAlign w:val="bottom"/>
            <w:hideMark/>
          </w:tcPr>
          <w:p w14:paraId="0F2F73CD" w14:textId="3CCB31B5"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1.005.951,46</w:t>
            </w:r>
          </w:p>
        </w:tc>
        <w:tc>
          <w:tcPr>
            <w:tcW w:w="478" w:type="pct"/>
            <w:tcBorders>
              <w:top w:val="nil"/>
              <w:left w:val="nil"/>
              <w:bottom w:val="single" w:sz="4" w:space="0" w:color="auto"/>
              <w:right w:val="single" w:sz="4" w:space="0" w:color="auto"/>
            </w:tcBorders>
            <w:noWrap/>
            <w:vAlign w:val="bottom"/>
            <w:hideMark/>
          </w:tcPr>
          <w:p w14:paraId="2A7A3F8A" w14:textId="361EBDD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47.015,86</w:t>
            </w:r>
          </w:p>
        </w:tc>
      </w:tr>
      <w:tr w:rsidR="00190A7C" w:rsidRPr="000020F0" w14:paraId="597F8CFD"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07E6724D"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2EBBB46A" w14:textId="5AB3CAC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289.703,81</w:t>
            </w:r>
          </w:p>
        </w:tc>
        <w:tc>
          <w:tcPr>
            <w:tcW w:w="453" w:type="pct"/>
            <w:tcBorders>
              <w:top w:val="nil"/>
              <w:left w:val="nil"/>
              <w:bottom w:val="single" w:sz="4" w:space="0" w:color="auto"/>
              <w:right w:val="single" w:sz="4" w:space="0" w:color="auto"/>
            </w:tcBorders>
            <w:noWrap/>
            <w:vAlign w:val="bottom"/>
            <w:hideMark/>
          </w:tcPr>
          <w:p w14:paraId="72050213" w14:textId="6297BB2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8,84%</w:t>
            </w:r>
          </w:p>
        </w:tc>
        <w:tc>
          <w:tcPr>
            <w:tcW w:w="496" w:type="pct"/>
            <w:tcBorders>
              <w:top w:val="nil"/>
              <w:left w:val="nil"/>
              <w:bottom w:val="single" w:sz="4" w:space="0" w:color="auto"/>
              <w:right w:val="single" w:sz="4" w:space="0" w:color="auto"/>
            </w:tcBorders>
            <w:noWrap/>
            <w:vAlign w:val="bottom"/>
            <w:hideMark/>
          </w:tcPr>
          <w:p w14:paraId="452D7C40" w14:textId="4AA8A87E"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848,56</w:t>
            </w:r>
          </w:p>
        </w:tc>
        <w:tc>
          <w:tcPr>
            <w:tcW w:w="558" w:type="pct"/>
            <w:tcBorders>
              <w:top w:val="nil"/>
              <w:left w:val="nil"/>
              <w:bottom w:val="single" w:sz="4" w:space="0" w:color="auto"/>
              <w:right w:val="single" w:sz="4" w:space="0" w:color="auto"/>
            </w:tcBorders>
            <w:noWrap/>
            <w:vAlign w:val="bottom"/>
            <w:hideMark/>
          </w:tcPr>
          <w:p w14:paraId="7D048C12" w14:textId="255735EB"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327E932A" w14:textId="57BFABEF"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3CE07937" w14:textId="3105CDD8"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89.481,86</w:t>
            </w:r>
          </w:p>
        </w:tc>
        <w:tc>
          <w:tcPr>
            <w:tcW w:w="527" w:type="pct"/>
            <w:tcBorders>
              <w:top w:val="nil"/>
              <w:left w:val="nil"/>
              <w:bottom w:val="single" w:sz="4" w:space="0" w:color="auto"/>
              <w:right w:val="single" w:sz="4" w:space="0" w:color="auto"/>
            </w:tcBorders>
            <w:noWrap/>
            <w:vAlign w:val="bottom"/>
            <w:hideMark/>
          </w:tcPr>
          <w:p w14:paraId="0A970D59" w14:textId="68D6FFB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177.520,85</w:t>
            </w:r>
          </w:p>
        </w:tc>
        <w:tc>
          <w:tcPr>
            <w:tcW w:w="478" w:type="pct"/>
            <w:tcBorders>
              <w:top w:val="nil"/>
              <w:left w:val="nil"/>
              <w:bottom w:val="single" w:sz="4" w:space="0" w:color="auto"/>
              <w:right w:val="single" w:sz="4" w:space="0" w:color="auto"/>
            </w:tcBorders>
            <w:noWrap/>
            <w:vAlign w:val="bottom"/>
            <w:hideMark/>
          </w:tcPr>
          <w:p w14:paraId="5FE7C50E" w14:textId="428859E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8.296,92</w:t>
            </w:r>
          </w:p>
        </w:tc>
      </w:tr>
      <w:tr w:rsidR="00190A7C" w:rsidRPr="000020F0" w14:paraId="618E3FE2" w14:textId="77777777" w:rsidTr="00CC4948">
        <w:trPr>
          <w:trHeight w:val="285"/>
        </w:trPr>
        <w:tc>
          <w:tcPr>
            <w:tcW w:w="1042" w:type="pct"/>
            <w:tcBorders>
              <w:top w:val="nil"/>
              <w:left w:val="single" w:sz="4" w:space="0" w:color="auto"/>
              <w:bottom w:val="single" w:sz="4" w:space="0" w:color="auto"/>
              <w:right w:val="single" w:sz="4" w:space="0" w:color="auto"/>
            </w:tcBorders>
            <w:vAlign w:val="bottom"/>
            <w:hideMark/>
          </w:tcPr>
          <w:p w14:paraId="0D50BD20" w14:textId="77777777" w:rsidR="00190A7C" w:rsidRPr="000020F0" w:rsidRDefault="00190A7C" w:rsidP="00190A7C">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6D7427B9" w14:textId="717136A0"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1.345.798,10</w:t>
            </w:r>
          </w:p>
        </w:tc>
        <w:tc>
          <w:tcPr>
            <w:tcW w:w="453" w:type="pct"/>
            <w:tcBorders>
              <w:top w:val="nil"/>
              <w:left w:val="nil"/>
              <w:bottom w:val="single" w:sz="4" w:space="0" w:color="auto"/>
              <w:right w:val="single" w:sz="4" w:space="0" w:color="auto"/>
            </w:tcBorders>
            <w:noWrap/>
            <w:vAlign w:val="bottom"/>
            <w:hideMark/>
          </w:tcPr>
          <w:p w14:paraId="1C24DFC4" w14:textId="613E101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41,07%</w:t>
            </w:r>
          </w:p>
        </w:tc>
        <w:tc>
          <w:tcPr>
            <w:tcW w:w="496" w:type="pct"/>
            <w:tcBorders>
              <w:top w:val="nil"/>
              <w:left w:val="nil"/>
              <w:bottom w:val="single" w:sz="4" w:space="0" w:color="auto"/>
              <w:right w:val="single" w:sz="4" w:space="0" w:color="auto"/>
            </w:tcBorders>
            <w:noWrap/>
            <w:vAlign w:val="bottom"/>
            <w:hideMark/>
          </w:tcPr>
          <w:p w14:paraId="4DA929E9" w14:textId="18D5541C"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292.044,13</w:t>
            </w:r>
          </w:p>
        </w:tc>
        <w:tc>
          <w:tcPr>
            <w:tcW w:w="558" w:type="pct"/>
            <w:tcBorders>
              <w:top w:val="nil"/>
              <w:left w:val="nil"/>
              <w:bottom w:val="single" w:sz="4" w:space="0" w:color="auto"/>
              <w:right w:val="single" w:sz="4" w:space="0" w:color="auto"/>
            </w:tcBorders>
            <w:noWrap/>
            <w:vAlign w:val="bottom"/>
            <w:hideMark/>
          </w:tcPr>
          <w:p w14:paraId="6DB9A2F6" w14:textId="2047CEC2"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33.854,31</w:t>
            </w:r>
          </w:p>
        </w:tc>
        <w:tc>
          <w:tcPr>
            <w:tcW w:w="478" w:type="pct"/>
            <w:tcBorders>
              <w:top w:val="nil"/>
              <w:left w:val="nil"/>
              <w:bottom w:val="single" w:sz="4" w:space="0" w:color="auto"/>
              <w:right w:val="single" w:sz="4" w:space="0" w:color="auto"/>
            </w:tcBorders>
            <w:noWrap/>
            <w:vAlign w:val="bottom"/>
            <w:hideMark/>
          </w:tcPr>
          <w:p w14:paraId="05ADB6F9" w14:textId="3D686AE7"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12.667,53</w:t>
            </w:r>
          </w:p>
        </w:tc>
        <w:tc>
          <w:tcPr>
            <w:tcW w:w="466" w:type="pct"/>
            <w:tcBorders>
              <w:top w:val="nil"/>
              <w:left w:val="nil"/>
              <w:bottom w:val="single" w:sz="4" w:space="0" w:color="auto"/>
              <w:right w:val="single" w:sz="4" w:space="0" w:color="auto"/>
            </w:tcBorders>
            <w:noWrap/>
            <w:vAlign w:val="bottom"/>
            <w:hideMark/>
          </w:tcPr>
          <w:p w14:paraId="74512ED1" w14:textId="6ACDD375"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158.871,15</w:t>
            </w:r>
          </w:p>
        </w:tc>
        <w:tc>
          <w:tcPr>
            <w:tcW w:w="527" w:type="pct"/>
            <w:tcBorders>
              <w:top w:val="nil"/>
              <w:left w:val="nil"/>
              <w:bottom w:val="single" w:sz="4" w:space="0" w:color="auto"/>
              <w:right w:val="single" w:sz="4" w:space="0" w:color="auto"/>
            </w:tcBorders>
            <w:noWrap/>
            <w:vAlign w:val="bottom"/>
            <w:hideMark/>
          </w:tcPr>
          <w:p w14:paraId="697E0940" w14:textId="36927563"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832.146,98</w:t>
            </w:r>
          </w:p>
        </w:tc>
        <w:tc>
          <w:tcPr>
            <w:tcW w:w="478" w:type="pct"/>
            <w:tcBorders>
              <w:top w:val="nil"/>
              <w:left w:val="nil"/>
              <w:bottom w:val="single" w:sz="4" w:space="0" w:color="auto"/>
              <w:right w:val="single" w:sz="4" w:space="0" w:color="auto"/>
            </w:tcBorders>
            <w:noWrap/>
            <w:vAlign w:val="bottom"/>
            <w:hideMark/>
          </w:tcPr>
          <w:p w14:paraId="2335C9DF" w14:textId="534B6F40" w:rsidR="00190A7C" w:rsidRPr="000020F0" w:rsidRDefault="00190A7C" w:rsidP="00190A7C">
            <w:pPr>
              <w:jc w:val="right"/>
              <w:rPr>
                <w:rFonts w:ascii="Arial" w:hAnsi="Arial" w:cs="Arial"/>
                <w:color w:val="000000"/>
                <w:sz w:val="20"/>
                <w:szCs w:val="20"/>
              </w:rPr>
            </w:pPr>
            <w:r w:rsidRPr="000020F0">
              <w:rPr>
                <w:rFonts w:ascii="Arial" w:hAnsi="Arial" w:cs="Arial"/>
                <w:color w:val="000000"/>
                <w:sz w:val="20"/>
                <w:szCs w:val="20"/>
              </w:rPr>
              <w:t>16.214,00</w:t>
            </w:r>
          </w:p>
        </w:tc>
      </w:tr>
    </w:tbl>
    <w:p w14:paraId="1B7ED1CE" w14:textId="77777777" w:rsidR="00F87307" w:rsidRPr="000020F0" w:rsidRDefault="00F87307" w:rsidP="00BD1D20">
      <w:pPr>
        <w:spacing w:after="120" w:line="276" w:lineRule="auto"/>
        <w:jc w:val="both"/>
        <w:rPr>
          <w:rFonts w:asciiTheme="majorHAnsi" w:hAnsiTheme="majorHAnsi" w:cstheme="majorHAnsi"/>
          <w:b/>
          <w:sz w:val="22"/>
          <w:szCs w:val="22"/>
        </w:rPr>
      </w:pPr>
    </w:p>
    <w:p w14:paraId="3F9E80A6" w14:textId="098C1877" w:rsidR="00FF05C8" w:rsidRPr="000020F0" w:rsidRDefault="008D1C61" w:rsidP="00D63958">
      <w:pPr>
        <w:spacing w:after="120" w:line="276" w:lineRule="auto"/>
        <w:jc w:val="both"/>
        <w:rPr>
          <w:rFonts w:asciiTheme="majorHAnsi" w:hAnsiTheme="majorHAnsi" w:cstheme="majorHAnsi"/>
          <w:sz w:val="22"/>
          <w:szCs w:val="22"/>
        </w:rPr>
      </w:pPr>
      <w:bookmarkStart w:id="360" w:name="_Toc230882303"/>
      <w:r w:rsidRPr="000020F0">
        <w:rPr>
          <w:rFonts w:asciiTheme="majorHAnsi" w:hAnsiTheme="majorHAnsi" w:cstheme="majorHAnsi"/>
          <w:b/>
          <w:sz w:val="22"/>
          <w:szCs w:val="22"/>
        </w:rPr>
        <w:lastRenderedPageBreak/>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23</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Finančni terminski plan investicije v tekočih cenah v EUR</w:t>
      </w:r>
      <w:bookmarkEnd w:id="360"/>
    </w:p>
    <w:tbl>
      <w:tblPr>
        <w:tblW w:w="14255" w:type="dxa"/>
        <w:tblLook w:val="04A0" w:firstRow="1" w:lastRow="0" w:firstColumn="1" w:lastColumn="0" w:noHBand="0" w:noVBand="1"/>
      </w:tblPr>
      <w:tblGrid>
        <w:gridCol w:w="3256"/>
        <w:gridCol w:w="1701"/>
        <w:gridCol w:w="1218"/>
        <w:gridCol w:w="1276"/>
        <w:gridCol w:w="1559"/>
        <w:gridCol w:w="1276"/>
        <w:gridCol w:w="1275"/>
        <w:gridCol w:w="1384"/>
        <w:gridCol w:w="1310"/>
      </w:tblGrid>
      <w:tr w:rsidR="00D63958" w:rsidRPr="000020F0" w14:paraId="06B388E4" w14:textId="77777777" w:rsidTr="00CC4948">
        <w:trPr>
          <w:trHeight w:val="280"/>
          <w:tblHeader/>
        </w:trPr>
        <w:tc>
          <w:tcPr>
            <w:tcW w:w="325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269D4F3B"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Postavka</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7BF55FC6"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Vrednost</w:t>
            </w:r>
          </w:p>
        </w:tc>
        <w:tc>
          <w:tcPr>
            <w:tcW w:w="1218" w:type="dxa"/>
            <w:tcBorders>
              <w:top w:val="single" w:sz="4" w:space="0" w:color="auto"/>
              <w:left w:val="nil"/>
              <w:bottom w:val="single" w:sz="4" w:space="0" w:color="auto"/>
              <w:right w:val="single" w:sz="4" w:space="0" w:color="auto"/>
            </w:tcBorders>
            <w:shd w:val="clear" w:color="000000" w:fill="153D64"/>
            <w:noWrap/>
            <w:vAlign w:val="bottom"/>
            <w:hideMark/>
          </w:tcPr>
          <w:p w14:paraId="0F682ADD" w14:textId="77777777" w:rsidR="00D63958" w:rsidRPr="000020F0" w:rsidRDefault="00D63958" w:rsidP="00CC4948">
            <w:pPr>
              <w:rPr>
                <w:rFonts w:ascii="Arial" w:hAnsi="Arial" w:cs="Arial"/>
                <w:b/>
                <w:bCs/>
                <w:color w:val="FFFFFF"/>
                <w:sz w:val="20"/>
                <w:szCs w:val="20"/>
              </w:rPr>
            </w:pPr>
            <w:r w:rsidRPr="000020F0">
              <w:rPr>
                <w:rFonts w:ascii="Arial" w:hAnsi="Arial" w:cs="Arial"/>
                <w:b/>
                <w:bCs/>
                <w:color w:val="FFFFFF"/>
                <w:sz w:val="20"/>
                <w:szCs w:val="20"/>
              </w:rPr>
              <w:t>Delež</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2A41248C"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559" w:type="dxa"/>
            <w:tcBorders>
              <w:top w:val="single" w:sz="4" w:space="0" w:color="auto"/>
              <w:left w:val="nil"/>
              <w:bottom w:val="single" w:sz="4" w:space="0" w:color="auto"/>
              <w:right w:val="single" w:sz="4" w:space="0" w:color="auto"/>
            </w:tcBorders>
            <w:shd w:val="clear" w:color="000000" w:fill="153D64"/>
            <w:noWrap/>
            <w:vAlign w:val="bottom"/>
            <w:hideMark/>
          </w:tcPr>
          <w:p w14:paraId="2023D48C"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199DAF7E"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516223D4"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384" w:type="dxa"/>
            <w:tcBorders>
              <w:top w:val="single" w:sz="4" w:space="0" w:color="auto"/>
              <w:left w:val="nil"/>
              <w:bottom w:val="single" w:sz="4" w:space="0" w:color="auto"/>
              <w:right w:val="single" w:sz="4" w:space="0" w:color="auto"/>
            </w:tcBorders>
            <w:shd w:val="clear" w:color="000000" w:fill="153D64"/>
            <w:noWrap/>
            <w:vAlign w:val="bottom"/>
            <w:hideMark/>
          </w:tcPr>
          <w:p w14:paraId="3D05588D"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310" w:type="dxa"/>
            <w:tcBorders>
              <w:top w:val="single" w:sz="4" w:space="0" w:color="auto"/>
              <w:left w:val="nil"/>
              <w:bottom w:val="single" w:sz="4" w:space="0" w:color="auto"/>
              <w:right w:val="single" w:sz="4" w:space="0" w:color="auto"/>
            </w:tcBorders>
            <w:shd w:val="clear" w:color="000000" w:fill="153D64"/>
            <w:noWrap/>
            <w:vAlign w:val="bottom"/>
            <w:hideMark/>
          </w:tcPr>
          <w:p w14:paraId="1122FF94" w14:textId="77777777" w:rsidR="00D63958" w:rsidRPr="000020F0" w:rsidRDefault="00D63958" w:rsidP="00CC4948">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B547D0" w:rsidRPr="000020F0" w14:paraId="580AF0A5"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097482E"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Govekarjeva cesta</w:t>
            </w:r>
          </w:p>
        </w:tc>
        <w:tc>
          <w:tcPr>
            <w:tcW w:w="1701" w:type="dxa"/>
            <w:tcBorders>
              <w:top w:val="nil"/>
              <w:left w:val="nil"/>
              <w:bottom w:val="single" w:sz="4" w:space="0" w:color="auto"/>
              <w:right w:val="single" w:sz="4" w:space="0" w:color="auto"/>
            </w:tcBorders>
            <w:noWrap/>
            <w:vAlign w:val="bottom"/>
          </w:tcPr>
          <w:p w14:paraId="36B8CCC7" w14:textId="79CA375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895.239,34</w:t>
            </w:r>
          </w:p>
        </w:tc>
        <w:tc>
          <w:tcPr>
            <w:tcW w:w="1218" w:type="dxa"/>
            <w:tcBorders>
              <w:top w:val="nil"/>
              <w:left w:val="nil"/>
              <w:bottom w:val="single" w:sz="4" w:space="0" w:color="auto"/>
              <w:right w:val="single" w:sz="4" w:space="0" w:color="auto"/>
            </w:tcBorders>
            <w:noWrap/>
            <w:vAlign w:val="bottom"/>
          </w:tcPr>
          <w:p w14:paraId="6A94AD61" w14:textId="5DBADBD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26,44%</w:t>
            </w:r>
          </w:p>
        </w:tc>
        <w:tc>
          <w:tcPr>
            <w:tcW w:w="1276" w:type="dxa"/>
            <w:tcBorders>
              <w:top w:val="nil"/>
              <w:left w:val="nil"/>
              <w:bottom w:val="single" w:sz="4" w:space="0" w:color="auto"/>
              <w:right w:val="single" w:sz="4" w:space="0" w:color="auto"/>
            </w:tcBorders>
            <w:noWrap/>
            <w:vAlign w:val="bottom"/>
          </w:tcPr>
          <w:p w14:paraId="64CC6031" w14:textId="649117C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0F931E9B" w14:textId="2D4A287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1A09DBE1" w14:textId="10FF9B7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74509BA" w14:textId="38FC51E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E92E6E1" w14:textId="42DF597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844.741,64</w:t>
            </w:r>
          </w:p>
        </w:tc>
        <w:tc>
          <w:tcPr>
            <w:tcW w:w="1310" w:type="dxa"/>
            <w:tcBorders>
              <w:top w:val="nil"/>
              <w:left w:val="nil"/>
              <w:bottom w:val="single" w:sz="4" w:space="0" w:color="auto"/>
              <w:right w:val="single" w:sz="4" w:space="0" w:color="auto"/>
            </w:tcBorders>
            <w:noWrap/>
            <w:vAlign w:val="bottom"/>
          </w:tcPr>
          <w:p w14:paraId="64B03C6C" w14:textId="0D792EA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50.497,70</w:t>
            </w:r>
          </w:p>
        </w:tc>
      </w:tr>
      <w:tr w:rsidR="00B547D0" w:rsidRPr="000020F0" w14:paraId="336DAAE4"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6BEDBFC"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Troštova ulica</w:t>
            </w:r>
          </w:p>
        </w:tc>
        <w:tc>
          <w:tcPr>
            <w:tcW w:w="1701" w:type="dxa"/>
            <w:tcBorders>
              <w:top w:val="nil"/>
              <w:left w:val="nil"/>
              <w:bottom w:val="single" w:sz="4" w:space="0" w:color="auto"/>
              <w:right w:val="single" w:sz="4" w:space="0" w:color="auto"/>
            </w:tcBorders>
            <w:noWrap/>
            <w:vAlign w:val="bottom"/>
          </w:tcPr>
          <w:p w14:paraId="530A178E" w14:textId="7CFFD4D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51.078,31</w:t>
            </w:r>
          </w:p>
        </w:tc>
        <w:tc>
          <w:tcPr>
            <w:tcW w:w="1218" w:type="dxa"/>
            <w:tcBorders>
              <w:top w:val="nil"/>
              <w:left w:val="nil"/>
              <w:bottom w:val="single" w:sz="4" w:space="0" w:color="auto"/>
              <w:right w:val="single" w:sz="4" w:space="0" w:color="auto"/>
            </w:tcBorders>
            <w:noWrap/>
            <w:vAlign w:val="bottom"/>
          </w:tcPr>
          <w:p w14:paraId="45368797" w14:textId="7D955F4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1,51%</w:t>
            </w:r>
          </w:p>
        </w:tc>
        <w:tc>
          <w:tcPr>
            <w:tcW w:w="1276" w:type="dxa"/>
            <w:tcBorders>
              <w:top w:val="nil"/>
              <w:left w:val="nil"/>
              <w:bottom w:val="single" w:sz="4" w:space="0" w:color="auto"/>
              <w:right w:val="single" w:sz="4" w:space="0" w:color="auto"/>
            </w:tcBorders>
            <w:noWrap/>
            <w:vAlign w:val="bottom"/>
          </w:tcPr>
          <w:p w14:paraId="57FC8000" w14:textId="6675D82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0CC7592B" w14:textId="51F124A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6B47FF1" w14:textId="2B18237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659D18AA" w14:textId="58163FC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56C822F9" w14:textId="689ADA6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51.078,31</w:t>
            </w:r>
          </w:p>
        </w:tc>
        <w:tc>
          <w:tcPr>
            <w:tcW w:w="1310" w:type="dxa"/>
            <w:tcBorders>
              <w:top w:val="nil"/>
              <w:left w:val="nil"/>
              <w:bottom w:val="single" w:sz="4" w:space="0" w:color="auto"/>
              <w:right w:val="single" w:sz="4" w:space="0" w:color="auto"/>
            </w:tcBorders>
            <w:noWrap/>
            <w:vAlign w:val="bottom"/>
          </w:tcPr>
          <w:p w14:paraId="56F295E7" w14:textId="17B9014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6F9D8C18"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1141BCDB"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701" w:type="dxa"/>
            <w:tcBorders>
              <w:top w:val="nil"/>
              <w:left w:val="nil"/>
              <w:bottom w:val="single" w:sz="4" w:space="0" w:color="auto"/>
              <w:right w:val="single" w:sz="4" w:space="0" w:color="auto"/>
            </w:tcBorders>
            <w:noWrap/>
            <w:vAlign w:val="bottom"/>
          </w:tcPr>
          <w:p w14:paraId="21F6D0BD" w14:textId="2F72B73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62.607,72</w:t>
            </w:r>
          </w:p>
        </w:tc>
        <w:tc>
          <w:tcPr>
            <w:tcW w:w="1218" w:type="dxa"/>
            <w:tcBorders>
              <w:top w:val="nil"/>
              <w:left w:val="nil"/>
              <w:bottom w:val="single" w:sz="4" w:space="0" w:color="auto"/>
              <w:right w:val="single" w:sz="4" w:space="0" w:color="auto"/>
            </w:tcBorders>
            <w:noWrap/>
            <w:vAlign w:val="bottom"/>
          </w:tcPr>
          <w:p w14:paraId="14B29876" w14:textId="5EEAA7B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1,85%</w:t>
            </w:r>
          </w:p>
        </w:tc>
        <w:tc>
          <w:tcPr>
            <w:tcW w:w="1276" w:type="dxa"/>
            <w:tcBorders>
              <w:top w:val="nil"/>
              <w:left w:val="nil"/>
              <w:bottom w:val="single" w:sz="4" w:space="0" w:color="auto"/>
              <w:right w:val="single" w:sz="4" w:space="0" w:color="auto"/>
            </w:tcBorders>
            <w:noWrap/>
            <w:vAlign w:val="bottom"/>
          </w:tcPr>
          <w:p w14:paraId="228FAA61" w14:textId="6B3029C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7C8817F6" w14:textId="31BFE0D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0C0C3893" w14:textId="29220D7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4BE30AC9" w14:textId="1A6C961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6021A160" w14:textId="52C762E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62.607,72</w:t>
            </w:r>
          </w:p>
        </w:tc>
        <w:tc>
          <w:tcPr>
            <w:tcW w:w="1310" w:type="dxa"/>
            <w:tcBorders>
              <w:top w:val="nil"/>
              <w:left w:val="nil"/>
              <w:bottom w:val="single" w:sz="4" w:space="0" w:color="auto"/>
              <w:right w:val="single" w:sz="4" w:space="0" w:color="auto"/>
            </w:tcBorders>
            <w:noWrap/>
            <w:vAlign w:val="bottom"/>
          </w:tcPr>
          <w:p w14:paraId="0538D059" w14:textId="4629EA4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1BD7236A"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A14638B"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701" w:type="dxa"/>
            <w:tcBorders>
              <w:top w:val="nil"/>
              <w:left w:val="nil"/>
              <w:bottom w:val="single" w:sz="4" w:space="0" w:color="auto"/>
              <w:right w:val="single" w:sz="4" w:space="0" w:color="auto"/>
            </w:tcBorders>
            <w:noWrap/>
            <w:vAlign w:val="bottom"/>
          </w:tcPr>
          <w:p w14:paraId="4B3B717C" w14:textId="510D354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43.381,22</w:t>
            </w:r>
          </w:p>
        </w:tc>
        <w:tc>
          <w:tcPr>
            <w:tcW w:w="1218" w:type="dxa"/>
            <w:tcBorders>
              <w:top w:val="nil"/>
              <w:left w:val="nil"/>
              <w:bottom w:val="single" w:sz="4" w:space="0" w:color="auto"/>
              <w:right w:val="single" w:sz="4" w:space="0" w:color="auto"/>
            </w:tcBorders>
            <w:noWrap/>
            <w:vAlign w:val="bottom"/>
          </w:tcPr>
          <w:p w14:paraId="427D7F68" w14:textId="02C2BBD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1,28%</w:t>
            </w:r>
          </w:p>
        </w:tc>
        <w:tc>
          <w:tcPr>
            <w:tcW w:w="1276" w:type="dxa"/>
            <w:tcBorders>
              <w:top w:val="nil"/>
              <w:left w:val="nil"/>
              <w:bottom w:val="single" w:sz="4" w:space="0" w:color="auto"/>
              <w:right w:val="single" w:sz="4" w:space="0" w:color="auto"/>
            </w:tcBorders>
            <w:noWrap/>
            <w:vAlign w:val="bottom"/>
          </w:tcPr>
          <w:p w14:paraId="638D9F0E" w14:textId="03AC098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4B1BD9F7" w14:textId="79F6809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0685B891" w14:textId="00B138E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5306525D" w14:textId="29E0EF3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3492A2C3" w14:textId="354660D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43.381,22</w:t>
            </w:r>
          </w:p>
        </w:tc>
        <w:tc>
          <w:tcPr>
            <w:tcW w:w="1310" w:type="dxa"/>
            <w:tcBorders>
              <w:top w:val="nil"/>
              <w:left w:val="nil"/>
              <w:bottom w:val="single" w:sz="4" w:space="0" w:color="auto"/>
              <w:right w:val="single" w:sz="4" w:space="0" w:color="auto"/>
            </w:tcBorders>
            <w:noWrap/>
            <w:vAlign w:val="bottom"/>
          </w:tcPr>
          <w:p w14:paraId="787AD8AB" w14:textId="67FDABC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07C64F45"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277666C3"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701" w:type="dxa"/>
            <w:tcBorders>
              <w:top w:val="nil"/>
              <w:left w:val="nil"/>
              <w:bottom w:val="single" w:sz="4" w:space="0" w:color="auto"/>
              <w:right w:val="single" w:sz="4" w:space="0" w:color="auto"/>
            </w:tcBorders>
            <w:noWrap/>
            <w:vAlign w:val="bottom"/>
          </w:tcPr>
          <w:p w14:paraId="045104BC" w14:textId="09B3ABB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14.050,12</w:t>
            </w:r>
          </w:p>
        </w:tc>
        <w:tc>
          <w:tcPr>
            <w:tcW w:w="1218" w:type="dxa"/>
            <w:tcBorders>
              <w:top w:val="nil"/>
              <w:left w:val="nil"/>
              <w:bottom w:val="single" w:sz="4" w:space="0" w:color="auto"/>
              <w:right w:val="single" w:sz="4" w:space="0" w:color="auto"/>
            </w:tcBorders>
            <w:noWrap/>
            <w:vAlign w:val="bottom"/>
          </w:tcPr>
          <w:p w14:paraId="332F551F" w14:textId="4CCECF3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0,41%</w:t>
            </w:r>
          </w:p>
        </w:tc>
        <w:tc>
          <w:tcPr>
            <w:tcW w:w="1276" w:type="dxa"/>
            <w:tcBorders>
              <w:top w:val="nil"/>
              <w:left w:val="nil"/>
              <w:bottom w:val="single" w:sz="4" w:space="0" w:color="auto"/>
              <w:right w:val="single" w:sz="4" w:space="0" w:color="auto"/>
            </w:tcBorders>
            <w:noWrap/>
            <w:vAlign w:val="bottom"/>
          </w:tcPr>
          <w:p w14:paraId="39E16246" w14:textId="34F12F8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1683F35F" w14:textId="23B8214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F1C321E" w14:textId="69E0C00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57BB81FD" w14:textId="6E34EC8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4F769FA0" w14:textId="7F637C5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14.050,12</w:t>
            </w:r>
          </w:p>
        </w:tc>
        <w:tc>
          <w:tcPr>
            <w:tcW w:w="1310" w:type="dxa"/>
            <w:tcBorders>
              <w:top w:val="nil"/>
              <w:left w:val="nil"/>
              <w:bottom w:val="single" w:sz="4" w:space="0" w:color="auto"/>
              <w:right w:val="single" w:sz="4" w:space="0" w:color="auto"/>
            </w:tcBorders>
            <w:noWrap/>
            <w:vAlign w:val="bottom"/>
          </w:tcPr>
          <w:p w14:paraId="14D6995D" w14:textId="26A517F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03B3B448"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5DDBAC4F"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701" w:type="dxa"/>
            <w:tcBorders>
              <w:top w:val="nil"/>
              <w:left w:val="nil"/>
              <w:bottom w:val="single" w:sz="4" w:space="0" w:color="auto"/>
              <w:right w:val="single" w:sz="4" w:space="0" w:color="auto"/>
            </w:tcBorders>
            <w:noWrap/>
            <w:vAlign w:val="bottom"/>
          </w:tcPr>
          <w:p w14:paraId="4F6E2CEA" w14:textId="2694AE1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9.955,57</w:t>
            </w:r>
          </w:p>
        </w:tc>
        <w:tc>
          <w:tcPr>
            <w:tcW w:w="1218" w:type="dxa"/>
            <w:tcBorders>
              <w:top w:val="nil"/>
              <w:left w:val="nil"/>
              <w:bottom w:val="single" w:sz="4" w:space="0" w:color="auto"/>
              <w:right w:val="single" w:sz="4" w:space="0" w:color="auto"/>
            </w:tcBorders>
            <w:noWrap/>
            <w:vAlign w:val="bottom"/>
          </w:tcPr>
          <w:p w14:paraId="50BDDB28" w14:textId="30E7F9B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tcPr>
          <w:p w14:paraId="1E8D78AE" w14:textId="4E635B9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345B7B4F" w14:textId="54BC6FB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34966635" w14:textId="5C1789F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8DBD74C" w14:textId="0E15911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4DF427E" w14:textId="6C6B111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tcPr>
          <w:p w14:paraId="3406CB58" w14:textId="627A957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47EFE10E"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2017E24F" w14:textId="10DD4AC0"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701" w:type="dxa"/>
            <w:tcBorders>
              <w:top w:val="nil"/>
              <w:left w:val="nil"/>
              <w:bottom w:val="single" w:sz="4" w:space="0" w:color="auto"/>
              <w:right w:val="single" w:sz="4" w:space="0" w:color="auto"/>
            </w:tcBorders>
            <w:noWrap/>
            <w:vAlign w:val="bottom"/>
          </w:tcPr>
          <w:p w14:paraId="4F51B45C" w14:textId="13C5ADD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9.955,57</w:t>
            </w:r>
          </w:p>
        </w:tc>
        <w:tc>
          <w:tcPr>
            <w:tcW w:w="1218" w:type="dxa"/>
            <w:tcBorders>
              <w:top w:val="nil"/>
              <w:left w:val="nil"/>
              <w:bottom w:val="single" w:sz="4" w:space="0" w:color="auto"/>
              <w:right w:val="single" w:sz="4" w:space="0" w:color="auto"/>
            </w:tcBorders>
            <w:noWrap/>
            <w:vAlign w:val="bottom"/>
          </w:tcPr>
          <w:p w14:paraId="0C810817" w14:textId="21AB956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tcPr>
          <w:p w14:paraId="4D200597" w14:textId="4E8F915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60834446" w14:textId="74C8B42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26DF2A24" w14:textId="52B39F9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5A607274" w14:textId="4FFF68C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4113C201" w14:textId="1464A31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tcPr>
          <w:p w14:paraId="2E066F7D" w14:textId="73D0A32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0A3CECA7"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5899BD56"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701" w:type="dxa"/>
            <w:tcBorders>
              <w:top w:val="nil"/>
              <w:left w:val="nil"/>
              <w:bottom w:val="single" w:sz="4" w:space="0" w:color="auto"/>
              <w:right w:val="single" w:sz="4" w:space="0" w:color="auto"/>
            </w:tcBorders>
            <w:noWrap/>
            <w:vAlign w:val="bottom"/>
          </w:tcPr>
          <w:p w14:paraId="1D01719F" w14:textId="2610298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71.385,08</w:t>
            </w:r>
          </w:p>
        </w:tc>
        <w:tc>
          <w:tcPr>
            <w:tcW w:w="1218" w:type="dxa"/>
            <w:tcBorders>
              <w:top w:val="nil"/>
              <w:left w:val="nil"/>
              <w:bottom w:val="single" w:sz="4" w:space="0" w:color="auto"/>
              <w:right w:val="single" w:sz="4" w:space="0" w:color="auto"/>
            </w:tcBorders>
            <w:noWrap/>
            <w:vAlign w:val="bottom"/>
          </w:tcPr>
          <w:p w14:paraId="5B70B162" w14:textId="5515B40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2,11%</w:t>
            </w:r>
          </w:p>
        </w:tc>
        <w:tc>
          <w:tcPr>
            <w:tcW w:w="1276" w:type="dxa"/>
            <w:tcBorders>
              <w:top w:val="nil"/>
              <w:left w:val="nil"/>
              <w:bottom w:val="single" w:sz="4" w:space="0" w:color="auto"/>
              <w:right w:val="single" w:sz="4" w:space="0" w:color="auto"/>
            </w:tcBorders>
            <w:noWrap/>
            <w:vAlign w:val="bottom"/>
          </w:tcPr>
          <w:p w14:paraId="0D51E787" w14:textId="3CA91D4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1A2BE13D" w14:textId="3ED6173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206CA7AC" w14:textId="3645B00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369220B" w14:textId="2A7F2A4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34BA814" w14:textId="6B86AE6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71.385,08</w:t>
            </w:r>
          </w:p>
        </w:tc>
        <w:tc>
          <w:tcPr>
            <w:tcW w:w="1310" w:type="dxa"/>
            <w:tcBorders>
              <w:top w:val="nil"/>
              <w:left w:val="nil"/>
              <w:bottom w:val="single" w:sz="4" w:space="0" w:color="auto"/>
              <w:right w:val="single" w:sz="4" w:space="0" w:color="auto"/>
            </w:tcBorders>
            <w:noWrap/>
            <w:vAlign w:val="bottom"/>
          </w:tcPr>
          <w:p w14:paraId="387C0E4A" w14:textId="28DE7F5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387DEC8F"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5E4F65E2" w14:textId="757E0AA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športna dvorana</w:t>
            </w:r>
          </w:p>
        </w:tc>
        <w:tc>
          <w:tcPr>
            <w:tcW w:w="1701" w:type="dxa"/>
            <w:tcBorders>
              <w:top w:val="nil"/>
              <w:left w:val="nil"/>
              <w:bottom w:val="single" w:sz="4" w:space="0" w:color="auto"/>
              <w:right w:val="single" w:sz="4" w:space="0" w:color="auto"/>
            </w:tcBorders>
            <w:noWrap/>
            <w:vAlign w:val="bottom"/>
          </w:tcPr>
          <w:p w14:paraId="2704772E" w14:textId="7AC8DEA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9.955,58</w:t>
            </w:r>
          </w:p>
        </w:tc>
        <w:tc>
          <w:tcPr>
            <w:tcW w:w="1218" w:type="dxa"/>
            <w:tcBorders>
              <w:top w:val="nil"/>
              <w:left w:val="nil"/>
              <w:bottom w:val="single" w:sz="4" w:space="0" w:color="auto"/>
              <w:right w:val="single" w:sz="4" w:space="0" w:color="auto"/>
            </w:tcBorders>
            <w:noWrap/>
            <w:vAlign w:val="bottom"/>
          </w:tcPr>
          <w:p w14:paraId="715CDEA6" w14:textId="0713DFD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0,29%</w:t>
            </w:r>
          </w:p>
        </w:tc>
        <w:tc>
          <w:tcPr>
            <w:tcW w:w="1276" w:type="dxa"/>
            <w:tcBorders>
              <w:top w:val="nil"/>
              <w:left w:val="nil"/>
              <w:bottom w:val="single" w:sz="4" w:space="0" w:color="auto"/>
              <w:right w:val="single" w:sz="4" w:space="0" w:color="auto"/>
            </w:tcBorders>
            <w:noWrap/>
            <w:vAlign w:val="bottom"/>
          </w:tcPr>
          <w:p w14:paraId="12D67653" w14:textId="207F86D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488616E8" w14:textId="5764950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B29AA6E" w14:textId="48B562B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687C2A3B" w14:textId="7197E88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E6D0554" w14:textId="6BC087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9.955,58</w:t>
            </w:r>
          </w:p>
        </w:tc>
        <w:tc>
          <w:tcPr>
            <w:tcW w:w="1310" w:type="dxa"/>
            <w:tcBorders>
              <w:top w:val="nil"/>
              <w:left w:val="nil"/>
              <w:bottom w:val="single" w:sz="4" w:space="0" w:color="auto"/>
              <w:right w:val="single" w:sz="4" w:space="0" w:color="auto"/>
            </w:tcBorders>
            <w:noWrap/>
            <w:vAlign w:val="bottom"/>
          </w:tcPr>
          <w:p w14:paraId="377256EF" w14:textId="540D52E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2D7F2AE2"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51E90CB4"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Parkirišča za kolesa - park</w:t>
            </w:r>
          </w:p>
        </w:tc>
        <w:tc>
          <w:tcPr>
            <w:tcW w:w="1701" w:type="dxa"/>
            <w:tcBorders>
              <w:top w:val="nil"/>
              <w:left w:val="nil"/>
              <w:bottom w:val="single" w:sz="4" w:space="0" w:color="auto"/>
              <w:right w:val="single" w:sz="4" w:space="0" w:color="auto"/>
            </w:tcBorders>
            <w:noWrap/>
            <w:vAlign w:val="bottom"/>
          </w:tcPr>
          <w:p w14:paraId="74993EA9" w14:textId="1E327E9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12.709,88</w:t>
            </w:r>
          </w:p>
        </w:tc>
        <w:tc>
          <w:tcPr>
            <w:tcW w:w="1218" w:type="dxa"/>
            <w:tcBorders>
              <w:top w:val="nil"/>
              <w:left w:val="nil"/>
              <w:bottom w:val="single" w:sz="4" w:space="0" w:color="auto"/>
              <w:right w:val="single" w:sz="4" w:space="0" w:color="auto"/>
            </w:tcBorders>
            <w:noWrap/>
            <w:vAlign w:val="bottom"/>
          </w:tcPr>
          <w:p w14:paraId="3605E177" w14:textId="122F98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0,38%</w:t>
            </w:r>
          </w:p>
        </w:tc>
        <w:tc>
          <w:tcPr>
            <w:tcW w:w="1276" w:type="dxa"/>
            <w:tcBorders>
              <w:top w:val="nil"/>
              <w:left w:val="nil"/>
              <w:bottom w:val="single" w:sz="4" w:space="0" w:color="auto"/>
              <w:right w:val="single" w:sz="4" w:space="0" w:color="auto"/>
            </w:tcBorders>
            <w:noWrap/>
            <w:vAlign w:val="bottom"/>
          </w:tcPr>
          <w:p w14:paraId="1AA766AD" w14:textId="46EC476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231AC986" w14:textId="717C790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5B1E8E1" w14:textId="4F3C2BB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253FD95B" w14:textId="526585B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1D8234D4" w14:textId="1BC7717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12.709,88</w:t>
            </w:r>
          </w:p>
        </w:tc>
        <w:tc>
          <w:tcPr>
            <w:tcW w:w="1310" w:type="dxa"/>
            <w:tcBorders>
              <w:top w:val="nil"/>
              <w:left w:val="nil"/>
              <w:bottom w:val="single" w:sz="4" w:space="0" w:color="auto"/>
              <w:right w:val="single" w:sz="4" w:space="0" w:color="auto"/>
            </w:tcBorders>
            <w:noWrap/>
            <w:vAlign w:val="bottom"/>
          </w:tcPr>
          <w:p w14:paraId="27316868" w14:textId="4D5957C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08CE5C6E"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29CF66C"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Avtobusno postajališče - nivo ceste</w:t>
            </w:r>
          </w:p>
        </w:tc>
        <w:tc>
          <w:tcPr>
            <w:tcW w:w="1701" w:type="dxa"/>
            <w:tcBorders>
              <w:top w:val="nil"/>
              <w:left w:val="nil"/>
              <w:bottom w:val="single" w:sz="4" w:space="0" w:color="auto"/>
              <w:right w:val="single" w:sz="4" w:space="0" w:color="auto"/>
            </w:tcBorders>
            <w:noWrap/>
            <w:vAlign w:val="bottom"/>
          </w:tcPr>
          <w:p w14:paraId="5AA64A4D" w14:textId="7789037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317.561,27</w:t>
            </w:r>
          </w:p>
        </w:tc>
        <w:tc>
          <w:tcPr>
            <w:tcW w:w="1218" w:type="dxa"/>
            <w:tcBorders>
              <w:top w:val="nil"/>
              <w:left w:val="nil"/>
              <w:bottom w:val="single" w:sz="4" w:space="0" w:color="auto"/>
              <w:right w:val="single" w:sz="4" w:space="0" w:color="auto"/>
            </w:tcBorders>
            <w:noWrap/>
            <w:vAlign w:val="bottom"/>
          </w:tcPr>
          <w:p w14:paraId="387D473D" w14:textId="5E5709C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9,38%</w:t>
            </w:r>
          </w:p>
        </w:tc>
        <w:tc>
          <w:tcPr>
            <w:tcW w:w="1276" w:type="dxa"/>
            <w:tcBorders>
              <w:top w:val="nil"/>
              <w:left w:val="nil"/>
              <w:bottom w:val="single" w:sz="4" w:space="0" w:color="auto"/>
              <w:right w:val="single" w:sz="4" w:space="0" w:color="auto"/>
            </w:tcBorders>
            <w:noWrap/>
            <w:vAlign w:val="bottom"/>
          </w:tcPr>
          <w:p w14:paraId="3922C2C8" w14:textId="4C1FFD6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05974169" w14:textId="0248280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16B508F4" w14:textId="2534CB2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3A2527C5" w14:textId="7562172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317.561,27</w:t>
            </w:r>
          </w:p>
        </w:tc>
        <w:tc>
          <w:tcPr>
            <w:tcW w:w="1384" w:type="dxa"/>
            <w:tcBorders>
              <w:top w:val="nil"/>
              <w:left w:val="nil"/>
              <w:bottom w:val="single" w:sz="4" w:space="0" w:color="auto"/>
              <w:right w:val="single" w:sz="4" w:space="0" w:color="auto"/>
            </w:tcBorders>
            <w:noWrap/>
            <w:vAlign w:val="bottom"/>
          </w:tcPr>
          <w:p w14:paraId="3E739412" w14:textId="4F1FBD7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730458C4" w14:textId="0FB446F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3AE4F213"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6FBC99EF"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Sanitarije</w:t>
            </w:r>
          </w:p>
        </w:tc>
        <w:tc>
          <w:tcPr>
            <w:tcW w:w="1701" w:type="dxa"/>
            <w:tcBorders>
              <w:top w:val="nil"/>
              <w:left w:val="nil"/>
              <w:bottom w:val="single" w:sz="4" w:space="0" w:color="auto"/>
              <w:right w:val="single" w:sz="4" w:space="0" w:color="auto"/>
            </w:tcBorders>
            <w:noWrap/>
            <w:vAlign w:val="bottom"/>
          </w:tcPr>
          <w:p w14:paraId="316A6BF2" w14:textId="121419B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96.295,88</w:t>
            </w:r>
          </w:p>
        </w:tc>
        <w:tc>
          <w:tcPr>
            <w:tcW w:w="1218" w:type="dxa"/>
            <w:tcBorders>
              <w:top w:val="nil"/>
              <w:left w:val="nil"/>
              <w:bottom w:val="single" w:sz="4" w:space="0" w:color="auto"/>
              <w:right w:val="single" w:sz="4" w:space="0" w:color="auto"/>
            </w:tcBorders>
            <w:noWrap/>
            <w:vAlign w:val="bottom"/>
          </w:tcPr>
          <w:p w14:paraId="5ABC0226" w14:textId="282AADF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2,84%</w:t>
            </w:r>
          </w:p>
        </w:tc>
        <w:tc>
          <w:tcPr>
            <w:tcW w:w="1276" w:type="dxa"/>
            <w:tcBorders>
              <w:top w:val="nil"/>
              <w:left w:val="nil"/>
              <w:bottom w:val="single" w:sz="4" w:space="0" w:color="auto"/>
              <w:right w:val="single" w:sz="4" w:space="0" w:color="auto"/>
            </w:tcBorders>
            <w:noWrap/>
            <w:vAlign w:val="bottom"/>
          </w:tcPr>
          <w:p w14:paraId="79AB4078" w14:textId="085F95B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39D5458A" w14:textId="55FFA34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45D9820B" w14:textId="4B271F0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445EC1B4" w14:textId="36DD1EC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0239EAD7" w14:textId="5BF2F26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96.295,88</w:t>
            </w:r>
          </w:p>
        </w:tc>
        <w:tc>
          <w:tcPr>
            <w:tcW w:w="1310" w:type="dxa"/>
            <w:tcBorders>
              <w:top w:val="nil"/>
              <w:left w:val="nil"/>
              <w:bottom w:val="single" w:sz="4" w:space="0" w:color="auto"/>
              <w:right w:val="single" w:sz="4" w:space="0" w:color="auto"/>
            </w:tcBorders>
            <w:noWrap/>
            <w:vAlign w:val="bottom"/>
          </w:tcPr>
          <w:p w14:paraId="02F2E26C" w14:textId="124AADD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4811CC96"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7C278D26"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Avtobusno postajališče - nadstrešnica</w:t>
            </w:r>
          </w:p>
        </w:tc>
        <w:tc>
          <w:tcPr>
            <w:tcW w:w="1701" w:type="dxa"/>
            <w:tcBorders>
              <w:top w:val="nil"/>
              <w:left w:val="nil"/>
              <w:bottom w:val="single" w:sz="4" w:space="0" w:color="auto"/>
              <w:right w:val="single" w:sz="4" w:space="0" w:color="auto"/>
            </w:tcBorders>
            <w:noWrap/>
            <w:vAlign w:val="bottom"/>
          </w:tcPr>
          <w:p w14:paraId="145EE398" w14:textId="55FBE91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277.217,15</w:t>
            </w:r>
          </w:p>
        </w:tc>
        <w:tc>
          <w:tcPr>
            <w:tcW w:w="1218" w:type="dxa"/>
            <w:tcBorders>
              <w:top w:val="nil"/>
              <w:left w:val="nil"/>
              <w:bottom w:val="single" w:sz="4" w:space="0" w:color="auto"/>
              <w:right w:val="single" w:sz="4" w:space="0" w:color="auto"/>
            </w:tcBorders>
            <w:noWrap/>
            <w:vAlign w:val="bottom"/>
          </w:tcPr>
          <w:p w14:paraId="174DEA34" w14:textId="3C293AD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8,19%</w:t>
            </w:r>
          </w:p>
        </w:tc>
        <w:tc>
          <w:tcPr>
            <w:tcW w:w="1276" w:type="dxa"/>
            <w:tcBorders>
              <w:top w:val="nil"/>
              <w:left w:val="nil"/>
              <w:bottom w:val="single" w:sz="4" w:space="0" w:color="auto"/>
              <w:right w:val="single" w:sz="4" w:space="0" w:color="auto"/>
            </w:tcBorders>
            <w:noWrap/>
            <w:vAlign w:val="bottom"/>
          </w:tcPr>
          <w:p w14:paraId="231E9845" w14:textId="14C2579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67C45E90" w14:textId="7EA80D4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736CAFCC" w14:textId="1011740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2BA11E1F" w14:textId="089DA68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277.217,15</w:t>
            </w:r>
          </w:p>
        </w:tc>
        <w:tc>
          <w:tcPr>
            <w:tcW w:w="1384" w:type="dxa"/>
            <w:tcBorders>
              <w:top w:val="nil"/>
              <w:left w:val="nil"/>
              <w:bottom w:val="single" w:sz="4" w:space="0" w:color="auto"/>
              <w:right w:val="single" w:sz="4" w:space="0" w:color="auto"/>
            </w:tcBorders>
            <w:noWrap/>
            <w:vAlign w:val="bottom"/>
          </w:tcPr>
          <w:p w14:paraId="5F0D4C39" w14:textId="230A95C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1C32130E" w14:textId="682011F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3D86453E" w14:textId="77777777" w:rsidTr="0087781B">
        <w:trPr>
          <w:trHeight w:val="290"/>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6DE281C9"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Parkirišče z vhodom v šolo</w:t>
            </w:r>
          </w:p>
        </w:tc>
        <w:tc>
          <w:tcPr>
            <w:tcW w:w="1701" w:type="dxa"/>
            <w:tcBorders>
              <w:top w:val="nil"/>
              <w:left w:val="nil"/>
              <w:bottom w:val="single" w:sz="4" w:space="0" w:color="auto"/>
              <w:right w:val="single" w:sz="4" w:space="0" w:color="auto"/>
            </w:tcBorders>
            <w:noWrap/>
            <w:vAlign w:val="bottom"/>
          </w:tcPr>
          <w:p w14:paraId="259A006B" w14:textId="315DE61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414.728,58</w:t>
            </w:r>
          </w:p>
        </w:tc>
        <w:tc>
          <w:tcPr>
            <w:tcW w:w="1218" w:type="dxa"/>
            <w:tcBorders>
              <w:top w:val="nil"/>
              <w:left w:val="nil"/>
              <w:bottom w:val="single" w:sz="4" w:space="0" w:color="auto"/>
              <w:right w:val="single" w:sz="4" w:space="0" w:color="auto"/>
            </w:tcBorders>
            <w:noWrap/>
            <w:vAlign w:val="bottom"/>
          </w:tcPr>
          <w:p w14:paraId="200EE137" w14:textId="7A5073B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12,25%</w:t>
            </w:r>
          </w:p>
        </w:tc>
        <w:tc>
          <w:tcPr>
            <w:tcW w:w="1276" w:type="dxa"/>
            <w:tcBorders>
              <w:top w:val="nil"/>
              <w:left w:val="nil"/>
              <w:bottom w:val="single" w:sz="4" w:space="0" w:color="auto"/>
              <w:right w:val="single" w:sz="4" w:space="0" w:color="auto"/>
            </w:tcBorders>
            <w:noWrap/>
            <w:vAlign w:val="bottom"/>
          </w:tcPr>
          <w:p w14:paraId="75E2B45F" w14:textId="7B7332C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152EA5F6" w14:textId="0D6EEDD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39A1952D" w14:textId="73A7B90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6E4ABC7" w14:textId="0471626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0D9EAF43" w14:textId="0CD82FB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414.728,58</w:t>
            </w:r>
          </w:p>
        </w:tc>
        <w:tc>
          <w:tcPr>
            <w:tcW w:w="1310" w:type="dxa"/>
            <w:tcBorders>
              <w:top w:val="nil"/>
              <w:left w:val="nil"/>
              <w:bottom w:val="single" w:sz="4" w:space="0" w:color="auto"/>
              <w:right w:val="single" w:sz="4" w:space="0" w:color="auto"/>
            </w:tcBorders>
            <w:noWrap/>
            <w:vAlign w:val="bottom"/>
          </w:tcPr>
          <w:p w14:paraId="1BB65923" w14:textId="5CABE28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5F2AF6C6" w14:textId="77777777" w:rsidTr="0087781B">
        <w:trPr>
          <w:trHeight w:val="29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631B37D5" w14:textId="77777777" w:rsidR="00B547D0" w:rsidRPr="000020F0" w:rsidRDefault="00B547D0" w:rsidP="00B547D0">
            <w:pPr>
              <w:rPr>
                <w:rFonts w:ascii="Arial" w:hAnsi="Arial" w:cs="Arial"/>
                <w:i/>
                <w:iCs/>
                <w:color w:val="000000"/>
                <w:sz w:val="20"/>
                <w:szCs w:val="20"/>
              </w:rPr>
            </w:pPr>
            <w:r w:rsidRPr="000020F0">
              <w:rPr>
                <w:rFonts w:ascii="Arial" w:hAnsi="Arial" w:cs="Arial"/>
                <w:i/>
                <w:iCs/>
                <w:color w:val="000000"/>
                <w:sz w:val="20"/>
                <w:szCs w:val="20"/>
              </w:rPr>
              <w:t>Skupaj GOI dela</w:t>
            </w:r>
          </w:p>
        </w:tc>
        <w:tc>
          <w:tcPr>
            <w:tcW w:w="1701" w:type="dxa"/>
            <w:tcBorders>
              <w:top w:val="nil"/>
              <w:left w:val="nil"/>
              <w:bottom w:val="single" w:sz="4" w:space="0" w:color="auto"/>
              <w:right w:val="single" w:sz="4" w:space="0" w:color="auto"/>
            </w:tcBorders>
            <w:shd w:val="clear" w:color="000000" w:fill="D9D9D9"/>
            <w:noWrap/>
            <w:vAlign w:val="bottom"/>
          </w:tcPr>
          <w:p w14:paraId="2639DE31" w14:textId="491DA3AA"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2.286.121,27</w:t>
            </w:r>
          </w:p>
        </w:tc>
        <w:tc>
          <w:tcPr>
            <w:tcW w:w="1218" w:type="dxa"/>
            <w:tcBorders>
              <w:top w:val="nil"/>
              <w:left w:val="nil"/>
              <w:bottom w:val="single" w:sz="4" w:space="0" w:color="auto"/>
              <w:right w:val="single" w:sz="4" w:space="0" w:color="auto"/>
            </w:tcBorders>
            <w:shd w:val="clear" w:color="000000" w:fill="D9D9D9"/>
            <w:noWrap/>
            <w:vAlign w:val="bottom"/>
          </w:tcPr>
          <w:p w14:paraId="150DC24A" w14:textId="111C9610"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67,52%</w:t>
            </w:r>
          </w:p>
        </w:tc>
        <w:tc>
          <w:tcPr>
            <w:tcW w:w="1276" w:type="dxa"/>
            <w:tcBorders>
              <w:top w:val="nil"/>
              <w:left w:val="nil"/>
              <w:bottom w:val="single" w:sz="4" w:space="0" w:color="auto"/>
              <w:right w:val="single" w:sz="4" w:space="0" w:color="auto"/>
            </w:tcBorders>
            <w:shd w:val="clear" w:color="000000" w:fill="D9D9D9"/>
            <w:noWrap/>
            <w:vAlign w:val="bottom"/>
          </w:tcPr>
          <w:p w14:paraId="4BE3451C" w14:textId="10B5AD78"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559" w:type="dxa"/>
            <w:tcBorders>
              <w:top w:val="nil"/>
              <w:left w:val="nil"/>
              <w:bottom w:val="single" w:sz="4" w:space="0" w:color="auto"/>
              <w:right w:val="single" w:sz="4" w:space="0" w:color="auto"/>
            </w:tcBorders>
            <w:shd w:val="clear" w:color="000000" w:fill="D9D9D9"/>
            <w:noWrap/>
            <w:vAlign w:val="bottom"/>
          </w:tcPr>
          <w:p w14:paraId="68DF0DCC" w14:textId="24CC9D47"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276" w:type="dxa"/>
            <w:tcBorders>
              <w:top w:val="nil"/>
              <w:left w:val="nil"/>
              <w:bottom w:val="single" w:sz="4" w:space="0" w:color="auto"/>
              <w:right w:val="single" w:sz="4" w:space="0" w:color="auto"/>
            </w:tcBorders>
            <w:shd w:val="clear" w:color="000000" w:fill="D9D9D9"/>
            <w:noWrap/>
            <w:vAlign w:val="bottom"/>
          </w:tcPr>
          <w:p w14:paraId="50214804" w14:textId="58BA679C"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0,00</w:t>
            </w:r>
          </w:p>
        </w:tc>
        <w:tc>
          <w:tcPr>
            <w:tcW w:w="1275" w:type="dxa"/>
            <w:tcBorders>
              <w:top w:val="nil"/>
              <w:left w:val="nil"/>
              <w:bottom w:val="single" w:sz="4" w:space="0" w:color="auto"/>
              <w:right w:val="single" w:sz="4" w:space="0" w:color="auto"/>
            </w:tcBorders>
            <w:shd w:val="clear" w:color="000000" w:fill="D9D9D9"/>
            <w:noWrap/>
            <w:vAlign w:val="bottom"/>
          </w:tcPr>
          <w:p w14:paraId="27D4936D" w14:textId="0225BC12"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594.778,42</w:t>
            </w:r>
          </w:p>
        </w:tc>
        <w:tc>
          <w:tcPr>
            <w:tcW w:w="1384" w:type="dxa"/>
            <w:tcBorders>
              <w:top w:val="nil"/>
              <w:left w:val="nil"/>
              <w:bottom w:val="single" w:sz="4" w:space="0" w:color="auto"/>
              <w:right w:val="single" w:sz="4" w:space="0" w:color="auto"/>
            </w:tcBorders>
            <w:shd w:val="clear" w:color="000000" w:fill="D9D9D9"/>
            <w:noWrap/>
            <w:vAlign w:val="bottom"/>
          </w:tcPr>
          <w:p w14:paraId="21288B80" w14:textId="7CAC9D55"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1.640.845,15</w:t>
            </w:r>
          </w:p>
        </w:tc>
        <w:tc>
          <w:tcPr>
            <w:tcW w:w="1310" w:type="dxa"/>
            <w:tcBorders>
              <w:top w:val="nil"/>
              <w:left w:val="nil"/>
              <w:bottom w:val="single" w:sz="4" w:space="0" w:color="auto"/>
              <w:right w:val="single" w:sz="4" w:space="0" w:color="auto"/>
            </w:tcBorders>
            <w:shd w:val="clear" w:color="000000" w:fill="D9D9D9"/>
            <w:noWrap/>
            <w:vAlign w:val="bottom"/>
          </w:tcPr>
          <w:p w14:paraId="2B7C6B3E" w14:textId="051CB8D3" w:rsidR="00B547D0" w:rsidRPr="000020F0" w:rsidRDefault="00B547D0" w:rsidP="00B547D0">
            <w:pPr>
              <w:jc w:val="right"/>
              <w:rPr>
                <w:rFonts w:ascii="Arial" w:hAnsi="Arial" w:cs="Arial"/>
                <w:i/>
                <w:iCs/>
                <w:color w:val="000000"/>
                <w:sz w:val="20"/>
                <w:szCs w:val="20"/>
              </w:rPr>
            </w:pPr>
            <w:r w:rsidRPr="000020F0">
              <w:rPr>
                <w:rFonts w:ascii="Arial" w:hAnsi="Arial" w:cs="Arial"/>
                <w:i/>
                <w:iCs/>
                <w:color w:val="000000"/>
                <w:sz w:val="20"/>
                <w:szCs w:val="20"/>
              </w:rPr>
              <w:t>50.497,70</w:t>
            </w:r>
          </w:p>
        </w:tc>
      </w:tr>
      <w:tr w:rsidR="00B547D0" w:rsidRPr="000020F0" w14:paraId="6B91440A"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E49EE30"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Strokovni nadzor</w:t>
            </w:r>
          </w:p>
        </w:tc>
        <w:tc>
          <w:tcPr>
            <w:tcW w:w="1701" w:type="dxa"/>
            <w:tcBorders>
              <w:top w:val="nil"/>
              <w:left w:val="nil"/>
              <w:bottom w:val="single" w:sz="4" w:space="0" w:color="auto"/>
              <w:right w:val="single" w:sz="4" w:space="0" w:color="auto"/>
            </w:tcBorders>
            <w:noWrap/>
            <w:vAlign w:val="bottom"/>
          </w:tcPr>
          <w:p w14:paraId="45435C43" w14:textId="39EB334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68.583,64</w:t>
            </w:r>
          </w:p>
        </w:tc>
        <w:tc>
          <w:tcPr>
            <w:tcW w:w="1218" w:type="dxa"/>
            <w:tcBorders>
              <w:top w:val="nil"/>
              <w:left w:val="nil"/>
              <w:bottom w:val="single" w:sz="4" w:space="0" w:color="auto"/>
              <w:right w:val="single" w:sz="4" w:space="0" w:color="auto"/>
            </w:tcBorders>
            <w:noWrap/>
            <w:vAlign w:val="bottom"/>
          </w:tcPr>
          <w:p w14:paraId="4437525A" w14:textId="0F1AB5E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2,03%</w:t>
            </w:r>
          </w:p>
        </w:tc>
        <w:tc>
          <w:tcPr>
            <w:tcW w:w="1276" w:type="dxa"/>
            <w:tcBorders>
              <w:top w:val="nil"/>
              <w:left w:val="nil"/>
              <w:bottom w:val="single" w:sz="4" w:space="0" w:color="auto"/>
              <w:right w:val="single" w:sz="4" w:space="0" w:color="auto"/>
            </w:tcBorders>
            <w:noWrap/>
            <w:vAlign w:val="bottom"/>
          </w:tcPr>
          <w:p w14:paraId="195F22A3" w14:textId="0EC0747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71C075D1" w14:textId="08400EF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7F74D260" w14:textId="1C8B9DA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3FB7AC07" w14:textId="332C14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17.843,35</w:t>
            </w:r>
          </w:p>
        </w:tc>
        <w:tc>
          <w:tcPr>
            <w:tcW w:w="1384" w:type="dxa"/>
            <w:tcBorders>
              <w:top w:val="nil"/>
              <w:left w:val="nil"/>
              <w:bottom w:val="single" w:sz="4" w:space="0" w:color="auto"/>
              <w:right w:val="single" w:sz="4" w:space="0" w:color="auto"/>
            </w:tcBorders>
            <w:noWrap/>
            <w:vAlign w:val="bottom"/>
          </w:tcPr>
          <w:p w14:paraId="044F6BD4" w14:textId="3D0D885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49.225,35</w:t>
            </w:r>
          </w:p>
        </w:tc>
        <w:tc>
          <w:tcPr>
            <w:tcW w:w="1310" w:type="dxa"/>
            <w:tcBorders>
              <w:top w:val="nil"/>
              <w:left w:val="nil"/>
              <w:bottom w:val="single" w:sz="4" w:space="0" w:color="auto"/>
              <w:right w:val="single" w:sz="4" w:space="0" w:color="auto"/>
            </w:tcBorders>
            <w:noWrap/>
            <w:vAlign w:val="bottom"/>
          </w:tcPr>
          <w:p w14:paraId="75E84AFA" w14:textId="4B3339B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1.514,93</w:t>
            </w:r>
          </w:p>
        </w:tc>
      </w:tr>
      <w:tr w:rsidR="00B547D0" w:rsidRPr="000020F0" w14:paraId="2B0D85A6"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EEC3123"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Projektna dokumentacija</w:t>
            </w:r>
          </w:p>
        </w:tc>
        <w:tc>
          <w:tcPr>
            <w:tcW w:w="1701" w:type="dxa"/>
            <w:tcBorders>
              <w:top w:val="nil"/>
              <w:left w:val="nil"/>
              <w:bottom w:val="single" w:sz="4" w:space="0" w:color="auto"/>
              <w:right w:val="single" w:sz="4" w:space="0" w:color="auto"/>
            </w:tcBorders>
            <w:noWrap/>
            <w:vAlign w:val="bottom"/>
          </w:tcPr>
          <w:p w14:paraId="0625EF26" w14:textId="073A9E8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105.425,37</w:t>
            </w:r>
          </w:p>
        </w:tc>
        <w:tc>
          <w:tcPr>
            <w:tcW w:w="1218" w:type="dxa"/>
            <w:tcBorders>
              <w:top w:val="nil"/>
              <w:left w:val="nil"/>
              <w:bottom w:val="single" w:sz="4" w:space="0" w:color="auto"/>
              <w:right w:val="single" w:sz="4" w:space="0" w:color="auto"/>
            </w:tcBorders>
            <w:noWrap/>
            <w:vAlign w:val="bottom"/>
          </w:tcPr>
          <w:p w14:paraId="785439B3" w14:textId="6EDFF0C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3,11%</w:t>
            </w:r>
          </w:p>
        </w:tc>
        <w:tc>
          <w:tcPr>
            <w:tcW w:w="1276" w:type="dxa"/>
            <w:tcBorders>
              <w:top w:val="nil"/>
              <w:left w:val="nil"/>
              <w:bottom w:val="single" w:sz="4" w:space="0" w:color="auto"/>
              <w:right w:val="single" w:sz="4" w:space="0" w:color="auto"/>
            </w:tcBorders>
            <w:noWrap/>
            <w:vAlign w:val="bottom"/>
          </w:tcPr>
          <w:p w14:paraId="5236915F" w14:textId="2025502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7.200,00</w:t>
            </w:r>
          </w:p>
        </w:tc>
        <w:tc>
          <w:tcPr>
            <w:tcW w:w="1559" w:type="dxa"/>
            <w:tcBorders>
              <w:top w:val="nil"/>
              <w:left w:val="nil"/>
              <w:bottom w:val="single" w:sz="4" w:space="0" w:color="auto"/>
              <w:right w:val="single" w:sz="4" w:space="0" w:color="auto"/>
            </w:tcBorders>
            <w:noWrap/>
            <w:vAlign w:val="bottom"/>
          </w:tcPr>
          <w:p w14:paraId="1273C168" w14:textId="527F8DE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67.622,95</w:t>
            </w:r>
          </w:p>
        </w:tc>
        <w:tc>
          <w:tcPr>
            <w:tcW w:w="1276" w:type="dxa"/>
            <w:tcBorders>
              <w:top w:val="nil"/>
              <w:left w:val="nil"/>
              <w:bottom w:val="single" w:sz="4" w:space="0" w:color="auto"/>
              <w:right w:val="single" w:sz="4" w:space="0" w:color="auto"/>
            </w:tcBorders>
            <w:noWrap/>
            <w:vAlign w:val="bottom"/>
          </w:tcPr>
          <w:p w14:paraId="7DCF68BA" w14:textId="0273AC3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21.372,38</w:t>
            </w:r>
          </w:p>
        </w:tc>
        <w:tc>
          <w:tcPr>
            <w:tcW w:w="1275" w:type="dxa"/>
            <w:tcBorders>
              <w:top w:val="nil"/>
              <w:left w:val="nil"/>
              <w:bottom w:val="single" w:sz="4" w:space="0" w:color="auto"/>
              <w:right w:val="single" w:sz="4" w:space="0" w:color="auto"/>
            </w:tcBorders>
            <w:noWrap/>
            <w:vAlign w:val="bottom"/>
          </w:tcPr>
          <w:p w14:paraId="18F19F62" w14:textId="2AA17C0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3.941,51</w:t>
            </w:r>
          </w:p>
        </w:tc>
        <w:tc>
          <w:tcPr>
            <w:tcW w:w="1384" w:type="dxa"/>
            <w:tcBorders>
              <w:top w:val="nil"/>
              <w:left w:val="nil"/>
              <w:bottom w:val="single" w:sz="4" w:space="0" w:color="auto"/>
              <w:right w:val="single" w:sz="4" w:space="0" w:color="auto"/>
            </w:tcBorders>
            <w:noWrap/>
            <w:vAlign w:val="bottom"/>
          </w:tcPr>
          <w:p w14:paraId="087C372A" w14:textId="102053D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4.024,29</w:t>
            </w:r>
          </w:p>
        </w:tc>
        <w:tc>
          <w:tcPr>
            <w:tcW w:w="1310" w:type="dxa"/>
            <w:tcBorders>
              <w:top w:val="nil"/>
              <w:left w:val="nil"/>
              <w:bottom w:val="single" w:sz="4" w:space="0" w:color="auto"/>
              <w:right w:val="single" w:sz="4" w:space="0" w:color="auto"/>
            </w:tcBorders>
            <w:noWrap/>
            <w:vAlign w:val="bottom"/>
          </w:tcPr>
          <w:p w14:paraId="205D0174" w14:textId="433E3A0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1.264,24</w:t>
            </w:r>
          </w:p>
        </w:tc>
      </w:tr>
      <w:tr w:rsidR="00B547D0" w:rsidRPr="000020F0" w14:paraId="3101E768"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40CD0839"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Svetovalni inženiring</w:t>
            </w:r>
          </w:p>
        </w:tc>
        <w:tc>
          <w:tcPr>
            <w:tcW w:w="1701" w:type="dxa"/>
            <w:tcBorders>
              <w:top w:val="nil"/>
              <w:left w:val="nil"/>
              <w:bottom w:val="single" w:sz="4" w:space="0" w:color="auto"/>
              <w:right w:val="single" w:sz="4" w:space="0" w:color="auto"/>
            </w:tcBorders>
            <w:noWrap/>
            <w:vAlign w:val="bottom"/>
          </w:tcPr>
          <w:p w14:paraId="14C14129" w14:textId="4544D1D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22.861,21</w:t>
            </w:r>
          </w:p>
        </w:tc>
        <w:tc>
          <w:tcPr>
            <w:tcW w:w="1218" w:type="dxa"/>
            <w:tcBorders>
              <w:top w:val="nil"/>
              <w:left w:val="nil"/>
              <w:bottom w:val="single" w:sz="4" w:space="0" w:color="auto"/>
              <w:right w:val="single" w:sz="4" w:space="0" w:color="auto"/>
            </w:tcBorders>
            <w:noWrap/>
            <w:vAlign w:val="bottom"/>
          </w:tcPr>
          <w:p w14:paraId="54ED7C30" w14:textId="7C341BB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0,68%</w:t>
            </w:r>
          </w:p>
        </w:tc>
        <w:tc>
          <w:tcPr>
            <w:tcW w:w="1276" w:type="dxa"/>
            <w:tcBorders>
              <w:top w:val="nil"/>
              <w:left w:val="nil"/>
              <w:bottom w:val="single" w:sz="4" w:space="0" w:color="auto"/>
              <w:right w:val="single" w:sz="4" w:space="0" w:color="auto"/>
            </w:tcBorders>
            <w:noWrap/>
            <w:vAlign w:val="bottom"/>
          </w:tcPr>
          <w:p w14:paraId="35C2236A" w14:textId="7619500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73D57B83" w14:textId="441F9D5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FF040E8" w14:textId="0BE4F8F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1EF6E8EA" w14:textId="6A30D39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5.947,78</w:t>
            </w:r>
          </w:p>
        </w:tc>
        <w:tc>
          <w:tcPr>
            <w:tcW w:w="1384" w:type="dxa"/>
            <w:tcBorders>
              <w:top w:val="nil"/>
              <w:left w:val="nil"/>
              <w:bottom w:val="single" w:sz="4" w:space="0" w:color="auto"/>
              <w:right w:val="single" w:sz="4" w:space="0" w:color="auto"/>
            </w:tcBorders>
            <w:noWrap/>
            <w:vAlign w:val="bottom"/>
          </w:tcPr>
          <w:p w14:paraId="01520A51" w14:textId="6E31D48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16.408,45</w:t>
            </w:r>
          </w:p>
        </w:tc>
        <w:tc>
          <w:tcPr>
            <w:tcW w:w="1310" w:type="dxa"/>
            <w:tcBorders>
              <w:top w:val="nil"/>
              <w:left w:val="nil"/>
              <w:bottom w:val="single" w:sz="4" w:space="0" w:color="auto"/>
              <w:right w:val="single" w:sz="4" w:space="0" w:color="auto"/>
            </w:tcBorders>
            <w:noWrap/>
            <w:vAlign w:val="bottom"/>
          </w:tcPr>
          <w:p w14:paraId="43626678" w14:textId="08B2C08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504,98</w:t>
            </w:r>
          </w:p>
        </w:tc>
      </w:tr>
      <w:tr w:rsidR="00B547D0" w:rsidRPr="000020F0" w14:paraId="3032926E"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31174F9B"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Obveščanje javnosti</w:t>
            </w:r>
          </w:p>
        </w:tc>
        <w:tc>
          <w:tcPr>
            <w:tcW w:w="1701" w:type="dxa"/>
            <w:tcBorders>
              <w:top w:val="nil"/>
              <w:left w:val="nil"/>
              <w:bottom w:val="single" w:sz="4" w:space="0" w:color="auto"/>
              <w:right w:val="single" w:sz="4" w:space="0" w:color="auto"/>
            </w:tcBorders>
            <w:noWrap/>
            <w:vAlign w:val="bottom"/>
          </w:tcPr>
          <w:p w14:paraId="6655CA71" w14:textId="4C91604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4.268,43</w:t>
            </w:r>
          </w:p>
        </w:tc>
        <w:tc>
          <w:tcPr>
            <w:tcW w:w="1218" w:type="dxa"/>
            <w:tcBorders>
              <w:top w:val="nil"/>
              <w:left w:val="nil"/>
              <w:bottom w:val="single" w:sz="4" w:space="0" w:color="auto"/>
              <w:right w:val="single" w:sz="4" w:space="0" w:color="auto"/>
            </w:tcBorders>
            <w:noWrap/>
            <w:vAlign w:val="bottom"/>
          </w:tcPr>
          <w:p w14:paraId="044448CA" w14:textId="0026433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0,13%</w:t>
            </w:r>
          </w:p>
        </w:tc>
        <w:tc>
          <w:tcPr>
            <w:tcW w:w="1276" w:type="dxa"/>
            <w:tcBorders>
              <w:top w:val="nil"/>
              <w:left w:val="nil"/>
              <w:bottom w:val="single" w:sz="4" w:space="0" w:color="auto"/>
              <w:right w:val="single" w:sz="4" w:space="0" w:color="auto"/>
            </w:tcBorders>
            <w:noWrap/>
            <w:vAlign w:val="bottom"/>
          </w:tcPr>
          <w:p w14:paraId="4AA92AE6" w14:textId="56EDE8F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56DF9843" w14:textId="000EAD2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5AE132F5" w14:textId="4E15E1E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C6CBB12" w14:textId="3889076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2.094,26</w:t>
            </w:r>
          </w:p>
        </w:tc>
        <w:tc>
          <w:tcPr>
            <w:tcW w:w="1384" w:type="dxa"/>
            <w:tcBorders>
              <w:top w:val="nil"/>
              <w:left w:val="nil"/>
              <w:bottom w:val="single" w:sz="4" w:space="0" w:color="auto"/>
              <w:right w:val="single" w:sz="4" w:space="0" w:color="auto"/>
            </w:tcBorders>
            <w:noWrap/>
            <w:vAlign w:val="bottom"/>
          </w:tcPr>
          <w:p w14:paraId="425161C1" w14:textId="7BED0A3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427,65</w:t>
            </w:r>
          </w:p>
        </w:tc>
        <w:tc>
          <w:tcPr>
            <w:tcW w:w="1310" w:type="dxa"/>
            <w:tcBorders>
              <w:top w:val="nil"/>
              <w:left w:val="nil"/>
              <w:bottom w:val="single" w:sz="4" w:space="0" w:color="auto"/>
              <w:right w:val="single" w:sz="4" w:space="0" w:color="auto"/>
            </w:tcBorders>
            <w:noWrap/>
            <w:vAlign w:val="bottom"/>
          </w:tcPr>
          <w:p w14:paraId="471FF624" w14:textId="4FAF164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1.746,51</w:t>
            </w:r>
          </w:p>
        </w:tc>
      </w:tr>
      <w:tr w:rsidR="00B547D0" w:rsidRPr="000020F0" w14:paraId="64CEEB3B"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1F284727"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701" w:type="dxa"/>
            <w:tcBorders>
              <w:top w:val="nil"/>
              <w:left w:val="nil"/>
              <w:bottom w:val="single" w:sz="4" w:space="0" w:color="auto"/>
              <w:right w:val="single" w:sz="4" w:space="0" w:color="auto"/>
            </w:tcBorders>
            <w:noWrap/>
            <w:vAlign w:val="bottom"/>
          </w:tcPr>
          <w:p w14:paraId="673E57B1" w14:textId="0AF7C59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21.650,00</w:t>
            </w:r>
          </w:p>
        </w:tc>
        <w:tc>
          <w:tcPr>
            <w:tcW w:w="1218" w:type="dxa"/>
            <w:tcBorders>
              <w:top w:val="nil"/>
              <w:left w:val="nil"/>
              <w:bottom w:val="single" w:sz="4" w:space="0" w:color="auto"/>
              <w:right w:val="single" w:sz="4" w:space="0" w:color="auto"/>
            </w:tcBorders>
            <w:noWrap/>
            <w:vAlign w:val="bottom"/>
          </w:tcPr>
          <w:p w14:paraId="5DB707CD" w14:textId="5E650DF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0,64%</w:t>
            </w:r>
          </w:p>
        </w:tc>
        <w:tc>
          <w:tcPr>
            <w:tcW w:w="1276" w:type="dxa"/>
            <w:tcBorders>
              <w:top w:val="nil"/>
              <w:left w:val="nil"/>
              <w:bottom w:val="single" w:sz="4" w:space="0" w:color="auto"/>
              <w:right w:val="single" w:sz="4" w:space="0" w:color="auto"/>
            </w:tcBorders>
            <w:noWrap/>
            <w:vAlign w:val="bottom"/>
          </w:tcPr>
          <w:p w14:paraId="51B32FE5" w14:textId="65D5DF8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700,00</w:t>
            </w:r>
          </w:p>
        </w:tc>
        <w:tc>
          <w:tcPr>
            <w:tcW w:w="1559" w:type="dxa"/>
            <w:tcBorders>
              <w:top w:val="nil"/>
              <w:left w:val="nil"/>
              <w:bottom w:val="single" w:sz="4" w:space="0" w:color="auto"/>
              <w:right w:val="single" w:sz="4" w:space="0" w:color="auto"/>
            </w:tcBorders>
            <w:noWrap/>
            <w:vAlign w:val="bottom"/>
          </w:tcPr>
          <w:p w14:paraId="624137A9" w14:textId="58EDF2B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9.150,00</w:t>
            </w:r>
          </w:p>
        </w:tc>
        <w:tc>
          <w:tcPr>
            <w:tcW w:w="1276" w:type="dxa"/>
            <w:tcBorders>
              <w:top w:val="nil"/>
              <w:left w:val="nil"/>
              <w:bottom w:val="single" w:sz="4" w:space="0" w:color="auto"/>
              <w:right w:val="single" w:sz="4" w:space="0" w:color="auto"/>
            </w:tcBorders>
            <w:noWrap/>
            <w:vAlign w:val="bottom"/>
          </w:tcPr>
          <w:p w14:paraId="7B013591" w14:textId="3B86710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11.800,00</w:t>
            </w:r>
          </w:p>
        </w:tc>
        <w:tc>
          <w:tcPr>
            <w:tcW w:w="1275" w:type="dxa"/>
            <w:tcBorders>
              <w:top w:val="nil"/>
              <w:left w:val="nil"/>
              <w:bottom w:val="single" w:sz="4" w:space="0" w:color="auto"/>
              <w:right w:val="single" w:sz="4" w:space="0" w:color="auto"/>
            </w:tcBorders>
            <w:noWrap/>
            <w:vAlign w:val="bottom"/>
          </w:tcPr>
          <w:p w14:paraId="78710072" w14:textId="2FAA61F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222B1086" w14:textId="367C634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6925A8F0" w14:textId="5CFA210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1B76305B"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712333C9"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Stroški varnosti pri delu</w:t>
            </w:r>
          </w:p>
        </w:tc>
        <w:tc>
          <w:tcPr>
            <w:tcW w:w="1701" w:type="dxa"/>
            <w:tcBorders>
              <w:top w:val="nil"/>
              <w:left w:val="nil"/>
              <w:bottom w:val="single" w:sz="4" w:space="0" w:color="auto"/>
              <w:right w:val="single" w:sz="4" w:space="0" w:color="auto"/>
            </w:tcBorders>
            <w:noWrap/>
            <w:vAlign w:val="bottom"/>
          </w:tcPr>
          <w:p w14:paraId="6E86A1CC" w14:textId="02D272F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7.280,76</w:t>
            </w:r>
          </w:p>
        </w:tc>
        <w:tc>
          <w:tcPr>
            <w:tcW w:w="1218" w:type="dxa"/>
            <w:tcBorders>
              <w:top w:val="nil"/>
              <w:left w:val="nil"/>
              <w:bottom w:val="single" w:sz="4" w:space="0" w:color="auto"/>
              <w:right w:val="single" w:sz="4" w:space="0" w:color="auto"/>
            </w:tcBorders>
            <w:noWrap/>
            <w:vAlign w:val="bottom"/>
          </w:tcPr>
          <w:p w14:paraId="3DFA1202" w14:textId="5E90807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0,22%</w:t>
            </w:r>
          </w:p>
        </w:tc>
        <w:tc>
          <w:tcPr>
            <w:tcW w:w="1276" w:type="dxa"/>
            <w:tcBorders>
              <w:top w:val="nil"/>
              <w:left w:val="nil"/>
              <w:bottom w:val="single" w:sz="4" w:space="0" w:color="auto"/>
              <w:right w:val="single" w:sz="4" w:space="0" w:color="auto"/>
            </w:tcBorders>
            <w:noWrap/>
            <w:vAlign w:val="bottom"/>
          </w:tcPr>
          <w:p w14:paraId="3D91BD27" w14:textId="689DF55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1B1266A0" w14:textId="0ED9980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2BF7B95B" w14:textId="4CA9BEF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598E987F" w14:textId="27112BE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2.846,66</w:t>
            </w:r>
          </w:p>
        </w:tc>
        <w:tc>
          <w:tcPr>
            <w:tcW w:w="1384" w:type="dxa"/>
            <w:tcBorders>
              <w:top w:val="nil"/>
              <w:left w:val="nil"/>
              <w:bottom w:val="single" w:sz="4" w:space="0" w:color="auto"/>
              <w:right w:val="single" w:sz="4" w:space="0" w:color="auto"/>
            </w:tcBorders>
            <w:noWrap/>
            <w:vAlign w:val="bottom"/>
          </w:tcPr>
          <w:p w14:paraId="4E7D2211" w14:textId="58CE330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1.612,49</w:t>
            </w:r>
          </w:p>
        </w:tc>
        <w:tc>
          <w:tcPr>
            <w:tcW w:w="1310" w:type="dxa"/>
            <w:tcBorders>
              <w:top w:val="nil"/>
              <w:left w:val="nil"/>
              <w:bottom w:val="single" w:sz="4" w:space="0" w:color="auto"/>
              <w:right w:val="single" w:sz="4" w:space="0" w:color="auto"/>
            </w:tcBorders>
            <w:noWrap/>
            <w:vAlign w:val="bottom"/>
          </w:tcPr>
          <w:p w14:paraId="3190CF87" w14:textId="7987916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2.821,61</w:t>
            </w:r>
          </w:p>
        </w:tc>
      </w:tr>
      <w:tr w:rsidR="00B547D0" w:rsidRPr="000020F0" w14:paraId="4E82A6B7"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2029E362"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Arheologija</w:t>
            </w:r>
          </w:p>
        </w:tc>
        <w:tc>
          <w:tcPr>
            <w:tcW w:w="1701" w:type="dxa"/>
            <w:tcBorders>
              <w:top w:val="nil"/>
              <w:left w:val="nil"/>
              <w:bottom w:val="single" w:sz="4" w:space="0" w:color="auto"/>
              <w:right w:val="single" w:sz="4" w:space="0" w:color="auto"/>
            </w:tcBorders>
            <w:noWrap/>
            <w:vAlign w:val="bottom"/>
          </w:tcPr>
          <w:p w14:paraId="0204F5A8" w14:textId="60E195F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15.686,16</w:t>
            </w:r>
          </w:p>
        </w:tc>
        <w:tc>
          <w:tcPr>
            <w:tcW w:w="1218" w:type="dxa"/>
            <w:tcBorders>
              <w:top w:val="nil"/>
              <w:left w:val="nil"/>
              <w:bottom w:val="single" w:sz="4" w:space="0" w:color="auto"/>
              <w:right w:val="single" w:sz="4" w:space="0" w:color="auto"/>
            </w:tcBorders>
            <w:noWrap/>
            <w:vAlign w:val="bottom"/>
          </w:tcPr>
          <w:p w14:paraId="1350D359" w14:textId="494359F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0,46%</w:t>
            </w:r>
          </w:p>
        </w:tc>
        <w:tc>
          <w:tcPr>
            <w:tcW w:w="1276" w:type="dxa"/>
            <w:tcBorders>
              <w:top w:val="nil"/>
              <w:left w:val="nil"/>
              <w:bottom w:val="single" w:sz="4" w:space="0" w:color="auto"/>
              <w:right w:val="single" w:sz="4" w:space="0" w:color="auto"/>
            </w:tcBorders>
            <w:noWrap/>
            <w:vAlign w:val="bottom"/>
          </w:tcPr>
          <w:p w14:paraId="1EC8C258" w14:textId="37DFDAE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16D47F9D" w14:textId="21DEDA1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7130751C" w14:textId="7D627BD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6B09B386" w14:textId="4635401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2.012,30</w:t>
            </w:r>
          </w:p>
        </w:tc>
        <w:tc>
          <w:tcPr>
            <w:tcW w:w="1384" w:type="dxa"/>
            <w:tcBorders>
              <w:top w:val="nil"/>
              <w:left w:val="nil"/>
              <w:bottom w:val="single" w:sz="4" w:space="0" w:color="auto"/>
              <w:right w:val="single" w:sz="4" w:space="0" w:color="auto"/>
            </w:tcBorders>
            <w:noWrap/>
            <w:vAlign w:val="bottom"/>
          </w:tcPr>
          <w:p w14:paraId="6E38FB5C" w14:textId="03E7B41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10.553,89</w:t>
            </w:r>
          </w:p>
        </w:tc>
        <w:tc>
          <w:tcPr>
            <w:tcW w:w="1310" w:type="dxa"/>
            <w:tcBorders>
              <w:top w:val="nil"/>
              <w:left w:val="nil"/>
              <w:bottom w:val="single" w:sz="4" w:space="0" w:color="auto"/>
              <w:right w:val="single" w:sz="4" w:space="0" w:color="auto"/>
            </w:tcBorders>
            <w:noWrap/>
            <w:vAlign w:val="bottom"/>
          </w:tcPr>
          <w:p w14:paraId="1B0FF6FA" w14:textId="6AF520C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3.119,97</w:t>
            </w:r>
          </w:p>
        </w:tc>
      </w:tr>
      <w:tr w:rsidR="00B547D0" w:rsidRPr="000020F0" w14:paraId="1AC92B4D"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542A8C7"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701" w:type="dxa"/>
            <w:tcBorders>
              <w:top w:val="nil"/>
              <w:left w:val="nil"/>
              <w:bottom w:val="single" w:sz="4" w:space="0" w:color="auto"/>
              <w:right w:val="single" w:sz="4" w:space="0" w:color="auto"/>
            </w:tcBorders>
            <w:noWrap/>
            <w:vAlign w:val="bottom"/>
          </w:tcPr>
          <w:p w14:paraId="69519C27" w14:textId="58F89D7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3.352,16</w:t>
            </w:r>
          </w:p>
        </w:tc>
        <w:tc>
          <w:tcPr>
            <w:tcW w:w="1218" w:type="dxa"/>
            <w:tcBorders>
              <w:top w:val="nil"/>
              <w:left w:val="nil"/>
              <w:bottom w:val="single" w:sz="4" w:space="0" w:color="auto"/>
              <w:right w:val="single" w:sz="4" w:space="0" w:color="auto"/>
            </w:tcBorders>
            <w:noWrap/>
            <w:vAlign w:val="bottom"/>
          </w:tcPr>
          <w:p w14:paraId="7AE07768" w14:textId="54BD7FD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0,10%</w:t>
            </w:r>
          </w:p>
        </w:tc>
        <w:tc>
          <w:tcPr>
            <w:tcW w:w="1276" w:type="dxa"/>
            <w:tcBorders>
              <w:top w:val="nil"/>
              <w:left w:val="nil"/>
              <w:bottom w:val="single" w:sz="4" w:space="0" w:color="auto"/>
              <w:right w:val="single" w:sz="4" w:space="0" w:color="auto"/>
            </w:tcBorders>
            <w:noWrap/>
            <w:vAlign w:val="bottom"/>
          </w:tcPr>
          <w:p w14:paraId="1051B88F" w14:textId="04DF7D3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2A220F75" w14:textId="0CD3230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77B7B63F" w14:textId="1AF2EBE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5DD7784F" w14:textId="744FDCA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3.352,16</w:t>
            </w:r>
          </w:p>
        </w:tc>
        <w:tc>
          <w:tcPr>
            <w:tcW w:w="1384" w:type="dxa"/>
            <w:tcBorders>
              <w:top w:val="nil"/>
              <w:left w:val="nil"/>
              <w:bottom w:val="single" w:sz="4" w:space="0" w:color="auto"/>
              <w:right w:val="single" w:sz="4" w:space="0" w:color="auto"/>
            </w:tcBorders>
            <w:noWrap/>
            <w:vAlign w:val="bottom"/>
          </w:tcPr>
          <w:p w14:paraId="2E2F5E6B" w14:textId="36D091D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6A46020A" w14:textId="7A77AE2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773B9249"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28EF181"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lastRenderedPageBreak/>
              <w:t>Nakup nepremičnine</w:t>
            </w:r>
          </w:p>
        </w:tc>
        <w:tc>
          <w:tcPr>
            <w:tcW w:w="1701" w:type="dxa"/>
            <w:tcBorders>
              <w:top w:val="nil"/>
              <w:left w:val="nil"/>
              <w:bottom w:val="single" w:sz="4" w:space="0" w:color="auto"/>
              <w:right w:val="single" w:sz="4" w:space="0" w:color="auto"/>
            </w:tcBorders>
            <w:noWrap/>
            <w:vAlign w:val="bottom"/>
          </w:tcPr>
          <w:p w14:paraId="30D3B51C" w14:textId="5C61388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280.000,00</w:t>
            </w:r>
          </w:p>
        </w:tc>
        <w:tc>
          <w:tcPr>
            <w:tcW w:w="1218" w:type="dxa"/>
            <w:tcBorders>
              <w:top w:val="nil"/>
              <w:left w:val="nil"/>
              <w:bottom w:val="single" w:sz="4" w:space="0" w:color="auto"/>
              <w:right w:val="single" w:sz="4" w:space="0" w:color="auto"/>
            </w:tcBorders>
            <w:noWrap/>
            <w:vAlign w:val="bottom"/>
          </w:tcPr>
          <w:p w14:paraId="44D7C571" w14:textId="18C37B8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8,27%</w:t>
            </w:r>
          </w:p>
        </w:tc>
        <w:tc>
          <w:tcPr>
            <w:tcW w:w="1276" w:type="dxa"/>
            <w:tcBorders>
              <w:top w:val="nil"/>
              <w:left w:val="nil"/>
              <w:bottom w:val="single" w:sz="4" w:space="0" w:color="auto"/>
              <w:right w:val="single" w:sz="4" w:space="0" w:color="auto"/>
            </w:tcBorders>
            <w:noWrap/>
            <w:vAlign w:val="bottom"/>
          </w:tcPr>
          <w:p w14:paraId="24BE6AD3" w14:textId="1E6698A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280.000,00</w:t>
            </w:r>
          </w:p>
        </w:tc>
        <w:tc>
          <w:tcPr>
            <w:tcW w:w="1559" w:type="dxa"/>
            <w:tcBorders>
              <w:top w:val="nil"/>
              <w:left w:val="nil"/>
              <w:bottom w:val="single" w:sz="4" w:space="0" w:color="auto"/>
              <w:right w:val="single" w:sz="4" w:space="0" w:color="auto"/>
            </w:tcBorders>
            <w:noWrap/>
            <w:vAlign w:val="bottom"/>
          </w:tcPr>
          <w:p w14:paraId="3814F446" w14:textId="60FAF16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16EBF02F" w14:textId="160B886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7469EAE0" w14:textId="537CDA0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1E648F3C" w14:textId="77C4BC4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12D7AE04" w14:textId="5178783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79AEC83C"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4367FB9F"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Druga dela ob rušenju objekta (neobdavčeno)</w:t>
            </w:r>
          </w:p>
        </w:tc>
        <w:tc>
          <w:tcPr>
            <w:tcW w:w="1701" w:type="dxa"/>
            <w:tcBorders>
              <w:top w:val="nil"/>
              <w:left w:val="nil"/>
              <w:bottom w:val="single" w:sz="4" w:space="0" w:color="auto"/>
              <w:right w:val="single" w:sz="4" w:space="0" w:color="auto"/>
            </w:tcBorders>
            <w:noWrap/>
            <w:vAlign w:val="bottom"/>
          </w:tcPr>
          <w:p w14:paraId="072CDB68" w14:textId="15A8B04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776,00</w:t>
            </w:r>
          </w:p>
        </w:tc>
        <w:tc>
          <w:tcPr>
            <w:tcW w:w="1218" w:type="dxa"/>
            <w:tcBorders>
              <w:top w:val="nil"/>
              <w:left w:val="nil"/>
              <w:bottom w:val="single" w:sz="4" w:space="0" w:color="auto"/>
              <w:right w:val="single" w:sz="4" w:space="0" w:color="auto"/>
            </w:tcBorders>
            <w:noWrap/>
            <w:vAlign w:val="bottom"/>
          </w:tcPr>
          <w:p w14:paraId="5EE9D3AF" w14:textId="037F1C3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0,02%</w:t>
            </w:r>
          </w:p>
        </w:tc>
        <w:tc>
          <w:tcPr>
            <w:tcW w:w="1276" w:type="dxa"/>
            <w:tcBorders>
              <w:top w:val="nil"/>
              <w:left w:val="nil"/>
              <w:bottom w:val="single" w:sz="4" w:space="0" w:color="auto"/>
              <w:right w:val="single" w:sz="4" w:space="0" w:color="auto"/>
            </w:tcBorders>
            <w:noWrap/>
            <w:vAlign w:val="bottom"/>
          </w:tcPr>
          <w:p w14:paraId="4B6AD589" w14:textId="3E691E1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776,00</w:t>
            </w:r>
          </w:p>
        </w:tc>
        <w:tc>
          <w:tcPr>
            <w:tcW w:w="1559" w:type="dxa"/>
            <w:tcBorders>
              <w:top w:val="nil"/>
              <w:left w:val="nil"/>
              <w:bottom w:val="single" w:sz="4" w:space="0" w:color="auto"/>
              <w:right w:val="single" w:sz="4" w:space="0" w:color="auto"/>
            </w:tcBorders>
            <w:noWrap/>
            <w:vAlign w:val="bottom"/>
          </w:tcPr>
          <w:p w14:paraId="5C8ED75D" w14:textId="61B49BE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6EE8E885" w14:textId="68CE635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782D1912" w14:textId="50C683D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527B0F6" w14:textId="6ABD54A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0EBCBD17" w14:textId="7C66752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6586A06E"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41449E6F"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Druga dela ob rušenju objekta (9,5% DDV)</w:t>
            </w:r>
          </w:p>
        </w:tc>
        <w:tc>
          <w:tcPr>
            <w:tcW w:w="1701" w:type="dxa"/>
            <w:tcBorders>
              <w:top w:val="nil"/>
              <w:left w:val="nil"/>
              <w:bottom w:val="single" w:sz="4" w:space="0" w:color="auto"/>
              <w:right w:val="single" w:sz="4" w:space="0" w:color="auto"/>
            </w:tcBorders>
            <w:noWrap/>
            <w:vAlign w:val="bottom"/>
          </w:tcPr>
          <w:p w14:paraId="007ECCE3" w14:textId="01A9EA4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545,96</w:t>
            </w:r>
          </w:p>
        </w:tc>
        <w:tc>
          <w:tcPr>
            <w:tcW w:w="1218" w:type="dxa"/>
            <w:tcBorders>
              <w:top w:val="nil"/>
              <w:left w:val="nil"/>
              <w:bottom w:val="single" w:sz="4" w:space="0" w:color="auto"/>
              <w:right w:val="single" w:sz="4" w:space="0" w:color="auto"/>
            </w:tcBorders>
            <w:noWrap/>
            <w:vAlign w:val="bottom"/>
          </w:tcPr>
          <w:p w14:paraId="1B86DBA9" w14:textId="6E8DA9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0,02%</w:t>
            </w:r>
          </w:p>
        </w:tc>
        <w:tc>
          <w:tcPr>
            <w:tcW w:w="1276" w:type="dxa"/>
            <w:tcBorders>
              <w:top w:val="nil"/>
              <w:left w:val="nil"/>
              <w:bottom w:val="single" w:sz="4" w:space="0" w:color="auto"/>
              <w:right w:val="single" w:sz="4" w:space="0" w:color="auto"/>
            </w:tcBorders>
            <w:noWrap/>
            <w:vAlign w:val="bottom"/>
          </w:tcPr>
          <w:p w14:paraId="1FA5A8E8" w14:textId="4B9EB3E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545,96</w:t>
            </w:r>
          </w:p>
        </w:tc>
        <w:tc>
          <w:tcPr>
            <w:tcW w:w="1559" w:type="dxa"/>
            <w:tcBorders>
              <w:top w:val="nil"/>
              <w:left w:val="nil"/>
              <w:bottom w:val="single" w:sz="4" w:space="0" w:color="auto"/>
              <w:right w:val="single" w:sz="4" w:space="0" w:color="auto"/>
            </w:tcBorders>
            <w:noWrap/>
            <w:vAlign w:val="bottom"/>
          </w:tcPr>
          <w:p w14:paraId="314D8856" w14:textId="2267900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06742858" w14:textId="7A0D862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313C72AD" w14:textId="73E1758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7708299A" w14:textId="2B671F7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0F30FDD5" w14:textId="2E2E636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6FA79B99" w14:textId="77777777" w:rsidTr="0087781B">
        <w:trPr>
          <w:trHeight w:val="290"/>
        </w:trPr>
        <w:tc>
          <w:tcPr>
            <w:tcW w:w="3256" w:type="dxa"/>
            <w:tcBorders>
              <w:top w:val="nil"/>
              <w:left w:val="single" w:sz="4" w:space="0" w:color="auto"/>
              <w:bottom w:val="single" w:sz="4" w:space="0" w:color="auto"/>
              <w:right w:val="single" w:sz="4" w:space="0" w:color="auto"/>
            </w:tcBorders>
            <w:noWrap/>
            <w:vAlign w:val="bottom"/>
            <w:hideMark/>
          </w:tcPr>
          <w:p w14:paraId="78C583CF" w14:textId="77777777" w:rsidR="00B547D0" w:rsidRPr="000020F0" w:rsidRDefault="00B547D0" w:rsidP="00B547D0">
            <w:pPr>
              <w:rPr>
                <w:rFonts w:ascii="Roboto" w:hAnsi="Roboto"/>
                <w:color w:val="000000"/>
                <w:sz w:val="20"/>
                <w:szCs w:val="20"/>
              </w:rPr>
            </w:pPr>
            <w:r w:rsidRPr="000020F0">
              <w:rPr>
                <w:rFonts w:ascii="Roboto" w:hAnsi="Roboto"/>
                <w:color w:val="000000"/>
                <w:sz w:val="20"/>
                <w:szCs w:val="20"/>
              </w:rPr>
              <w:t>Druga dela ob rušenju objekta</w:t>
            </w:r>
          </w:p>
        </w:tc>
        <w:tc>
          <w:tcPr>
            <w:tcW w:w="1701" w:type="dxa"/>
            <w:tcBorders>
              <w:top w:val="nil"/>
              <w:left w:val="nil"/>
              <w:bottom w:val="single" w:sz="4" w:space="0" w:color="auto"/>
              <w:right w:val="single" w:sz="4" w:space="0" w:color="auto"/>
            </w:tcBorders>
            <w:noWrap/>
            <w:vAlign w:val="bottom"/>
          </w:tcPr>
          <w:p w14:paraId="4C5E92F6" w14:textId="44A8647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5.483,07</w:t>
            </w:r>
          </w:p>
        </w:tc>
        <w:tc>
          <w:tcPr>
            <w:tcW w:w="1218" w:type="dxa"/>
            <w:tcBorders>
              <w:top w:val="nil"/>
              <w:left w:val="nil"/>
              <w:bottom w:val="single" w:sz="4" w:space="0" w:color="auto"/>
              <w:right w:val="single" w:sz="4" w:space="0" w:color="auto"/>
            </w:tcBorders>
            <w:noWrap/>
            <w:vAlign w:val="bottom"/>
          </w:tcPr>
          <w:p w14:paraId="6338BD75" w14:textId="0B225730"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0,16%</w:t>
            </w:r>
          </w:p>
        </w:tc>
        <w:tc>
          <w:tcPr>
            <w:tcW w:w="1276" w:type="dxa"/>
            <w:tcBorders>
              <w:top w:val="nil"/>
              <w:left w:val="nil"/>
              <w:bottom w:val="single" w:sz="4" w:space="0" w:color="auto"/>
              <w:right w:val="single" w:sz="4" w:space="0" w:color="auto"/>
            </w:tcBorders>
            <w:noWrap/>
            <w:vAlign w:val="bottom"/>
          </w:tcPr>
          <w:p w14:paraId="12C92665" w14:textId="3F7783E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5.483,07</w:t>
            </w:r>
          </w:p>
        </w:tc>
        <w:tc>
          <w:tcPr>
            <w:tcW w:w="1559" w:type="dxa"/>
            <w:tcBorders>
              <w:top w:val="nil"/>
              <w:left w:val="nil"/>
              <w:bottom w:val="single" w:sz="4" w:space="0" w:color="auto"/>
              <w:right w:val="single" w:sz="4" w:space="0" w:color="auto"/>
            </w:tcBorders>
            <w:noWrap/>
            <w:vAlign w:val="bottom"/>
          </w:tcPr>
          <w:p w14:paraId="49D2B1F4" w14:textId="670B5ED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3301BF80" w14:textId="3A41A9C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651C4D84" w14:textId="041C25E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09D6ADC1" w14:textId="46E7794B"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0BD46EB4" w14:textId="392512A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6F024E4B"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C091CDE"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Vpis v kataster</w:t>
            </w:r>
          </w:p>
        </w:tc>
        <w:tc>
          <w:tcPr>
            <w:tcW w:w="1701" w:type="dxa"/>
            <w:tcBorders>
              <w:top w:val="nil"/>
              <w:left w:val="nil"/>
              <w:bottom w:val="single" w:sz="4" w:space="0" w:color="auto"/>
              <w:right w:val="single" w:sz="4" w:space="0" w:color="auto"/>
            </w:tcBorders>
            <w:noWrap/>
            <w:vAlign w:val="bottom"/>
          </w:tcPr>
          <w:p w14:paraId="54A533DC" w14:textId="5E4A6E4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991,38</w:t>
            </w:r>
          </w:p>
        </w:tc>
        <w:tc>
          <w:tcPr>
            <w:tcW w:w="1218" w:type="dxa"/>
            <w:tcBorders>
              <w:top w:val="nil"/>
              <w:left w:val="nil"/>
              <w:bottom w:val="single" w:sz="4" w:space="0" w:color="auto"/>
              <w:right w:val="single" w:sz="4" w:space="0" w:color="auto"/>
            </w:tcBorders>
            <w:noWrap/>
            <w:vAlign w:val="bottom"/>
          </w:tcPr>
          <w:p w14:paraId="60C35623" w14:textId="6875AE8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0,03%</w:t>
            </w:r>
          </w:p>
        </w:tc>
        <w:tc>
          <w:tcPr>
            <w:tcW w:w="1276" w:type="dxa"/>
            <w:tcBorders>
              <w:top w:val="nil"/>
              <w:left w:val="nil"/>
              <w:bottom w:val="single" w:sz="4" w:space="0" w:color="auto"/>
              <w:right w:val="single" w:sz="4" w:space="0" w:color="auto"/>
            </w:tcBorders>
            <w:noWrap/>
            <w:vAlign w:val="bottom"/>
          </w:tcPr>
          <w:p w14:paraId="40CC670A" w14:textId="05B539E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7C99BACD" w14:textId="147A0F2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30A05850" w14:textId="29A34D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1268C90F" w14:textId="78D323F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58F60FAD" w14:textId="5718667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72C447C5" w14:textId="5E1EEC7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991,38</w:t>
            </w:r>
          </w:p>
        </w:tc>
      </w:tr>
      <w:tr w:rsidR="00B547D0" w:rsidRPr="000020F0" w14:paraId="34FBC063"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46828BA8"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Geodetski načrt</w:t>
            </w:r>
          </w:p>
        </w:tc>
        <w:tc>
          <w:tcPr>
            <w:tcW w:w="1701" w:type="dxa"/>
            <w:tcBorders>
              <w:top w:val="nil"/>
              <w:left w:val="nil"/>
              <w:bottom w:val="single" w:sz="4" w:space="0" w:color="auto"/>
              <w:right w:val="single" w:sz="4" w:space="0" w:color="auto"/>
            </w:tcBorders>
            <w:noWrap/>
            <w:vAlign w:val="bottom"/>
          </w:tcPr>
          <w:p w14:paraId="193481FA" w14:textId="6362954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2.261,75</w:t>
            </w:r>
          </w:p>
        </w:tc>
        <w:tc>
          <w:tcPr>
            <w:tcW w:w="1218" w:type="dxa"/>
            <w:tcBorders>
              <w:top w:val="nil"/>
              <w:left w:val="nil"/>
              <w:bottom w:val="single" w:sz="4" w:space="0" w:color="auto"/>
              <w:right w:val="single" w:sz="4" w:space="0" w:color="auto"/>
            </w:tcBorders>
            <w:noWrap/>
            <w:vAlign w:val="bottom"/>
          </w:tcPr>
          <w:p w14:paraId="0E6B1469" w14:textId="5804BA6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0,07%</w:t>
            </w:r>
          </w:p>
        </w:tc>
        <w:tc>
          <w:tcPr>
            <w:tcW w:w="1276" w:type="dxa"/>
            <w:tcBorders>
              <w:top w:val="nil"/>
              <w:left w:val="nil"/>
              <w:bottom w:val="single" w:sz="4" w:space="0" w:color="auto"/>
              <w:right w:val="single" w:sz="4" w:space="0" w:color="auto"/>
            </w:tcBorders>
            <w:noWrap/>
            <w:vAlign w:val="bottom"/>
          </w:tcPr>
          <w:p w14:paraId="3CFAC9A6" w14:textId="486FC87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7C16C669" w14:textId="0369C51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1.846,75</w:t>
            </w:r>
          </w:p>
        </w:tc>
        <w:tc>
          <w:tcPr>
            <w:tcW w:w="1276" w:type="dxa"/>
            <w:tcBorders>
              <w:top w:val="nil"/>
              <w:left w:val="nil"/>
              <w:bottom w:val="single" w:sz="4" w:space="0" w:color="auto"/>
              <w:right w:val="single" w:sz="4" w:space="0" w:color="auto"/>
            </w:tcBorders>
            <w:noWrap/>
            <w:vAlign w:val="bottom"/>
          </w:tcPr>
          <w:p w14:paraId="10C69392" w14:textId="0BBB9B2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415,00</w:t>
            </w:r>
          </w:p>
        </w:tc>
        <w:tc>
          <w:tcPr>
            <w:tcW w:w="1275" w:type="dxa"/>
            <w:tcBorders>
              <w:top w:val="nil"/>
              <w:left w:val="nil"/>
              <w:bottom w:val="single" w:sz="4" w:space="0" w:color="auto"/>
              <w:right w:val="single" w:sz="4" w:space="0" w:color="auto"/>
            </w:tcBorders>
            <w:noWrap/>
            <w:vAlign w:val="bottom"/>
          </w:tcPr>
          <w:p w14:paraId="2D181165" w14:textId="373B70F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0F6022DD" w14:textId="7E6AB3F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tcPr>
          <w:p w14:paraId="76264396" w14:textId="5E86CF9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06F3C9CC"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9106936"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Baza cestnih podatkov</w:t>
            </w:r>
          </w:p>
        </w:tc>
        <w:tc>
          <w:tcPr>
            <w:tcW w:w="1701" w:type="dxa"/>
            <w:tcBorders>
              <w:top w:val="nil"/>
              <w:left w:val="nil"/>
              <w:bottom w:val="single" w:sz="4" w:space="0" w:color="auto"/>
              <w:right w:val="single" w:sz="4" w:space="0" w:color="auto"/>
            </w:tcBorders>
            <w:noWrap/>
            <w:vAlign w:val="bottom"/>
          </w:tcPr>
          <w:p w14:paraId="45A10EE3" w14:textId="74D6AAFF"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855,29</w:t>
            </w:r>
          </w:p>
        </w:tc>
        <w:tc>
          <w:tcPr>
            <w:tcW w:w="1218" w:type="dxa"/>
            <w:tcBorders>
              <w:top w:val="nil"/>
              <w:left w:val="nil"/>
              <w:bottom w:val="single" w:sz="4" w:space="0" w:color="auto"/>
              <w:right w:val="single" w:sz="4" w:space="0" w:color="auto"/>
            </w:tcBorders>
            <w:noWrap/>
            <w:vAlign w:val="bottom"/>
          </w:tcPr>
          <w:p w14:paraId="4EC5053D" w14:textId="6A6ADBFD"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0,03%</w:t>
            </w:r>
          </w:p>
        </w:tc>
        <w:tc>
          <w:tcPr>
            <w:tcW w:w="1276" w:type="dxa"/>
            <w:tcBorders>
              <w:top w:val="nil"/>
              <w:left w:val="nil"/>
              <w:bottom w:val="single" w:sz="4" w:space="0" w:color="auto"/>
              <w:right w:val="single" w:sz="4" w:space="0" w:color="auto"/>
            </w:tcBorders>
            <w:noWrap/>
            <w:vAlign w:val="bottom"/>
          </w:tcPr>
          <w:p w14:paraId="7766C8C7" w14:textId="208673B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3D316F68" w14:textId="61122884"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2C8BBF06" w14:textId="10A94585"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082C25A5" w14:textId="48DCB29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20ACE3F7" w14:textId="55BB47CE"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855,29</w:t>
            </w:r>
          </w:p>
        </w:tc>
        <w:tc>
          <w:tcPr>
            <w:tcW w:w="1310" w:type="dxa"/>
            <w:tcBorders>
              <w:top w:val="nil"/>
              <w:left w:val="nil"/>
              <w:bottom w:val="single" w:sz="4" w:space="0" w:color="auto"/>
              <w:right w:val="single" w:sz="4" w:space="0" w:color="auto"/>
            </w:tcBorders>
            <w:noWrap/>
            <w:vAlign w:val="bottom"/>
          </w:tcPr>
          <w:p w14:paraId="23B236FA" w14:textId="0CBE8F9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722FDA55" w14:textId="77777777" w:rsidTr="0087781B">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51915AB2" w14:textId="77777777" w:rsidR="00B547D0" w:rsidRPr="000020F0" w:rsidRDefault="00B547D0" w:rsidP="00B547D0">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701" w:type="dxa"/>
            <w:tcBorders>
              <w:top w:val="nil"/>
              <w:left w:val="nil"/>
              <w:bottom w:val="single" w:sz="4" w:space="0" w:color="auto"/>
              <w:right w:val="single" w:sz="4" w:space="0" w:color="auto"/>
            </w:tcBorders>
            <w:shd w:val="clear" w:color="000000" w:fill="D9D9D9"/>
            <w:noWrap/>
            <w:vAlign w:val="bottom"/>
          </w:tcPr>
          <w:p w14:paraId="5051325C" w14:textId="059760F6"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2.826.142,46</w:t>
            </w:r>
          </w:p>
        </w:tc>
        <w:tc>
          <w:tcPr>
            <w:tcW w:w="1218" w:type="dxa"/>
            <w:tcBorders>
              <w:top w:val="nil"/>
              <w:left w:val="nil"/>
              <w:bottom w:val="single" w:sz="4" w:space="0" w:color="auto"/>
              <w:right w:val="single" w:sz="4" w:space="0" w:color="auto"/>
            </w:tcBorders>
            <w:shd w:val="clear" w:color="000000" w:fill="D9D9D9"/>
            <w:noWrap/>
            <w:vAlign w:val="bottom"/>
          </w:tcPr>
          <w:p w14:paraId="5605C924" w14:textId="1B6F6D53"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83,46%</w:t>
            </w:r>
          </w:p>
        </w:tc>
        <w:tc>
          <w:tcPr>
            <w:tcW w:w="1276" w:type="dxa"/>
            <w:tcBorders>
              <w:top w:val="nil"/>
              <w:left w:val="nil"/>
              <w:bottom w:val="single" w:sz="4" w:space="0" w:color="auto"/>
              <w:right w:val="single" w:sz="4" w:space="0" w:color="auto"/>
            </w:tcBorders>
            <w:shd w:val="clear" w:color="000000" w:fill="D9D9D9"/>
            <w:noWrap/>
            <w:vAlign w:val="bottom"/>
          </w:tcPr>
          <w:p w14:paraId="37023C20" w14:textId="1CC1C639"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294.705,03</w:t>
            </w:r>
          </w:p>
        </w:tc>
        <w:tc>
          <w:tcPr>
            <w:tcW w:w="1559" w:type="dxa"/>
            <w:tcBorders>
              <w:top w:val="nil"/>
              <w:left w:val="nil"/>
              <w:bottom w:val="single" w:sz="4" w:space="0" w:color="auto"/>
              <w:right w:val="single" w:sz="4" w:space="0" w:color="auto"/>
            </w:tcBorders>
            <w:shd w:val="clear" w:color="000000" w:fill="D9D9D9"/>
            <w:noWrap/>
            <w:vAlign w:val="bottom"/>
          </w:tcPr>
          <w:p w14:paraId="6BC96D7E" w14:textId="50DE2D9B"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78.619,70</w:t>
            </w:r>
          </w:p>
        </w:tc>
        <w:tc>
          <w:tcPr>
            <w:tcW w:w="1276" w:type="dxa"/>
            <w:tcBorders>
              <w:top w:val="nil"/>
              <w:left w:val="nil"/>
              <w:bottom w:val="single" w:sz="4" w:space="0" w:color="auto"/>
              <w:right w:val="single" w:sz="4" w:space="0" w:color="auto"/>
            </w:tcBorders>
            <w:shd w:val="clear" w:color="000000" w:fill="D9D9D9"/>
            <w:noWrap/>
            <w:vAlign w:val="bottom"/>
          </w:tcPr>
          <w:p w14:paraId="297A5AC2" w14:textId="76887649"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33.587,38</w:t>
            </w:r>
          </w:p>
        </w:tc>
        <w:tc>
          <w:tcPr>
            <w:tcW w:w="1275" w:type="dxa"/>
            <w:tcBorders>
              <w:top w:val="nil"/>
              <w:left w:val="nil"/>
              <w:bottom w:val="single" w:sz="4" w:space="0" w:color="auto"/>
              <w:right w:val="single" w:sz="4" w:space="0" w:color="auto"/>
            </w:tcBorders>
            <w:shd w:val="clear" w:color="000000" w:fill="D9D9D9"/>
            <w:noWrap/>
            <w:vAlign w:val="bottom"/>
          </w:tcPr>
          <w:p w14:paraId="55F8922D" w14:textId="6C2ECCB2"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632.816,45</w:t>
            </w:r>
          </w:p>
        </w:tc>
        <w:tc>
          <w:tcPr>
            <w:tcW w:w="1384" w:type="dxa"/>
            <w:tcBorders>
              <w:top w:val="nil"/>
              <w:left w:val="nil"/>
              <w:bottom w:val="single" w:sz="4" w:space="0" w:color="auto"/>
              <w:right w:val="single" w:sz="4" w:space="0" w:color="auto"/>
            </w:tcBorders>
            <w:shd w:val="clear" w:color="000000" w:fill="D9D9D9"/>
            <w:noWrap/>
            <w:vAlign w:val="bottom"/>
          </w:tcPr>
          <w:p w14:paraId="3C0CB00D" w14:textId="5A6FC45F"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1.723.952,57</w:t>
            </w:r>
          </w:p>
        </w:tc>
        <w:tc>
          <w:tcPr>
            <w:tcW w:w="1310" w:type="dxa"/>
            <w:tcBorders>
              <w:top w:val="nil"/>
              <w:left w:val="nil"/>
              <w:bottom w:val="single" w:sz="4" w:space="0" w:color="auto"/>
              <w:right w:val="single" w:sz="4" w:space="0" w:color="auto"/>
            </w:tcBorders>
            <w:shd w:val="clear" w:color="000000" w:fill="D9D9D9"/>
            <w:noWrap/>
            <w:vAlign w:val="bottom"/>
          </w:tcPr>
          <w:p w14:paraId="4DCAA52F" w14:textId="0CCD4629"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62.461,33</w:t>
            </w:r>
          </w:p>
        </w:tc>
      </w:tr>
      <w:tr w:rsidR="00B547D0" w:rsidRPr="000020F0" w14:paraId="4CD7D1E1"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30D7DC0D"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Davek na dodano vrednost</w:t>
            </w:r>
          </w:p>
        </w:tc>
        <w:tc>
          <w:tcPr>
            <w:tcW w:w="1701" w:type="dxa"/>
            <w:tcBorders>
              <w:top w:val="nil"/>
              <w:left w:val="nil"/>
              <w:bottom w:val="single" w:sz="4" w:space="0" w:color="auto"/>
              <w:right w:val="single" w:sz="4" w:space="0" w:color="auto"/>
            </w:tcBorders>
            <w:noWrap/>
            <w:vAlign w:val="bottom"/>
          </w:tcPr>
          <w:p w14:paraId="6421AB39" w14:textId="3A09379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559.912,37</w:t>
            </w:r>
          </w:p>
        </w:tc>
        <w:tc>
          <w:tcPr>
            <w:tcW w:w="1218" w:type="dxa"/>
            <w:tcBorders>
              <w:top w:val="nil"/>
              <w:left w:val="nil"/>
              <w:bottom w:val="single" w:sz="4" w:space="0" w:color="auto"/>
              <w:right w:val="single" w:sz="4" w:space="0" w:color="auto"/>
            </w:tcBorders>
            <w:noWrap/>
            <w:vAlign w:val="bottom"/>
          </w:tcPr>
          <w:p w14:paraId="7AB29500" w14:textId="0EA735A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16,54%</w:t>
            </w:r>
          </w:p>
        </w:tc>
        <w:tc>
          <w:tcPr>
            <w:tcW w:w="1276" w:type="dxa"/>
            <w:tcBorders>
              <w:top w:val="nil"/>
              <w:left w:val="nil"/>
              <w:bottom w:val="single" w:sz="4" w:space="0" w:color="auto"/>
              <w:right w:val="single" w:sz="4" w:space="0" w:color="auto"/>
            </w:tcBorders>
            <w:noWrap/>
            <w:vAlign w:val="bottom"/>
          </w:tcPr>
          <w:p w14:paraId="300B2566" w14:textId="3FC2740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2.996,14</w:t>
            </w:r>
          </w:p>
        </w:tc>
        <w:tc>
          <w:tcPr>
            <w:tcW w:w="1559" w:type="dxa"/>
            <w:tcBorders>
              <w:top w:val="nil"/>
              <w:left w:val="nil"/>
              <w:bottom w:val="single" w:sz="4" w:space="0" w:color="auto"/>
              <w:right w:val="single" w:sz="4" w:space="0" w:color="auto"/>
            </w:tcBorders>
            <w:noWrap/>
            <w:vAlign w:val="bottom"/>
          </w:tcPr>
          <w:p w14:paraId="36A69265" w14:textId="21E91B8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17.296,33</w:t>
            </w:r>
          </w:p>
        </w:tc>
        <w:tc>
          <w:tcPr>
            <w:tcW w:w="1276" w:type="dxa"/>
            <w:tcBorders>
              <w:top w:val="nil"/>
              <w:left w:val="nil"/>
              <w:bottom w:val="single" w:sz="4" w:space="0" w:color="auto"/>
              <w:right w:val="single" w:sz="4" w:space="0" w:color="auto"/>
            </w:tcBorders>
            <w:noWrap/>
            <w:vAlign w:val="bottom"/>
          </w:tcPr>
          <w:p w14:paraId="2F4B0C73" w14:textId="06D13F9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7.389,22</w:t>
            </w:r>
          </w:p>
        </w:tc>
        <w:tc>
          <w:tcPr>
            <w:tcW w:w="1275" w:type="dxa"/>
            <w:tcBorders>
              <w:top w:val="nil"/>
              <w:left w:val="nil"/>
              <w:bottom w:val="single" w:sz="4" w:space="0" w:color="auto"/>
              <w:right w:val="single" w:sz="4" w:space="0" w:color="auto"/>
            </w:tcBorders>
            <w:noWrap/>
            <w:vAlign w:val="bottom"/>
          </w:tcPr>
          <w:p w14:paraId="6D2976DC" w14:textId="2480626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139.219,62</w:t>
            </w:r>
          </w:p>
        </w:tc>
        <w:tc>
          <w:tcPr>
            <w:tcW w:w="1384" w:type="dxa"/>
            <w:tcBorders>
              <w:top w:val="nil"/>
              <w:left w:val="nil"/>
              <w:bottom w:val="single" w:sz="4" w:space="0" w:color="auto"/>
              <w:right w:val="single" w:sz="4" w:space="0" w:color="auto"/>
            </w:tcBorders>
            <w:noWrap/>
            <w:vAlign w:val="bottom"/>
          </w:tcPr>
          <w:p w14:paraId="6AC1C304" w14:textId="6C4B3918"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379.269,57</w:t>
            </w:r>
          </w:p>
        </w:tc>
        <w:tc>
          <w:tcPr>
            <w:tcW w:w="1310" w:type="dxa"/>
            <w:tcBorders>
              <w:top w:val="nil"/>
              <w:left w:val="nil"/>
              <w:bottom w:val="single" w:sz="4" w:space="0" w:color="auto"/>
              <w:right w:val="single" w:sz="4" w:space="0" w:color="auto"/>
            </w:tcBorders>
            <w:noWrap/>
            <w:vAlign w:val="bottom"/>
          </w:tcPr>
          <w:p w14:paraId="26635C47" w14:textId="1CDA325A"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13.741,49</w:t>
            </w:r>
          </w:p>
        </w:tc>
      </w:tr>
      <w:tr w:rsidR="00B547D0" w:rsidRPr="000020F0" w14:paraId="4AA66D7D" w14:textId="77777777" w:rsidTr="0087781B">
        <w:trPr>
          <w:trHeight w:val="280"/>
        </w:trPr>
        <w:tc>
          <w:tcPr>
            <w:tcW w:w="3256" w:type="dxa"/>
            <w:tcBorders>
              <w:top w:val="nil"/>
              <w:left w:val="single" w:sz="4" w:space="0" w:color="auto"/>
              <w:bottom w:val="single" w:sz="4" w:space="0" w:color="auto"/>
              <w:right w:val="single" w:sz="4" w:space="0" w:color="auto"/>
            </w:tcBorders>
            <w:noWrap/>
            <w:vAlign w:val="bottom"/>
            <w:hideMark/>
          </w:tcPr>
          <w:p w14:paraId="0E9B8686" w14:textId="77777777" w:rsidR="00B547D0" w:rsidRPr="000020F0" w:rsidRDefault="00B547D0" w:rsidP="00B547D0">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701" w:type="dxa"/>
            <w:tcBorders>
              <w:top w:val="nil"/>
              <w:left w:val="nil"/>
              <w:bottom w:val="single" w:sz="4" w:space="0" w:color="auto"/>
              <w:right w:val="single" w:sz="4" w:space="0" w:color="auto"/>
            </w:tcBorders>
            <w:noWrap/>
            <w:vAlign w:val="bottom"/>
          </w:tcPr>
          <w:p w14:paraId="7F8477BA" w14:textId="79CA5812"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22.291,03</w:t>
            </w:r>
          </w:p>
        </w:tc>
        <w:tc>
          <w:tcPr>
            <w:tcW w:w="1218" w:type="dxa"/>
            <w:tcBorders>
              <w:top w:val="nil"/>
              <w:left w:val="nil"/>
              <w:bottom w:val="single" w:sz="4" w:space="0" w:color="auto"/>
              <w:right w:val="single" w:sz="4" w:space="0" w:color="auto"/>
            </w:tcBorders>
            <w:noWrap/>
            <w:vAlign w:val="bottom"/>
          </w:tcPr>
          <w:p w14:paraId="17F20B7D" w14:textId="62A19F47"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0,66%</w:t>
            </w:r>
          </w:p>
        </w:tc>
        <w:tc>
          <w:tcPr>
            <w:tcW w:w="1276" w:type="dxa"/>
            <w:tcBorders>
              <w:top w:val="nil"/>
              <w:left w:val="nil"/>
              <w:bottom w:val="single" w:sz="4" w:space="0" w:color="auto"/>
              <w:right w:val="single" w:sz="4" w:space="0" w:color="auto"/>
            </w:tcBorders>
            <w:noWrap/>
            <w:vAlign w:val="bottom"/>
          </w:tcPr>
          <w:p w14:paraId="3BAF8A0F" w14:textId="6D6840A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tcPr>
          <w:p w14:paraId="58503E82" w14:textId="53845886"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tcPr>
          <w:p w14:paraId="197AF1FF" w14:textId="1744E639"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tcPr>
          <w:p w14:paraId="1CA28547" w14:textId="4940CE81"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tcPr>
          <w:p w14:paraId="21DFACC4" w14:textId="563F14BC"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22.291,03</w:t>
            </w:r>
          </w:p>
        </w:tc>
        <w:tc>
          <w:tcPr>
            <w:tcW w:w="1310" w:type="dxa"/>
            <w:tcBorders>
              <w:top w:val="nil"/>
              <w:left w:val="nil"/>
              <w:bottom w:val="single" w:sz="4" w:space="0" w:color="auto"/>
              <w:right w:val="single" w:sz="4" w:space="0" w:color="auto"/>
            </w:tcBorders>
            <w:noWrap/>
            <w:vAlign w:val="bottom"/>
          </w:tcPr>
          <w:p w14:paraId="1CF3A8FB" w14:textId="4D0B6363" w:rsidR="00B547D0" w:rsidRPr="000020F0" w:rsidRDefault="00B547D0" w:rsidP="00B547D0">
            <w:pPr>
              <w:jc w:val="right"/>
              <w:rPr>
                <w:rFonts w:ascii="Arial" w:hAnsi="Arial" w:cs="Arial"/>
                <w:color w:val="000000"/>
                <w:sz w:val="20"/>
                <w:szCs w:val="20"/>
              </w:rPr>
            </w:pPr>
            <w:r w:rsidRPr="000020F0">
              <w:rPr>
                <w:rFonts w:ascii="Arial" w:hAnsi="Arial" w:cs="Arial"/>
                <w:color w:val="000000"/>
                <w:sz w:val="20"/>
                <w:szCs w:val="20"/>
              </w:rPr>
              <w:t>0,00</w:t>
            </w:r>
          </w:p>
        </w:tc>
      </w:tr>
      <w:tr w:rsidR="00B547D0" w:rsidRPr="000020F0" w14:paraId="1613AA76" w14:textId="77777777" w:rsidTr="0087781B">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6DC3391C" w14:textId="77777777" w:rsidR="00B547D0" w:rsidRPr="000020F0" w:rsidRDefault="00B547D0" w:rsidP="00B547D0">
            <w:pPr>
              <w:rPr>
                <w:rFonts w:ascii="Arial" w:hAnsi="Arial" w:cs="Arial"/>
                <w:b/>
                <w:bCs/>
                <w:color w:val="000000"/>
                <w:sz w:val="20"/>
                <w:szCs w:val="20"/>
              </w:rPr>
            </w:pPr>
            <w:r w:rsidRPr="000020F0">
              <w:rPr>
                <w:rFonts w:ascii="Arial" w:hAnsi="Arial" w:cs="Arial"/>
                <w:b/>
                <w:bCs/>
                <w:color w:val="000000"/>
                <w:sz w:val="20"/>
                <w:szCs w:val="20"/>
              </w:rPr>
              <w:t>Skupaj z davkom na dodano vrednost</w:t>
            </w:r>
          </w:p>
        </w:tc>
        <w:tc>
          <w:tcPr>
            <w:tcW w:w="1701" w:type="dxa"/>
            <w:tcBorders>
              <w:top w:val="nil"/>
              <w:left w:val="nil"/>
              <w:bottom w:val="single" w:sz="4" w:space="0" w:color="auto"/>
              <w:right w:val="single" w:sz="4" w:space="0" w:color="auto"/>
            </w:tcBorders>
            <w:shd w:val="clear" w:color="000000" w:fill="D9D9D9"/>
            <w:noWrap/>
            <w:vAlign w:val="bottom"/>
          </w:tcPr>
          <w:p w14:paraId="7572EC2B" w14:textId="48F0A6CE"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1218" w:type="dxa"/>
            <w:tcBorders>
              <w:top w:val="nil"/>
              <w:left w:val="nil"/>
              <w:bottom w:val="single" w:sz="4" w:space="0" w:color="auto"/>
              <w:right w:val="single" w:sz="4" w:space="0" w:color="auto"/>
            </w:tcBorders>
            <w:shd w:val="clear" w:color="000000" w:fill="D9D9D9"/>
            <w:noWrap/>
            <w:vAlign w:val="bottom"/>
          </w:tcPr>
          <w:p w14:paraId="54DB1758" w14:textId="533BFE82"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1276" w:type="dxa"/>
            <w:tcBorders>
              <w:top w:val="nil"/>
              <w:left w:val="nil"/>
              <w:bottom w:val="single" w:sz="4" w:space="0" w:color="auto"/>
              <w:right w:val="single" w:sz="4" w:space="0" w:color="auto"/>
            </w:tcBorders>
            <w:shd w:val="clear" w:color="000000" w:fill="D9D9D9"/>
            <w:noWrap/>
            <w:vAlign w:val="bottom"/>
          </w:tcPr>
          <w:p w14:paraId="741B7032" w14:textId="3F9F9A9E"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559" w:type="dxa"/>
            <w:tcBorders>
              <w:top w:val="nil"/>
              <w:left w:val="nil"/>
              <w:bottom w:val="single" w:sz="4" w:space="0" w:color="auto"/>
              <w:right w:val="single" w:sz="4" w:space="0" w:color="auto"/>
            </w:tcBorders>
            <w:shd w:val="clear" w:color="000000" w:fill="D9D9D9"/>
            <w:noWrap/>
            <w:vAlign w:val="bottom"/>
          </w:tcPr>
          <w:p w14:paraId="5BAC1736" w14:textId="68FB6D9F"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276" w:type="dxa"/>
            <w:tcBorders>
              <w:top w:val="nil"/>
              <w:left w:val="nil"/>
              <w:bottom w:val="single" w:sz="4" w:space="0" w:color="auto"/>
              <w:right w:val="single" w:sz="4" w:space="0" w:color="auto"/>
            </w:tcBorders>
            <w:shd w:val="clear" w:color="000000" w:fill="D9D9D9"/>
            <w:noWrap/>
            <w:vAlign w:val="bottom"/>
          </w:tcPr>
          <w:p w14:paraId="740365EE" w14:textId="10A95EE1"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275" w:type="dxa"/>
            <w:tcBorders>
              <w:top w:val="nil"/>
              <w:left w:val="nil"/>
              <w:bottom w:val="single" w:sz="4" w:space="0" w:color="auto"/>
              <w:right w:val="single" w:sz="4" w:space="0" w:color="auto"/>
            </w:tcBorders>
            <w:shd w:val="clear" w:color="000000" w:fill="D9D9D9"/>
            <w:noWrap/>
            <w:vAlign w:val="bottom"/>
          </w:tcPr>
          <w:p w14:paraId="416A4A35" w14:textId="4CA9A9B7"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1384" w:type="dxa"/>
            <w:tcBorders>
              <w:top w:val="nil"/>
              <w:left w:val="nil"/>
              <w:bottom w:val="single" w:sz="4" w:space="0" w:color="auto"/>
              <w:right w:val="single" w:sz="4" w:space="0" w:color="auto"/>
            </w:tcBorders>
            <w:shd w:val="clear" w:color="000000" w:fill="D9D9D9"/>
            <w:noWrap/>
            <w:vAlign w:val="bottom"/>
          </w:tcPr>
          <w:p w14:paraId="25AD98B7" w14:textId="23E0B25D"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2.103.222,14</w:t>
            </w:r>
          </w:p>
        </w:tc>
        <w:tc>
          <w:tcPr>
            <w:tcW w:w="1310" w:type="dxa"/>
            <w:tcBorders>
              <w:top w:val="nil"/>
              <w:left w:val="nil"/>
              <w:bottom w:val="single" w:sz="4" w:space="0" w:color="auto"/>
              <w:right w:val="single" w:sz="4" w:space="0" w:color="auto"/>
            </w:tcBorders>
            <w:shd w:val="clear" w:color="000000" w:fill="D9D9D9"/>
            <w:noWrap/>
            <w:vAlign w:val="bottom"/>
          </w:tcPr>
          <w:p w14:paraId="0FC86692" w14:textId="7E276E4D"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76.202,82</w:t>
            </w:r>
          </w:p>
        </w:tc>
      </w:tr>
      <w:tr w:rsidR="00B547D0" w:rsidRPr="000020F0" w14:paraId="239719A1" w14:textId="77777777" w:rsidTr="0087781B">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0B7F25EC" w14:textId="77777777" w:rsidR="00B547D0" w:rsidRPr="000020F0" w:rsidRDefault="00B547D0" w:rsidP="00B547D0">
            <w:pPr>
              <w:rPr>
                <w:rFonts w:ascii="Arial" w:hAnsi="Arial" w:cs="Arial"/>
                <w:b/>
                <w:bCs/>
                <w:color w:val="000000"/>
                <w:sz w:val="20"/>
                <w:szCs w:val="20"/>
              </w:rPr>
            </w:pPr>
            <w:r w:rsidRPr="000020F0">
              <w:rPr>
                <w:rFonts w:ascii="Arial" w:hAnsi="Arial" w:cs="Arial"/>
                <w:b/>
                <w:bCs/>
                <w:color w:val="000000"/>
                <w:sz w:val="20"/>
                <w:szCs w:val="20"/>
              </w:rPr>
              <w:t xml:space="preserve">Skupaj z </w:t>
            </w:r>
            <w:proofErr w:type="spellStart"/>
            <w:r w:rsidRPr="000020F0">
              <w:rPr>
                <w:rFonts w:ascii="Arial" w:hAnsi="Arial" w:cs="Arial"/>
                <w:b/>
                <w:bCs/>
                <w:color w:val="000000"/>
                <w:sz w:val="20"/>
                <w:szCs w:val="20"/>
              </w:rPr>
              <w:t>nepovračljivim</w:t>
            </w:r>
            <w:proofErr w:type="spellEnd"/>
            <w:r w:rsidRPr="000020F0">
              <w:rPr>
                <w:rFonts w:ascii="Arial" w:hAnsi="Arial" w:cs="Arial"/>
                <w:b/>
                <w:bCs/>
                <w:color w:val="000000"/>
                <w:sz w:val="20"/>
                <w:szCs w:val="20"/>
              </w:rPr>
              <w:t xml:space="preserve"> davkom na dodano vrednost</w:t>
            </w:r>
          </w:p>
        </w:tc>
        <w:tc>
          <w:tcPr>
            <w:tcW w:w="1701" w:type="dxa"/>
            <w:tcBorders>
              <w:top w:val="nil"/>
              <w:left w:val="nil"/>
              <w:bottom w:val="single" w:sz="4" w:space="0" w:color="auto"/>
              <w:right w:val="single" w:sz="4" w:space="0" w:color="auto"/>
            </w:tcBorders>
            <w:shd w:val="clear" w:color="000000" w:fill="D9D9D9"/>
            <w:noWrap/>
            <w:vAlign w:val="bottom"/>
          </w:tcPr>
          <w:p w14:paraId="27DE72ED" w14:textId="49BF7BFB"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3.363.763,80</w:t>
            </w:r>
          </w:p>
        </w:tc>
        <w:tc>
          <w:tcPr>
            <w:tcW w:w="1218" w:type="dxa"/>
            <w:tcBorders>
              <w:top w:val="nil"/>
              <w:left w:val="nil"/>
              <w:bottom w:val="single" w:sz="4" w:space="0" w:color="auto"/>
              <w:right w:val="single" w:sz="4" w:space="0" w:color="auto"/>
            </w:tcBorders>
            <w:shd w:val="clear" w:color="000000" w:fill="D9D9D9"/>
            <w:noWrap/>
            <w:vAlign w:val="bottom"/>
          </w:tcPr>
          <w:p w14:paraId="1BEBBDAD" w14:textId="52041756"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99,34%</w:t>
            </w:r>
          </w:p>
        </w:tc>
        <w:tc>
          <w:tcPr>
            <w:tcW w:w="1276" w:type="dxa"/>
            <w:tcBorders>
              <w:top w:val="nil"/>
              <w:left w:val="nil"/>
              <w:bottom w:val="single" w:sz="4" w:space="0" w:color="auto"/>
              <w:right w:val="single" w:sz="4" w:space="0" w:color="auto"/>
            </w:tcBorders>
            <w:shd w:val="clear" w:color="000000" w:fill="D9D9D9"/>
            <w:noWrap/>
            <w:vAlign w:val="bottom"/>
          </w:tcPr>
          <w:p w14:paraId="3DD84594" w14:textId="02001F34"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1559" w:type="dxa"/>
            <w:tcBorders>
              <w:top w:val="nil"/>
              <w:left w:val="nil"/>
              <w:bottom w:val="single" w:sz="4" w:space="0" w:color="auto"/>
              <w:right w:val="single" w:sz="4" w:space="0" w:color="auto"/>
            </w:tcBorders>
            <w:shd w:val="clear" w:color="000000" w:fill="D9D9D9"/>
            <w:noWrap/>
            <w:vAlign w:val="bottom"/>
          </w:tcPr>
          <w:p w14:paraId="2CF20D4B" w14:textId="59B9C303"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1276" w:type="dxa"/>
            <w:tcBorders>
              <w:top w:val="nil"/>
              <w:left w:val="nil"/>
              <w:bottom w:val="single" w:sz="4" w:space="0" w:color="auto"/>
              <w:right w:val="single" w:sz="4" w:space="0" w:color="auto"/>
            </w:tcBorders>
            <w:shd w:val="clear" w:color="000000" w:fill="D9D9D9"/>
            <w:noWrap/>
            <w:vAlign w:val="bottom"/>
          </w:tcPr>
          <w:p w14:paraId="5CF4B782" w14:textId="467B41FA"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1275" w:type="dxa"/>
            <w:tcBorders>
              <w:top w:val="nil"/>
              <w:left w:val="nil"/>
              <w:bottom w:val="single" w:sz="4" w:space="0" w:color="auto"/>
              <w:right w:val="single" w:sz="4" w:space="0" w:color="auto"/>
            </w:tcBorders>
            <w:shd w:val="clear" w:color="000000" w:fill="D9D9D9"/>
            <w:noWrap/>
            <w:vAlign w:val="bottom"/>
          </w:tcPr>
          <w:p w14:paraId="3330D816" w14:textId="019EF648"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1384" w:type="dxa"/>
            <w:tcBorders>
              <w:top w:val="nil"/>
              <w:left w:val="nil"/>
              <w:bottom w:val="single" w:sz="4" w:space="0" w:color="auto"/>
              <w:right w:val="single" w:sz="4" w:space="0" w:color="auto"/>
            </w:tcBorders>
            <w:shd w:val="clear" w:color="000000" w:fill="D9D9D9"/>
            <w:noWrap/>
            <w:vAlign w:val="bottom"/>
          </w:tcPr>
          <w:p w14:paraId="73DE8002" w14:textId="4A5ACF32"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2.080.931,11</w:t>
            </w:r>
          </w:p>
        </w:tc>
        <w:tc>
          <w:tcPr>
            <w:tcW w:w="1310" w:type="dxa"/>
            <w:tcBorders>
              <w:top w:val="nil"/>
              <w:left w:val="nil"/>
              <w:bottom w:val="single" w:sz="4" w:space="0" w:color="auto"/>
              <w:right w:val="single" w:sz="4" w:space="0" w:color="auto"/>
            </w:tcBorders>
            <w:shd w:val="clear" w:color="000000" w:fill="D9D9D9"/>
            <w:noWrap/>
            <w:vAlign w:val="bottom"/>
          </w:tcPr>
          <w:p w14:paraId="39E1B986" w14:textId="18CB7CFF" w:rsidR="00B547D0" w:rsidRPr="000020F0" w:rsidRDefault="00B547D0" w:rsidP="00B547D0">
            <w:pPr>
              <w:jc w:val="right"/>
              <w:rPr>
                <w:rFonts w:ascii="Arial" w:hAnsi="Arial" w:cs="Arial"/>
                <w:b/>
                <w:bCs/>
                <w:color w:val="000000"/>
                <w:sz w:val="20"/>
                <w:szCs w:val="20"/>
              </w:rPr>
            </w:pPr>
            <w:r w:rsidRPr="000020F0">
              <w:rPr>
                <w:rFonts w:ascii="Arial" w:hAnsi="Arial" w:cs="Arial"/>
                <w:b/>
                <w:bCs/>
                <w:color w:val="000000"/>
                <w:sz w:val="20"/>
                <w:szCs w:val="20"/>
              </w:rPr>
              <w:t>76.202,82</w:t>
            </w:r>
          </w:p>
        </w:tc>
      </w:tr>
    </w:tbl>
    <w:p w14:paraId="76BF080E" w14:textId="77777777" w:rsidR="00D63958" w:rsidRPr="000020F0" w:rsidRDefault="00D63958" w:rsidP="00D63958">
      <w:pPr>
        <w:spacing w:after="120" w:line="276" w:lineRule="auto"/>
        <w:ind w:left="1410" w:hanging="1410"/>
        <w:jc w:val="both"/>
        <w:rPr>
          <w:rFonts w:ascii="Arial" w:hAnsi="Arial" w:cs="Arial"/>
          <w:sz w:val="22"/>
          <w:szCs w:val="22"/>
        </w:rPr>
      </w:pPr>
    </w:p>
    <w:p w14:paraId="08074018" w14:textId="16805C13" w:rsidR="00D63958" w:rsidRPr="000020F0" w:rsidRDefault="00CD0D39" w:rsidP="00D63958">
      <w:pPr>
        <w:spacing w:after="120" w:line="276" w:lineRule="auto"/>
        <w:jc w:val="both"/>
        <w:rPr>
          <w:rFonts w:asciiTheme="majorHAnsi" w:hAnsiTheme="majorHAnsi" w:cstheme="majorHAnsi"/>
          <w:sz w:val="22"/>
          <w:szCs w:val="22"/>
        </w:rPr>
      </w:pPr>
      <w:bookmarkStart w:id="361" w:name="_Toc230882304"/>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24</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 xml:space="preserve">Finančni terminski plan upravičenih stroškov v </w:t>
      </w:r>
      <w:r w:rsidR="00097406" w:rsidRPr="000020F0">
        <w:rPr>
          <w:rFonts w:asciiTheme="majorHAnsi" w:hAnsiTheme="majorHAnsi" w:cstheme="majorHAnsi"/>
          <w:sz w:val="22"/>
          <w:szCs w:val="22"/>
        </w:rPr>
        <w:t>tekočih</w:t>
      </w:r>
      <w:r w:rsidRPr="000020F0">
        <w:rPr>
          <w:rFonts w:asciiTheme="majorHAnsi" w:hAnsiTheme="majorHAnsi" w:cstheme="majorHAnsi"/>
          <w:sz w:val="22"/>
          <w:szCs w:val="22"/>
        </w:rPr>
        <w:t xml:space="preserve"> cenah v EUR</w:t>
      </w:r>
      <w:bookmarkEnd w:id="361"/>
    </w:p>
    <w:tbl>
      <w:tblPr>
        <w:tblW w:w="13037" w:type="dxa"/>
        <w:tblLook w:val="04A0" w:firstRow="1" w:lastRow="0" w:firstColumn="1" w:lastColumn="0" w:noHBand="0" w:noVBand="1"/>
      </w:tblPr>
      <w:tblGrid>
        <w:gridCol w:w="3256"/>
        <w:gridCol w:w="1701"/>
        <w:gridCol w:w="1276"/>
        <w:gridCol w:w="1559"/>
        <w:gridCol w:w="1276"/>
        <w:gridCol w:w="1275"/>
        <w:gridCol w:w="1384"/>
        <w:gridCol w:w="1310"/>
      </w:tblGrid>
      <w:tr w:rsidR="004C1482" w:rsidRPr="000020F0" w14:paraId="5B31BB38" w14:textId="77777777" w:rsidTr="004C1482">
        <w:trPr>
          <w:trHeight w:val="280"/>
          <w:tblHeader/>
        </w:trPr>
        <w:tc>
          <w:tcPr>
            <w:tcW w:w="325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193288C0" w14:textId="77777777" w:rsidR="004C1482" w:rsidRPr="000020F0" w:rsidRDefault="004C1482" w:rsidP="005243BF">
            <w:pPr>
              <w:rPr>
                <w:rFonts w:ascii="Arial" w:hAnsi="Arial" w:cs="Arial"/>
                <w:b/>
                <w:bCs/>
                <w:color w:val="FFFFFF"/>
                <w:sz w:val="20"/>
                <w:szCs w:val="20"/>
              </w:rPr>
            </w:pPr>
            <w:r w:rsidRPr="000020F0">
              <w:rPr>
                <w:rFonts w:ascii="Arial" w:hAnsi="Arial" w:cs="Arial"/>
                <w:b/>
                <w:bCs/>
                <w:color w:val="FFFFFF"/>
                <w:sz w:val="20"/>
                <w:szCs w:val="20"/>
              </w:rPr>
              <w:t>Postavka</w:t>
            </w:r>
          </w:p>
        </w:tc>
        <w:tc>
          <w:tcPr>
            <w:tcW w:w="1701" w:type="dxa"/>
            <w:tcBorders>
              <w:top w:val="single" w:sz="4" w:space="0" w:color="auto"/>
              <w:left w:val="nil"/>
              <w:bottom w:val="single" w:sz="4" w:space="0" w:color="auto"/>
              <w:right w:val="single" w:sz="4" w:space="0" w:color="auto"/>
            </w:tcBorders>
            <w:shd w:val="clear" w:color="000000" w:fill="153D64"/>
            <w:noWrap/>
            <w:vAlign w:val="bottom"/>
            <w:hideMark/>
          </w:tcPr>
          <w:p w14:paraId="42B4F1C9" w14:textId="433D70F9" w:rsidR="004C1482" w:rsidRPr="000020F0" w:rsidRDefault="004C1482" w:rsidP="005243BF">
            <w:pPr>
              <w:rPr>
                <w:rFonts w:ascii="Arial" w:hAnsi="Arial" w:cs="Arial"/>
                <w:b/>
                <w:bCs/>
                <w:color w:val="FFFFFF"/>
                <w:sz w:val="20"/>
                <w:szCs w:val="20"/>
              </w:rPr>
            </w:pPr>
            <w:r w:rsidRPr="000020F0">
              <w:rPr>
                <w:rFonts w:ascii="Arial" w:hAnsi="Arial" w:cs="Arial"/>
                <w:b/>
                <w:bCs/>
                <w:color w:val="FFFFFF"/>
                <w:sz w:val="20"/>
                <w:szCs w:val="20"/>
              </w:rPr>
              <w:t>UPRAVIČENI STROŠKI</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1F309F40"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1559" w:type="dxa"/>
            <w:tcBorders>
              <w:top w:val="single" w:sz="4" w:space="0" w:color="auto"/>
              <w:left w:val="nil"/>
              <w:bottom w:val="single" w:sz="4" w:space="0" w:color="auto"/>
              <w:right w:val="single" w:sz="4" w:space="0" w:color="auto"/>
            </w:tcBorders>
            <w:shd w:val="clear" w:color="000000" w:fill="153D64"/>
            <w:noWrap/>
            <w:vAlign w:val="bottom"/>
            <w:hideMark/>
          </w:tcPr>
          <w:p w14:paraId="275A2E8C"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1276" w:type="dxa"/>
            <w:tcBorders>
              <w:top w:val="single" w:sz="4" w:space="0" w:color="auto"/>
              <w:left w:val="nil"/>
              <w:bottom w:val="single" w:sz="4" w:space="0" w:color="auto"/>
              <w:right w:val="single" w:sz="4" w:space="0" w:color="auto"/>
            </w:tcBorders>
            <w:shd w:val="clear" w:color="000000" w:fill="153D64"/>
            <w:noWrap/>
            <w:vAlign w:val="bottom"/>
            <w:hideMark/>
          </w:tcPr>
          <w:p w14:paraId="49B87199"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1275" w:type="dxa"/>
            <w:tcBorders>
              <w:top w:val="single" w:sz="4" w:space="0" w:color="auto"/>
              <w:left w:val="nil"/>
              <w:bottom w:val="single" w:sz="4" w:space="0" w:color="auto"/>
              <w:right w:val="single" w:sz="4" w:space="0" w:color="auto"/>
            </w:tcBorders>
            <w:shd w:val="clear" w:color="000000" w:fill="153D64"/>
            <w:noWrap/>
            <w:vAlign w:val="bottom"/>
            <w:hideMark/>
          </w:tcPr>
          <w:p w14:paraId="43EAD206"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1384" w:type="dxa"/>
            <w:tcBorders>
              <w:top w:val="single" w:sz="4" w:space="0" w:color="auto"/>
              <w:left w:val="nil"/>
              <w:bottom w:val="single" w:sz="4" w:space="0" w:color="auto"/>
              <w:right w:val="single" w:sz="4" w:space="0" w:color="auto"/>
            </w:tcBorders>
            <w:shd w:val="clear" w:color="000000" w:fill="153D64"/>
            <w:noWrap/>
            <w:vAlign w:val="bottom"/>
            <w:hideMark/>
          </w:tcPr>
          <w:p w14:paraId="2288090C"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1310" w:type="dxa"/>
            <w:tcBorders>
              <w:top w:val="single" w:sz="4" w:space="0" w:color="auto"/>
              <w:left w:val="nil"/>
              <w:bottom w:val="single" w:sz="4" w:space="0" w:color="auto"/>
              <w:right w:val="single" w:sz="4" w:space="0" w:color="auto"/>
            </w:tcBorders>
            <w:shd w:val="clear" w:color="000000" w:fill="153D64"/>
            <w:noWrap/>
            <w:vAlign w:val="bottom"/>
            <w:hideMark/>
          </w:tcPr>
          <w:p w14:paraId="57CFD52B" w14:textId="77777777" w:rsidR="004C1482" w:rsidRPr="000020F0" w:rsidRDefault="004C1482" w:rsidP="005243BF">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4C1482" w:rsidRPr="000020F0" w14:paraId="505F4799"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1DE84310"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Govekarjeva cesta</w:t>
            </w:r>
          </w:p>
        </w:tc>
        <w:tc>
          <w:tcPr>
            <w:tcW w:w="1701" w:type="dxa"/>
            <w:tcBorders>
              <w:top w:val="nil"/>
              <w:left w:val="nil"/>
              <w:bottom w:val="single" w:sz="4" w:space="0" w:color="auto"/>
              <w:right w:val="single" w:sz="4" w:space="0" w:color="auto"/>
            </w:tcBorders>
            <w:noWrap/>
            <w:vAlign w:val="bottom"/>
            <w:hideMark/>
          </w:tcPr>
          <w:p w14:paraId="72618FFB" w14:textId="0A470B4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861.987,34</w:t>
            </w:r>
          </w:p>
        </w:tc>
        <w:tc>
          <w:tcPr>
            <w:tcW w:w="1276" w:type="dxa"/>
            <w:tcBorders>
              <w:top w:val="nil"/>
              <w:left w:val="nil"/>
              <w:bottom w:val="single" w:sz="4" w:space="0" w:color="auto"/>
              <w:right w:val="single" w:sz="4" w:space="0" w:color="auto"/>
            </w:tcBorders>
            <w:noWrap/>
            <w:vAlign w:val="bottom"/>
            <w:hideMark/>
          </w:tcPr>
          <w:p w14:paraId="03CB50CE" w14:textId="0DB3681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9E7A2B0" w14:textId="4862E97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6590817" w14:textId="35D188B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0981F25" w14:textId="71B0AF2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6EF782D" w14:textId="6BF0F61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811.489,64</w:t>
            </w:r>
          </w:p>
        </w:tc>
        <w:tc>
          <w:tcPr>
            <w:tcW w:w="1310" w:type="dxa"/>
            <w:tcBorders>
              <w:top w:val="nil"/>
              <w:left w:val="nil"/>
              <w:bottom w:val="single" w:sz="4" w:space="0" w:color="auto"/>
              <w:right w:val="single" w:sz="4" w:space="0" w:color="auto"/>
            </w:tcBorders>
            <w:noWrap/>
            <w:vAlign w:val="bottom"/>
            <w:hideMark/>
          </w:tcPr>
          <w:p w14:paraId="1BE236DC" w14:textId="344F573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50.497,70</w:t>
            </w:r>
          </w:p>
        </w:tc>
      </w:tr>
      <w:tr w:rsidR="004C1482" w:rsidRPr="000020F0" w14:paraId="63338C72"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724AA2D4"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Troštova ulica</w:t>
            </w:r>
          </w:p>
        </w:tc>
        <w:tc>
          <w:tcPr>
            <w:tcW w:w="1701" w:type="dxa"/>
            <w:tcBorders>
              <w:top w:val="nil"/>
              <w:left w:val="nil"/>
              <w:bottom w:val="single" w:sz="4" w:space="0" w:color="auto"/>
              <w:right w:val="single" w:sz="4" w:space="0" w:color="auto"/>
            </w:tcBorders>
            <w:noWrap/>
            <w:vAlign w:val="bottom"/>
            <w:hideMark/>
          </w:tcPr>
          <w:p w14:paraId="34558E96" w14:textId="5226AC1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51.078,31</w:t>
            </w:r>
          </w:p>
        </w:tc>
        <w:tc>
          <w:tcPr>
            <w:tcW w:w="1276" w:type="dxa"/>
            <w:tcBorders>
              <w:top w:val="nil"/>
              <w:left w:val="nil"/>
              <w:bottom w:val="single" w:sz="4" w:space="0" w:color="auto"/>
              <w:right w:val="single" w:sz="4" w:space="0" w:color="auto"/>
            </w:tcBorders>
            <w:noWrap/>
            <w:vAlign w:val="bottom"/>
            <w:hideMark/>
          </w:tcPr>
          <w:p w14:paraId="6555F3FC" w14:textId="38CD8AB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D7DF492" w14:textId="3F76599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41C5FB4" w14:textId="40D6C28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F904DFC" w14:textId="14E90FE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E0CB555" w14:textId="492C884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51.078,31</w:t>
            </w:r>
          </w:p>
        </w:tc>
        <w:tc>
          <w:tcPr>
            <w:tcW w:w="1310" w:type="dxa"/>
            <w:tcBorders>
              <w:top w:val="nil"/>
              <w:left w:val="nil"/>
              <w:bottom w:val="single" w:sz="4" w:space="0" w:color="auto"/>
              <w:right w:val="single" w:sz="4" w:space="0" w:color="auto"/>
            </w:tcBorders>
            <w:noWrap/>
            <w:vAlign w:val="bottom"/>
            <w:hideMark/>
          </w:tcPr>
          <w:p w14:paraId="0895503B" w14:textId="42095F6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047AE539"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4B9FE747"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Križišče Govekarjeva-Troštova</w:t>
            </w:r>
          </w:p>
        </w:tc>
        <w:tc>
          <w:tcPr>
            <w:tcW w:w="1701" w:type="dxa"/>
            <w:tcBorders>
              <w:top w:val="nil"/>
              <w:left w:val="nil"/>
              <w:bottom w:val="single" w:sz="4" w:space="0" w:color="auto"/>
              <w:right w:val="single" w:sz="4" w:space="0" w:color="auto"/>
            </w:tcBorders>
            <w:noWrap/>
            <w:vAlign w:val="bottom"/>
            <w:hideMark/>
          </w:tcPr>
          <w:p w14:paraId="50785DEB" w14:textId="45B0AF7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62.607,72</w:t>
            </w:r>
          </w:p>
        </w:tc>
        <w:tc>
          <w:tcPr>
            <w:tcW w:w="1276" w:type="dxa"/>
            <w:tcBorders>
              <w:top w:val="nil"/>
              <w:left w:val="nil"/>
              <w:bottom w:val="single" w:sz="4" w:space="0" w:color="auto"/>
              <w:right w:val="single" w:sz="4" w:space="0" w:color="auto"/>
            </w:tcBorders>
            <w:noWrap/>
            <w:vAlign w:val="bottom"/>
            <w:hideMark/>
          </w:tcPr>
          <w:p w14:paraId="0B2727B5" w14:textId="6631CBF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82B09C4" w14:textId="413A253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6229B31" w14:textId="7AC65ED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8A86B5D" w14:textId="206553E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102B89FB" w14:textId="3D91E3C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62.607,72</w:t>
            </w:r>
          </w:p>
        </w:tc>
        <w:tc>
          <w:tcPr>
            <w:tcW w:w="1310" w:type="dxa"/>
            <w:tcBorders>
              <w:top w:val="nil"/>
              <w:left w:val="nil"/>
              <w:bottom w:val="single" w:sz="4" w:space="0" w:color="auto"/>
              <w:right w:val="single" w:sz="4" w:space="0" w:color="auto"/>
            </w:tcBorders>
            <w:noWrap/>
            <w:vAlign w:val="bottom"/>
            <w:hideMark/>
          </w:tcPr>
          <w:p w14:paraId="715928B0" w14:textId="3A67681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1CDFFE06"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79B863CA"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Parkirišča za kolesa - avtobusno postajališče (javni sistem izposoje)</w:t>
            </w:r>
          </w:p>
        </w:tc>
        <w:tc>
          <w:tcPr>
            <w:tcW w:w="1701" w:type="dxa"/>
            <w:tcBorders>
              <w:top w:val="nil"/>
              <w:left w:val="nil"/>
              <w:bottom w:val="single" w:sz="4" w:space="0" w:color="auto"/>
              <w:right w:val="single" w:sz="4" w:space="0" w:color="auto"/>
            </w:tcBorders>
            <w:noWrap/>
            <w:vAlign w:val="bottom"/>
            <w:hideMark/>
          </w:tcPr>
          <w:p w14:paraId="31D94368" w14:textId="4493083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43.381,22</w:t>
            </w:r>
          </w:p>
        </w:tc>
        <w:tc>
          <w:tcPr>
            <w:tcW w:w="1276" w:type="dxa"/>
            <w:tcBorders>
              <w:top w:val="nil"/>
              <w:left w:val="nil"/>
              <w:bottom w:val="single" w:sz="4" w:space="0" w:color="auto"/>
              <w:right w:val="single" w:sz="4" w:space="0" w:color="auto"/>
            </w:tcBorders>
            <w:noWrap/>
            <w:vAlign w:val="bottom"/>
            <w:hideMark/>
          </w:tcPr>
          <w:p w14:paraId="30174071" w14:textId="7F7AF26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070FF0EB" w14:textId="0B29E46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99A0DE3" w14:textId="14A7EB5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6137EE0" w14:textId="6522D40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4F7472B" w14:textId="5063DB7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43.381,22</w:t>
            </w:r>
          </w:p>
        </w:tc>
        <w:tc>
          <w:tcPr>
            <w:tcW w:w="1310" w:type="dxa"/>
            <w:tcBorders>
              <w:top w:val="nil"/>
              <w:left w:val="nil"/>
              <w:bottom w:val="single" w:sz="4" w:space="0" w:color="auto"/>
              <w:right w:val="single" w:sz="4" w:space="0" w:color="auto"/>
            </w:tcBorders>
            <w:noWrap/>
            <w:vAlign w:val="bottom"/>
            <w:hideMark/>
          </w:tcPr>
          <w:p w14:paraId="7D7216C2" w14:textId="6F62400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475798E8"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5820F53C"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Parkirišča za kolesa - pokopališče (javni sistem izposoje)</w:t>
            </w:r>
          </w:p>
        </w:tc>
        <w:tc>
          <w:tcPr>
            <w:tcW w:w="1701" w:type="dxa"/>
            <w:tcBorders>
              <w:top w:val="nil"/>
              <w:left w:val="nil"/>
              <w:bottom w:val="single" w:sz="4" w:space="0" w:color="auto"/>
              <w:right w:val="single" w:sz="4" w:space="0" w:color="auto"/>
            </w:tcBorders>
            <w:noWrap/>
            <w:vAlign w:val="bottom"/>
            <w:hideMark/>
          </w:tcPr>
          <w:p w14:paraId="036CDC76" w14:textId="6746ECC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14.050,12</w:t>
            </w:r>
          </w:p>
        </w:tc>
        <w:tc>
          <w:tcPr>
            <w:tcW w:w="1276" w:type="dxa"/>
            <w:tcBorders>
              <w:top w:val="nil"/>
              <w:left w:val="nil"/>
              <w:bottom w:val="single" w:sz="4" w:space="0" w:color="auto"/>
              <w:right w:val="single" w:sz="4" w:space="0" w:color="auto"/>
            </w:tcBorders>
            <w:noWrap/>
            <w:vAlign w:val="bottom"/>
            <w:hideMark/>
          </w:tcPr>
          <w:p w14:paraId="2ADF1448" w14:textId="5D5FF6F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B19C920" w14:textId="087C5D8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745BF98" w14:textId="5BB2F11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9D40470" w14:textId="6F5F64E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25BAE47A" w14:textId="098B09F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14.050,12</w:t>
            </w:r>
          </w:p>
        </w:tc>
        <w:tc>
          <w:tcPr>
            <w:tcW w:w="1310" w:type="dxa"/>
            <w:tcBorders>
              <w:top w:val="nil"/>
              <w:left w:val="nil"/>
              <w:bottom w:val="single" w:sz="4" w:space="0" w:color="auto"/>
              <w:right w:val="single" w:sz="4" w:space="0" w:color="auto"/>
            </w:tcBorders>
            <w:noWrap/>
            <w:vAlign w:val="bottom"/>
            <w:hideMark/>
          </w:tcPr>
          <w:p w14:paraId="0DDBE11C" w14:textId="60A35C3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 </w:t>
            </w:r>
          </w:p>
        </w:tc>
      </w:tr>
      <w:tr w:rsidR="004C1482" w:rsidRPr="000020F0" w14:paraId="23756020"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0691DCCB"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Parkirišča za kolesa - Govekarjeva cesta</w:t>
            </w:r>
          </w:p>
        </w:tc>
        <w:tc>
          <w:tcPr>
            <w:tcW w:w="1701" w:type="dxa"/>
            <w:tcBorders>
              <w:top w:val="nil"/>
              <w:left w:val="nil"/>
              <w:bottom w:val="single" w:sz="4" w:space="0" w:color="auto"/>
              <w:right w:val="single" w:sz="4" w:space="0" w:color="auto"/>
            </w:tcBorders>
            <w:noWrap/>
            <w:vAlign w:val="bottom"/>
            <w:hideMark/>
          </w:tcPr>
          <w:p w14:paraId="24D0096D" w14:textId="6AA6247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9.955,57</w:t>
            </w:r>
          </w:p>
        </w:tc>
        <w:tc>
          <w:tcPr>
            <w:tcW w:w="1276" w:type="dxa"/>
            <w:tcBorders>
              <w:top w:val="nil"/>
              <w:left w:val="nil"/>
              <w:bottom w:val="single" w:sz="4" w:space="0" w:color="auto"/>
              <w:right w:val="single" w:sz="4" w:space="0" w:color="auto"/>
            </w:tcBorders>
            <w:noWrap/>
            <w:vAlign w:val="bottom"/>
            <w:hideMark/>
          </w:tcPr>
          <w:p w14:paraId="7B638440" w14:textId="0BEE3C6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33D576D9" w14:textId="447F774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F3D3661" w14:textId="285F587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A5BEF06" w14:textId="17D0D53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3ED6D1C" w14:textId="626034F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hideMark/>
          </w:tcPr>
          <w:p w14:paraId="467F79ED" w14:textId="6536AE4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0A95A090"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68F57C19" w14:textId="0A2E844B"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 xml:space="preserve">Parkirišča za kolesa - </w:t>
            </w:r>
            <w:r w:rsidR="00E0349A" w:rsidRPr="000020F0">
              <w:rPr>
                <w:rFonts w:ascii="Arial" w:hAnsi="Arial" w:cs="Arial"/>
                <w:color w:val="000000"/>
                <w:sz w:val="20"/>
                <w:szCs w:val="20"/>
              </w:rPr>
              <w:t>kaplanija</w:t>
            </w:r>
          </w:p>
        </w:tc>
        <w:tc>
          <w:tcPr>
            <w:tcW w:w="1701" w:type="dxa"/>
            <w:tcBorders>
              <w:top w:val="nil"/>
              <w:left w:val="nil"/>
              <w:bottom w:val="single" w:sz="4" w:space="0" w:color="auto"/>
              <w:right w:val="single" w:sz="4" w:space="0" w:color="auto"/>
            </w:tcBorders>
            <w:noWrap/>
            <w:vAlign w:val="bottom"/>
            <w:hideMark/>
          </w:tcPr>
          <w:p w14:paraId="2CA6A812" w14:textId="30F958B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9.955,57</w:t>
            </w:r>
          </w:p>
        </w:tc>
        <w:tc>
          <w:tcPr>
            <w:tcW w:w="1276" w:type="dxa"/>
            <w:tcBorders>
              <w:top w:val="nil"/>
              <w:left w:val="nil"/>
              <w:bottom w:val="single" w:sz="4" w:space="0" w:color="auto"/>
              <w:right w:val="single" w:sz="4" w:space="0" w:color="auto"/>
            </w:tcBorders>
            <w:noWrap/>
            <w:vAlign w:val="bottom"/>
            <w:hideMark/>
          </w:tcPr>
          <w:p w14:paraId="2C0FA595" w14:textId="0494FAD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F4FFCB9" w14:textId="6467B59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A9F3CDE" w14:textId="4F4E991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9EEEDA2" w14:textId="26C8CFE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E1F49A6" w14:textId="4D30EE5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9.955,57</w:t>
            </w:r>
          </w:p>
        </w:tc>
        <w:tc>
          <w:tcPr>
            <w:tcW w:w="1310" w:type="dxa"/>
            <w:tcBorders>
              <w:top w:val="nil"/>
              <w:left w:val="nil"/>
              <w:bottom w:val="single" w:sz="4" w:space="0" w:color="auto"/>
              <w:right w:val="single" w:sz="4" w:space="0" w:color="auto"/>
            </w:tcBorders>
            <w:noWrap/>
            <w:vAlign w:val="bottom"/>
            <w:hideMark/>
          </w:tcPr>
          <w:p w14:paraId="7159516C" w14:textId="06109A1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5DBE7D10"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293D5F66"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Parkirišča za kolesa - trg (kolesarnica)</w:t>
            </w:r>
          </w:p>
        </w:tc>
        <w:tc>
          <w:tcPr>
            <w:tcW w:w="1701" w:type="dxa"/>
            <w:tcBorders>
              <w:top w:val="nil"/>
              <w:left w:val="nil"/>
              <w:bottom w:val="single" w:sz="4" w:space="0" w:color="auto"/>
              <w:right w:val="single" w:sz="4" w:space="0" w:color="auto"/>
            </w:tcBorders>
            <w:noWrap/>
            <w:vAlign w:val="bottom"/>
            <w:hideMark/>
          </w:tcPr>
          <w:p w14:paraId="3281908A" w14:textId="52DD869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71.385,08</w:t>
            </w:r>
          </w:p>
        </w:tc>
        <w:tc>
          <w:tcPr>
            <w:tcW w:w="1276" w:type="dxa"/>
            <w:tcBorders>
              <w:top w:val="nil"/>
              <w:left w:val="nil"/>
              <w:bottom w:val="single" w:sz="4" w:space="0" w:color="auto"/>
              <w:right w:val="single" w:sz="4" w:space="0" w:color="auto"/>
            </w:tcBorders>
            <w:noWrap/>
            <w:vAlign w:val="bottom"/>
            <w:hideMark/>
          </w:tcPr>
          <w:p w14:paraId="2F90FBD6" w14:textId="49D149F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81A1748" w14:textId="7DCDB75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BFC1D7E" w14:textId="558FBA8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20439AD" w14:textId="687F6C8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17255F97" w14:textId="1A0B428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71.385,08</w:t>
            </w:r>
          </w:p>
        </w:tc>
        <w:tc>
          <w:tcPr>
            <w:tcW w:w="1310" w:type="dxa"/>
            <w:tcBorders>
              <w:top w:val="nil"/>
              <w:left w:val="nil"/>
              <w:bottom w:val="single" w:sz="4" w:space="0" w:color="auto"/>
              <w:right w:val="single" w:sz="4" w:space="0" w:color="auto"/>
            </w:tcBorders>
            <w:noWrap/>
            <w:vAlign w:val="bottom"/>
            <w:hideMark/>
          </w:tcPr>
          <w:p w14:paraId="0FD0F11C" w14:textId="62D5221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1C0AF685"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6FD0A9FF" w14:textId="79C2E3C2"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lastRenderedPageBreak/>
              <w:t xml:space="preserve">Parkirišča za kolesa - </w:t>
            </w:r>
            <w:r w:rsidR="00E0349A" w:rsidRPr="000020F0">
              <w:rPr>
                <w:rFonts w:ascii="Arial" w:hAnsi="Arial" w:cs="Arial"/>
                <w:color w:val="000000"/>
                <w:sz w:val="20"/>
                <w:szCs w:val="20"/>
              </w:rPr>
              <w:t>športna dvorana</w:t>
            </w:r>
          </w:p>
        </w:tc>
        <w:tc>
          <w:tcPr>
            <w:tcW w:w="1701" w:type="dxa"/>
            <w:tcBorders>
              <w:top w:val="nil"/>
              <w:left w:val="nil"/>
              <w:bottom w:val="single" w:sz="4" w:space="0" w:color="auto"/>
              <w:right w:val="single" w:sz="4" w:space="0" w:color="auto"/>
            </w:tcBorders>
            <w:noWrap/>
            <w:vAlign w:val="bottom"/>
            <w:hideMark/>
          </w:tcPr>
          <w:p w14:paraId="33169E03" w14:textId="77360E5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9.955,58</w:t>
            </w:r>
          </w:p>
        </w:tc>
        <w:tc>
          <w:tcPr>
            <w:tcW w:w="1276" w:type="dxa"/>
            <w:tcBorders>
              <w:top w:val="nil"/>
              <w:left w:val="nil"/>
              <w:bottom w:val="single" w:sz="4" w:space="0" w:color="auto"/>
              <w:right w:val="single" w:sz="4" w:space="0" w:color="auto"/>
            </w:tcBorders>
            <w:noWrap/>
            <w:vAlign w:val="bottom"/>
            <w:hideMark/>
          </w:tcPr>
          <w:p w14:paraId="1A05A284" w14:textId="1D6E8DF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653854AD" w14:textId="62E7D66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D156FED" w14:textId="2BC392B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A73B355" w14:textId="2A1E3C3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43B3B4B9" w14:textId="61424B9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9.955,58</w:t>
            </w:r>
          </w:p>
        </w:tc>
        <w:tc>
          <w:tcPr>
            <w:tcW w:w="1310" w:type="dxa"/>
            <w:tcBorders>
              <w:top w:val="nil"/>
              <w:left w:val="nil"/>
              <w:bottom w:val="single" w:sz="4" w:space="0" w:color="auto"/>
              <w:right w:val="single" w:sz="4" w:space="0" w:color="auto"/>
            </w:tcBorders>
            <w:noWrap/>
            <w:vAlign w:val="bottom"/>
            <w:hideMark/>
          </w:tcPr>
          <w:p w14:paraId="6028E5F6" w14:textId="71474C7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41A4AEA4"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6BA01239"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Parkirišča za kolesa - park</w:t>
            </w:r>
          </w:p>
        </w:tc>
        <w:tc>
          <w:tcPr>
            <w:tcW w:w="1701" w:type="dxa"/>
            <w:tcBorders>
              <w:top w:val="nil"/>
              <w:left w:val="nil"/>
              <w:bottom w:val="single" w:sz="4" w:space="0" w:color="auto"/>
              <w:right w:val="single" w:sz="4" w:space="0" w:color="auto"/>
            </w:tcBorders>
            <w:noWrap/>
            <w:vAlign w:val="bottom"/>
            <w:hideMark/>
          </w:tcPr>
          <w:p w14:paraId="76E8009A" w14:textId="6A55E8F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12.709,88</w:t>
            </w:r>
          </w:p>
        </w:tc>
        <w:tc>
          <w:tcPr>
            <w:tcW w:w="1276" w:type="dxa"/>
            <w:tcBorders>
              <w:top w:val="nil"/>
              <w:left w:val="nil"/>
              <w:bottom w:val="single" w:sz="4" w:space="0" w:color="auto"/>
              <w:right w:val="single" w:sz="4" w:space="0" w:color="auto"/>
            </w:tcBorders>
            <w:noWrap/>
            <w:vAlign w:val="bottom"/>
            <w:hideMark/>
          </w:tcPr>
          <w:p w14:paraId="73C9E485" w14:textId="40C8FC1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350A513" w14:textId="0B058F7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7D98CF6" w14:textId="6CD3494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001A903" w14:textId="6BA7CDE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7ABDA44A" w14:textId="3E6AE6F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12.709,88</w:t>
            </w:r>
          </w:p>
        </w:tc>
        <w:tc>
          <w:tcPr>
            <w:tcW w:w="1310" w:type="dxa"/>
            <w:tcBorders>
              <w:top w:val="nil"/>
              <w:left w:val="nil"/>
              <w:bottom w:val="single" w:sz="4" w:space="0" w:color="auto"/>
              <w:right w:val="single" w:sz="4" w:space="0" w:color="auto"/>
            </w:tcBorders>
            <w:noWrap/>
            <w:vAlign w:val="bottom"/>
            <w:hideMark/>
          </w:tcPr>
          <w:p w14:paraId="5854A0AB" w14:textId="73B7CAE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0EB6E86F"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65CCA058"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Avtobusno postajališče - nivo ceste</w:t>
            </w:r>
          </w:p>
        </w:tc>
        <w:tc>
          <w:tcPr>
            <w:tcW w:w="1701" w:type="dxa"/>
            <w:tcBorders>
              <w:top w:val="nil"/>
              <w:left w:val="nil"/>
              <w:bottom w:val="single" w:sz="4" w:space="0" w:color="auto"/>
              <w:right w:val="single" w:sz="4" w:space="0" w:color="auto"/>
            </w:tcBorders>
            <w:noWrap/>
            <w:vAlign w:val="bottom"/>
            <w:hideMark/>
          </w:tcPr>
          <w:p w14:paraId="763036D8" w14:textId="620BC34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317.561,27</w:t>
            </w:r>
          </w:p>
        </w:tc>
        <w:tc>
          <w:tcPr>
            <w:tcW w:w="1276" w:type="dxa"/>
            <w:tcBorders>
              <w:top w:val="nil"/>
              <w:left w:val="nil"/>
              <w:bottom w:val="single" w:sz="4" w:space="0" w:color="auto"/>
              <w:right w:val="single" w:sz="4" w:space="0" w:color="auto"/>
            </w:tcBorders>
            <w:noWrap/>
            <w:vAlign w:val="bottom"/>
            <w:hideMark/>
          </w:tcPr>
          <w:p w14:paraId="60D02C60" w14:textId="406376A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D4347ED" w14:textId="1B5E69A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92B1BE7" w14:textId="29AC607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5DA275C" w14:textId="0BF0CBD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317.561,27</w:t>
            </w:r>
          </w:p>
        </w:tc>
        <w:tc>
          <w:tcPr>
            <w:tcW w:w="1384" w:type="dxa"/>
            <w:tcBorders>
              <w:top w:val="nil"/>
              <w:left w:val="nil"/>
              <w:bottom w:val="single" w:sz="4" w:space="0" w:color="auto"/>
              <w:right w:val="single" w:sz="4" w:space="0" w:color="auto"/>
            </w:tcBorders>
            <w:noWrap/>
            <w:vAlign w:val="bottom"/>
            <w:hideMark/>
          </w:tcPr>
          <w:p w14:paraId="2D24E856" w14:textId="2CAA099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7BF20501" w14:textId="20B0F67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6831C9B2"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19FFA18D"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Sanitarije</w:t>
            </w:r>
          </w:p>
        </w:tc>
        <w:tc>
          <w:tcPr>
            <w:tcW w:w="1701" w:type="dxa"/>
            <w:tcBorders>
              <w:top w:val="nil"/>
              <w:left w:val="nil"/>
              <w:bottom w:val="single" w:sz="4" w:space="0" w:color="auto"/>
              <w:right w:val="single" w:sz="4" w:space="0" w:color="auto"/>
            </w:tcBorders>
            <w:noWrap/>
            <w:vAlign w:val="bottom"/>
            <w:hideMark/>
          </w:tcPr>
          <w:p w14:paraId="7EE54CAD" w14:textId="065A55B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96.295,88</w:t>
            </w:r>
          </w:p>
        </w:tc>
        <w:tc>
          <w:tcPr>
            <w:tcW w:w="1276" w:type="dxa"/>
            <w:tcBorders>
              <w:top w:val="nil"/>
              <w:left w:val="nil"/>
              <w:bottom w:val="single" w:sz="4" w:space="0" w:color="auto"/>
              <w:right w:val="single" w:sz="4" w:space="0" w:color="auto"/>
            </w:tcBorders>
            <w:noWrap/>
            <w:vAlign w:val="bottom"/>
            <w:hideMark/>
          </w:tcPr>
          <w:p w14:paraId="5C5222D1" w14:textId="7438FA4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60E8E61" w14:textId="68A0C2F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7791302" w14:textId="76B6EB4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ADAD931" w14:textId="628FD54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48CAFFBF" w14:textId="44F5F07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96.295,88</w:t>
            </w:r>
          </w:p>
        </w:tc>
        <w:tc>
          <w:tcPr>
            <w:tcW w:w="1310" w:type="dxa"/>
            <w:tcBorders>
              <w:top w:val="nil"/>
              <w:left w:val="nil"/>
              <w:bottom w:val="single" w:sz="4" w:space="0" w:color="auto"/>
              <w:right w:val="single" w:sz="4" w:space="0" w:color="auto"/>
            </w:tcBorders>
            <w:noWrap/>
            <w:vAlign w:val="bottom"/>
            <w:hideMark/>
          </w:tcPr>
          <w:p w14:paraId="2EC21F26" w14:textId="67625A3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209F65E8"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5913AA26"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Avtobusno postajališče - nadstrešnica</w:t>
            </w:r>
          </w:p>
        </w:tc>
        <w:tc>
          <w:tcPr>
            <w:tcW w:w="1701" w:type="dxa"/>
            <w:tcBorders>
              <w:top w:val="nil"/>
              <w:left w:val="nil"/>
              <w:bottom w:val="single" w:sz="4" w:space="0" w:color="auto"/>
              <w:right w:val="single" w:sz="4" w:space="0" w:color="auto"/>
            </w:tcBorders>
            <w:noWrap/>
            <w:vAlign w:val="bottom"/>
            <w:hideMark/>
          </w:tcPr>
          <w:p w14:paraId="627350A4" w14:textId="1083902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277.217,15</w:t>
            </w:r>
          </w:p>
        </w:tc>
        <w:tc>
          <w:tcPr>
            <w:tcW w:w="1276" w:type="dxa"/>
            <w:tcBorders>
              <w:top w:val="nil"/>
              <w:left w:val="nil"/>
              <w:bottom w:val="single" w:sz="4" w:space="0" w:color="auto"/>
              <w:right w:val="single" w:sz="4" w:space="0" w:color="auto"/>
            </w:tcBorders>
            <w:noWrap/>
            <w:vAlign w:val="bottom"/>
            <w:hideMark/>
          </w:tcPr>
          <w:p w14:paraId="24CAE00E" w14:textId="6756611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16023003" w14:textId="0D30ACC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CF89C08" w14:textId="4A5644B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886E0E9" w14:textId="682BFCD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277.217,15</w:t>
            </w:r>
          </w:p>
        </w:tc>
        <w:tc>
          <w:tcPr>
            <w:tcW w:w="1384" w:type="dxa"/>
            <w:tcBorders>
              <w:top w:val="nil"/>
              <w:left w:val="nil"/>
              <w:bottom w:val="single" w:sz="4" w:space="0" w:color="auto"/>
              <w:right w:val="single" w:sz="4" w:space="0" w:color="auto"/>
            </w:tcBorders>
            <w:noWrap/>
            <w:vAlign w:val="bottom"/>
            <w:hideMark/>
          </w:tcPr>
          <w:p w14:paraId="096F03D2" w14:textId="00F939D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02F2331C" w14:textId="5E9D83A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2E12B64E" w14:textId="77777777" w:rsidTr="004C1482">
        <w:trPr>
          <w:trHeight w:val="290"/>
        </w:trPr>
        <w:tc>
          <w:tcPr>
            <w:tcW w:w="3256" w:type="dxa"/>
            <w:tcBorders>
              <w:top w:val="nil"/>
              <w:left w:val="single" w:sz="4" w:space="0" w:color="auto"/>
              <w:bottom w:val="single" w:sz="4" w:space="0" w:color="auto"/>
              <w:right w:val="single" w:sz="4" w:space="0" w:color="auto"/>
            </w:tcBorders>
            <w:shd w:val="clear" w:color="000000" w:fill="FFFFFF"/>
            <w:noWrap/>
            <w:vAlign w:val="bottom"/>
            <w:hideMark/>
          </w:tcPr>
          <w:p w14:paraId="1E15399F"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Parkirišče z vhodom v šolo</w:t>
            </w:r>
          </w:p>
        </w:tc>
        <w:tc>
          <w:tcPr>
            <w:tcW w:w="1701" w:type="dxa"/>
            <w:tcBorders>
              <w:top w:val="nil"/>
              <w:left w:val="nil"/>
              <w:bottom w:val="single" w:sz="4" w:space="0" w:color="auto"/>
              <w:right w:val="single" w:sz="4" w:space="0" w:color="auto"/>
            </w:tcBorders>
            <w:noWrap/>
            <w:vAlign w:val="bottom"/>
            <w:hideMark/>
          </w:tcPr>
          <w:p w14:paraId="2F50460E" w14:textId="33A2A55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48D81172" w14:textId="676E88EE"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4221B5B" w14:textId="7C609F84"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4B803CD6" w14:textId="6E47F92D"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1AAC239" w14:textId="5FB41BB9"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EE9CE6F" w14:textId="44432680"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4AA16E56" w14:textId="3BD0837F" w:rsidR="004C1482" w:rsidRPr="000020F0" w:rsidRDefault="004C1482" w:rsidP="004C1482">
            <w:pPr>
              <w:jc w:val="right"/>
              <w:rPr>
                <w:rFonts w:ascii="Arial" w:hAnsi="Arial" w:cs="Arial"/>
                <w:color w:val="000000"/>
                <w:sz w:val="20"/>
                <w:szCs w:val="20"/>
              </w:rPr>
            </w:pPr>
            <w:r w:rsidRPr="000020F0">
              <w:rPr>
                <w:rFonts w:ascii="Arial" w:hAnsi="Arial" w:cs="Arial"/>
                <w:i/>
                <w:iCs/>
                <w:color w:val="000000"/>
                <w:sz w:val="20"/>
                <w:szCs w:val="20"/>
              </w:rPr>
              <w:t>0,00</w:t>
            </w:r>
          </w:p>
        </w:tc>
      </w:tr>
      <w:tr w:rsidR="004C1482" w:rsidRPr="000020F0" w14:paraId="06C8C6F0" w14:textId="77777777" w:rsidTr="004C1482">
        <w:trPr>
          <w:trHeight w:val="29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1EE898BE" w14:textId="77777777" w:rsidR="004C1482" w:rsidRPr="000020F0" w:rsidRDefault="004C1482" w:rsidP="004C1482">
            <w:pPr>
              <w:rPr>
                <w:rFonts w:ascii="Arial" w:hAnsi="Arial" w:cs="Arial"/>
                <w:i/>
                <w:iCs/>
                <w:color w:val="000000"/>
                <w:sz w:val="20"/>
                <w:szCs w:val="20"/>
              </w:rPr>
            </w:pPr>
            <w:r w:rsidRPr="000020F0">
              <w:rPr>
                <w:rFonts w:ascii="Arial" w:hAnsi="Arial" w:cs="Arial"/>
                <w:i/>
                <w:iCs/>
                <w:color w:val="000000"/>
                <w:sz w:val="20"/>
                <w:szCs w:val="20"/>
              </w:rPr>
              <w:t>Skupaj GOI dela</w:t>
            </w:r>
          </w:p>
        </w:tc>
        <w:tc>
          <w:tcPr>
            <w:tcW w:w="1701" w:type="dxa"/>
            <w:tcBorders>
              <w:top w:val="nil"/>
              <w:left w:val="nil"/>
              <w:bottom w:val="single" w:sz="4" w:space="0" w:color="auto"/>
              <w:right w:val="single" w:sz="4" w:space="0" w:color="auto"/>
            </w:tcBorders>
            <w:shd w:val="clear" w:color="000000" w:fill="D9D9D9"/>
            <w:noWrap/>
            <w:vAlign w:val="bottom"/>
            <w:hideMark/>
          </w:tcPr>
          <w:p w14:paraId="5C3872A9" w14:textId="27AD58A0" w:rsidR="004C1482" w:rsidRPr="000020F0" w:rsidRDefault="004C1482" w:rsidP="004C1482">
            <w:pPr>
              <w:jc w:val="right"/>
              <w:rPr>
                <w:rFonts w:ascii="Arial" w:hAnsi="Arial" w:cs="Arial"/>
                <w:i/>
                <w:iCs/>
                <w:color w:val="000000"/>
                <w:sz w:val="20"/>
                <w:szCs w:val="20"/>
              </w:rPr>
            </w:pPr>
            <w:r w:rsidRPr="000020F0">
              <w:rPr>
                <w:rFonts w:ascii="Arial" w:hAnsi="Arial" w:cs="Arial"/>
                <w:i/>
                <w:iCs/>
                <w:color w:val="000000"/>
                <w:sz w:val="22"/>
                <w:szCs w:val="22"/>
              </w:rPr>
              <w:t>1.838.140,68</w:t>
            </w:r>
          </w:p>
        </w:tc>
        <w:tc>
          <w:tcPr>
            <w:tcW w:w="1276" w:type="dxa"/>
            <w:tcBorders>
              <w:top w:val="nil"/>
              <w:left w:val="nil"/>
              <w:bottom w:val="single" w:sz="4" w:space="0" w:color="auto"/>
              <w:right w:val="single" w:sz="4" w:space="0" w:color="auto"/>
            </w:tcBorders>
            <w:shd w:val="clear" w:color="000000" w:fill="D9D9D9"/>
            <w:noWrap/>
            <w:vAlign w:val="bottom"/>
            <w:hideMark/>
          </w:tcPr>
          <w:p w14:paraId="45CA22B6" w14:textId="5295A348"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shd w:val="clear" w:color="000000" w:fill="D9D9D9"/>
            <w:noWrap/>
            <w:vAlign w:val="bottom"/>
            <w:hideMark/>
          </w:tcPr>
          <w:p w14:paraId="76A26892" w14:textId="6225A1F0"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D9D9D9"/>
            <w:noWrap/>
            <w:vAlign w:val="bottom"/>
            <w:hideMark/>
          </w:tcPr>
          <w:p w14:paraId="4F929BAE" w14:textId="33183E9E"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shd w:val="clear" w:color="000000" w:fill="D9D9D9"/>
            <w:noWrap/>
            <w:vAlign w:val="bottom"/>
            <w:hideMark/>
          </w:tcPr>
          <w:p w14:paraId="466B38C1" w14:textId="297B8B9A"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594.778,42</w:t>
            </w:r>
          </w:p>
        </w:tc>
        <w:tc>
          <w:tcPr>
            <w:tcW w:w="1384" w:type="dxa"/>
            <w:tcBorders>
              <w:top w:val="nil"/>
              <w:left w:val="nil"/>
              <w:bottom w:val="single" w:sz="4" w:space="0" w:color="auto"/>
              <w:right w:val="single" w:sz="4" w:space="0" w:color="auto"/>
            </w:tcBorders>
            <w:shd w:val="clear" w:color="000000" w:fill="D9D9D9"/>
            <w:noWrap/>
            <w:vAlign w:val="bottom"/>
            <w:hideMark/>
          </w:tcPr>
          <w:p w14:paraId="1A6D1616" w14:textId="4502FADC"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1.192.864,57</w:t>
            </w:r>
          </w:p>
        </w:tc>
        <w:tc>
          <w:tcPr>
            <w:tcW w:w="1310" w:type="dxa"/>
            <w:tcBorders>
              <w:top w:val="nil"/>
              <w:left w:val="nil"/>
              <w:bottom w:val="single" w:sz="4" w:space="0" w:color="auto"/>
              <w:right w:val="single" w:sz="4" w:space="0" w:color="auto"/>
            </w:tcBorders>
            <w:shd w:val="clear" w:color="000000" w:fill="D9D9D9"/>
            <w:noWrap/>
            <w:vAlign w:val="bottom"/>
            <w:hideMark/>
          </w:tcPr>
          <w:p w14:paraId="65F518E4" w14:textId="31AE8B24" w:rsidR="004C1482" w:rsidRPr="000020F0" w:rsidRDefault="004C1482" w:rsidP="004C1482">
            <w:pPr>
              <w:jc w:val="right"/>
              <w:rPr>
                <w:rFonts w:ascii="Arial" w:hAnsi="Arial" w:cs="Arial"/>
                <w:i/>
                <w:iCs/>
                <w:color w:val="000000"/>
                <w:sz w:val="20"/>
                <w:szCs w:val="20"/>
              </w:rPr>
            </w:pPr>
            <w:r w:rsidRPr="000020F0">
              <w:rPr>
                <w:rFonts w:ascii="Arial" w:hAnsi="Arial" w:cs="Arial"/>
                <w:color w:val="000000"/>
                <w:sz w:val="20"/>
                <w:szCs w:val="20"/>
              </w:rPr>
              <w:t>50.497,70</w:t>
            </w:r>
          </w:p>
        </w:tc>
      </w:tr>
      <w:tr w:rsidR="004C1482" w:rsidRPr="000020F0" w14:paraId="6B72B03F"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5F848C13"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Strokovni nadzor</w:t>
            </w:r>
          </w:p>
        </w:tc>
        <w:tc>
          <w:tcPr>
            <w:tcW w:w="1701" w:type="dxa"/>
            <w:tcBorders>
              <w:top w:val="nil"/>
              <w:left w:val="nil"/>
              <w:bottom w:val="single" w:sz="4" w:space="0" w:color="auto"/>
              <w:right w:val="single" w:sz="4" w:space="0" w:color="auto"/>
            </w:tcBorders>
            <w:noWrap/>
            <w:vAlign w:val="bottom"/>
            <w:hideMark/>
          </w:tcPr>
          <w:p w14:paraId="7AFE9927" w14:textId="36307FD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55.211,21</w:t>
            </w:r>
          </w:p>
        </w:tc>
        <w:tc>
          <w:tcPr>
            <w:tcW w:w="1276" w:type="dxa"/>
            <w:tcBorders>
              <w:top w:val="nil"/>
              <w:left w:val="nil"/>
              <w:bottom w:val="single" w:sz="4" w:space="0" w:color="auto"/>
              <w:right w:val="single" w:sz="4" w:space="0" w:color="auto"/>
            </w:tcBorders>
            <w:noWrap/>
            <w:vAlign w:val="bottom"/>
            <w:hideMark/>
          </w:tcPr>
          <w:p w14:paraId="6D1264EE" w14:textId="3641F97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5B6E15D" w14:textId="39E1FB5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3F0A400" w14:textId="6254A51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1D0472D" w14:textId="35BA412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14.364,26</w:t>
            </w:r>
          </w:p>
        </w:tc>
        <w:tc>
          <w:tcPr>
            <w:tcW w:w="1384" w:type="dxa"/>
            <w:tcBorders>
              <w:top w:val="nil"/>
              <w:left w:val="nil"/>
              <w:bottom w:val="single" w:sz="4" w:space="0" w:color="auto"/>
              <w:right w:val="single" w:sz="4" w:space="0" w:color="auto"/>
            </w:tcBorders>
            <w:noWrap/>
            <w:vAlign w:val="bottom"/>
            <w:hideMark/>
          </w:tcPr>
          <w:p w14:paraId="6E476582" w14:textId="5064FB6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39.627,40</w:t>
            </w:r>
          </w:p>
        </w:tc>
        <w:tc>
          <w:tcPr>
            <w:tcW w:w="1310" w:type="dxa"/>
            <w:tcBorders>
              <w:top w:val="nil"/>
              <w:left w:val="nil"/>
              <w:bottom w:val="single" w:sz="4" w:space="0" w:color="auto"/>
              <w:right w:val="single" w:sz="4" w:space="0" w:color="auto"/>
            </w:tcBorders>
            <w:noWrap/>
            <w:vAlign w:val="bottom"/>
            <w:hideMark/>
          </w:tcPr>
          <w:p w14:paraId="440E161A" w14:textId="3547E58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1.219,55</w:t>
            </w:r>
          </w:p>
        </w:tc>
      </w:tr>
      <w:tr w:rsidR="004C1482" w:rsidRPr="000020F0" w14:paraId="45D0B9B6"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29E041B2"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Projektna dokumentacija</w:t>
            </w:r>
          </w:p>
        </w:tc>
        <w:tc>
          <w:tcPr>
            <w:tcW w:w="1701" w:type="dxa"/>
            <w:tcBorders>
              <w:top w:val="nil"/>
              <w:left w:val="nil"/>
              <w:bottom w:val="single" w:sz="4" w:space="0" w:color="auto"/>
              <w:right w:val="single" w:sz="4" w:space="0" w:color="auto"/>
            </w:tcBorders>
            <w:noWrap/>
            <w:vAlign w:val="bottom"/>
            <w:hideMark/>
          </w:tcPr>
          <w:p w14:paraId="1B451738" w14:textId="4457ABD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84.869,54</w:t>
            </w:r>
          </w:p>
        </w:tc>
        <w:tc>
          <w:tcPr>
            <w:tcW w:w="1276" w:type="dxa"/>
            <w:tcBorders>
              <w:top w:val="nil"/>
              <w:left w:val="nil"/>
              <w:bottom w:val="single" w:sz="4" w:space="0" w:color="auto"/>
              <w:right w:val="single" w:sz="4" w:space="0" w:color="auto"/>
            </w:tcBorders>
            <w:noWrap/>
            <w:vAlign w:val="bottom"/>
            <w:hideMark/>
          </w:tcPr>
          <w:p w14:paraId="2776D418" w14:textId="4310F74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5.796,14</w:t>
            </w:r>
          </w:p>
        </w:tc>
        <w:tc>
          <w:tcPr>
            <w:tcW w:w="1559" w:type="dxa"/>
            <w:tcBorders>
              <w:top w:val="nil"/>
              <w:left w:val="nil"/>
              <w:bottom w:val="single" w:sz="4" w:space="0" w:color="auto"/>
              <w:right w:val="single" w:sz="4" w:space="0" w:color="auto"/>
            </w:tcBorders>
            <w:noWrap/>
            <w:vAlign w:val="bottom"/>
            <w:hideMark/>
          </w:tcPr>
          <w:p w14:paraId="14B353DE" w14:textId="136DCFC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54.437,83</w:t>
            </w:r>
          </w:p>
        </w:tc>
        <w:tc>
          <w:tcPr>
            <w:tcW w:w="1276" w:type="dxa"/>
            <w:tcBorders>
              <w:top w:val="nil"/>
              <w:left w:val="nil"/>
              <w:bottom w:val="single" w:sz="4" w:space="0" w:color="auto"/>
              <w:right w:val="single" w:sz="4" w:space="0" w:color="auto"/>
            </w:tcBorders>
            <w:noWrap/>
            <w:vAlign w:val="bottom"/>
            <w:hideMark/>
          </w:tcPr>
          <w:p w14:paraId="3EA53980" w14:textId="6582FA9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17.205,20</w:t>
            </w:r>
          </w:p>
        </w:tc>
        <w:tc>
          <w:tcPr>
            <w:tcW w:w="1275" w:type="dxa"/>
            <w:tcBorders>
              <w:top w:val="nil"/>
              <w:left w:val="nil"/>
              <w:bottom w:val="single" w:sz="4" w:space="0" w:color="auto"/>
              <w:right w:val="single" w:sz="4" w:space="0" w:color="auto"/>
            </w:tcBorders>
            <w:noWrap/>
            <w:vAlign w:val="bottom"/>
            <w:hideMark/>
          </w:tcPr>
          <w:p w14:paraId="639BB2C6" w14:textId="3BFEAEF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3.173,00</w:t>
            </w:r>
          </w:p>
        </w:tc>
        <w:tc>
          <w:tcPr>
            <w:tcW w:w="1384" w:type="dxa"/>
            <w:tcBorders>
              <w:top w:val="nil"/>
              <w:left w:val="nil"/>
              <w:bottom w:val="single" w:sz="4" w:space="0" w:color="auto"/>
              <w:right w:val="single" w:sz="4" w:space="0" w:color="auto"/>
            </w:tcBorders>
            <w:noWrap/>
            <w:vAlign w:val="bottom"/>
            <w:hideMark/>
          </w:tcPr>
          <w:p w14:paraId="67263683" w14:textId="5383BBD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3.239,63</w:t>
            </w:r>
          </w:p>
        </w:tc>
        <w:tc>
          <w:tcPr>
            <w:tcW w:w="1310" w:type="dxa"/>
            <w:tcBorders>
              <w:top w:val="nil"/>
              <w:left w:val="nil"/>
              <w:bottom w:val="single" w:sz="4" w:space="0" w:color="auto"/>
              <w:right w:val="single" w:sz="4" w:space="0" w:color="auto"/>
            </w:tcBorders>
            <w:noWrap/>
            <w:vAlign w:val="bottom"/>
            <w:hideMark/>
          </w:tcPr>
          <w:p w14:paraId="40061E99" w14:textId="16D1F7E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1.017,74</w:t>
            </w:r>
          </w:p>
        </w:tc>
      </w:tr>
      <w:tr w:rsidR="004C1482" w:rsidRPr="000020F0" w14:paraId="27ECA211"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737144B2"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Svetovalni inženiring</w:t>
            </w:r>
          </w:p>
        </w:tc>
        <w:tc>
          <w:tcPr>
            <w:tcW w:w="1701" w:type="dxa"/>
            <w:tcBorders>
              <w:top w:val="nil"/>
              <w:left w:val="nil"/>
              <w:bottom w:val="single" w:sz="4" w:space="0" w:color="auto"/>
              <w:right w:val="single" w:sz="4" w:space="0" w:color="auto"/>
            </w:tcBorders>
            <w:noWrap/>
            <w:vAlign w:val="bottom"/>
            <w:hideMark/>
          </w:tcPr>
          <w:p w14:paraId="5B6548BD" w14:textId="0635079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22.861,21</w:t>
            </w:r>
          </w:p>
        </w:tc>
        <w:tc>
          <w:tcPr>
            <w:tcW w:w="1276" w:type="dxa"/>
            <w:tcBorders>
              <w:top w:val="nil"/>
              <w:left w:val="nil"/>
              <w:bottom w:val="single" w:sz="4" w:space="0" w:color="auto"/>
              <w:right w:val="single" w:sz="4" w:space="0" w:color="auto"/>
            </w:tcBorders>
            <w:noWrap/>
            <w:vAlign w:val="bottom"/>
            <w:hideMark/>
          </w:tcPr>
          <w:p w14:paraId="58053041" w14:textId="5A434BD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A191889" w14:textId="573882A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FCF2154" w14:textId="75C0B57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83E5A07" w14:textId="3BD581C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5.947,78</w:t>
            </w:r>
          </w:p>
        </w:tc>
        <w:tc>
          <w:tcPr>
            <w:tcW w:w="1384" w:type="dxa"/>
            <w:tcBorders>
              <w:top w:val="nil"/>
              <w:left w:val="nil"/>
              <w:bottom w:val="single" w:sz="4" w:space="0" w:color="auto"/>
              <w:right w:val="single" w:sz="4" w:space="0" w:color="auto"/>
            </w:tcBorders>
            <w:noWrap/>
            <w:vAlign w:val="bottom"/>
            <w:hideMark/>
          </w:tcPr>
          <w:p w14:paraId="2B106F19" w14:textId="1BB407E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16.408,45</w:t>
            </w:r>
          </w:p>
        </w:tc>
        <w:tc>
          <w:tcPr>
            <w:tcW w:w="1310" w:type="dxa"/>
            <w:tcBorders>
              <w:top w:val="nil"/>
              <w:left w:val="nil"/>
              <w:bottom w:val="single" w:sz="4" w:space="0" w:color="auto"/>
              <w:right w:val="single" w:sz="4" w:space="0" w:color="auto"/>
            </w:tcBorders>
            <w:noWrap/>
            <w:vAlign w:val="bottom"/>
            <w:hideMark/>
          </w:tcPr>
          <w:p w14:paraId="3082E089" w14:textId="525E299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504,98</w:t>
            </w:r>
          </w:p>
        </w:tc>
      </w:tr>
      <w:tr w:rsidR="004C1482" w:rsidRPr="000020F0" w14:paraId="67FAD246"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3C1225CA"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Obveščanje javnosti</w:t>
            </w:r>
          </w:p>
        </w:tc>
        <w:tc>
          <w:tcPr>
            <w:tcW w:w="1701" w:type="dxa"/>
            <w:tcBorders>
              <w:top w:val="nil"/>
              <w:left w:val="nil"/>
              <w:bottom w:val="single" w:sz="4" w:space="0" w:color="auto"/>
              <w:right w:val="single" w:sz="4" w:space="0" w:color="auto"/>
            </w:tcBorders>
            <w:noWrap/>
            <w:vAlign w:val="bottom"/>
            <w:hideMark/>
          </w:tcPr>
          <w:p w14:paraId="1F409864" w14:textId="13A5277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4.268,43</w:t>
            </w:r>
          </w:p>
        </w:tc>
        <w:tc>
          <w:tcPr>
            <w:tcW w:w="1276" w:type="dxa"/>
            <w:tcBorders>
              <w:top w:val="nil"/>
              <w:left w:val="nil"/>
              <w:bottom w:val="single" w:sz="4" w:space="0" w:color="auto"/>
              <w:right w:val="single" w:sz="4" w:space="0" w:color="auto"/>
            </w:tcBorders>
            <w:noWrap/>
            <w:vAlign w:val="bottom"/>
            <w:hideMark/>
          </w:tcPr>
          <w:p w14:paraId="3581F4B6" w14:textId="08E2F61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5595BAD0" w14:textId="4F4C8B9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6C2CAF73" w14:textId="3381DE9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953D294" w14:textId="38BD6E5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2.094,26</w:t>
            </w:r>
          </w:p>
        </w:tc>
        <w:tc>
          <w:tcPr>
            <w:tcW w:w="1384" w:type="dxa"/>
            <w:tcBorders>
              <w:top w:val="nil"/>
              <w:left w:val="nil"/>
              <w:bottom w:val="single" w:sz="4" w:space="0" w:color="auto"/>
              <w:right w:val="single" w:sz="4" w:space="0" w:color="auto"/>
            </w:tcBorders>
            <w:noWrap/>
            <w:vAlign w:val="bottom"/>
            <w:hideMark/>
          </w:tcPr>
          <w:p w14:paraId="6FC23EB8" w14:textId="43EF3EA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427,65</w:t>
            </w:r>
          </w:p>
        </w:tc>
        <w:tc>
          <w:tcPr>
            <w:tcW w:w="1310" w:type="dxa"/>
            <w:tcBorders>
              <w:top w:val="nil"/>
              <w:left w:val="nil"/>
              <w:bottom w:val="single" w:sz="4" w:space="0" w:color="auto"/>
              <w:right w:val="single" w:sz="4" w:space="0" w:color="auto"/>
            </w:tcBorders>
            <w:noWrap/>
            <w:vAlign w:val="bottom"/>
            <w:hideMark/>
          </w:tcPr>
          <w:p w14:paraId="09ED1993" w14:textId="6E4846C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1.746,51</w:t>
            </w:r>
          </w:p>
        </w:tc>
      </w:tr>
      <w:tr w:rsidR="004C1482" w:rsidRPr="000020F0" w14:paraId="40D84152"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1C61B846"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Investicijska in ostala dokumentacija</w:t>
            </w:r>
          </w:p>
        </w:tc>
        <w:tc>
          <w:tcPr>
            <w:tcW w:w="1701" w:type="dxa"/>
            <w:tcBorders>
              <w:top w:val="nil"/>
              <w:left w:val="nil"/>
              <w:bottom w:val="single" w:sz="4" w:space="0" w:color="auto"/>
              <w:right w:val="single" w:sz="4" w:space="0" w:color="auto"/>
            </w:tcBorders>
            <w:noWrap/>
            <w:vAlign w:val="bottom"/>
            <w:hideMark/>
          </w:tcPr>
          <w:p w14:paraId="6BE71E08" w14:textId="4F98380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20.950,00</w:t>
            </w:r>
          </w:p>
        </w:tc>
        <w:tc>
          <w:tcPr>
            <w:tcW w:w="1276" w:type="dxa"/>
            <w:tcBorders>
              <w:top w:val="nil"/>
              <w:left w:val="nil"/>
              <w:bottom w:val="single" w:sz="4" w:space="0" w:color="auto"/>
              <w:right w:val="single" w:sz="4" w:space="0" w:color="auto"/>
            </w:tcBorders>
            <w:noWrap/>
            <w:vAlign w:val="bottom"/>
            <w:hideMark/>
          </w:tcPr>
          <w:p w14:paraId="46767832" w14:textId="72B9C17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9EE0150" w14:textId="5E3F195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9.150,00</w:t>
            </w:r>
          </w:p>
        </w:tc>
        <w:tc>
          <w:tcPr>
            <w:tcW w:w="1276" w:type="dxa"/>
            <w:tcBorders>
              <w:top w:val="nil"/>
              <w:left w:val="nil"/>
              <w:bottom w:val="single" w:sz="4" w:space="0" w:color="auto"/>
              <w:right w:val="single" w:sz="4" w:space="0" w:color="auto"/>
            </w:tcBorders>
            <w:noWrap/>
            <w:vAlign w:val="bottom"/>
            <w:hideMark/>
          </w:tcPr>
          <w:p w14:paraId="4AB52A29" w14:textId="0151E2F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11.800,00</w:t>
            </w:r>
          </w:p>
        </w:tc>
        <w:tc>
          <w:tcPr>
            <w:tcW w:w="1275" w:type="dxa"/>
            <w:tcBorders>
              <w:top w:val="nil"/>
              <w:left w:val="nil"/>
              <w:bottom w:val="single" w:sz="4" w:space="0" w:color="auto"/>
              <w:right w:val="single" w:sz="4" w:space="0" w:color="auto"/>
            </w:tcBorders>
            <w:noWrap/>
            <w:vAlign w:val="bottom"/>
            <w:hideMark/>
          </w:tcPr>
          <w:p w14:paraId="231F4767" w14:textId="1767AB6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02031276" w14:textId="7E5144D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4AE7FCC0" w14:textId="4882CAF8"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62168A80"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434EC307"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Stroški varnosti pri delu</w:t>
            </w:r>
          </w:p>
        </w:tc>
        <w:tc>
          <w:tcPr>
            <w:tcW w:w="1701" w:type="dxa"/>
            <w:tcBorders>
              <w:top w:val="nil"/>
              <w:left w:val="nil"/>
              <w:bottom w:val="single" w:sz="4" w:space="0" w:color="auto"/>
              <w:right w:val="single" w:sz="4" w:space="0" w:color="auto"/>
            </w:tcBorders>
            <w:noWrap/>
            <w:vAlign w:val="bottom"/>
            <w:hideMark/>
          </w:tcPr>
          <w:p w14:paraId="3F9CAE06" w14:textId="081EECB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5.861,16</w:t>
            </w:r>
          </w:p>
        </w:tc>
        <w:tc>
          <w:tcPr>
            <w:tcW w:w="1276" w:type="dxa"/>
            <w:tcBorders>
              <w:top w:val="nil"/>
              <w:left w:val="nil"/>
              <w:bottom w:val="single" w:sz="4" w:space="0" w:color="auto"/>
              <w:right w:val="single" w:sz="4" w:space="0" w:color="auto"/>
            </w:tcBorders>
            <w:noWrap/>
            <w:vAlign w:val="bottom"/>
            <w:hideMark/>
          </w:tcPr>
          <w:p w14:paraId="6771CD3B" w14:textId="1B0B05B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13DB44F3" w14:textId="243BC4A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DF0E30F" w14:textId="0B91FD7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D43ACE8" w14:textId="19D00CD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2.291,62</w:t>
            </w:r>
          </w:p>
        </w:tc>
        <w:tc>
          <w:tcPr>
            <w:tcW w:w="1384" w:type="dxa"/>
            <w:tcBorders>
              <w:top w:val="nil"/>
              <w:left w:val="nil"/>
              <w:bottom w:val="single" w:sz="4" w:space="0" w:color="auto"/>
              <w:right w:val="single" w:sz="4" w:space="0" w:color="auto"/>
            </w:tcBorders>
            <w:noWrap/>
            <w:vAlign w:val="bottom"/>
            <w:hideMark/>
          </w:tcPr>
          <w:p w14:paraId="284D4727" w14:textId="10BB433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1.298,09</w:t>
            </w:r>
          </w:p>
        </w:tc>
        <w:tc>
          <w:tcPr>
            <w:tcW w:w="1310" w:type="dxa"/>
            <w:tcBorders>
              <w:top w:val="nil"/>
              <w:left w:val="nil"/>
              <w:bottom w:val="single" w:sz="4" w:space="0" w:color="auto"/>
              <w:right w:val="single" w:sz="4" w:space="0" w:color="auto"/>
            </w:tcBorders>
            <w:noWrap/>
            <w:vAlign w:val="bottom"/>
            <w:hideMark/>
          </w:tcPr>
          <w:p w14:paraId="37AF7B36" w14:textId="70C1A25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2.271,46</w:t>
            </w:r>
          </w:p>
        </w:tc>
      </w:tr>
      <w:tr w:rsidR="004C1482" w:rsidRPr="000020F0" w14:paraId="23910244"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15CC4012"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Arheologija</w:t>
            </w:r>
          </w:p>
        </w:tc>
        <w:tc>
          <w:tcPr>
            <w:tcW w:w="1701" w:type="dxa"/>
            <w:tcBorders>
              <w:top w:val="nil"/>
              <w:left w:val="nil"/>
              <w:bottom w:val="single" w:sz="4" w:space="0" w:color="auto"/>
              <w:right w:val="single" w:sz="4" w:space="0" w:color="auto"/>
            </w:tcBorders>
            <w:noWrap/>
            <w:vAlign w:val="bottom"/>
            <w:hideMark/>
          </w:tcPr>
          <w:p w14:paraId="57C2B7C6" w14:textId="5211131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15.686,16</w:t>
            </w:r>
          </w:p>
        </w:tc>
        <w:tc>
          <w:tcPr>
            <w:tcW w:w="1276" w:type="dxa"/>
            <w:tcBorders>
              <w:top w:val="nil"/>
              <w:left w:val="nil"/>
              <w:bottom w:val="single" w:sz="4" w:space="0" w:color="auto"/>
              <w:right w:val="single" w:sz="4" w:space="0" w:color="auto"/>
            </w:tcBorders>
            <w:noWrap/>
            <w:vAlign w:val="bottom"/>
            <w:hideMark/>
          </w:tcPr>
          <w:p w14:paraId="7A65E219" w14:textId="45D41FD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319FD9BC" w14:textId="3BDBAA3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C70D67D" w14:textId="79AC1C5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6FE16767" w14:textId="347BBB3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2.012,30</w:t>
            </w:r>
          </w:p>
        </w:tc>
        <w:tc>
          <w:tcPr>
            <w:tcW w:w="1384" w:type="dxa"/>
            <w:tcBorders>
              <w:top w:val="nil"/>
              <w:left w:val="nil"/>
              <w:bottom w:val="single" w:sz="4" w:space="0" w:color="auto"/>
              <w:right w:val="single" w:sz="4" w:space="0" w:color="auto"/>
            </w:tcBorders>
            <w:noWrap/>
            <w:vAlign w:val="bottom"/>
            <w:hideMark/>
          </w:tcPr>
          <w:p w14:paraId="3548CD22" w14:textId="7EB1E1E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10.553,89</w:t>
            </w:r>
          </w:p>
        </w:tc>
        <w:tc>
          <w:tcPr>
            <w:tcW w:w="1310" w:type="dxa"/>
            <w:tcBorders>
              <w:top w:val="nil"/>
              <w:left w:val="nil"/>
              <w:bottom w:val="single" w:sz="4" w:space="0" w:color="auto"/>
              <w:right w:val="single" w:sz="4" w:space="0" w:color="auto"/>
            </w:tcBorders>
            <w:noWrap/>
            <w:vAlign w:val="bottom"/>
            <w:hideMark/>
          </w:tcPr>
          <w:p w14:paraId="44F26ECA" w14:textId="34F80FB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3.119,97</w:t>
            </w:r>
          </w:p>
        </w:tc>
      </w:tr>
      <w:tr w:rsidR="004C1482" w:rsidRPr="000020F0" w14:paraId="456323A9"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0D10BE1A"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Čiščenje in pregled kanalizacije</w:t>
            </w:r>
          </w:p>
        </w:tc>
        <w:tc>
          <w:tcPr>
            <w:tcW w:w="1701" w:type="dxa"/>
            <w:tcBorders>
              <w:top w:val="nil"/>
              <w:left w:val="nil"/>
              <w:bottom w:val="single" w:sz="4" w:space="0" w:color="auto"/>
              <w:right w:val="single" w:sz="4" w:space="0" w:color="auto"/>
            </w:tcBorders>
            <w:noWrap/>
            <w:vAlign w:val="bottom"/>
            <w:hideMark/>
          </w:tcPr>
          <w:p w14:paraId="5659A54A" w14:textId="72494C5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17FBB8E1" w14:textId="50A709B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2EF05772" w14:textId="4ACAA9E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55783BC" w14:textId="151309C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9659C8A" w14:textId="2D0B3D4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6A331A6B" w14:textId="7B1D025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4589753B" w14:textId="7182E93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7D934F80"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075BF253"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Nakup nepremičnine</w:t>
            </w:r>
          </w:p>
        </w:tc>
        <w:tc>
          <w:tcPr>
            <w:tcW w:w="1701" w:type="dxa"/>
            <w:tcBorders>
              <w:top w:val="nil"/>
              <w:left w:val="nil"/>
              <w:bottom w:val="single" w:sz="4" w:space="0" w:color="auto"/>
              <w:right w:val="single" w:sz="4" w:space="0" w:color="auto"/>
            </w:tcBorders>
            <w:noWrap/>
            <w:vAlign w:val="bottom"/>
            <w:hideMark/>
          </w:tcPr>
          <w:p w14:paraId="6D6C0B27" w14:textId="47EE41C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1EC676F8" w14:textId="53ED98E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3ECED0ED" w14:textId="4FE1C75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F31DCDB" w14:textId="11BCB03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6F27F58" w14:textId="3BBE224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00C3F3E" w14:textId="75DCF5B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60E2F30E" w14:textId="18B8E68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3837F169"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175DE587"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Druga dela ob rušenju objekta (neobdavčeno)</w:t>
            </w:r>
          </w:p>
        </w:tc>
        <w:tc>
          <w:tcPr>
            <w:tcW w:w="1701" w:type="dxa"/>
            <w:tcBorders>
              <w:top w:val="nil"/>
              <w:left w:val="nil"/>
              <w:bottom w:val="single" w:sz="4" w:space="0" w:color="auto"/>
              <w:right w:val="single" w:sz="4" w:space="0" w:color="auto"/>
            </w:tcBorders>
            <w:noWrap/>
            <w:vAlign w:val="bottom"/>
            <w:hideMark/>
          </w:tcPr>
          <w:p w14:paraId="083B219F" w14:textId="54BA5E4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1F74123E" w14:textId="721A890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2EC86E0" w14:textId="5B70660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6FF1B9E" w14:textId="056674D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3D32085" w14:textId="68DA4E8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593308F" w14:textId="3E513E1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0ABAB82B" w14:textId="2A80D39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1BCCDB0B"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55350DEE"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Druga dela ob rušenju objekta (9,5% DDV)</w:t>
            </w:r>
          </w:p>
        </w:tc>
        <w:tc>
          <w:tcPr>
            <w:tcW w:w="1701" w:type="dxa"/>
            <w:tcBorders>
              <w:top w:val="nil"/>
              <w:left w:val="nil"/>
              <w:bottom w:val="single" w:sz="4" w:space="0" w:color="auto"/>
              <w:right w:val="single" w:sz="4" w:space="0" w:color="auto"/>
            </w:tcBorders>
            <w:noWrap/>
            <w:vAlign w:val="bottom"/>
            <w:hideMark/>
          </w:tcPr>
          <w:p w14:paraId="6F64338F" w14:textId="0B3AAB0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0A7BC18C" w14:textId="1ECC4C9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8BCDBD2" w14:textId="0DED96D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1049D777" w14:textId="531E4B7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7BDBB157" w14:textId="7371632C"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62F50E4" w14:textId="10BD77B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503EFF16" w14:textId="611E2EF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505B9BF9" w14:textId="77777777" w:rsidTr="004C1482">
        <w:trPr>
          <w:trHeight w:val="290"/>
        </w:trPr>
        <w:tc>
          <w:tcPr>
            <w:tcW w:w="3256" w:type="dxa"/>
            <w:tcBorders>
              <w:top w:val="nil"/>
              <w:left w:val="single" w:sz="4" w:space="0" w:color="auto"/>
              <w:bottom w:val="single" w:sz="4" w:space="0" w:color="auto"/>
              <w:right w:val="single" w:sz="4" w:space="0" w:color="auto"/>
            </w:tcBorders>
            <w:noWrap/>
            <w:vAlign w:val="bottom"/>
            <w:hideMark/>
          </w:tcPr>
          <w:p w14:paraId="1CFBE5A1" w14:textId="77777777" w:rsidR="004C1482" w:rsidRPr="000020F0" w:rsidRDefault="004C1482" w:rsidP="004C1482">
            <w:pPr>
              <w:rPr>
                <w:rFonts w:ascii="Roboto" w:hAnsi="Roboto"/>
                <w:color w:val="000000"/>
                <w:sz w:val="20"/>
                <w:szCs w:val="20"/>
              </w:rPr>
            </w:pPr>
            <w:r w:rsidRPr="000020F0">
              <w:rPr>
                <w:rFonts w:ascii="Roboto" w:hAnsi="Roboto"/>
                <w:color w:val="000000"/>
                <w:sz w:val="20"/>
                <w:szCs w:val="20"/>
              </w:rPr>
              <w:t>Druga dela ob rušenju objekta</w:t>
            </w:r>
          </w:p>
        </w:tc>
        <w:tc>
          <w:tcPr>
            <w:tcW w:w="1701" w:type="dxa"/>
            <w:tcBorders>
              <w:top w:val="nil"/>
              <w:left w:val="nil"/>
              <w:bottom w:val="single" w:sz="4" w:space="0" w:color="auto"/>
              <w:right w:val="single" w:sz="4" w:space="0" w:color="auto"/>
            </w:tcBorders>
            <w:noWrap/>
            <w:vAlign w:val="bottom"/>
            <w:hideMark/>
          </w:tcPr>
          <w:p w14:paraId="06A5008C" w14:textId="45BB189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7F1E6641" w14:textId="6A3B78E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C45D077" w14:textId="0DB2616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D5B3195" w14:textId="13A60F3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1E89FE7E" w14:textId="3DFB9E7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2EF4E7B0" w14:textId="74250BF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04692275" w14:textId="25F1745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08E68F05"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657B8582"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Vpis v kataster</w:t>
            </w:r>
          </w:p>
        </w:tc>
        <w:tc>
          <w:tcPr>
            <w:tcW w:w="1701" w:type="dxa"/>
            <w:tcBorders>
              <w:top w:val="nil"/>
              <w:left w:val="nil"/>
              <w:bottom w:val="single" w:sz="4" w:space="0" w:color="auto"/>
              <w:right w:val="single" w:sz="4" w:space="0" w:color="auto"/>
            </w:tcBorders>
            <w:noWrap/>
            <w:vAlign w:val="bottom"/>
            <w:hideMark/>
          </w:tcPr>
          <w:p w14:paraId="4EBDB533" w14:textId="59F9C9A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6B950B22" w14:textId="0C4EC6D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4FD90AE4" w14:textId="45ADF0D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5483AA43" w14:textId="6A25A25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5A27B996" w14:textId="246999B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410782E3" w14:textId="0D31F38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58351EAC" w14:textId="6186097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2E3D8098"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100960D3"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Geodetski načrt</w:t>
            </w:r>
          </w:p>
        </w:tc>
        <w:tc>
          <w:tcPr>
            <w:tcW w:w="1701" w:type="dxa"/>
            <w:tcBorders>
              <w:top w:val="nil"/>
              <w:left w:val="nil"/>
              <w:bottom w:val="single" w:sz="4" w:space="0" w:color="auto"/>
              <w:right w:val="single" w:sz="4" w:space="0" w:color="auto"/>
            </w:tcBorders>
            <w:noWrap/>
            <w:vAlign w:val="bottom"/>
            <w:hideMark/>
          </w:tcPr>
          <w:p w14:paraId="52D4465C" w14:textId="4F50366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6154F443" w14:textId="1DBDFF1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132B94FF" w14:textId="1E9D720D"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09FFA846" w14:textId="7345EA0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2FE72A4C" w14:textId="15BBB0E1"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524E672C" w14:textId="4EFECBB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24D8DA5A" w14:textId="091C573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7B054BF6"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087B0F27"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Baza cestnih podatkov</w:t>
            </w:r>
          </w:p>
        </w:tc>
        <w:tc>
          <w:tcPr>
            <w:tcW w:w="1701" w:type="dxa"/>
            <w:tcBorders>
              <w:top w:val="nil"/>
              <w:left w:val="nil"/>
              <w:bottom w:val="single" w:sz="4" w:space="0" w:color="auto"/>
              <w:right w:val="single" w:sz="4" w:space="0" w:color="auto"/>
            </w:tcBorders>
            <w:noWrap/>
            <w:vAlign w:val="bottom"/>
            <w:hideMark/>
          </w:tcPr>
          <w:p w14:paraId="74010D07" w14:textId="4E47DA0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1186B896" w14:textId="726F655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7864037E" w14:textId="6CAF68AF"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2FE6F109" w14:textId="3361DAAA"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49B9AE46" w14:textId="650B260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735FA29F" w14:textId="787D1F9B"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36EE9CE2" w14:textId="6F798533"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06BFD83A" w14:textId="77777777" w:rsidTr="004C1482">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15400F9C" w14:textId="77777777" w:rsidR="004C1482" w:rsidRPr="000020F0" w:rsidRDefault="004C1482" w:rsidP="004C1482">
            <w:pPr>
              <w:rPr>
                <w:rFonts w:ascii="Arial" w:hAnsi="Arial" w:cs="Arial"/>
                <w:b/>
                <w:bCs/>
                <w:color w:val="000000"/>
                <w:sz w:val="20"/>
                <w:szCs w:val="20"/>
              </w:rPr>
            </w:pPr>
            <w:r w:rsidRPr="000020F0">
              <w:rPr>
                <w:rFonts w:ascii="Arial" w:hAnsi="Arial" w:cs="Arial"/>
                <w:b/>
                <w:bCs/>
                <w:color w:val="000000"/>
                <w:sz w:val="20"/>
                <w:szCs w:val="20"/>
              </w:rPr>
              <w:t>Skupaj brez DDV</w:t>
            </w:r>
          </w:p>
        </w:tc>
        <w:tc>
          <w:tcPr>
            <w:tcW w:w="1701" w:type="dxa"/>
            <w:tcBorders>
              <w:top w:val="nil"/>
              <w:left w:val="nil"/>
              <w:bottom w:val="single" w:sz="4" w:space="0" w:color="auto"/>
              <w:right w:val="single" w:sz="4" w:space="0" w:color="auto"/>
            </w:tcBorders>
            <w:shd w:val="clear" w:color="000000" w:fill="D9D9D9"/>
            <w:noWrap/>
            <w:vAlign w:val="bottom"/>
            <w:hideMark/>
          </w:tcPr>
          <w:p w14:paraId="55A3953C" w14:textId="1EB82038"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2"/>
                <w:szCs w:val="22"/>
              </w:rPr>
              <w:t>2.047.848,40</w:t>
            </w:r>
          </w:p>
        </w:tc>
        <w:tc>
          <w:tcPr>
            <w:tcW w:w="1276" w:type="dxa"/>
            <w:tcBorders>
              <w:top w:val="nil"/>
              <w:left w:val="nil"/>
              <w:bottom w:val="single" w:sz="4" w:space="0" w:color="auto"/>
              <w:right w:val="single" w:sz="4" w:space="0" w:color="auto"/>
            </w:tcBorders>
            <w:shd w:val="clear" w:color="000000" w:fill="D9D9D9"/>
            <w:noWrap/>
            <w:vAlign w:val="bottom"/>
            <w:hideMark/>
          </w:tcPr>
          <w:p w14:paraId="5D107B27" w14:textId="7B4750EB"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5.796,14</w:t>
            </w:r>
          </w:p>
        </w:tc>
        <w:tc>
          <w:tcPr>
            <w:tcW w:w="1559" w:type="dxa"/>
            <w:tcBorders>
              <w:top w:val="nil"/>
              <w:left w:val="nil"/>
              <w:bottom w:val="single" w:sz="4" w:space="0" w:color="auto"/>
              <w:right w:val="single" w:sz="4" w:space="0" w:color="auto"/>
            </w:tcBorders>
            <w:shd w:val="clear" w:color="000000" w:fill="D9D9D9"/>
            <w:noWrap/>
            <w:vAlign w:val="bottom"/>
            <w:hideMark/>
          </w:tcPr>
          <w:p w14:paraId="5C517589" w14:textId="43495676"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63.587,83</w:t>
            </w:r>
          </w:p>
        </w:tc>
        <w:tc>
          <w:tcPr>
            <w:tcW w:w="1276" w:type="dxa"/>
            <w:tcBorders>
              <w:top w:val="nil"/>
              <w:left w:val="nil"/>
              <w:bottom w:val="single" w:sz="4" w:space="0" w:color="auto"/>
              <w:right w:val="single" w:sz="4" w:space="0" w:color="auto"/>
            </w:tcBorders>
            <w:shd w:val="clear" w:color="000000" w:fill="D9D9D9"/>
            <w:noWrap/>
            <w:vAlign w:val="bottom"/>
            <w:hideMark/>
          </w:tcPr>
          <w:p w14:paraId="3C16F7F7" w14:textId="1DA20089"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29.005,20</w:t>
            </w:r>
          </w:p>
        </w:tc>
        <w:tc>
          <w:tcPr>
            <w:tcW w:w="1275" w:type="dxa"/>
            <w:tcBorders>
              <w:top w:val="nil"/>
              <w:left w:val="nil"/>
              <w:bottom w:val="single" w:sz="4" w:space="0" w:color="auto"/>
              <w:right w:val="single" w:sz="4" w:space="0" w:color="auto"/>
            </w:tcBorders>
            <w:shd w:val="clear" w:color="000000" w:fill="D9D9D9"/>
            <w:noWrap/>
            <w:vAlign w:val="bottom"/>
            <w:hideMark/>
          </w:tcPr>
          <w:p w14:paraId="5833877C" w14:textId="45F110F8"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624.661,64</w:t>
            </w:r>
          </w:p>
        </w:tc>
        <w:tc>
          <w:tcPr>
            <w:tcW w:w="1384" w:type="dxa"/>
            <w:tcBorders>
              <w:top w:val="nil"/>
              <w:left w:val="nil"/>
              <w:bottom w:val="single" w:sz="4" w:space="0" w:color="auto"/>
              <w:right w:val="single" w:sz="4" w:space="0" w:color="auto"/>
            </w:tcBorders>
            <w:shd w:val="clear" w:color="000000" w:fill="D9D9D9"/>
            <w:noWrap/>
            <w:vAlign w:val="bottom"/>
            <w:hideMark/>
          </w:tcPr>
          <w:p w14:paraId="4BE18832" w14:textId="3B704EAB"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1.264.419,68</w:t>
            </w:r>
          </w:p>
        </w:tc>
        <w:tc>
          <w:tcPr>
            <w:tcW w:w="1310" w:type="dxa"/>
            <w:tcBorders>
              <w:top w:val="nil"/>
              <w:left w:val="nil"/>
              <w:bottom w:val="single" w:sz="4" w:space="0" w:color="auto"/>
              <w:right w:val="single" w:sz="4" w:space="0" w:color="auto"/>
            </w:tcBorders>
            <w:shd w:val="clear" w:color="000000" w:fill="D9D9D9"/>
            <w:noWrap/>
            <w:vAlign w:val="bottom"/>
            <w:hideMark/>
          </w:tcPr>
          <w:p w14:paraId="2632D270" w14:textId="76888F28"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60.377,91</w:t>
            </w:r>
          </w:p>
        </w:tc>
      </w:tr>
      <w:tr w:rsidR="004C1482" w:rsidRPr="000020F0" w14:paraId="358B44D7"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08D6CBC4"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Davek na dodano vrednost</w:t>
            </w:r>
          </w:p>
        </w:tc>
        <w:tc>
          <w:tcPr>
            <w:tcW w:w="1701" w:type="dxa"/>
            <w:tcBorders>
              <w:top w:val="nil"/>
              <w:left w:val="nil"/>
              <w:bottom w:val="single" w:sz="4" w:space="0" w:color="auto"/>
              <w:right w:val="single" w:sz="4" w:space="0" w:color="auto"/>
            </w:tcBorders>
            <w:noWrap/>
            <w:vAlign w:val="bottom"/>
            <w:hideMark/>
          </w:tcPr>
          <w:p w14:paraId="3353D580" w14:textId="044AE41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450.526,64</w:t>
            </w:r>
          </w:p>
        </w:tc>
        <w:tc>
          <w:tcPr>
            <w:tcW w:w="1276" w:type="dxa"/>
            <w:tcBorders>
              <w:top w:val="nil"/>
              <w:left w:val="nil"/>
              <w:bottom w:val="single" w:sz="4" w:space="0" w:color="auto"/>
              <w:right w:val="single" w:sz="4" w:space="0" w:color="auto"/>
            </w:tcBorders>
            <w:noWrap/>
            <w:vAlign w:val="bottom"/>
            <w:hideMark/>
          </w:tcPr>
          <w:p w14:paraId="534ABCEA" w14:textId="528F391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1.275,15</w:t>
            </w:r>
          </w:p>
        </w:tc>
        <w:tc>
          <w:tcPr>
            <w:tcW w:w="1559" w:type="dxa"/>
            <w:tcBorders>
              <w:top w:val="nil"/>
              <w:left w:val="nil"/>
              <w:bottom w:val="single" w:sz="4" w:space="0" w:color="auto"/>
              <w:right w:val="single" w:sz="4" w:space="0" w:color="auto"/>
            </w:tcBorders>
            <w:noWrap/>
            <w:vAlign w:val="bottom"/>
            <w:hideMark/>
          </w:tcPr>
          <w:p w14:paraId="753E3E56" w14:textId="68B295D9"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13.989,32</w:t>
            </w:r>
          </w:p>
        </w:tc>
        <w:tc>
          <w:tcPr>
            <w:tcW w:w="1276" w:type="dxa"/>
            <w:tcBorders>
              <w:top w:val="nil"/>
              <w:left w:val="nil"/>
              <w:bottom w:val="single" w:sz="4" w:space="0" w:color="auto"/>
              <w:right w:val="single" w:sz="4" w:space="0" w:color="auto"/>
            </w:tcBorders>
            <w:noWrap/>
            <w:vAlign w:val="bottom"/>
            <w:hideMark/>
          </w:tcPr>
          <w:p w14:paraId="6FEA6792" w14:textId="6F09ECEE"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6.381,14</w:t>
            </w:r>
          </w:p>
        </w:tc>
        <w:tc>
          <w:tcPr>
            <w:tcW w:w="1275" w:type="dxa"/>
            <w:tcBorders>
              <w:top w:val="nil"/>
              <w:left w:val="nil"/>
              <w:bottom w:val="single" w:sz="4" w:space="0" w:color="auto"/>
              <w:right w:val="single" w:sz="4" w:space="0" w:color="auto"/>
            </w:tcBorders>
            <w:noWrap/>
            <w:vAlign w:val="bottom"/>
            <w:hideMark/>
          </w:tcPr>
          <w:p w14:paraId="0E942F79" w14:textId="46539057"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137.425,56</w:t>
            </w:r>
          </w:p>
        </w:tc>
        <w:tc>
          <w:tcPr>
            <w:tcW w:w="1384" w:type="dxa"/>
            <w:tcBorders>
              <w:top w:val="nil"/>
              <w:left w:val="nil"/>
              <w:bottom w:val="single" w:sz="4" w:space="0" w:color="auto"/>
              <w:right w:val="single" w:sz="4" w:space="0" w:color="auto"/>
            </w:tcBorders>
            <w:noWrap/>
            <w:vAlign w:val="bottom"/>
            <w:hideMark/>
          </w:tcPr>
          <w:p w14:paraId="65EDE9EE" w14:textId="228580B6"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278.172,33</w:t>
            </w:r>
          </w:p>
        </w:tc>
        <w:tc>
          <w:tcPr>
            <w:tcW w:w="1310" w:type="dxa"/>
            <w:tcBorders>
              <w:top w:val="nil"/>
              <w:left w:val="nil"/>
              <w:bottom w:val="single" w:sz="4" w:space="0" w:color="auto"/>
              <w:right w:val="single" w:sz="4" w:space="0" w:color="auto"/>
            </w:tcBorders>
            <w:noWrap/>
            <w:vAlign w:val="bottom"/>
            <w:hideMark/>
          </w:tcPr>
          <w:p w14:paraId="73343968" w14:textId="14912FA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13.283,14</w:t>
            </w:r>
          </w:p>
        </w:tc>
      </w:tr>
      <w:tr w:rsidR="004C1482" w:rsidRPr="000020F0" w14:paraId="49FB8A2B" w14:textId="77777777" w:rsidTr="004C1482">
        <w:trPr>
          <w:trHeight w:val="280"/>
        </w:trPr>
        <w:tc>
          <w:tcPr>
            <w:tcW w:w="3256" w:type="dxa"/>
            <w:tcBorders>
              <w:top w:val="nil"/>
              <w:left w:val="single" w:sz="4" w:space="0" w:color="auto"/>
              <w:bottom w:val="single" w:sz="4" w:space="0" w:color="auto"/>
              <w:right w:val="single" w:sz="4" w:space="0" w:color="auto"/>
            </w:tcBorders>
            <w:noWrap/>
            <w:vAlign w:val="bottom"/>
            <w:hideMark/>
          </w:tcPr>
          <w:p w14:paraId="3ADCC1E6" w14:textId="77777777" w:rsidR="004C1482" w:rsidRPr="000020F0" w:rsidRDefault="004C1482" w:rsidP="004C1482">
            <w:pPr>
              <w:rPr>
                <w:rFonts w:ascii="Arial" w:hAnsi="Arial" w:cs="Arial"/>
                <w:color w:val="000000"/>
                <w:sz w:val="20"/>
                <w:szCs w:val="20"/>
              </w:rPr>
            </w:pPr>
            <w:r w:rsidRPr="000020F0">
              <w:rPr>
                <w:rFonts w:ascii="Arial" w:hAnsi="Arial" w:cs="Arial"/>
                <w:color w:val="000000"/>
                <w:sz w:val="20"/>
                <w:szCs w:val="20"/>
              </w:rPr>
              <w:t>Povračljiv davek na dodano vrednost</w:t>
            </w:r>
          </w:p>
        </w:tc>
        <w:tc>
          <w:tcPr>
            <w:tcW w:w="1701" w:type="dxa"/>
            <w:tcBorders>
              <w:top w:val="nil"/>
              <w:left w:val="nil"/>
              <w:bottom w:val="single" w:sz="4" w:space="0" w:color="auto"/>
              <w:right w:val="single" w:sz="4" w:space="0" w:color="auto"/>
            </w:tcBorders>
            <w:noWrap/>
            <w:vAlign w:val="bottom"/>
            <w:hideMark/>
          </w:tcPr>
          <w:p w14:paraId="42076D92" w14:textId="4132763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2"/>
                <w:szCs w:val="22"/>
              </w:rPr>
              <w:t>0,00</w:t>
            </w:r>
          </w:p>
        </w:tc>
        <w:tc>
          <w:tcPr>
            <w:tcW w:w="1276" w:type="dxa"/>
            <w:tcBorders>
              <w:top w:val="nil"/>
              <w:left w:val="nil"/>
              <w:bottom w:val="single" w:sz="4" w:space="0" w:color="auto"/>
              <w:right w:val="single" w:sz="4" w:space="0" w:color="auto"/>
            </w:tcBorders>
            <w:noWrap/>
            <w:vAlign w:val="bottom"/>
            <w:hideMark/>
          </w:tcPr>
          <w:p w14:paraId="437F3E61" w14:textId="5A7AAB04"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559" w:type="dxa"/>
            <w:tcBorders>
              <w:top w:val="nil"/>
              <w:left w:val="nil"/>
              <w:bottom w:val="single" w:sz="4" w:space="0" w:color="auto"/>
              <w:right w:val="single" w:sz="4" w:space="0" w:color="auto"/>
            </w:tcBorders>
            <w:noWrap/>
            <w:vAlign w:val="bottom"/>
            <w:hideMark/>
          </w:tcPr>
          <w:p w14:paraId="0388D959" w14:textId="1E7C4ED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6" w:type="dxa"/>
            <w:tcBorders>
              <w:top w:val="nil"/>
              <w:left w:val="nil"/>
              <w:bottom w:val="single" w:sz="4" w:space="0" w:color="auto"/>
              <w:right w:val="single" w:sz="4" w:space="0" w:color="auto"/>
            </w:tcBorders>
            <w:noWrap/>
            <w:vAlign w:val="bottom"/>
            <w:hideMark/>
          </w:tcPr>
          <w:p w14:paraId="3406D119" w14:textId="04871EE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275" w:type="dxa"/>
            <w:tcBorders>
              <w:top w:val="nil"/>
              <w:left w:val="nil"/>
              <w:bottom w:val="single" w:sz="4" w:space="0" w:color="auto"/>
              <w:right w:val="single" w:sz="4" w:space="0" w:color="auto"/>
            </w:tcBorders>
            <w:noWrap/>
            <w:vAlign w:val="bottom"/>
            <w:hideMark/>
          </w:tcPr>
          <w:p w14:paraId="0490748B" w14:textId="1887DB25"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84" w:type="dxa"/>
            <w:tcBorders>
              <w:top w:val="nil"/>
              <w:left w:val="nil"/>
              <w:bottom w:val="single" w:sz="4" w:space="0" w:color="auto"/>
              <w:right w:val="single" w:sz="4" w:space="0" w:color="auto"/>
            </w:tcBorders>
            <w:noWrap/>
            <w:vAlign w:val="bottom"/>
            <w:hideMark/>
          </w:tcPr>
          <w:p w14:paraId="34D39E69" w14:textId="1A530290"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c>
          <w:tcPr>
            <w:tcW w:w="1310" w:type="dxa"/>
            <w:tcBorders>
              <w:top w:val="nil"/>
              <w:left w:val="nil"/>
              <w:bottom w:val="single" w:sz="4" w:space="0" w:color="auto"/>
              <w:right w:val="single" w:sz="4" w:space="0" w:color="auto"/>
            </w:tcBorders>
            <w:noWrap/>
            <w:vAlign w:val="bottom"/>
            <w:hideMark/>
          </w:tcPr>
          <w:p w14:paraId="3570F88A" w14:textId="01369862" w:rsidR="004C1482" w:rsidRPr="000020F0" w:rsidRDefault="004C1482" w:rsidP="004C1482">
            <w:pPr>
              <w:jc w:val="right"/>
              <w:rPr>
                <w:rFonts w:ascii="Arial" w:hAnsi="Arial" w:cs="Arial"/>
                <w:color w:val="000000"/>
                <w:sz w:val="20"/>
                <w:szCs w:val="20"/>
              </w:rPr>
            </w:pPr>
            <w:r w:rsidRPr="000020F0">
              <w:rPr>
                <w:rFonts w:ascii="Arial" w:hAnsi="Arial" w:cs="Arial"/>
                <w:color w:val="000000"/>
                <w:sz w:val="20"/>
                <w:szCs w:val="20"/>
              </w:rPr>
              <w:t>0,00</w:t>
            </w:r>
          </w:p>
        </w:tc>
      </w:tr>
      <w:tr w:rsidR="004C1482" w:rsidRPr="000020F0" w14:paraId="67718011" w14:textId="77777777" w:rsidTr="004C1482">
        <w:trPr>
          <w:trHeight w:val="28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51F06AC3" w14:textId="77777777" w:rsidR="004C1482" w:rsidRPr="000020F0" w:rsidRDefault="004C1482" w:rsidP="004C1482">
            <w:pPr>
              <w:rPr>
                <w:rFonts w:ascii="Arial" w:hAnsi="Arial" w:cs="Arial"/>
                <w:b/>
                <w:bCs/>
                <w:color w:val="000000"/>
                <w:sz w:val="20"/>
                <w:szCs w:val="20"/>
              </w:rPr>
            </w:pPr>
            <w:r w:rsidRPr="000020F0">
              <w:rPr>
                <w:rFonts w:ascii="Arial" w:hAnsi="Arial" w:cs="Arial"/>
                <w:b/>
                <w:bCs/>
                <w:color w:val="000000"/>
                <w:sz w:val="20"/>
                <w:szCs w:val="20"/>
              </w:rPr>
              <w:lastRenderedPageBreak/>
              <w:t>Skupaj z davkom na dodano vrednost</w:t>
            </w:r>
          </w:p>
        </w:tc>
        <w:tc>
          <w:tcPr>
            <w:tcW w:w="1701" w:type="dxa"/>
            <w:tcBorders>
              <w:top w:val="nil"/>
              <w:left w:val="nil"/>
              <w:bottom w:val="single" w:sz="4" w:space="0" w:color="auto"/>
              <w:right w:val="single" w:sz="4" w:space="0" w:color="auto"/>
            </w:tcBorders>
            <w:shd w:val="clear" w:color="000000" w:fill="D9D9D9"/>
            <w:noWrap/>
            <w:vAlign w:val="bottom"/>
            <w:hideMark/>
          </w:tcPr>
          <w:p w14:paraId="0F3C9E33" w14:textId="7F8EBCA7"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2"/>
                <w:szCs w:val="22"/>
              </w:rPr>
              <w:t>2.498.375,04</w:t>
            </w:r>
          </w:p>
        </w:tc>
        <w:tc>
          <w:tcPr>
            <w:tcW w:w="1276" w:type="dxa"/>
            <w:tcBorders>
              <w:top w:val="nil"/>
              <w:left w:val="nil"/>
              <w:bottom w:val="single" w:sz="4" w:space="0" w:color="auto"/>
              <w:right w:val="single" w:sz="4" w:space="0" w:color="auto"/>
            </w:tcBorders>
            <w:shd w:val="clear" w:color="000000" w:fill="D9D9D9"/>
            <w:noWrap/>
            <w:vAlign w:val="bottom"/>
            <w:hideMark/>
          </w:tcPr>
          <w:p w14:paraId="0EEA479C" w14:textId="2ECA1FF1"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1559" w:type="dxa"/>
            <w:tcBorders>
              <w:top w:val="nil"/>
              <w:left w:val="nil"/>
              <w:bottom w:val="single" w:sz="4" w:space="0" w:color="auto"/>
              <w:right w:val="single" w:sz="4" w:space="0" w:color="auto"/>
            </w:tcBorders>
            <w:shd w:val="clear" w:color="000000" w:fill="D9D9D9"/>
            <w:noWrap/>
            <w:vAlign w:val="bottom"/>
            <w:hideMark/>
          </w:tcPr>
          <w:p w14:paraId="4CC9DCC0" w14:textId="530D1F23"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1276" w:type="dxa"/>
            <w:tcBorders>
              <w:top w:val="nil"/>
              <w:left w:val="nil"/>
              <w:bottom w:val="single" w:sz="4" w:space="0" w:color="auto"/>
              <w:right w:val="single" w:sz="4" w:space="0" w:color="auto"/>
            </w:tcBorders>
            <w:shd w:val="clear" w:color="000000" w:fill="D9D9D9"/>
            <w:noWrap/>
            <w:vAlign w:val="bottom"/>
            <w:hideMark/>
          </w:tcPr>
          <w:p w14:paraId="77268A9D" w14:textId="2A284DAF"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1275" w:type="dxa"/>
            <w:tcBorders>
              <w:top w:val="nil"/>
              <w:left w:val="nil"/>
              <w:bottom w:val="single" w:sz="4" w:space="0" w:color="auto"/>
              <w:right w:val="single" w:sz="4" w:space="0" w:color="auto"/>
            </w:tcBorders>
            <w:shd w:val="clear" w:color="000000" w:fill="D9D9D9"/>
            <w:noWrap/>
            <w:vAlign w:val="bottom"/>
            <w:hideMark/>
          </w:tcPr>
          <w:p w14:paraId="1CA09336" w14:textId="10CC6522"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762.087,20</w:t>
            </w:r>
          </w:p>
        </w:tc>
        <w:tc>
          <w:tcPr>
            <w:tcW w:w="1384" w:type="dxa"/>
            <w:tcBorders>
              <w:top w:val="nil"/>
              <w:left w:val="nil"/>
              <w:bottom w:val="single" w:sz="4" w:space="0" w:color="auto"/>
              <w:right w:val="single" w:sz="4" w:space="0" w:color="auto"/>
            </w:tcBorders>
            <w:shd w:val="clear" w:color="000000" w:fill="D9D9D9"/>
            <w:noWrap/>
            <w:vAlign w:val="bottom"/>
            <w:hideMark/>
          </w:tcPr>
          <w:p w14:paraId="573C40ED" w14:textId="091088D3"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1.542.592,01</w:t>
            </w:r>
          </w:p>
        </w:tc>
        <w:tc>
          <w:tcPr>
            <w:tcW w:w="1310" w:type="dxa"/>
            <w:tcBorders>
              <w:top w:val="nil"/>
              <w:left w:val="nil"/>
              <w:bottom w:val="single" w:sz="4" w:space="0" w:color="auto"/>
              <w:right w:val="single" w:sz="4" w:space="0" w:color="auto"/>
            </w:tcBorders>
            <w:shd w:val="clear" w:color="000000" w:fill="D9D9D9"/>
            <w:noWrap/>
            <w:vAlign w:val="bottom"/>
            <w:hideMark/>
          </w:tcPr>
          <w:p w14:paraId="3D93BAC9" w14:textId="5B9FF44B" w:rsidR="004C1482" w:rsidRPr="000020F0" w:rsidRDefault="004C1482" w:rsidP="004C1482">
            <w:pPr>
              <w:jc w:val="right"/>
              <w:rPr>
                <w:rFonts w:ascii="Arial" w:hAnsi="Arial" w:cs="Arial"/>
                <w:b/>
                <w:bCs/>
                <w:color w:val="000000"/>
                <w:sz w:val="20"/>
                <w:szCs w:val="20"/>
              </w:rPr>
            </w:pPr>
            <w:r w:rsidRPr="000020F0">
              <w:rPr>
                <w:rFonts w:ascii="Arial" w:hAnsi="Arial" w:cs="Arial"/>
                <w:b/>
                <w:bCs/>
                <w:color w:val="000000"/>
                <w:sz w:val="20"/>
                <w:szCs w:val="20"/>
              </w:rPr>
              <w:t>73.661,05</w:t>
            </w:r>
          </w:p>
        </w:tc>
      </w:tr>
    </w:tbl>
    <w:p w14:paraId="14EAB85D" w14:textId="77777777" w:rsidR="00D63958" w:rsidRPr="000020F0" w:rsidRDefault="00D63958" w:rsidP="00D63958">
      <w:pPr>
        <w:spacing w:after="120" w:line="276" w:lineRule="auto"/>
        <w:jc w:val="both"/>
        <w:rPr>
          <w:rFonts w:asciiTheme="majorHAnsi" w:hAnsiTheme="majorHAnsi" w:cstheme="majorHAnsi"/>
          <w:sz w:val="22"/>
          <w:szCs w:val="22"/>
        </w:rPr>
      </w:pPr>
    </w:p>
    <w:p w14:paraId="3ADC7B16" w14:textId="3D5D26C6" w:rsidR="00FC3BB7" w:rsidRPr="000020F0" w:rsidRDefault="00FC3BB7" w:rsidP="00FC3BB7">
      <w:pPr>
        <w:spacing w:after="120" w:line="276" w:lineRule="auto"/>
        <w:jc w:val="both"/>
        <w:rPr>
          <w:rFonts w:asciiTheme="majorHAnsi" w:hAnsiTheme="majorHAnsi" w:cstheme="majorHAnsi"/>
          <w:sz w:val="22"/>
          <w:szCs w:val="22"/>
        </w:rPr>
      </w:pPr>
      <w:bookmarkStart w:id="362" w:name="_Toc230882305"/>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25</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Finančni terminski plan neupravičenih stroškov v stalnih cenah v EUR</w:t>
      </w:r>
      <w:bookmarkEnd w:id="362"/>
    </w:p>
    <w:tbl>
      <w:tblPr>
        <w:tblW w:w="14409" w:type="dxa"/>
        <w:tblLook w:val="04A0" w:firstRow="1" w:lastRow="0" w:firstColumn="1" w:lastColumn="0" w:noHBand="0" w:noVBand="1"/>
      </w:tblPr>
      <w:tblGrid>
        <w:gridCol w:w="4096"/>
        <w:gridCol w:w="1853"/>
        <w:gridCol w:w="1217"/>
        <w:gridCol w:w="1536"/>
        <w:gridCol w:w="1317"/>
        <w:gridCol w:w="1357"/>
        <w:gridCol w:w="1656"/>
        <w:gridCol w:w="1377"/>
      </w:tblGrid>
      <w:tr w:rsidR="00FC3BB7" w:rsidRPr="000020F0" w14:paraId="3A3E1441" w14:textId="77777777" w:rsidTr="000020F0">
        <w:trPr>
          <w:trHeight w:val="300"/>
          <w:tblHeader/>
        </w:trPr>
        <w:tc>
          <w:tcPr>
            <w:tcW w:w="4096"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376AC0D4" w14:textId="77777777" w:rsidR="00FC3BB7" w:rsidRPr="000020F0" w:rsidRDefault="00FC3BB7" w:rsidP="00AF59CD">
            <w:pP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Postavka</w:t>
            </w:r>
          </w:p>
        </w:tc>
        <w:tc>
          <w:tcPr>
            <w:tcW w:w="1853" w:type="dxa"/>
            <w:tcBorders>
              <w:top w:val="single" w:sz="4" w:space="0" w:color="auto"/>
              <w:left w:val="nil"/>
              <w:bottom w:val="single" w:sz="4" w:space="0" w:color="auto"/>
              <w:right w:val="single" w:sz="4" w:space="0" w:color="auto"/>
            </w:tcBorders>
            <w:shd w:val="clear" w:color="000000" w:fill="153D64"/>
            <w:noWrap/>
            <w:vAlign w:val="bottom"/>
            <w:hideMark/>
          </w:tcPr>
          <w:p w14:paraId="15744395" w14:textId="77777777" w:rsidR="00FC3BB7" w:rsidRPr="000020F0" w:rsidRDefault="00FC3BB7" w:rsidP="00AF59CD">
            <w:pPr>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NEUPRAVIČENI STROŠKI</w:t>
            </w:r>
          </w:p>
        </w:tc>
        <w:tc>
          <w:tcPr>
            <w:tcW w:w="1217"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2851784F"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2024</w:t>
            </w:r>
          </w:p>
        </w:tc>
        <w:tc>
          <w:tcPr>
            <w:tcW w:w="1536" w:type="dxa"/>
            <w:tcBorders>
              <w:top w:val="single" w:sz="4" w:space="0" w:color="auto"/>
              <w:left w:val="nil"/>
              <w:bottom w:val="single" w:sz="4" w:space="0" w:color="auto"/>
              <w:right w:val="single" w:sz="4" w:space="0" w:color="auto"/>
            </w:tcBorders>
            <w:shd w:val="clear" w:color="000000" w:fill="153D64"/>
            <w:noWrap/>
            <w:vAlign w:val="bottom"/>
            <w:hideMark/>
          </w:tcPr>
          <w:p w14:paraId="5881259F"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2025</w:t>
            </w:r>
          </w:p>
        </w:tc>
        <w:tc>
          <w:tcPr>
            <w:tcW w:w="1317" w:type="dxa"/>
            <w:tcBorders>
              <w:top w:val="single" w:sz="4" w:space="0" w:color="auto"/>
              <w:left w:val="nil"/>
              <w:bottom w:val="single" w:sz="4" w:space="0" w:color="auto"/>
              <w:right w:val="single" w:sz="4" w:space="0" w:color="auto"/>
            </w:tcBorders>
            <w:shd w:val="clear" w:color="000000" w:fill="153D64"/>
            <w:noWrap/>
            <w:vAlign w:val="bottom"/>
            <w:hideMark/>
          </w:tcPr>
          <w:p w14:paraId="6D8D2411"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2026</w:t>
            </w:r>
          </w:p>
        </w:tc>
        <w:tc>
          <w:tcPr>
            <w:tcW w:w="1357" w:type="dxa"/>
            <w:tcBorders>
              <w:top w:val="single" w:sz="4" w:space="0" w:color="auto"/>
              <w:left w:val="nil"/>
              <w:bottom w:val="single" w:sz="4" w:space="0" w:color="auto"/>
              <w:right w:val="single" w:sz="4" w:space="0" w:color="auto"/>
            </w:tcBorders>
            <w:shd w:val="clear" w:color="000000" w:fill="153D64"/>
            <w:noWrap/>
            <w:vAlign w:val="bottom"/>
            <w:hideMark/>
          </w:tcPr>
          <w:p w14:paraId="5AADA22D"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2027</w:t>
            </w:r>
          </w:p>
        </w:tc>
        <w:tc>
          <w:tcPr>
            <w:tcW w:w="1656" w:type="dxa"/>
            <w:tcBorders>
              <w:top w:val="single" w:sz="4" w:space="0" w:color="auto"/>
              <w:left w:val="nil"/>
              <w:bottom w:val="single" w:sz="4" w:space="0" w:color="auto"/>
              <w:right w:val="single" w:sz="4" w:space="0" w:color="auto"/>
            </w:tcBorders>
            <w:shd w:val="clear" w:color="000000" w:fill="153D64"/>
            <w:noWrap/>
            <w:vAlign w:val="bottom"/>
            <w:hideMark/>
          </w:tcPr>
          <w:p w14:paraId="523377E1"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2028</w:t>
            </w:r>
          </w:p>
        </w:tc>
        <w:tc>
          <w:tcPr>
            <w:tcW w:w="1377" w:type="dxa"/>
            <w:tcBorders>
              <w:top w:val="single" w:sz="4" w:space="0" w:color="auto"/>
              <w:left w:val="nil"/>
              <w:bottom w:val="single" w:sz="4" w:space="0" w:color="auto"/>
              <w:right w:val="single" w:sz="4" w:space="0" w:color="auto"/>
            </w:tcBorders>
            <w:shd w:val="clear" w:color="000000" w:fill="153D64"/>
            <w:noWrap/>
            <w:vAlign w:val="bottom"/>
            <w:hideMark/>
          </w:tcPr>
          <w:p w14:paraId="1B8AE348" w14:textId="77777777" w:rsidR="00FC3BB7" w:rsidRPr="000020F0" w:rsidRDefault="00FC3BB7" w:rsidP="00AF59CD">
            <w:pPr>
              <w:jc w:val="right"/>
              <w:rPr>
                <w:rFonts w:asciiTheme="majorHAnsi" w:hAnsiTheme="majorHAnsi" w:cstheme="majorHAnsi"/>
                <w:b/>
                <w:bCs/>
                <w:color w:val="FFFFFF"/>
                <w:sz w:val="20"/>
                <w:szCs w:val="20"/>
              </w:rPr>
            </w:pPr>
            <w:r w:rsidRPr="000020F0">
              <w:rPr>
                <w:rFonts w:asciiTheme="majorHAnsi" w:hAnsiTheme="majorHAnsi" w:cstheme="majorHAnsi"/>
                <w:b/>
                <w:bCs/>
                <w:color w:val="FFFFFF"/>
                <w:sz w:val="20"/>
                <w:szCs w:val="20"/>
              </w:rPr>
              <w:t>2029</w:t>
            </w:r>
          </w:p>
        </w:tc>
      </w:tr>
      <w:tr w:rsidR="000020F0" w:rsidRPr="000020F0" w14:paraId="0D7CC88F"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7A9BC5F2"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Govekarjeva cesta</w:t>
            </w:r>
          </w:p>
        </w:tc>
        <w:tc>
          <w:tcPr>
            <w:tcW w:w="1853" w:type="dxa"/>
            <w:tcBorders>
              <w:top w:val="nil"/>
              <w:left w:val="nil"/>
              <w:bottom w:val="single" w:sz="4" w:space="0" w:color="auto"/>
              <w:right w:val="single" w:sz="4" w:space="0" w:color="auto"/>
            </w:tcBorders>
            <w:shd w:val="clear" w:color="000000" w:fill="FFFFFF"/>
            <w:noWrap/>
            <w:vAlign w:val="bottom"/>
            <w:hideMark/>
          </w:tcPr>
          <w:p w14:paraId="4505C7EE" w14:textId="7D3AB7B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33.252,00</w:t>
            </w:r>
          </w:p>
        </w:tc>
        <w:tc>
          <w:tcPr>
            <w:tcW w:w="1217" w:type="dxa"/>
            <w:tcBorders>
              <w:top w:val="nil"/>
              <w:left w:val="single" w:sz="4" w:space="0" w:color="auto"/>
              <w:bottom w:val="single" w:sz="4" w:space="0" w:color="auto"/>
              <w:right w:val="single" w:sz="4" w:space="0" w:color="auto"/>
            </w:tcBorders>
            <w:noWrap/>
            <w:vAlign w:val="bottom"/>
            <w:hideMark/>
          </w:tcPr>
          <w:p w14:paraId="09D3C869" w14:textId="3257452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CBC1A8C" w14:textId="4B3AF0F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7531B63" w14:textId="00631DD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A4E9D73" w14:textId="3DF99EB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4FB219D" w14:textId="2CBD8E9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33.252,00</w:t>
            </w:r>
          </w:p>
        </w:tc>
        <w:tc>
          <w:tcPr>
            <w:tcW w:w="1377" w:type="dxa"/>
            <w:tcBorders>
              <w:top w:val="nil"/>
              <w:left w:val="nil"/>
              <w:bottom w:val="single" w:sz="4" w:space="0" w:color="auto"/>
              <w:right w:val="single" w:sz="4" w:space="0" w:color="auto"/>
            </w:tcBorders>
            <w:noWrap/>
            <w:vAlign w:val="bottom"/>
            <w:hideMark/>
          </w:tcPr>
          <w:p w14:paraId="71455FE5" w14:textId="6A9EE15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10FE57BB"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726CCE0"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Troštova ulica</w:t>
            </w:r>
          </w:p>
        </w:tc>
        <w:tc>
          <w:tcPr>
            <w:tcW w:w="1853" w:type="dxa"/>
            <w:tcBorders>
              <w:top w:val="nil"/>
              <w:left w:val="nil"/>
              <w:bottom w:val="single" w:sz="4" w:space="0" w:color="auto"/>
              <w:right w:val="single" w:sz="4" w:space="0" w:color="auto"/>
            </w:tcBorders>
            <w:shd w:val="clear" w:color="000000" w:fill="FFFFFF"/>
            <w:noWrap/>
            <w:vAlign w:val="bottom"/>
            <w:hideMark/>
          </w:tcPr>
          <w:p w14:paraId="768E6651" w14:textId="35B2A3C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4FF8336D" w14:textId="6388C94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7FD9BC21" w14:textId="1F8C8F1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F132E87" w14:textId="1FD6CF8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DECEAA6" w14:textId="527BE30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04F2DAF1" w14:textId="2CAE86D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3C6141B" w14:textId="1BAB154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35574A2B"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8786798"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Križišče Govekarjeva-Troštova</w:t>
            </w:r>
          </w:p>
        </w:tc>
        <w:tc>
          <w:tcPr>
            <w:tcW w:w="1853" w:type="dxa"/>
            <w:tcBorders>
              <w:top w:val="nil"/>
              <w:left w:val="nil"/>
              <w:bottom w:val="single" w:sz="4" w:space="0" w:color="auto"/>
              <w:right w:val="single" w:sz="4" w:space="0" w:color="auto"/>
            </w:tcBorders>
            <w:shd w:val="clear" w:color="000000" w:fill="FFFFFF"/>
            <w:noWrap/>
            <w:vAlign w:val="bottom"/>
            <w:hideMark/>
          </w:tcPr>
          <w:p w14:paraId="0E2AF0B6" w14:textId="0DDFA70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20613C54" w14:textId="3E73183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4D541D8F" w14:textId="58055F3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2EFED5E2" w14:textId="72DA2AF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1601E44" w14:textId="69015B1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F75BE0A" w14:textId="0CE6F03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3086D56" w14:textId="38091BF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5BA5497"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70C529DC"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avtobusno postajališče (javni sistem izposoje)</w:t>
            </w:r>
          </w:p>
        </w:tc>
        <w:tc>
          <w:tcPr>
            <w:tcW w:w="1853" w:type="dxa"/>
            <w:tcBorders>
              <w:top w:val="nil"/>
              <w:left w:val="nil"/>
              <w:bottom w:val="single" w:sz="4" w:space="0" w:color="auto"/>
              <w:right w:val="single" w:sz="4" w:space="0" w:color="auto"/>
            </w:tcBorders>
            <w:shd w:val="clear" w:color="000000" w:fill="FFFFFF"/>
            <w:noWrap/>
            <w:vAlign w:val="bottom"/>
            <w:hideMark/>
          </w:tcPr>
          <w:p w14:paraId="56E3DFBF" w14:textId="522B9F0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7F0B81EB" w14:textId="44A1D01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778404E9" w14:textId="6BDA6BA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EBD5841" w14:textId="5DD8D65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60EF87F5" w14:textId="6220FB2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03FB3BE" w14:textId="06A54F3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06DF75E4" w14:textId="322D800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2854C990"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184BF781"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pokopališče (javni sistem izposoje)</w:t>
            </w:r>
          </w:p>
        </w:tc>
        <w:tc>
          <w:tcPr>
            <w:tcW w:w="1853" w:type="dxa"/>
            <w:tcBorders>
              <w:top w:val="nil"/>
              <w:left w:val="nil"/>
              <w:bottom w:val="single" w:sz="4" w:space="0" w:color="auto"/>
              <w:right w:val="single" w:sz="4" w:space="0" w:color="auto"/>
            </w:tcBorders>
            <w:shd w:val="clear" w:color="000000" w:fill="FFFFFF"/>
            <w:noWrap/>
            <w:vAlign w:val="bottom"/>
            <w:hideMark/>
          </w:tcPr>
          <w:p w14:paraId="3562D0C1" w14:textId="5284131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2AEF3B21" w14:textId="47AAC4F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36BC319D" w14:textId="7717FCB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CC81898" w14:textId="4DBAB80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36460C6" w14:textId="5A2C0DF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CE178F3" w14:textId="7FE8A01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00E9E723" w14:textId="6A2CA7F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E3BB8D1"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7C5545B"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Govekarjeva cesta</w:t>
            </w:r>
          </w:p>
        </w:tc>
        <w:tc>
          <w:tcPr>
            <w:tcW w:w="1853" w:type="dxa"/>
            <w:tcBorders>
              <w:top w:val="nil"/>
              <w:left w:val="nil"/>
              <w:bottom w:val="single" w:sz="4" w:space="0" w:color="auto"/>
              <w:right w:val="single" w:sz="4" w:space="0" w:color="auto"/>
            </w:tcBorders>
            <w:shd w:val="clear" w:color="000000" w:fill="FFFFFF"/>
            <w:noWrap/>
            <w:vAlign w:val="bottom"/>
            <w:hideMark/>
          </w:tcPr>
          <w:p w14:paraId="4842117E" w14:textId="46ABEAD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29A5FC9F" w14:textId="24C856A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FD91E2D" w14:textId="0B31044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276789F4" w14:textId="6F4DCB0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A2414CE" w14:textId="6B3F13B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53F0165" w14:textId="7B5FDA7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3D25625F" w14:textId="58DCA61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75C2257"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342E0FC1"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staro župnišče</w:t>
            </w:r>
          </w:p>
        </w:tc>
        <w:tc>
          <w:tcPr>
            <w:tcW w:w="1853" w:type="dxa"/>
            <w:tcBorders>
              <w:top w:val="nil"/>
              <w:left w:val="nil"/>
              <w:bottom w:val="single" w:sz="4" w:space="0" w:color="auto"/>
              <w:right w:val="single" w:sz="4" w:space="0" w:color="auto"/>
            </w:tcBorders>
            <w:shd w:val="clear" w:color="000000" w:fill="FFFFFF"/>
            <w:noWrap/>
            <w:vAlign w:val="bottom"/>
            <w:hideMark/>
          </w:tcPr>
          <w:p w14:paraId="661F332E" w14:textId="68580E2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55FB6445" w14:textId="270801C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8428EDF" w14:textId="0C4285C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C6FD8C1" w14:textId="2E3F2AA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9DB327E" w14:textId="37D766E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92CBF1A" w14:textId="635039C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04AC0C2F" w14:textId="6B3A0B7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8661166"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49E5773"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trg (kolesarnica)</w:t>
            </w:r>
          </w:p>
        </w:tc>
        <w:tc>
          <w:tcPr>
            <w:tcW w:w="1853" w:type="dxa"/>
            <w:tcBorders>
              <w:top w:val="nil"/>
              <w:left w:val="nil"/>
              <w:bottom w:val="single" w:sz="4" w:space="0" w:color="auto"/>
              <w:right w:val="single" w:sz="4" w:space="0" w:color="auto"/>
            </w:tcBorders>
            <w:shd w:val="clear" w:color="000000" w:fill="FFFFFF"/>
            <w:noWrap/>
            <w:vAlign w:val="bottom"/>
            <w:hideMark/>
          </w:tcPr>
          <w:p w14:paraId="498D8336" w14:textId="2661428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54EF7D71" w14:textId="7AE5F93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2AC3531" w14:textId="2AFCBA7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238143D0" w14:textId="75831E4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1134015" w14:textId="7ADCD4F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A8E34FA" w14:textId="73C548F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C93425F" w14:textId="1E060C7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190CEF5B"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0EB65C8F"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telovadnica</w:t>
            </w:r>
          </w:p>
        </w:tc>
        <w:tc>
          <w:tcPr>
            <w:tcW w:w="1853" w:type="dxa"/>
            <w:tcBorders>
              <w:top w:val="nil"/>
              <w:left w:val="nil"/>
              <w:bottom w:val="single" w:sz="4" w:space="0" w:color="auto"/>
              <w:right w:val="single" w:sz="4" w:space="0" w:color="auto"/>
            </w:tcBorders>
            <w:shd w:val="clear" w:color="000000" w:fill="FFFFFF"/>
            <w:noWrap/>
            <w:vAlign w:val="bottom"/>
            <w:hideMark/>
          </w:tcPr>
          <w:p w14:paraId="0509A003" w14:textId="1F04A71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5D4C4032" w14:textId="1AA1E4C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147A557" w14:textId="793FFCC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449ED904" w14:textId="6F3F08F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1CF84333" w14:textId="28CA062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B36BFB5" w14:textId="6A4B946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E658E31" w14:textId="5CAD73F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285B8086"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20472BC9"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Parkirišča za kolesa - park</w:t>
            </w:r>
          </w:p>
        </w:tc>
        <w:tc>
          <w:tcPr>
            <w:tcW w:w="1853" w:type="dxa"/>
            <w:tcBorders>
              <w:top w:val="nil"/>
              <w:left w:val="nil"/>
              <w:bottom w:val="single" w:sz="4" w:space="0" w:color="auto"/>
              <w:right w:val="single" w:sz="4" w:space="0" w:color="auto"/>
            </w:tcBorders>
            <w:shd w:val="clear" w:color="000000" w:fill="FFFFFF"/>
            <w:noWrap/>
            <w:vAlign w:val="bottom"/>
            <w:hideMark/>
          </w:tcPr>
          <w:p w14:paraId="65677A8F" w14:textId="28968BE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4DD5B729" w14:textId="3A2738B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AE0795D" w14:textId="659867D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09C939E" w14:textId="322D941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1D7DC09" w14:textId="50E83BC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120EB42" w14:textId="4399F0C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6EE2056" w14:textId="1BCE378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FC30CCC" w14:textId="77777777" w:rsidTr="000020F0">
        <w:trPr>
          <w:trHeight w:val="300"/>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95E6321"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Avtobusno postajališče - nivo ceste</w:t>
            </w:r>
          </w:p>
        </w:tc>
        <w:tc>
          <w:tcPr>
            <w:tcW w:w="1853" w:type="dxa"/>
            <w:tcBorders>
              <w:top w:val="nil"/>
              <w:left w:val="nil"/>
              <w:bottom w:val="single" w:sz="4" w:space="0" w:color="auto"/>
              <w:right w:val="single" w:sz="4" w:space="0" w:color="auto"/>
            </w:tcBorders>
            <w:shd w:val="clear" w:color="000000" w:fill="FFFFFF"/>
            <w:noWrap/>
            <w:vAlign w:val="bottom"/>
            <w:hideMark/>
          </w:tcPr>
          <w:p w14:paraId="150DC9A6" w14:textId="571A081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4CFDA4EB" w14:textId="16B0666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39ACAD61" w14:textId="4B52240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0842C32" w14:textId="40B2817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59A0385A" w14:textId="6563012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29ECBC1" w14:textId="16AE615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0FB9D01" w14:textId="4C25509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74309E3"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58CEDB5B"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Sanitarije</w:t>
            </w:r>
          </w:p>
        </w:tc>
        <w:tc>
          <w:tcPr>
            <w:tcW w:w="1853" w:type="dxa"/>
            <w:tcBorders>
              <w:top w:val="nil"/>
              <w:left w:val="nil"/>
              <w:bottom w:val="single" w:sz="4" w:space="0" w:color="auto"/>
              <w:right w:val="single" w:sz="4" w:space="0" w:color="auto"/>
            </w:tcBorders>
            <w:shd w:val="clear" w:color="000000" w:fill="FFFFFF"/>
            <w:noWrap/>
            <w:vAlign w:val="bottom"/>
            <w:hideMark/>
          </w:tcPr>
          <w:p w14:paraId="12C20575" w14:textId="41E7104D"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38581359" w14:textId="550CDA38"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25EB1FDD" w14:textId="04787C32"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483235A7" w14:textId="6C453E78"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94135BD" w14:textId="7125C89D"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5B766FA" w14:textId="5480C275"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7F6846C" w14:textId="20F5EBA1"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r>
      <w:tr w:rsidR="000020F0" w:rsidRPr="000020F0" w14:paraId="6CFCA41E" w14:textId="77777777" w:rsidTr="000020F0">
        <w:trPr>
          <w:trHeight w:val="300"/>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41DF1D76"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Avtobusno postajališče - nadstrešnica</w:t>
            </w:r>
          </w:p>
        </w:tc>
        <w:tc>
          <w:tcPr>
            <w:tcW w:w="1853" w:type="dxa"/>
            <w:tcBorders>
              <w:top w:val="nil"/>
              <w:left w:val="nil"/>
              <w:bottom w:val="single" w:sz="4" w:space="0" w:color="auto"/>
              <w:right w:val="single" w:sz="4" w:space="0" w:color="auto"/>
            </w:tcBorders>
            <w:shd w:val="clear" w:color="000000" w:fill="FFFFFF"/>
            <w:noWrap/>
            <w:vAlign w:val="bottom"/>
            <w:hideMark/>
          </w:tcPr>
          <w:p w14:paraId="277A0319" w14:textId="37B4AEA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0ED597A6" w14:textId="01C74ED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33276C4F" w14:textId="0F8C0F6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A72E499" w14:textId="7557B4F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4B88983" w14:textId="1EF42CD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6804ED0" w14:textId="0A7DBCD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635C74E0" w14:textId="6E3C06A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6CDF1B3E" w14:textId="77777777" w:rsidTr="000020F0">
        <w:trPr>
          <w:trHeight w:val="285"/>
        </w:trPr>
        <w:tc>
          <w:tcPr>
            <w:tcW w:w="4096" w:type="dxa"/>
            <w:tcBorders>
              <w:top w:val="nil"/>
              <w:left w:val="single" w:sz="4" w:space="0" w:color="auto"/>
              <w:bottom w:val="single" w:sz="4" w:space="0" w:color="auto"/>
              <w:right w:val="single" w:sz="4" w:space="0" w:color="auto"/>
            </w:tcBorders>
            <w:shd w:val="clear" w:color="000000" w:fill="FFFFFF"/>
            <w:noWrap/>
            <w:vAlign w:val="bottom"/>
            <w:hideMark/>
          </w:tcPr>
          <w:p w14:paraId="3330FE92"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Parkirišče z vhodom v šolo</w:t>
            </w:r>
          </w:p>
        </w:tc>
        <w:tc>
          <w:tcPr>
            <w:tcW w:w="1853" w:type="dxa"/>
            <w:tcBorders>
              <w:top w:val="nil"/>
              <w:left w:val="nil"/>
              <w:bottom w:val="single" w:sz="4" w:space="0" w:color="auto"/>
              <w:right w:val="single" w:sz="4" w:space="0" w:color="auto"/>
            </w:tcBorders>
            <w:noWrap/>
            <w:vAlign w:val="bottom"/>
            <w:hideMark/>
          </w:tcPr>
          <w:p w14:paraId="79A301A0" w14:textId="6FAB77C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414.728,58</w:t>
            </w:r>
          </w:p>
        </w:tc>
        <w:tc>
          <w:tcPr>
            <w:tcW w:w="1217" w:type="dxa"/>
            <w:tcBorders>
              <w:top w:val="nil"/>
              <w:left w:val="single" w:sz="4" w:space="0" w:color="auto"/>
              <w:bottom w:val="single" w:sz="4" w:space="0" w:color="auto"/>
              <w:right w:val="single" w:sz="4" w:space="0" w:color="auto"/>
            </w:tcBorders>
            <w:shd w:val="clear" w:color="000000" w:fill="FFFFFF"/>
            <w:noWrap/>
            <w:vAlign w:val="bottom"/>
            <w:hideMark/>
          </w:tcPr>
          <w:p w14:paraId="7D82481D" w14:textId="795D29B5"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shd w:val="clear" w:color="000000" w:fill="FFFFFF"/>
            <w:noWrap/>
            <w:vAlign w:val="bottom"/>
            <w:hideMark/>
          </w:tcPr>
          <w:p w14:paraId="0A157D72" w14:textId="15F41AE3"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shd w:val="clear" w:color="000000" w:fill="FFFFFF"/>
            <w:noWrap/>
            <w:vAlign w:val="bottom"/>
            <w:hideMark/>
          </w:tcPr>
          <w:p w14:paraId="757A2A18" w14:textId="486F4335"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shd w:val="clear" w:color="000000" w:fill="FFFFFF"/>
            <w:noWrap/>
            <w:vAlign w:val="bottom"/>
            <w:hideMark/>
          </w:tcPr>
          <w:p w14:paraId="6AADD6F3" w14:textId="0A281229"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shd w:val="clear" w:color="000000" w:fill="FFFFFF"/>
            <w:noWrap/>
            <w:vAlign w:val="bottom"/>
            <w:hideMark/>
          </w:tcPr>
          <w:p w14:paraId="2A1C0869" w14:textId="38DDB288"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414.728,58</w:t>
            </w:r>
          </w:p>
        </w:tc>
        <w:tc>
          <w:tcPr>
            <w:tcW w:w="1377" w:type="dxa"/>
            <w:tcBorders>
              <w:top w:val="nil"/>
              <w:left w:val="nil"/>
              <w:bottom w:val="single" w:sz="4" w:space="0" w:color="auto"/>
              <w:right w:val="single" w:sz="4" w:space="0" w:color="auto"/>
            </w:tcBorders>
            <w:shd w:val="clear" w:color="000000" w:fill="FFFFFF"/>
            <w:noWrap/>
            <w:vAlign w:val="bottom"/>
            <w:hideMark/>
          </w:tcPr>
          <w:p w14:paraId="107B7FB6" w14:textId="02FE4F3D" w:rsidR="000020F0" w:rsidRPr="000020F0" w:rsidRDefault="000020F0" w:rsidP="000020F0">
            <w:pPr>
              <w:jc w:val="right"/>
              <w:rPr>
                <w:rFonts w:asciiTheme="majorHAnsi" w:hAnsiTheme="majorHAnsi" w:cstheme="majorHAnsi"/>
                <w:i/>
                <w:iCs/>
                <w:color w:val="000000"/>
                <w:sz w:val="20"/>
                <w:szCs w:val="20"/>
              </w:rPr>
            </w:pPr>
            <w:r w:rsidRPr="000020F0">
              <w:rPr>
                <w:rFonts w:asciiTheme="majorHAnsi" w:hAnsiTheme="majorHAnsi" w:cstheme="majorHAnsi"/>
                <w:color w:val="000000"/>
                <w:sz w:val="20"/>
                <w:szCs w:val="20"/>
              </w:rPr>
              <w:t>0,00</w:t>
            </w:r>
          </w:p>
        </w:tc>
      </w:tr>
      <w:tr w:rsidR="000020F0" w:rsidRPr="000020F0" w14:paraId="3D639461" w14:textId="77777777" w:rsidTr="000020F0">
        <w:trPr>
          <w:trHeight w:val="300"/>
        </w:trPr>
        <w:tc>
          <w:tcPr>
            <w:tcW w:w="4096" w:type="dxa"/>
            <w:tcBorders>
              <w:top w:val="nil"/>
              <w:left w:val="single" w:sz="4" w:space="0" w:color="auto"/>
              <w:bottom w:val="single" w:sz="4" w:space="0" w:color="auto"/>
              <w:right w:val="single" w:sz="4" w:space="0" w:color="auto"/>
            </w:tcBorders>
            <w:shd w:val="clear" w:color="000000" w:fill="DAE9F8"/>
            <w:noWrap/>
            <w:vAlign w:val="bottom"/>
            <w:hideMark/>
          </w:tcPr>
          <w:p w14:paraId="46250738" w14:textId="77777777" w:rsidR="000020F0" w:rsidRPr="000020F0" w:rsidRDefault="000020F0" w:rsidP="000020F0">
            <w:pPr>
              <w:rPr>
                <w:rFonts w:asciiTheme="majorHAnsi" w:hAnsiTheme="majorHAnsi" w:cstheme="majorHAnsi"/>
                <w:b/>
                <w:bCs/>
                <w:i/>
                <w:iCs/>
                <w:color w:val="000000"/>
                <w:sz w:val="20"/>
                <w:szCs w:val="20"/>
              </w:rPr>
            </w:pPr>
            <w:r w:rsidRPr="000020F0">
              <w:rPr>
                <w:rFonts w:asciiTheme="majorHAnsi" w:hAnsiTheme="majorHAnsi" w:cstheme="majorHAnsi"/>
                <w:b/>
                <w:bCs/>
                <w:i/>
                <w:iCs/>
                <w:color w:val="000000"/>
                <w:sz w:val="20"/>
                <w:szCs w:val="20"/>
              </w:rPr>
              <w:t>Skupaj GOI dela</w:t>
            </w:r>
          </w:p>
        </w:tc>
        <w:tc>
          <w:tcPr>
            <w:tcW w:w="1853" w:type="dxa"/>
            <w:tcBorders>
              <w:top w:val="nil"/>
              <w:left w:val="nil"/>
              <w:bottom w:val="single" w:sz="4" w:space="0" w:color="auto"/>
              <w:right w:val="single" w:sz="4" w:space="0" w:color="auto"/>
            </w:tcBorders>
            <w:shd w:val="clear" w:color="000000" w:fill="DAE9F8"/>
            <w:noWrap/>
            <w:vAlign w:val="bottom"/>
            <w:hideMark/>
          </w:tcPr>
          <w:p w14:paraId="1592C630" w14:textId="3ADAE271"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i/>
                <w:iCs/>
                <w:color w:val="000000"/>
                <w:sz w:val="20"/>
                <w:szCs w:val="20"/>
              </w:rPr>
              <w:t>447.980,58</w:t>
            </w:r>
          </w:p>
        </w:tc>
        <w:tc>
          <w:tcPr>
            <w:tcW w:w="1217" w:type="dxa"/>
            <w:tcBorders>
              <w:top w:val="nil"/>
              <w:left w:val="single" w:sz="4" w:space="0" w:color="auto"/>
              <w:bottom w:val="single" w:sz="4" w:space="0" w:color="auto"/>
              <w:right w:val="single" w:sz="4" w:space="0" w:color="auto"/>
            </w:tcBorders>
            <w:shd w:val="clear" w:color="000000" w:fill="D9D9D9"/>
            <w:noWrap/>
            <w:vAlign w:val="bottom"/>
            <w:hideMark/>
          </w:tcPr>
          <w:p w14:paraId="3AC9E6EB" w14:textId="4CB3DE85"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shd w:val="clear" w:color="000000" w:fill="D9D9D9"/>
            <w:noWrap/>
            <w:vAlign w:val="bottom"/>
            <w:hideMark/>
          </w:tcPr>
          <w:p w14:paraId="6EACAA26" w14:textId="77C55D7B"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shd w:val="clear" w:color="000000" w:fill="D9D9D9"/>
            <w:noWrap/>
            <w:vAlign w:val="bottom"/>
            <w:hideMark/>
          </w:tcPr>
          <w:p w14:paraId="71085968" w14:textId="3EAA3DF5"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shd w:val="clear" w:color="000000" w:fill="D9D9D9"/>
            <w:noWrap/>
            <w:vAlign w:val="bottom"/>
            <w:hideMark/>
          </w:tcPr>
          <w:p w14:paraId="685AD04F" w14:textId="3F32AEC5"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shd w:val="clear" w:color="000000" w:fill="D9D9D9"/>
            <w:noWrap/>
            <w:vAlign w:val="bottom"/>
            <w:hideMark/>
          </w:tcPr>
          <w:p w14:paraId="7EF64555" w14:textId="1B6ECFE6"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447.980,59</w:t>
            </w:r>
          </w:p>
        </w:tc>
        <w:tc>
          <w:tcPr>
            <w:tcW w:w="1377" w:type="dxa"/>
            <w:tcBorders>
              <w:top w:val="nil"/>
              <w:left w:val="nil"/>
              <w:bottom w:val="single" w:sz="4" w:space="0" w:color="auto"/>
              <w:right w:val="single" w:sz="4" w:space="0" w:color="auto"/>
            </w:tcBorders>
            <w:shd w:val="clear" w:color="000000" w:fill="D9D9D9"/>
            <w:noWrap/>
            <w:vAlign w:val="bottom"/>
            <w:hideMark/>
          </w:tcPr>
          <w:p w14:paraId="48CEB787" w14:textId="49B8D8CA" w:rsidR="000020F0" w:rsidRPr="000020F0" w:rsidRDefault="000020F0" w:rsidP="000020F0">
            <w:pPr>
              <w:jc w:val="right"/>
              <w:rPr>
                <w:rFonts w:asciiTheme="majorHAnsi" w:hAnsiTheme="majorHAnsi" w:cstheme="majorHAnsi"/>
                <w:b/>
                <w:bCs/>
                <w:i/>
                <w:iCs/>
                <w:color w:val="000000"/>
                <w:sz w:val="20"/>
                <w:szCs w:val="20"/>
              </w:rPr>
            </w:pPr>
            <w:r w:rsidRPr="000020F0">
              <w:rPr>
                <w:rFonts w:asciiTheme="majorHAnsi" w:hAnsiTheme="majorHAnsi" w:cstheme="majorHAnsi"/>
                <w:color w:val="000000"/>
                <w:sz w:val="20"/>
                <w:szCs w:val="20"/>
              </w:rPr>
              <w:t>0,00</w:t>
            </w:r>
          </w:p>
        </w:tc>
      </w:tr>
      <w:tr w:rsidR="000020F0" w:rsidRPr="000020F0" w14:paraId="0BC2BCDA"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30401B04"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Strokovni nadzor</w:t>
            </w:r>
          </w:p>
        </w:tc>
        <w:tc>
          <w:tcPr>
            <w:tcW w:w="1853" w:type="dxa"/>
            <w:tcBorders>
              <w:top w:val="nil"/>
              <w:left w:val="nil"/>
              <w:bottom w:val="single" w:sz="4" w:space="0" w:color="auto"/>
              <w:right w:val="single" w:sz="4" w:space="0" w:color="auto"/>
            </w:tcBorders>
            <w:noWrap/>
            <w:vAlign w:val="bottom"/>
            <w:hideMark/>
          </w:tcPr>
          <w:p w14:paraId="265930C3" w14:textId="5FD3EFD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13.372,43</w:t>
            </w:r>
          </w:p>
        </w:tc>
        <w:tc>
          <w:tcPr>
            <w:tcW w:w="1217" w:type="dxa"/>
            <w:tcBorders>
              <w:top w:val="nil"/>
              <w:left w:val="single" w:sz="4" w:space="0" w:color="auto"/>
              <w:bottom w:val="single" w:sz="4" w:space="0" w:color="auto"/>
              <w:right w:val="single" w:sz="4" w:space="0" w:color="auto"/>
            </w:tcBorders>
            <w:noWrap/>
            <w:vAlign w:val="bottom"/>
            <w:hideMark/>
          </w:tcPr>
          <w:p w14:paraId="46B0672E" w14:textId="15DD816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78732E58" w14:textId="08016B7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5C5CF9D" w14:textId="218C617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0BABEBC" w14:textId="7BC85DD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3.479,10</w:t>
            </w:r>
          </w:p>
        </w:tc>
        <w:tc>
          <w:tcPr>
            <w:tcW w:w="1656" w:type="dxa"/>
            <w:tcBorders>
              <w:top w:val="nil"/>
              <w:left w:val="nil"/>
              <w:bottom w:val="single" w:sz="4" w:space="0" w:color="auto"/>
              <w:right w:val="single" w:sz="4" w:space="0" w:color="auto"/>
            </w:tcBorders>
            <w:noWrap/>
            <w:vAlign w:val="bottom"/>
            <w:hideMark/>
          </w:tcPr>
          <w:p w14:paraId="57340025" w14:textId="45CF539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9.597,95</w:t>
            </w:r>
          </w:p>
        </w:tc>
        <w:tc>
          <w:tcPr>
            <w:tcW w:w="1377" w:type="dxa"/>
            <w:tcBorders>
              <w:top w:val="nil"/>
              <w:left w:val="nil"/>
              <w:bottom w:val="single" w:sz="4" w:space="0" w:color="auto"/>
              <w:right w:val="single" w:sz="4" w:space="0" w:color="auto"/>
            </w:tcBorders>
            <w:noWrap/>
            <w:vAlign w:val="bottom"/>
            <w:hideMark/>
          </w:tcPr>
          <w:p w14:paraId="00F68115" w14:textId="20E13F3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295,38</w:t>
            </w:r>
          </w:p>
        </w:tc>
      </w:tr>
      <w:tr w:rsidR="000020F0" w:rsidRPr="000020F0" w14:paraId="1E3D573D"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48D3AFD8"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Projektna dokumentacija</w:t>
            </w:r>
          </w:p>
        </w:tc>
        <w:tc>
          <w:tcPr>
            <w:tcW w:w="1853" w:type="dxa"/>
            <w:tcBorders>
              <w:top w:val="nil"/>
              <w:left w:val="nil"/>
              <w:bottom w:val="single" w:sz="4" w:space="0" w:color="auto"/>
              <w:right w:val="single" w:sz="4" w:space="0" w:color="auto"/>
            </w:tcBorders>
            <w:noWrap/>
            <w:vAlign w:val="bottom"/>
            <w:hideMark/>
          </w:tcPr>
          <w:p w14:paraId="7C0DBCBB" w14:textId="2503C18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20.555,83</w:t>
            </w:r>
          </w:p>
        </w:tc>
        <w:tc>
          <w:tcPr>
            <w:tcW w:w="1217" w:type="dxa"/>
            <w:tcBorders>
              <w:top w:val="nil"/>
              <w:left w:val="single" w:sz="4" w:space="0" w:color="auto"/>
              <w:bottom w:val="single" w:sz="4" w:space="0" w:color="auto"/>
              <w:right w:val="single" w:sz="4" w:space="0" w:color="auto"/>
            </w:tcBorders>
            <w:noWrap/>
            <w:vAlign w:val="bottom"/>
            <w:hideMark/>
          </w:tcPr>
          <w:p w14:paraId="360E5090" w14:textId="5B99701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1.403,86</w:t>
            </w:r>
          </w:p>
        </w:tc>
        <w:tc>
          <w:tcPr>
            <w:tcW w:w="1536" w:type="dxa"/>
            <w:tcBorders>
              <w:top w:val="nil"/>
              <w:left w:val="nil"/>
              <w:bottom w:val="single" w:sz="4" w:space="0" w:color="auto"/>
              <w:right w:val="single" w:sz="4" w:space="0" w:color="auto"/>
            </w:tcBorders>
            <w:noWrap/>
            <w:vAlign w:val="bottom"/>
            <w:hideMark/>
          </w:tcPr>
          <w:p w14:paraId="5E357D40" w14:textId="42F4B74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13.185,12</w:t>
            </w:r>
          </w:p>
        </w:tc>
        <w:tc>
          <w:tcPr>
            <w:tcW w:w="1317" w:type="dxa"/>
            <w:tcBorders>
              <w:top w:val="nil"/>
              <w:left w:val="nil"/>
              <w:bottom w:val="single" w:sz="4" w:space="0" w:color="auto"/>
              <w:right w:val="single" w:sz="4" w:space="0" w:color="auto"/>
            </w:tcBorders>
            <w:noWrap/>
            <w:vAlign w:val="bottom"/>
            <w:hideMark/>
          </w:tcPr>
          <w:p w14:paraId="4512F164" w14:textId="27FB0BF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4.167,18</w:t>
            </w:r>
          </w:p>
        </w:tc>
        <w:tc>
          <w:tcPr>
            <w:tcW w:w="1357" w:type="dxa"/>
            <w:tcBorders>
              <w:top w:val="nil"/>
              <w:left w:val="nil"/>
              <w:bottom w:val="single" w:sz="4" w:space="0" w:color="auto"/>
              <w:right w:val="single" w:sz="4" w:space="0" w:color="auto"/>
            </w:tcBorders>
            <w:noWrap/>
            <w:vAlign w:val="bottom"/>
            <w:hideMark/>
          </w:tcPr>
          <w:p w14:paraId="02C36DD0" w14:textId="5F69130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768,52</w:t>
            </w:r>
          </w:p>
        </w:tc>
        <w:tc>
          <w:tcPr>
            <w:tcW w:w="1656" w:type="dxa"/>
            <w:tcBorders>
              <w:top w:val="nil"/>
              <w:left w:val="nil"/>
              <w:bottom w:val="single" w:sz="4" w:space="0" w:color="auto"/>
              <w:right w:val="single" w:sz="4" w:space="0" w:color="auto"/>
            </w:tcBorders>
            <w:noWrap/>
            <w:vAlign w:val="bottom"/>
            <w:hideMark/>
          </w:tcPr>
          <w:p w14:paraId="1E5867EE" w14:textId="39E9F57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784,65</w:t>
            </w:r>
          </w:p>
        </w:tc>
        <w:tc>
          <w:tcPr>
            <w:tcW w:w="1377" w:type="dxa"/>
            <w:tcBorders>
              <w:top w:val="nil"/>
              <w:left w:val="nil"/>
              <w:bottom w:val="single" w:sz="4" w:space="0" w:color="auto"/>
              <w:right w:val="single" w:sz="4" w:space="0" w:color="auto"/>
            </w:tcBorders>
            <w:noWrap/>
            <w:vAlign w:val="bottom"/>
            <w:hideMark/>
          </w:tcPr>
          <w:p w14:paraId="4097E51D" w14:textId="5B57A32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246,50</w:t>
            </w:r>
          </w:p>
        </w:tc>
      </w:tr>
      <w:tr w:rsidR="000020F0" w:rsidRPr="000020F0" w14:paraId="61217588"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32488080"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Svetovalni inženiring</w:t>
            </w:r>
          </w:p>
        </w:tc>
        <w:tc>
          <w:tcPr>
            <w:tcW w:w="1853" w:type="dxa"/>
            <w:tcBorders>
              <w:top w:val="nil"/>
              <w:left w:val="nil"/>
              <w:bottom w:val="single" w:sz="4" w:space="0" w:color="auto"/>
              <w:right w:val="single" w:sz="4" w:space="0" w:color="auto"/>
            </w:tcBorders>
            <w:noWrap/>
            <w:vAlign w:val="bottom"/>
            <w:hideMark/>
          </w:tcPr>
          <w:p w14:paraId="227670F7" w14:textId="16B2D85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34D86BA1" w14:textId="467B596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6DA5C64B" w14:textId="7E4F791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BB51E0A" w14:textId="0D059D7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E4E2399" w14:textId="0F3980B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6B886BD" w14:textId="4BD2159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0015D88E" w14:textId="0D292D5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1F22F0D" w14:textId="77777777" w:rsidTr="000020F0">
        <w:trPr>
          <w:trHeight w:val="300"/>
        </w:trPr>
        <w:tc>
          <w:tcPr>
            <w:tcW w:w="4096" w:type="dxa"/>
            <w:tcBorders>
              <w:top w:val="nil"/>
              <w:left w:val="single" w:sz="4" w:space="0" w:color="auto"/>
              <w:bottom w:val="single" w:sz="4" w:space="0" w:color="auto"/>
              <w:right w:val="single" w:sz="4" w:space="0" w:color="auto"/>
            </w:tcBorders>
            <w:noWrap/>
            <w:vAlign w:val="bottom"/>
            <w:hideMark/>
          </w:tcPr>
          <w:p w14:paraId="5BA6DA37"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Obveščanje javnosti</w:t>
            </w:r>
          </w:p>
        </w:tc>
        <w:tc>
          <w:tcPr>
            <w:tcW w:w="1853" w:type="dxa"/>
            <w:tcBorders>
              <w:top w:val="nil"/>
              <w:left w:val="nil"/>
              <w:bottom w:val="single" w:sz="4" w:space="0" w:color="auto"/>
              <w:right w:val="single" w:sz="4" w:space="0" w:color="auto"/>
            </w:tcBorders>
            <w:noWrap/>
            <w:vAlign w:val="bottom"/>
            <w:hideMark/>
          </w:tcPr>
          <w:p w14:paraId="2B0E6877" w14:textId="7BF4EA7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62CA7A11" w14:textId="219D8F6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CB9BA0B" w14:textId="347257E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4C22DFA2" w14:textId="0FDE546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70EA270F" w14:textId="63CB961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1E96927" w14:textId="0A302BA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273DD00" w14:textId="5E995DF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D1B6D6D"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0303EEB4"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Investicijska in ostala dokumentacija</w:t>
            </w:r>
          </w:p>
        </w:tc>
        <w:tc>
          <w:tcPr>
            <w:tcW w:w="1853" w:type="dxa"/>
            <w:tcBorders>
              <w:top w:val="nil"/>
              <w:left w:val="nil"/>
              <w:bottom w:val="single" w:sz="4" w:space="0" w:color="auto"/>
              <w:right w:val="single" w:sz="4" w:space="0" w:color="auto"/>
            </w:tcBorders>
            <w:noWrap/>
            <w:vAlign w:val="bottom"/>
            <w:hideMark/>
          </w:tcPr>
          <w:p w14:paraId="48E90EDC" w14:textId="3599BF1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700,00</w:t>
            </w:r>
          </w:p>
        </w:tc>
        <w:tc>
          <w:tcPr>
            <w:tcW w:w="1217" w:type="dxa"/>
            <w:tcBorders>
              <w:top w:val="nil"/>
              <w:left w:val="single" w:sz="4" w:space="0" w:color="auto"/>
              <w:bottom w:val="single" w:sz="4" w:space="0" w:color="auto"/>
              <w:right w:val="single" w:sz="4" w:space="0" w:color="auto"/>
            </w:tcBorders>
            <w:noWrap/>
            <w:vAlign w:val="bottom"/>
            <w:hideMark/>
          </w:tcPr>
          <w:p w14:paraId="2FEBF2DB" w14:textId="636961F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700,00</w:t>
            </w:r>
          </w:p>
        </w:tc>
        <w:tc>
          <w:tcPr>
            <w:tcW w:w="1536" w:type="dxa"/>
            <w:tcBorders>
              <w:top w:val="nil"/>
              <w:left w:val="nil"/>
              <w:bottom w:val="single" w:sz="4" w:space="0" w:color="auto"/>
              <w:right w:val="single" w:sz="4" w:space="0" w:color="auto"/>
            </w:tcBorders>
            <w:noWrap/>
            <w:vAlign w:val="bottom"/>
            <w:hideMark/>
          </w:tcPr>
          <w:p w14:paraId="09D07961" w14:textId="3202ABE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1DCD2C19" w14:textId="4330969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632174DA" w14:textId="2E229E2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158CAAC3" w14:textId="6D55096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07FACF7" w14:textId="2B04CC4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38F46AF3"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3041C571"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Stroški varnosti pri delu</w:t>
            </w:r>
          </w:p>
        </w:tc>
        <w:tc>
          <w:tcPr>
            <w:tcW w:w="1853" w:type="dxa"/>
            <w:tcBorders>
              <w:top w:val="nil"/>
              <w:left w:val="nil"/>
              <w:bottom w:val="single" w:sz="4" w:space="0" w:color="auto"/>
              <w:right w:val="single" w:sz="4" w:space="0" w:color="auto"/>
            </w:tcBorders>
            <w:noWrap/>
            <w:vAlign w:val="bottom"/>
            <w:hideMark/>
          </w:tcPr>
          <w:p w14:paraId="66404788" w14:textId="678F83C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1.419,60</w:t>
            </w:r>
          </w:p>
        </w:tc>
        <w:tc>
          <w:tcPr>
            <w:tcW w:w="1217" w:type="dxa"/>
            <w:tcBorders>
              <w:top w:val="nil"/>
              <w:left w:val="single" w:sz="4" w:space="0" w:color="auto"/>
              <w:bottom w:val="single" w:sz="4" w:space="0" w:color="auto"/>
              <w:right w:val="single" w:sz="4" w:space="0" w:color="auto"/>
            </w:tcBorders>
            <w:noWrap/>
            <w:vAlign w:val="bottom"/>
            <w:hideMark/>
          </w:tcPr>
          <w:p w14:paraId="4B05112F" w14:textId="70E9C02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C711DAE" w14:textId="2D8676C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3A8C5B60" w14:textId="54E646F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59A506F" w14:textId="22333FB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555,04</w:t>
            </w:r>
          </w:p>
        </w:tc>
        <w:tc>
          <w:tcPr>
            <w:tcW w:w="1656" w:type="dxa"/>
            <w:tcBorders>
              <w:top w:val="nil"/>
              <w:left w:val="nil"/>
              <w:bottom w:val="single" w:sz="4" w:space="0" w:color="auto"/>
              <w:right w:val="single" w:sz="4" w:space="0" w:color="auto"/>
            </w:tcBorders>
            <w:noWrap/>
            <w:vAlign w:val="bottom"/>
            <w:hideMark/>
          </w:tcPr>
          <w:p w14:paraId="7C0C9500" w14:textId="2A92134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314,40</w:t>
            </w:r>
          </w:p>
        </w:tc>
        <w:tc>
          <w:tcPr>
            <w:tcW w:w="1377" w:type="dxa"/>
            <w:tcBorders>
              <w:top w:val="nil"/>
              <w:left w:val="nil"/>
              <w:bottom w:val="single" w:sz="4" w:space="0" w:color="auto"/>
              <w:right w:val="single" w:sz="4" w:space="0" w:color="auto"/>
            </w:tcBorders>
            <w:noWrap/>
            <w:vAlign w:val="bottom"/>
            <w:hideMark/>
          </w:tcPr>
          <w:p w14:paraId="09BD29AC" w14:textId="3DA3234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550,16</w:t>
            </w:r>
          </w:p>
        </w:tc>
      </w:tr>
      <w:tr w:rsidR="000020F0" w:rsidRPr="000020F0" w14:paraId="4713F9DE"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13B7C05A"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Arheologija</w:t>
            </w:r>
          </w:p>
        </w:tc>
        <w:tc>
          <w:tcPr>
            <w:tcW w:w="1853" w:type="dxa"/>
            <w:tcBorders>
              <w:top w:val="nil"/>
              <w:left w:val="nil"/>
              <w:bottom w:val="single" w:sz="4" w:space="0" w:color="auto"/>
              <w:right w:val="single" w:sz="4" w:space="0" w:color="auto"/>
            </w:tcBorders>
            <w:noWrap/>
            <w:vAlign w:val="bottom"/>
            <w:hideMark/>
          </w:tcPr>
          <w:p w14:paraId="0B5AE888" w14:textId="3EB0751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217" w:type="dxa"/>
            <w:tcBorders>
              <w:top w:val="nil"/>
              <w:left w:val="single" w:sz="4" w:space="0" w:color="auto"/>
              <w:bottom w:val="single" w:sz="4" w:space="0" w:color="auto"/>
              <w:right w:val="single" w:sz="4" w:space="0" w:color="auto"/>
            </w:tcBorders>
            <w:noWrap/>
            <w:vAlign w:val="bottom"/>
            <w:hideMark/>
          </w:tcPr>
          <w:p w14:paraId="399766D9" w14:textId="7EE2223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0516A94" w14:textId="12F5098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4E7257C7" w14:textId="6B54A49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139E46FD" w14:textId="797F05F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3A1603AB" w14:textId="3C0923A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99793F4" w14:textId="2706858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736F593"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646587CC"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lastRenderedPageBreak/>
              <w:t>Čiščenje in pregled kanalizacije</w:t>
            </w:r>
          </w:p>
        </w:tc>
        <w:tc>
          <w:tcPr>
            <w:tcW w:w="1853" w:type="dxa"/>
            <w:tcBorders>
              <w:top w:val="nil"/>
              <w:left w:val="nil"/>
              <w:bottom w:val="single" w:sz="4" w:space="0" w:color="auto"/>
              <w:right w:val="single" w:sz="4" w:space="0" w:color="auto"/>
            </w:tcBorders>
            <w:noWrap/>
            <w:vAlign w:val="bottom"/>
            <w:hideMark/>
          </w:tcPr>
          <w:p w14:paraId="26178842" w14:textId="060BA1E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3.352,16</w:t>
            </w:r>
          </w:p>
        </w:tc>
        <w:tc>
          <w:tcPr>
            <w:tcW w:w="1217" w:type="dxa"/>
            <w:tcBorders>
              <w:top w:val="nil"/>
              <w:left w:val="single" w:sz="4" w:space="0" w:color="auto"/>
              <w:bottom w:val="single" w:sz="4" w:space="0" w:color="auto"/>
              <w:right w:val="single" w:sz="4" w:space="0" w:color="auto"/>
            </w:tcBorders>
            <w:noWrap/>
            <w:vAlign w:val="bottom"/>
            <w:hideMark/>
          </w:tcPr>
          <w:p w14:paraId="6FD31C13" w14:textId="735F80B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10E8E56A" w14:textId="2AA2F87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1B5C52F" w14:textId="016DFDB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55A8653" w14:textId="6B006AF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3.352,16</w:t>
            </w:r>
          </w:p>
        </w:tc>
        <w:tc>
          <w:tcPr>
            <w:tcW w:w="1656" w:type="dxa"/>
            <w:tcBorders>
              <w:top w:val="nil"/>
              <w:left w:val="nil"/>
              <w:bottom w:val="single" w:sz="4" w:space="0" w:color="auto"/>
              <w:right w:val="single" w:sz="4" w:space="0" w:color="auto"/>
            </w:tcBorders>
            <w:noWrap/>
            <w:vAlign w:val="bottom"/>
            <w:hideMark/>
          </w:tcPr>
          <w:p w14:paraId="3CDFE75C" w14:textId="777071C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74BB79A7" w14:textId="66439C6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B6CB388"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7277F69E"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Nakup nepremičnine</w:t>
            </w:r>
          </w:p>
        </w:tc>
        <w:tc>
          <w:tcPr>
            <w:tcW w:w="1853" w:type="dxa"/>
            <w:tcBorders>
              <w:top w:val="nil"/>
              <w:left w:val="nil"/>
              <w:bottom w:val="single" w:sz="4" w:space="0" w:color="auto"/>
              <w:right w:val="single" w:sz="4" w:space="0" w:color="auto"/>
            </w:tcBorders>
            <w:noWrap/>
            <w:vAlign w:val="bottom"/>
            <w:hideMark/>
          </w:tcPr>
          <w:p w14:paraId="7F3D1304" w14:textId="201B4B3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280.000,00</w:t>
            </w:r>
          </w:p>
        </w:tc>
        <w:tc>
          <w:tcPr>
            <w:tcW w:w="1217" w:type="dxa"/>
            <w:tcBorders>
              <w:top w:val="nil"/>
              <w:left w:val="single" w:sz="4" w:space="0" w:color="auto"/>
              <w:bottom w:val="single" w:sz="4" w:space="0" w:color="auto"/>
              <w:right w:val="single" w:sz="4" w:space="0" w:color="auto"/>
            </w:tcBorders>
            <w:noWrap/>
            <w:vAlign w:val="bottom"/>
            <w:hideMark/>
          </w:tcPr>
          <w:p w14:paraId="650F77F6" w14:textId="037FFDB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280.000,00</w:t>
            </w:r>
          </w:p>
        </w:tc>
        <w:tc>
          <w:tcPr>
            <w:tcW w:w="1536" w:type="dxa"/>
            <w:tcBorders>
              <w:top w:val="nil"/>
              <w:left w:val="nil"/>
              <w:bottom w:val="single" w:sz="4" w:space="0" w:color="auto"/>
              <w:right w:val="single" w:sz="4" w:space="0" w:color="auto"/>
            </w:tcBorders>
            <w:noWrap/>
            <w:vAlign w:val="bottom"/>
            <w:hideMark/>
          </w:tcPr>
          <w:p w14:paraId="1D7A0DC8" w14:textId="79B785A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E6F7D55" w14:textId="5D999A5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6281140" w14:textId="31FA203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0A2AA955" w14:textId="0660A8D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21AED6A1" w14:textId="6097CF5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774F1756" w14:textId="77777777" w:rsidTr="000020F0">
        <w:trPr>
          <w:trHeight w:val="300"/>
        </w:trPr>
        <w:tc>
          <w:tcPr>
            <w:tcW w:w="4096" w:type="dxa"/>
            <w:tcBorders>
              <w:top w:val="nil"/>
              <w:left w:val="single" w:sz="4" w:space="0" w:color="auto"/>
              <w:bottom w:val="single" w:sz="4" w:space="0" w:color="auto"/>
              <w:right w:val="single" w:sz="4" w:space="0" w:color="auto"/>
            </w:tcBorders>
            <w:noWrap/>
            <w:vAlign w:val="bottom"/>
            <w:hideMark/>
          </w:tcPr>
          <w:p w14:paraId="24304877"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Druga dela ob rušenju objekta (neobdavčeno)</w:t>
            </w:r>
          </w:p>
        </w:tc>
        <w:tc>
          <w:tcPr>
            <w:tcW w:w="1853" w:type="dxa"/>
            <w:tcBorders>
              <w:top w:val="nil"/>
              <w:left w:val="nil"/>
              <w:bottom w:val="single" w:sz="4" w:space="0" w:color="auto"/>
              <w:right w:val="single" w:sz="4" w:space="0" w:color="auto"/>
            </w:tcBorders>
            <w:noWrap/>
            <w:vAlign w:val="bottom"/>
            <w:hideMark/>
          </w:tcPr>
          <w:p w14:paraId="6B58D1D2" w14:textId="550335D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776,00</w:t>
            </w:r>
          </w:p>
        </w:tc>
        <w:tc>
          <w:tcPr>
            <w:tcW w:w="1217" w:type="dxa"/>
            <w:tcBorders>
              <w:top w:val="nil"/>
              <w:left w:val="single" w:sz="4" w:space="0" w:color="auto"/>
              <w:bottom w:val="single" w:sz="4" w:space="0" w:color="auto"/>
              <w:right w:val="single" w:sz="4" w:space="0" w:color="auto"/>
            </w:tcBorders>
            <w:noWrap/>
            <w:vAlign w:val="bottom"/>
            <w:hideMark/>
          </w:tcPr>
          <w:p w14:paraId="49766843" w14:textId="3CE8068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776,00</w:t>
            </w:r>
          </w:p>
        </w:tc>
        <w:tc>
          <w:tcPr>
            <w:tcW w:w="1536" w:type="dxa"/>
            <w:tcBorders>
              <w:top w:val="nil"/>
              <w:left w:val="nil"/>
              <w:bottom w:val="single" w:sz="4" w:space="0" w:color="auto"/>
              <w:right w:val="single" w:sz="4" w:space="0" w:color="auto"/>
            </w:tcBorders>
            <w:noWrap/>
            <w:vAlign w:val="bottom"/>
            <w:hideMark/>
          </w:tcPr>
          <w:p w14:paraId="5E8ABFA9" w14:textId="5774DDF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BE790C3" w14:textId="4452727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4DA93E90" w14:textId="01D2AB8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70D1FD37" w14:textId="3ADA5F4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2EC1E31" w14:textId="1E2B891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313BA3D9" w14:textId="77777777" w:rsidTr="000020F0">
        <w:trPr>
          <w:trHeight w:val="300"/>
        </w:trPr>
        <w:tc>
          <w:tcPr>
            <w:tcW w:w="4096" w:type="dxa"/>
            <w:tcBorders>
              <w:top w:val="nil"/>
              <w:left w:val="single" w:sz="4" w:space="0" w:color="auto"/>
              <w:bottom w:val="single" w:sz="4" w:space="0" w:color="auto"/>
              <w:right w:val="single" w:sz="4" w:space="0" w:color="auto"/>
            </w:tcBorders>
            <w:noWrap/>
            <w:vAlign w:val="bottom"/>
            <w:hideMark/>
          </w:tcPr>
          <w:p w14:paraId="303F40C5"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Druga dela ob rušenju objekta (9,5% DDV)</w:t>
            </w:r>
          </w:p>
        </w:tc>
        <w:tc>
          <w:tcPr>
            <w:tcW w:w="1853" w:type="dxa"/>
            <w:tcBorders>
              <w:top w:val="nil"/>
              <w:left w:val="nil"/>
              <w:bottom w:val="single" w:sz="4" w:space="0" w:color="auto"/>
              <w:right w:val="single" w:sz="4" w:space="0" w:color="auto"/>
            </w:tcBorders>
            <w:noWrap/>
            <w:vAlign w:val="bottom"/>
            <w:hideMark/>
          </w:tcPr>
          <w:p w14:paraId="05A4893B" w14:textId="59B4B16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545,96</w:t>
            </w:r>
          </w:p>
        </w:tc>
        <w:tc>
          <w:tcPr>
            <w:tcW w:w="1217" w:type="dxa"/>
            <w:tcBorders>
              <w:top w:val="nil"/>
              <w:left w:val="single" w:sz="4" w:space="0" w:color="auto"/>
              <w:bottom w:val="single" w:sz="4" w:space="0" w:color="auto"/>
              <w:right w:val="single" w:sz="4" w:space="0" w:color="auto"/>
            </w:tcBorders>
            <w:noWrap/>
            <w:vAlign w:val="bottom"/>
            <w:hideMark/>
          </w:tcPr>
          <w:p w14:paraId="143150BD" w14:textId="3661A89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545,96</w:t>
            </w:r>
          </w:p>
        </w:tc>
        <w:tc>
          <w:tcPr>
            <w:tcW w:w="1536" w:type="dxa"/>
            <w:tcBorders>
              <w:top w:val="nil"/>
              <w:left w:val="nil"/>
              <w:bottom w:val="single" w:sz="4" w:space="0" w:color="auto"/>
              <w:right w:val="single" w:sz="4" w:space="0" w:color="auto"/>
            </w:tcBorders>
            <w:noWrap/>
            <w:vAlign w:val="bottom"/>
            <w:hideMark/>
          </w:tcPr>
          <w:p w14:paraId="42F30DE5" w14:textId="6AF94CCA"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0168DC9E" w14:textId="2567E3D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2EE44562" w14:textId="395B8BB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06468BFC" w14:textId="453EFC3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B74F72F" w14:textId="18C7ED7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09039C47" w14:textId="77777777" w:rsidTr="000020F0">
        <w:trPr>
          <w:trHeight w:val="300"/>
        </w:trPr>
        <w:tc>
          <w:tcPr>
            <w:tcW w:w="4096" w:type="dxa"/>
            <w:tcBorders>
              <w:top w:val="nil"/>
              <w:left w:val="single" w:sz="4" w:space="0" w:color="auto"/>
              <w:bottom w:val="single" w:sz="4" w:space="0" w:color="auto"/>
              <w:right w:val="single" w:sz="4" w:space="0" w:color="auto"/>
            </w:tcBorders>
            <w:noWrap/>
            <w:vAlign w:val="bottom"/>
            <w:hideMark/>
          </w:tcPr>
          <w:p w14:paraId="58098EDA"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Druga dela ob rušenju objekta</w:t>
            </w:r>
          </w:p>
        </w:tc>
        <w:tc>
          <w:tcPr>
            <w:tcW w:w="1853" w:type="dxa"/>
            <w:tcBorders>
              <w:top w:val="nil"/>
              <w:left w:val="nil"/>
              <w:bottom w:val="single" w:sz="4" w:space="0" w:color="auto"/>
              <w:right w:val="single" w:sz="4" w:space="0" w:color="auto"/>
            </w:tcBorders>
            <w:noWrap/>
            <w:vAlign w:val="bottom"/>
            <w:hideMark/>
          </w:tcPr>
          <w:p w14:paraId="01BA24EE" w14:textId="6429F75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5.483,07</w:t>
            </w:r>
          </w:p>
        </w:tc>
        <w:tc>
          <w:tcPr>
            <w:tcW w:w="1217" w:type="dxa"/>
            <w:tcBorders>
              <w:top w:val="nil"/>
              <w:left w:val="single" w:sz="4" w:space="0" w:color="auto"/>
              <w:bottom w:val="single" w:sz="4" w:space="0" w:color="auto"/>
              <w:right w:val="single" w:sz="4" w:space="0" w:color="auto"/>
            </w:tcBorders>
            <w:noWrap/>
            <w:vAlign w:val="bottom"/>
            <w:hideMark/>
          </w:tcPr>
          <w:p w14:paraId="5D2768DE" w14:textId="2A53428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5.483,07</w:t>
            </w:r>
          </w:p>
        </w:tc>
        <w:tc>
          <w:tcPr>
            <w:tcW w:w="1536" w:type="dxa"/>
            <w:tcBorders>
              <w:top w:val="nil"/>
              <w:left w:val="nil"/>
              <w:bottom w:val="single" w:sz="4" w:space="0" w:color="auto"/>
              <w:right w:val="single" w:sz="4" w:space="0" w:color="auto"/>
            </w:tcBorders>
            <w:noWrap/>
            <w:vAlign w:val="bottom"/>
            <w:hideMark/>
          </w:tcPr>
          <w:p w14:paraId="4BEF0582" w14:textId="3C4CEBB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2BB33C8C" w14:textId="69EB0D7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1626850E" w14:textId="1578C45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5ECB146B" w14:textId="6FE482D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2FDB3EC3" w14:textId="1180CA0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7585FD3"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6A8F16AC"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Vpis v kataster</w:t>
            </w:r>
          </w:p>
        </w:tc>
        <w:tc>
          <w:tcPr>
            <w:tcW w:w="1853" w:type="dxa"/>
            <w:tcBorders>
              <w:top w:val="nil"/>
              <w:left w:val="nil"/>
              <w:bottom w:val="single" w:sz="4" w:space="0" w:color="auto"/>
              <w:right w:val="single" w:sz="4" w:space="0" w:color="auto"/>
            </w:tcBorders>
            <w:noWrap/>
            <w:vAlign w:val="bottom"/>
            <w:hideMark/>
          </w:tcPr>
          <w:p w14:paraId="0E65BE3F" w14:textId="1C80A37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991,38</w:t>
            </w:r>
          </w:p>
        </w:tc>
        <w:tc>
          <w:tcPr>
            <w:tcW w:w="1217" w:type="dxa"/>
            <w:tcBorders>
              <w:top w:val="nil"/>
              <w:left w:val="single" w:sz="4" w:space="0" w:color="auto"/>
              <w:bottom w:val="single" w:sz="4" w:space="0" w:color="auto"/>
              <w:right w:val="single" w:sz="4" w:space="0" w:color="auto"/>
            </w:tcBorders>
            <w:noWrap/>
            <w:vAlign w:val="bottom"/>
            <w:hideMark/>
          </w:tcPr>
          <w:p w14:paraId="704030BB" w14:textId="7458EDD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699A5876" w14:textId="70905C7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6140A1AC" w14:textId="2D6AAFF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07873887" w14:textId="493EE8F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69903BE0" w14:textId="0A92E2FD"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5D56005A" w14:textId="5992FE50"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991,38</w:t>
            </w:r>
          </w:p>
        </w:tc>
      </w:tr>
      <w:tr w:rsidR="000020F0" w:rsidRPr="000020F0" w14:paraId="64026269"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24610768"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Geodetski načrt</w:t>
            </w:r>
          </w:p>
        </w:tc>
        <w:tc>
          <w:tcPr>
            <w:tcW w:w="1853" w:type="dxa"/>
            <w:tcBorders>
              <w:top w:val="nil"/>
              <w:left w:val="nil"/>
              <w:bottom w:val="single" w:sz="4" w:space="0" w:color="auto"/>
              <w:right w:val="single" w:sz="4" w:space="0" w:color="auto"/>
            </w:tcBorders>
            <w:noWrap/>
            <w:vAlign w:val="bottom"/>
            <w:hideMark/>
          </w:tcPr>
          <w:p w14:paraId="3965EDE2" w14:textId="7EC61D2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2.261,75</w:t>
            </w:r>
          </w:p>
        </w:tc>
        <w:tc>
          <w:tcPr>
            <w:tcW w:w="1217" w:type="dxa"/>
            <w:tcBorders>
              <w:top w:val="nil"/>
              <w:left w:val="single" w:sz="4" w:space="0" w:color="auto"/>
              <w:bottom w:val="single" w:sz="4" w:space="0" w:color="auto"/>
              <w:right w:val="single" w:sz="4" w:space="0" w:color="auto"/>
            </w:tcBorders>
            <w:noWrap/>
            <w:vAlign w:val="bottom"/>
            <w:hideMark/>
          </w:tcPr>
          <w:p w14:paraId="1663CD6C" w14:textId="1798417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0DCC654E" w14:textId="1CFD4248"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1.846,75</w:t>
            </w:r>
          </w:p>
        </w:tc>
        <w:tc>
          <w:tcPr>
            <w:tcW w:w="1317" w:type="dxa"/>
            <w:tcBorders>
              <w:top w:val="nil"/>
              <w:left w:val="nil"/>
              <w:bottom w:val="single" w:sz="4" w:space="0" w:color="auto"/>
              <w:right w:val="single" w:sz="4" w:space="0" w:color="auto"/>
            </w:tcBorders>
            <w:noWrap/>
            <w:vAlign w:val="bottom"/>
            <w:hideMark/>
          </w:tcPr>
          <w:p w14:paraId="7557163B" w14:textId="6C3E177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415,00</w:t>
            </w:r>
          </w:p>
        </w:tc>
        <w:tc>
          <w:tcPr>
            <w:tcW w:w="1357" w:type="dxa"/>
            <w:tcBorders>
              <w:top w:val="nil"/>
              <w:left w:val="nil"/>
              <w:bottom w:val="single" w:sz="4" w:space="0" w:color="auto"/>
              <w:right w:val="single" w:sz="4" w:space="0" w:color="auto"/>
            </w:tcBorders>
            <w:noWrap/>
            <w:vAlign w:val="bottom"/>
            <w:hideMark/>
          </w:tcPr>
          <w:p w14:paraId="28FCDEC7" w14:textId="78501DE9"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07FB5030" w14:textId="5811389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77" w:type="dxa"/>
            <w:tcBorders>
              <w:top w:val="nil"/>
              <w:left w:val="nil"/>
              <w:bottom w:val="single" w:sz="4" w:space="0" w:color="auto"/>
              <w:right w:val="single" w:sz="4" w:space="0" w:color="auto"/>
            </w:tcBorders>
            <w:noWrap/>
            <w:vAlign w:val="bottom"/>
            <w:hideMark/>
          </w:tcPr>
          <w:p w14:paraId="4F3FF763" w14:textId="7CB11286"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3515012B"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4A8640FE"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Baza cestnih podatkov</w:t>
            </w:r>
          </w:p>
        </w:tc>
        <w:tc>
          <w:tcPr>
            <w:tcW w:w="1853" w:type="dxa"/>
            <w:tcBorders>
              <w:top w:val="nil"/>
              <w:left w:val="nil"/>
              <w:bottom w:val="single" w:sz="4" w:space="0" w:color="auto"/>
              <w:right w:val="single" w:sz="4" w:space="0" w:color="auto"/>
            </w:tcBorders>
            <w:noWrap/>
            <w:vAlign w:val="bottom"/>
            <w:hideMark/>
          </w:tcPr>
          <w:p w14:paraId="1B782ADD" w14:textId="6EE670F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855,29</w:t>
            </w:r>
          </w:p>
        </w:tc>
        <w:tc>
          <w:tcPr>
            <w:tcW w:w="1217" w:type="dxa"/>
            <w:tcBorders>
              <w:top w:val="nil"/>
              <w:left w:val="single" w:sz="4" w:space="0" w:color="auto"/>
              <w:bottom w:val="single" w:sz="4" w:space="0" w:color="auto"/>
              <w:right w:val="single" w:sz="4" w:space="0" w:color="auto"/>
            </w:tcBorders>
            <w:noWrap/>
            <w:vAlign w:val="bottom"/>
            <w:hideMark/>
          </w:tcPr>
          <w:p w14:paraId="6C112AE9" w14:textId="493E7DA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69A8298C" w14:textId="132D838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734ED844" w14:textId="672D80B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32CBA4EF" w14:textId="03D2772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498344F5" w14:textId="40587F4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855,29</w:t>
            </w:r>
          </w:p>
        </w:tc>
        <w:tc>
          <w:tcPr>
            <w:tcW w:w="1377" w:type="dxa"/>
            <w:tcBorders>
              <w:top w:val="nil"/>
              <w:left w:val="nil"/>
              <w:bottom w:val="single" w:sz="4" w:space="0" w:color="auto"/>
              <w:right w:val="single" w:sz="4" w:space="0" w:color="auto"/>
            </w:tcBorders>
            <w:noWrap/>
            <w:vAlign w:val="bottom"/>
            <w:hideMark/>
          </w:tcPr>
          <w:p w14:paraId="4BF94691" w14:textId="6BB9264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42B8E1DA" w14:textId="77777777" w:rsidTr="000020F0">
        <w:trPr>
          <w:trHeight w:val="300"/>
        </w:trPr>
        <w:tc>
          <w:tcPr>
            <w:tcW w:w="4096" w:type="dxa"/>
            <w:tcBorders>
              <w:top w:val="nil"/>
              <w:left w:val="single" w:sz="4" w:space="0" w:color="auto"/>
              <w:bottom w:val="single" w:sz="4" w:space="0" w:color="auto"/>
              <w:right w:val="single" w:sz="4" w:space="0" w:color="auto"/>
            </w:tcBorders>
            <w:shd w:val="clear" w:color="000000" w:fill="D9D9D9"/>
            <w:noWrap/>
            <w:vAlign w:val="bottom"/>
            <w:hideMark/>
          </w:tcPr>
          <w:p w14:paraId="01DA95F5" w14:textId="77777777" w:rsidR="000020F0" w:rsidRPr="000020F0" w:rsidRDefault="000020F0" w:rsidP="000020F0">
            <w:pP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Skupaj brez DDV</w:t>
            </w:r>
          </w:p>
        </w:tc>
        <w:tc>
          <w:tcPr>
            <w:tcW w:w="1853" w:type="dxa"/>
            <w:tcBorders>
              <w:top w:val="nil"/>
              <w:left w:val="nil"/>
              <w:bottom w:val="single" w:sz="4" w:space="0" w:color="auto"/>
              <w:right w:val="single" w:sz="4" w:space="0" w:color="auto"/>
            </w:tcBorders>
            <w:shd w:val="clear" w:color="000000" w:fill="D9D9D9"/>
            <w:noWrap/>
            <w:vAlign w:val="bottom"/>
            <w:hideMark/>
          </w:tcPr>
          <w:p w14:paraId="39B7887C" w14:textId="70A1F16A"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778.294,06</w:t>
            </w:r>
          </w:p>
        </w:tc>
        <w:tc>
          <w:tcPr>
            <w:tcW w:w="1217" w:type="dxa"/>
            <w:tcBorders>
              <w:top w:val="nil"/>
              <w:left w:val="single" w:sz="4" w:space="0" w:color="auto"/>
              <w:bottom w:val="single" w:sz="4" w:space="0" w:color="auto"/>
              <w:right w:val="single" w:sz="4" w:space="0" w:color="auto"/>
            </w:tcBorders>
            <w:shd w:val="clear" w:color="000000" w:fill="D9D9D9"/>
            <w:noWrap/>
            <w:vAlign w:val="bottom"/>
            <w:hideMark/>
          </w:tcPr>
          <w:p w14:paraId="50FBC488" w14:textId="07E9F176"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288.908,89</w:t>
            </w:r>
          </w:p>
        </w:tc>
        <w:tc>
          <w:tcPr>
            <w:tcW w:w="1536" w:type="dxa"/>
            <w:tcBorders>
              <w:top w:val="nil"/>
              <w:left w:val="nil"/>
              <w:bottom w:val="single" w:sz="4" w:space="0" w:color="auto"/>
              <w:right w:val="single" w:sz="4" w:space="0" w:color="auto"/>
            </w:tcBorders>
            <w:shd w:val="clear" w:color="000000" w:fill="D9D9D9"/>
            <w:noWrap/>
            <w:vAlign w:val="bottom"/>
            <w:hideMark/>
          </w:tcPr>
          <w:p w14:paraId="65AF6AD3" w14:textId="34E8ED87"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15.031,87</w:t>
            </w:r>
          </w:p>
        </w:tc>
        <w:tc>
          <w:tcPr>
            <w:tcW w:w="1317" w:type="dxa"/>
            <w:tcBorders>
              <w:top w:val="nil"/>
              <w:left w:val="nil"/>
              <w:bottom w:val="single" w:sz="4" w:space="0" w:color="auto"/>
              <w:right w:val="single" w:sz="4" w:space="0" w:color="auto"/>
            </w:tcBorders>
            <w:shd w:val="clear" w:color="000000" w:fill="D9D9D9"/>
            <w:noWrap/>
            <w:vAlign w:val="bottom"/>
            <w:hideMark/>
          </w:tcPr>
          <w:p w14:paraId="15A1FD31" w14:textId="347BE379"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4.582,18</w:t>
            </w:r>
          </w:p>
        </w:tc>
        <w:tc>
          <w:tcPr>
            <w:tcW w:w="1357" w:type="dxa"/>
            <w:tcBorders>
              <w:top w:val="nil"/>
              <w:left w:val="nil"/>
              <w:bottom w:val="single" w:sz="4" w:space="0" w:color="auto"/>
              <w:right w:val="single" w:sz="4" w:space="0" w:color="auto"/>
            </w:tcBorders>
            <w:shd w:val="clear" w:color="000000" w:fill="D9D9D9"/>
            <w:noWrap/>
            <w:vAlign w:val="bottom"/>
            <w:hideMark/>
          </w:tcPr>
          <w:p w14:paraId="027B00CB" w14:textId="15268955"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8.154,81</w:t>
            </w:r>
          </w:p>
        </w:tc>
        <w:tc>
          <w:tcPr>
            <w:tcW w:w="1656" w:type="dxa"/>
            <w:tcBorders>
              <w:top w:val="nil"/>
              <w:left w:val="nil"/>
              <w:bottom w:val="single" w:sz="4" w:space="0" w:color="auto"/>
              <w:right w:val="single" w:sz="4" w:space="0" w:color="auto"/>
            </w:tcBorders>
            <w:shd w:val="clear" w:color="000000" w:fill="D9D9D9"/>
            <w:noWrap/>
            <w:vAlign w:val="bottom"/>
            <w:hideMark/>
          </w:tcPr>
          <w:p w14:paraId="43DA23DE" w14:textId="7E9E1E64"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459.532,89</w:t>
            </w:r>
          </w:p>
        </w:tc>
        <w:tc>
          <w:tcPr>
            <w:tcW w:w="1377" w:type="dxa"/>
            <w:tcBorders>
              <w:top w:val="nil"/>
              <w:left w:val="nil"/>
              <w:bottom w:val="single" w:sz="4" w:space="0" w:color="auto"/>
              <w:right w:val="single" w:sz="4" w:space="0" w:color="auto"/>
            </w:tcBorders>
            <w:shd w:val="clear" w:color="000000" w:fill="D9D9D9"/>
            <w:noWrap/>
            <w:vAlign w:val="bottom"/>
            <w:hideMark/>
          </w:tcPr>
          <w:p w14:paraId="229ED75D" w14:textId="251077DF"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2.083,42</w:t>
            </w:r>
          </w:p>
        </w:tc>
      </w:tr>
      <w:tr w:rsidR="000020F0" w:rsidRPr="000020F0" w14:paraId="0385B691"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49BD4495"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Davek na dodano vrednost</w:t>
            </w:r>
          </w:p>
        </w:tc>
        <w:tc>
          <w:tcPr>
            <w:tcW w:w="1853" w:type="dxa"/>
            <w:tcBorders>
              <w:top w:val="nil"/>
              <w:left w:val="nil"/>
              <w:bottom w:val="single" w:sz="4" w:space="0" w:color="auto"/>
              <w:right w:val="single" w:sz="4" w:space="0" w:color="auto"/>
            </w:tcBorders>
            <w:noWrap/>
            <w:vAlign w:val="bottom"/>
            <w:hideMark/>
          </w:tcPr>
          <w:p w14:paraId="7CFCE08A" w14:textId="624D11D7"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109.385,73</w:t>
            </w:r>
          </w:p>
        </w:tc>
        <w:tc>
          <w:tcPr>
            <w:tcW w:w="1217" w:type="dxa"/>
            <w:tcBorders>
              <w:top w:val="nil"/>
              <w:left w:val="single" w:sz="4" w:space="0" w:color="auto"/>
              <w:bottom w:val="single" w:sz="4" w:space="0" w:color="auto"/>
              <w:right w:val="single" w:sz="4" w:space="0" w:color="auto"/>
            </w:tcBorders>
            <w:noWrap/>
            <w:vAlign w:val="bottom"/>
            <w:hideMark/>
          </w:tcPr>
          <w:p w14:paraId="0C3F1B3A" w14:textId="736F7EA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1.720,99</w:t>
            </w:r>
          </w:p>
        </w:tc>
        <w:tc>
          <w:tcPr>
            <w:tcW w:w="1536" w:type="dxa"/>
            <w:tcBorders>
              <w:top w:val="nil"/>
              <w:left w:val="nil"/>
              <w:bottom w:val="single" w:sz="4" w:space="0" w:color="auto"/>
              <w:right w:val="single" w:sz="4" w:space="0" w:color="auto"/>
            </w:tcBorders>
            <w:noWrap/>
            <w:vAlign w:val="bottom"/>
            <w:hideMark/>
          </w:tcPr>
          <w:p w14:paraId="6C0434BE" w14:textId="2AB315D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3.307,01</w:t>
            </w:r>
          </w:p>
        </w:tc>
        <w:tc>
          <w:tcPr>
            <w:tcW w:w="1317" w:type="dxa"/>
            <w:tcBorders>
              <w:top w:val="nil"/>
              <w:left w:val="nil"/>
              <w:bottom w:val="single" w:sz="4" w:space="0" w:color="auto"/>
              <w:right w:val="single" w:sz="4" w:space="0" w:color="auto"/>
            </w:tcBorders>
            <w:noWrap/>
            <w:vAlign w:val="bottom"/>
            <w:hideMark/>
          </w:tcPr>
          <w:p w14:paraId="78685175" w14:textId="043B0BF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1.008,08</w:t>
            </w:r>
          </w:p>
        </w:tc>
        <w:tc>
          <w:tcPr>
            <w:tcW w:w="1357" w:type="dxa"/>
            <w:tcBorders>
              <w:top w:val="nil"/>
              <w:left w:val="nil"/>
              <w:bottom w:val="single" w:sz="4" w:space="0" w:color="auto"/>
              <w:right w:val="single" w:sz="4" w:space="0" w:color="auto"/>
            </w:tcBorders>
            <w:noWrap/>
            <w:vAlign w:val="bottom"/>
            <w:hideMark/>
          </w:tcPr>
          <w:p w14:paraId="550A0032" w14:textId="13D32C0B"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1.794,06</w:t>
            </w:r>
          </w:p>
        </w:tc>
        <w:tc>
          <w:tcPr>
            <w:tcW w:w="1656" w:type="dxa"/>
            <w:tcBorders>
              <w:top w:val="nil"/>
              <w:left w:val="nil"/>
              <w:bottom w:val="single" w:sz="4" w:space="0" w:color="auto"/>
              <w:right w:val="single" w:sz="4" w:space="0" w:color="auto"/>
            </w:tcBorders>
            <w:noWrap/>
            <w:vAlign w:val="bottom"/>
            <w:hideMark/>
          </w:tcPr>
          <w:p w14:paraId="7BB66064" w14:textId="5CD1F4C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101.097,24</w:t>
            </w:r>
          </w:p>
        </w:tc>
        <w:tc>
          <w:tcPr>
            <w:tcW w:w="1377" w:type="dxa"/>
            <w:tcBorders>
              <w:top w:val="nil"/>
              <w:left w:val="nil"/>
              <w:bottom w:val="single" w:sz="4" w:space="0" w:color="auto"/>
              <w:right w:val="single" w:sz="4" w:space="0" w:color="auto"/>
            </w:tcBorders>
            <w:noWrap/>
            <w:vAlign w:val="bottom"/>
            <w:hideMark/>
          </w:tcPr>
          <w:p w14:paraId="1E9CE18E" w14:textId="20E51EC3"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458,35</w:t>
            </w:r>
          </w:p>
        </w:tc>
      </w:tr>
      <w:tr w:rsidR="000020F0" w:rsidRPr="000020F0" w14:paraId="0336BAFC" w14:textId="77777777" w:rsidTr="000020F0">
        <w:trPr>
          <w:trHeight w:val="285"/>
        </w:trPr>
        <w:tc>
          <w:tcPr>
            <w:tcW w:w="4096" w:type="dxa"/>
            <w:tcBorders>
              <w:top w:val="nil"/>
              <w:left w:val="single" w:sz="4" w:space="0" w:color="auto"/>
              <w:bottom w:val="single" w:sz="4" w:space="0" w:color="auto"/>
              <w:right w:val="single" w:sz="4" w:space="0" w:color="auto"/>
            </w:tcBorders>
            <w:noWrap/>
            <w:vAlign w:val="bottom"/>
            <w:hideMark/>
          </w:tcPr>
          <w:p w14:paraId="3BB99212" w14:textId="77777777" w:rsidR="000020F0" w:rsidRPr="000020F0" w:rsidRDefault="000020F0" w:rsidP="000020F0">
            <w:pPr>
              <w:rPr>
                <w:rFonts w:asciiTheme="majorHAnsi" w:hAnsiTheme="majorHAnsi" w:cstheme="majorHAnsi"/>
                <w:color w:val="000000"/>
                <w:sz w:val="20"/>
                <w:szCs w:val="20"/>
              </w:rPr>
            </w:pPr>
            <w:r w:rsidRPr="000020F0">
              <w:rPr>
                <w:rFonts w:asciiTheme="majorHAnsi" w:hAnsiTheme="majorHAnsi" w:cstheme="majorHAnsi"/>
                <w:color w:val="000000"/>
                <w:sz w:val="20"/>
                <w:szCs w:val="20"/>
              </w:rPr>
              <w:t>Povračljiv davek na dodano vrednost</w:t>
            </w:r>
          </w:p>
        </w:tc>
        <w:tc>
          <w:tcPr>
            <w:tcW w:w="1853" w:type="dxa"/>
            <w:tcBorders>
              <w:top w:val="nil"/>
              <w:left w:val="nil"/>
              <w:bottom w:val="single" w:sz="4" w:space="0" w:color="auto"/>
              <w:right w:val="single" w:sz="4" w:space="0" w:color="auto"/>
            </w:tcBorders>
            <w:noWrap/>
            <w:vAlign w:val="bottom"/>
            <w:hideMark/>
          </w:tcPr>
          <w:p w14:paraId="59259B9F" w14:textId="13938EFE"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22.291,03</w:t>
            </w:r>
          </w:p>
        </w:tc>
        <w:tc>
          <w:tcPr>
            <w:tcW w:w="1217" w:type="dxa"/>
            <w:tcBorders>
              <w:top w:val="nil"/>
              <w:left w:val="single" w:sz="4" w:space="0" w:color="auto"/>
              <w:bottom w:val="single" w:sz="4" w:space="0" w:color="auto"/>
              <w:right w:val="single" w:sz="4" w:space="0" w:color="auto"/>
            </w:tcBorders>
            <w:noWrap/>
            <w:vAlign w:val="bottom"/>
            <w:hideMark/>
          </w:tcPr>
          <w:p w14:paraId="12D00FDC" w14:textId="46652A9C"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536" w:type="dxa"/>
            <w:tcBorders>
              <w:top w:val="nil"/>
              <w:left w:val="nil"/>
              <w:bottom w:val="single" w:sz="4" w:space="0" w:color="auto"/>
              <w:right w:val="single" w:sz="4" w:space="0" w:color="auto"/>
            </w:tcBorders>
            <w:noWrap/>
            <w:vAlign w:val="bottom"/>
            <w:hideMark/>
          </w:tcPr>
          <w:p w14:paraId="52FD3061" w14:textId="261E5F31"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17" w:type="dxa"/>
            <w:tcBorders>
              <w:top w:val="nil"/>
              <w:left w:val="nil"/>
              <w:bottom w:val="single" w:sz="4" w:space="0" w:color="auto"/>
              <w:right w:val="single" w:sz="4" w:space="0" w:color="auto"/>
            </w:tcBorders>
            <w:noWrap/>
            <w:vAlign w:val="bottom"/>
            <w:hideMark/>
          </w:tcPr>
          <w:p w14:paraId="5635E1B0" w14:textId="27FCB472"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357" w:type="dxa"/>
            <w:tcBorders>
              <w:top w:val="nil"/>
              <w:left w:val="nil"/>
              <w:bottom w:val="single" w:sz="4" w:space="0" w:color="auto"/>
              <w:right w:val="single" w:sz="4" w:space="0" w:color="auto"/>
            </w:tcBorders>
            <w:noWrap/>
            <w:vAlign w:val="bottom"/>
            <w:hideMark/>
          </w:tcPr>
          <w:p w14:paraId="6C1FFEB7" w14:textId="27FA3F15"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c>
          <w:tcPr>
            <w:tcW w:w="1656" w:type="dxa"/>
            <w:tcBorders>
              <w:top w:val="nil"/>
              <w:left w:val="nil"/>
              <w:bottom w:val="single" w:sz="4" w:space="0" w:color="auto"/>
              <w:right w:val="single" w:sz="4" w:space="0" w:color="auto"/>
            </w:tcBorders>
            <w:noWrap/>
            <w:vAlign w:val="bottom"/>
            <w:hideMark/>
          </w:tcPr>
          <w:p w14:paraId="227BB442" w14:textId="70B65614"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22.291,03</w:t>
            </w:r>
          </w:p>
        </w:tc>
        <w:tc>
          <w:tcPr>
            <w:tcW w:w="1377" w:type="dxa"/>
            <w:tcBorders>
              <w:top w:val="nil"/>
              <w:left w:val="nil"/>
              <w:bottom w:val="single" w:sz="4" w:space="0" w:color="auto"/>
              <w:right w:val="single" w:sz="4" w:space="0" w:color="auto"/>
            </w:tcBorders>
            <w:noWrap/>
            <w:vAlign w:val="bottom"/>
            <w:hideMark/>
          </w:tcPr>
          <w:p w14:paraId="7EBF1287" w14:textId="15B7FE9F" w:rsidR="000020F0" w:rsidRPr="000020F0" w:rsidRDefault="000020F0" w:rsidP="000020F0">
            <w:pPr>
              <w:jc w:val="right"/>
              <w:rPr>
                <w:rFonts w:asciiTheme="majorHAnsi" w:hAnsiTheme="majorHAnsi" w:cstheme="majorHAnsi"/>
                <w:color w:val="000000"/>
                <w:sz w:val="20"/>
                <w:szCs w:val="20"/>
              </w:rPr>
            </w:pPr>
            <w:r w:rsidRPr="000020F0">
              <w:rPr>
                <w:rFonts w:asciiTheme="majorHAnsi" w:hAnsiTheme="majorHAnsi" w:cstheme="majorHAnsi"/>
                <w:color w:val="000000"/>
                <w:sz w:val="20"/>
                <w:szCs w:val="20"/>
              </w:rPr>
              <w:t>0,00</w:t>
            </w:r>
          </w:p>
        </w:tc>
      </w:tr>
      <w:tr w:rsidR="000020F0" w:rsidRPr="000020F0" w14:paraId="55837ACD" w14:textId="77777777" w:rsidTr="000020F0">
        <w:trPr>
          <w:trHeight w:val="300"/>
        </w:trPr>
        <w:tc>
          <w:tcPr>
            <w:tcW w:w="4096" w:type="dxa"/>
            <w:tcBorders>
              <w:top w:val="nil"/>
              <w:left w:val="single" w:sz="4" w:space="0" w:color="auto"/>
              <w:bottom w:val="single" w:sz="4" w:space="0" w:color="auto"/>
              <w:right w:val="single" w:sz="4" w:space="0" w:color="auto"/>
            </w:tcBorders>
            <w:shd w:val="clear" w:color="000000" w:fill="D9D9D9"/>
            <w:noWrap/>
            <w:vAlign w:val="bottom"/>
            <w:hideMark/>
          </w:tcPr>
          <w:p w14:paraId="65B0056D" w14:textId="77777777" w:rsidR="000020F0" w:rsidRPr="000020F0" w:rsidRDefault="000020F0" w:rsidP="000020F0">
            <w:pPr>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Skupaj z davkom na dodano vrednost</w:t>
            </w:r>
          </w:p>
        </w:tc>
        <w:tc>
          <w:tcPr>
            <w:tcW w:w="1853" w:type="dxa"/>
            <w:tcBorders>
              <w:top w:val="nil"/>
              <w:left w:val="nil"/>
              <w:bottom w:val="single" w:sz="4" w:space="0" w:color="auto"/>
              <w:right w:val="single" w:sz="4" w:space="0" w:color="auto"/>
            </w:tcBorders>
            <w:shd w:val="clear" w:color="000000" w:fill="D9D9D9"/>
            <w:noWrap/>
            <w:vAlign w:val="bottom"/>
            <w:hideMark/>
          </w:tcPr>
          <w:p w14:paraId="2CCD0310" w14:textId="49A38BDB"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887.679,79</w:t>
            </w:r>
          </w:p>
        </w:tc>
        <w:tc>
          <w:tcPr>
            <w:tcW w:w="1217" w:type="dxa"/>
            <w:tcBorders>
              <w:top w:val="nil"/>
              <w:left w:val="single" w:sz="4" w:space="0" w:color="auto"/>
              <w:bottom w:val="single" w:sz="4" w:space="0" w:color="auto"/>
              <w:right w:val="single" w:sz="4" w:space="0" w:color="auto"/>
            </w:tcBorders>
            <w:shd w:val="clear" w:color="000000" w:fill="D9D9D9"/>
            <w:noWrap/>
            <w:vAlign w:val="bottom"/>
            <w:hideMark/>
          </w:tcPr>
          <w:p w14:paraId="4FFB4CD6" w14:textId="09161A75"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290.629,88</w:t>
            </w:r>
          </w:p>
        </w:tc>
        <w:tc>
          <w:tcPr>
            <w:tcW w:w="1536" w:type="dxa"/>
            <w:tcBorders>
              <w:top w:val="nil"/>
              <w:left w:val="nil"/>
              <w:bottom w:val="single" w:sz="4" w:space="0" w:color="auto"/>
              <w:right w:val="single" w:sz="4" w:space="0" w:color="auto"/>
            </w:tcBorders>
            <w:shd w:val="clear" w:color="000000" w:fill="D9D9D9"/>
            <w:noWrap/>
            <w:vAlign w:val="bottom"/>
            <w:hideMark/>
          </w:tcPr>
          <w:p w14:paraId="76BF8747" w14:textId="4E7BC553"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18.338,88</w:t>
            </w:r>
          </w:p>
        </w:tc>
        <w:tc>
          <w:tcPr>
            <w:tcW w:w="1317" w:type="dxa"/>
            <w:tcBorders>
              <w:top w:val="nil"/>
              <w:left w:val="nil"/>
              <w:bottom w:val="single" w:sz="4" w:space="0" w:color="auto"/>
              <w:right w:val="single" w:sz="4" w:space="0" w:color="auto"/>
            </w:tcBorders>
            <w:shd w:val="clear" w:color="000000" w:fill="D9D9D9"/>
            <w:noWrap/>
            <w:vAlign w:val="bottom"/>
            <w:hideMark/>
          </w:tcPr>
          <w:p w14:paraId="2CB5B152" w14:textId="309A5FA4"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5.590,26</w:t>
            </w:r>
          </w:p>
        </w:tc>
        <w:tc>
          <w:tcPr>
            <w:tcW w:w="1357" w:type="dxa"/>
            <w:tcBorders>
              <w:top w:val="nil"/>
              <w:left w:val="nil"/>
              <w:bottom w:val="single" w:sz="4" w:space="0" w:color="auto"/>
              <w:right w:val="single" w:sz="4" w:space="0" w:color="auto"/>
            </w:tcBorders>
            <w:shd w:val="clear" w:color="000000" w:fill="D9D9D9"/>
            <w:noWrap/>
            <w:vAlign w:val="bottom"/>
            <w:hideMark/>
          </w:tcPr>
          <w:p w14:paraId="51605A73" w14:textId="08F30245"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9.948,87</w:t>
            </w:r>
          </w:p>
        </w:tc>
        <w:tc>
          <w:tcPr>
            <w:tcW w:w="1656" w:type="dxa"/>
            <w:tcBorders>
              <w:top w:val="nil"/>
              <w:left w:val="nil"/>
              <w:bottom w:val="single" w:sz="4" w:space="0" w:color="auto"/>
              <w:right w:val="single" w:sz="4" w:space="0" w:color="auto"/>
            </w:tcBorders>
            <w:shd w:val="clear" w:color="000000" w:fill="D9D9D9"/>
            <w:noWrap/>
            <w:vAlign w:val="bottom"/>
            <w:hideMark/>
          </w:tcPr>
          <w:p w14:paraId="787AC870" w14:textId="4BE992AB"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560.630,13</w:t>
            </w:r>
          </w:p>
        </w:tc>
        <w:tc>
          <w:tcPr>
            <w:tcW w:w="1377" w:type="dxa"/>
            <w:tcBorders>
              <w:top w:val="nil"/>
              <w:left w:val="nil"/>
              <w:bottom w:val="single" w:sz="4" w:space="0" w:color="auto"/>
              <w:right w:val="single" w:sz="4" w:space="0" w:color="auto"/>
            </w:tcBorders>
            <w:shd w:val="clear" w:color="000000" w:fill="D9D9D9"/>
            <w:noWrap/>
            <w:vAlign w:val="bottom"/>
            <w:hideMark/>
          </w:tcPr>
          <w:p w14:paraId="196868A6" w14:textId="25EAD614" w:rsidR="000020F0" w:rsidRPr="000020F0" w:rsidRDefault="000020F0" w:rsidP="000020F0">
            <w:pPr>
              <w:jc w:val="right"/>
              <w:rPr>
                <w:rFonts w:asciiTheme="majorHAnsi" w:hAnsiTheme="majorHAnsi" w:cstheme="majorHAnsi"/>
                <w:b/>
                <w:bCs/>
                <w:color w:val="000000"/>
                <w:sz w:val="20"/>
                <w:szCs w:val="20"/>
              </w:rPr>
            </w:pPr>
            <w:r w:rsidRPr="000020F0">
              <w:rPr>
                <w:rFonts w:asciiTheme="majorHAnsi" w:hAnsiTheme="majorHAnsi" w:cstheme="majorHAnsi"/>
                <w:b/>
                <w:bCs/>
                <w:color w:val="000000"/>
                <w:sz w:val="20"/>
                <w:szCs w:val="20"/>
              </w:rPr>
              <w:t>2.541,77</w:t>
            </w:r>
          </w:p>
        </w:tc>
      </w:tr>
    </w:tbl>
    <w:p w14:paraId="70AFE5F9" w14:textId="77777777" w:rsidR="00FC3BB7" w:rsidRPr="000020F0" w:rsidRDefault="00FC3BB7" w:rsidP="00D63958">
      <w:pPr>
        <w:spacing w:after="120" w:line="276" w:lineRule="auto"/>
        <w:jc w:val="both"/>
        <w:rPr>
          <w:rFonts w:asciiTheme="majorHAnsi" w:hAnsiTheme="majorHAnsi" w:cstheme="majorHAnsi"/>
          <w:sz w:val="22"/>
          <w:szCs w:val="22"/>
        </w:rPr>
      </w:pPr>
    </w:p>
    <w:p w14:paraId="7A4BC485" w14:textId="0BDAB3B7" w:rsidR="00CF701C" w:rsidRPr="000020F0" w:rsidRDefault="00CF701C" w:rsidP="00CF701C">
      <w:pPr>
        <w:spacing w:after="120" w:line="276" w:lineRule="auto"/>
        <w:jc w:val="both"/>
        <w:rPr>
          <w:rFonts w:asciiTheme="majorHAnsi" w:hAnsiTheme="majorHAnsi" w:cstheme="majorHAnsi"/>
          <w:sz w:val="22"/>
          <w:szCs w:val="22"/>
        </w:rPr>
      </w:pPr>
      <w:bookmarkStart w:id="363" w:name="_Toc230882306"/>
      <w:r w:rsidRPr="000020F0">
        <w:rPr>
          <w:rFonts w:asciiTheme="majorHAnsi" w:hAnsiTheme="majorHAnsi" w:cstheme="majorHAnsi"/>
          <w:b/>
          <w:sz w:val="22"/>
          <w:szCs w:val="22"/>
        </w:rPr>
        <w:t xml:space="preserve">Tabela </w:t>
      </w:r>
      <w:r w:rsidRPr="000020F0">
        <w:rPr>
          <w:rFonts w:asciiTheme="majorHAnsi" w:hAnsiTheme="majorHAnsi" w:cstheme="majorHAnsi"/>
          <w:b/>
          <w:sz w:val="22"/>
          <w:szCs w:val="22"/>
        </w:rPr>
        <w:fldChar w:fldCharType="begin"/>
      </w:r>
      <w:r w:rsidRPr="000020F0">
        <w:rPr>
          <w:rFonts w:asciiTheme="majorHAnsi" w:hAnsiTheme="majorHAnsi" w:cstheme="majorHAnsi"/>
          <w:b/>
          <w:sz w:val="22"/>
          <w:szCs w:val="22"/>
        </w:rPr>
        <w:instrText xml:space="preserve"> SEQ Tabela \* ARABIC </w:instrText>
      </w:r>
      <w:r w:rsidRPr="000020F0">
        <w:rPr>
          <w:rFonts w:asciiTheme="majorHAnsi" w:hAnsiTheme="majorHAnsi" w:cstheme="majorHAnsi"/>
          <w:b/>
          <w:sz w:val="22"/>
          <w:szCs w:val="22"/>
        </w:rPr>
        <w:fldChar w:fldCharType="separate"/>
      </w:r>
      <w:r w:rsidR="00BB0C0C">
        <w:rPr>
          <w:rFonts w:asciiTheme="majorHAnsi" w:hAnsiTheme="majorHAnsi" w:cstheme="majorHAnsi"/>
          <w:b/>
          <w:noProof/>
          <w:sz w:val="22"/>
          <w:szCs w:val="22"/>
        </w:rPr>
        <w:t>26</w:t>
      </w:r>
      <w:r w:rsidRPr="000020F0">
        <w:rPr>
          <w:rFonts w:asciiTheme="majorHAnsi" w:hAnsiTheme="majorHAnsi" w:cstheme="majorHAnsi"/>
          <w:b/>
          <w:sz w:val="22"/>
          <w:szCs w:val="22"/>
        </w:rPr>
        <w:fldChar w:fldCharType="end"/>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Viri financiranja v tekočih cenah v EUR</w:t>
      </w:r>
      <w:bookmarkEnd w:id="363"/>
      <w:r w:rsidRPr="000020F0">
        <w:rPr>
          <w:rFonts w:asciiTheme="majorHAnsi" w:hAnsiTheme="majorHAnsi" w:cstheme="majorHAnsi"/>
          <w:sz w:val="22"/>
          <w:szCs w:val="22"/>
        </w:rPr>
        <w:t xml:space="preserve"> </w:t>
      </w:r>
    </w:p>
    <w:tbl>
      <w:tblPr>
        <w:tblW w:w="5000" w:type="pct"/>
        <w:tblCellMar>
          <w:left w:w="70" w:type="dxa"/>
          <w:right w:w="70" w:type="dxa"/>
        </w:tblCellMar>
        <w:tblLook w:val="04A0" w:firstRow="1" w:lastRow="0" w:firstColumn="1" w:lastColumn="0" w:noHBand="0" w:noVBand="1"/>
      </w:tblPr>
      <w:tblGrid>
        <w:gridCol w:w="2976"/>
        <w:gridCol w:w="1433"/>
        <w:gridCol w:w="1293"/>
        <w:gridCol w:w="1416"/>
        <w:gridCol w:w="1593"/>
        <w:gridCol w:w="1365"/>
        <w:gridCol w:w="1331"/>
        <w:gridCol w:w="1505"/>
        <w:gridCol w:w="1365"/>
      </w:tblGrid>
      <w:tr w:rsidR="002A2717" w:rsidRPr="000020F0" w14:paraId="264AF3AA" w14:textId="77777777" w:rsidTr="00A40EAC">
        <w:trPr>
          <w:trHeight w:val="300"/>
        </w:trPr>
        <w:tc>
          <w:tcPr>
            <w:tcW w:w="1042" w:type="pct"/>
            <w:tcBorders>
              <w:top w:val="single" w:sz="4" w:space="0" w:color="auto"/>
              <w:left w:val="single" w:sz="4" w:space="0" w:color="auto"/>
              <w:bottom w:val="single" w:sz="4" w:space="0" w:color="auto"/>
              <w:right w:val="single" w:sz="4" w:space="0" w:color="auto"/>
            </w:tcBorders>
            <w:shd w:val="clear" w:color="000000" w:fill="0B3040"/>
            <w:vAlign w:val="bottom"/>
            <w:hideMark/>
          </w:tcPr>
          <w:p w14:paraId="14850713" w14:textId="10EACE43" w:rsidR="002A2717" w:rsidRPr="000020F0" w:rsidRDefault="002A2717" w:rsidP="002A2717">
            <w:pPr>
              <w:rPr>
                <w:rFonts w:ascii="Arial" w:hAnsi="Arial" w:cs="Arial"/>
                <w:b/>
                <w:bCs/>
                <w:color w:val="FFFFFF"/>
                <w:sz w:val="20"/>
                <w:szCs w:val="20"/>
              </w:rPr>
            </w:pPr>
            <w:r w:rsidRPr="000020F0">
              <w:rPr>
                <w:rFonts w:ascii="Arial" w:hAnsi="Arial" w:cs="Arial"/>
                <w:b/>
                <w:bCs/>
                <w:color w:val="FFFFFF"/>
                <w:sz w:val="20"/>
                <w:szCs w:val="20"/>
              </w:rPr>
              <w:t>VIRI FINANCIRANJA</w:t>
            </w:r>
          </w:p>
        </w:tc>
        <w:tc>
          <w:tcPr>
            <w:tcW w:w="502" w:type="pct"/>
            <w:tcBorders>
              <w:top w:val="single" w:sz="4" w:space="0" w:color="auto"/>
              <w:left w:val="nil"/>
              <w:bottom w:val="single" w:sz="4" w:space="0" w:color="auto"/>
              <w:right w:val="single" w:sz="4" w:space="0" w:color="auto"/>
            </w:tcBorders>
            <w:shd w:val="clear" w:color="000000" w:fill="0B3040"/>
            <w:noWrap/>
            <w:vAlign w:val="bottom"/>
            <w:hideMark/>
          </w:tcPr>
          <w:p w14:paraId="4E6D162E" w14:textId="29B48AA8" w:rsidR="002A2717" w:rsidRPr="000020F0" w:rsidRDefault="002A2717" w:rsidP="002A2717">
            <w:pPr>
              <w:rPr>
                <w:rFonts w:ascii="Arial" w:hAnsi="Arial" w:cs="Arial"/>
                <w:b/>
                <w:bCs/>
                <w:color w:val="FFFFFF"/>
                <w:sz w:val="20"/>
                <w:szCs w:val="20"/>
              </w:rPr>
            </w:pPr>
            <w:r w:rsidRPr="000020F0">
              <w:rPr>
                <w:rFonts w:ascii="Arial" w:hAnsi="Arial" w:cs="Arial"/>
                <w:b/>
                <w:bCs/>
                <w:color w:val="FFFFFF"/>
                <w:sz w:val="20"/>
                <w:szCs w:val="20"/>
              </w:rPr>
              <w:t>SKUPAJ</w:t>
            </w:r>
          </w:p>
        </w:tc>
        <w:tc>
          <w:tcPr>
            <w:tcW w:w="453" w:type="pct"/>
            <w:tcBorders>
              <w:top w:val="single" w:sz="4" w:space="0" w:color="auto"/>
              <w:left w:val="nil"/>
              <w:bottom w:val="single" w:sz="4" w:space="0" w:color="auto"/>
              <w:right w:val="single" w:sz="4" w:space="0" w:color="auto"/>
            </w:tcBorders>
            <w:shd w:val="clear" w:color="000000" w:fill="0B3040"/>
            <w:noWrap/>
            <w:vAlign w:val="bottom"/>
            <w:hideMark/>
          </w:tcPr>
          <w:p w14:paraId="49F8B7FB" w14:textId="1862C8C5" w:rsidR="002A2717" w:rsidRPr="000020F0" w:rsidRDefault="002A2717" w:rsidP="002A2717">
            <w:pPr>
              <w:rPr>
                <w:rFonts w:ascii="Arial" w:hAnsi="Arial" w:cs="Arial"/>
                <w:b/>
                <w:bCs/>
                <w:color w:val="FFFFFF"/>
                <w:sz w:val="20"/>
                <w:szCs w:val="20"/>
              </w:rPr>
            </w:pPr>
            <w:r w:rsidRPr="000020F0">
              <w:rPr>
                <w:rFonts w:ascii="Arial" w:hAnsi="Arial" w:cs="Arial"/>
                <w:b/>
                <w:bCs/>
                <w:color w:val="FFFFFF"/>
                <w:sz w:val="20"/>
                <w:szCs w:val="20"/>
              </w:rPr>
              <w:t>DELEŽ</w:t>
            </w:r>
          </w:p>
        </w:tc>
        <w:tc>
          <w:tcPr>
            <w:tcW w:w="496" w:type="pct"/>
            <w:tcBorders>
              <w:top w:val="single" w:sz="4" w:space="0" w:color="auto"/>
              <w:left w:val="nil"/>
              <w:bottom w:val="single" w:sz="4" w:space="0" w:color="auto"/>
              <w:right w:val="single" w:sz="4" w:space="0" w:color="auto"/>
            </w:tcBorders>
            <w:shd w:val="clear" w:color="000000" w:fill="0B3040"/>
            <w:noWrap/>
            <w:vAlign w:val="bottom"/>
            <w:hideMark/>
          </w:tcPr>
          <w:p w14:paraId="65B6E6C8" w14:textId="08D5D763"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2024</w:t>
            </w:r>
          </w:p>
        </w:tc>
        <w:tc>
          <w:tcPr>
            <w:tcW w:w="558" w:type="pct"/>
            <w:tcBorders>
              <w:top w:val="single" w:sz="4" w:space="0" w:color="auto"/>
              <w:left w:val="nil"/>
              <w:bottom w:val="single" w:sz="4" w:space="0" w:color="auto"/>
              <w:right w:val="single" w:sz="4" w:space="0" w:color="auto"/>
            </w:tcBorders>
            <w:shd w:val="clear" w:color="000000" w:fill="0B3040"/>
            <w:noWrap/>
            <w:vAlign w:val="bottom"/>
            <w:hideMark/>
          </w:tcPr>
          <w:p w14:paraId="34C07540" w14:textId="447CA48F"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2025</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565EF5FC" w14:textId="3192E327"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2026</w:t>
            </w:r>
          </w:p>
        </w:tc>
        <w:tc>
          <w:tcPr>
            <w:tcW w:w="466" w:type="pct"/>
            <w:tcBorders>
              <w:top w:val="single" w:sz="4" w:space="0" w:color="auto"/>
              <w:left w:val="nil"/>
              <w:bottom w:val="single" w:sz="4" w:space="0" w:color="auto"/>
              <w:right w:val="single" w:sz="4" w:space="0" w:color="auto"/>
            </w:tcBorders>
            <w:shd w:val="clear" w:color="000000" w:fill="0B3040"/>
            <w:noWrap/>
            <w:vAlign w:val="bottom"/>
            <w:hideMark/>
          </w:tcPr>
          <w:p w14:paraId="140FA74E" w14:textId="731AB8CA"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2027</w:t>
            </w:r>
          </w:p>
        </w:tc>
        <w:tc>
          <w:tcPr>
            <w:tcW w:w="527" w:type="pct"/>
            <w:tcBorders>
              <w:top w:val="single" w:sz="4" w:space="0" w:color="auto"/>
              <w:left w:val="nil"/>
              <w:bottom w:val="single" w:sz="4" w:space="0" w:color="auto"/>
              <w:right w:val="single" w:sz="4" w:space="0" w:color="auto"/>
            </w:tcBorders>
            <w:shd w:val="clear" w:color="000000" w:fill="0B3040"/>
            <w:noWrap/>
            <w:vAlign w:val="bottom"/>
            <w:hideMark/>
          </w:tcPr>
          <w:p w14:paraId="37921E3F" w14:textId="48F44957"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2028</w:t>
            </w:r>
          </w:p>
        </w:tc>
        <w:tc>
          <w:tcPr>
            <w:tcW w:w="478" w:type="pct"/>
            <w:tcBorders>
              <w:top w:val="single" w:sz="4" w:space="0" w:color="auto"/>
              <w:left w:val="nil"/>
              <w:bottom w:val="single" w:sz="4" w:space="0" w:color="auto"/>
              <w:right w:val="single" w:sz="4" w:space="0" w:color="auto"/>
            </w:tcBorders>
            <w:shd w:val="clear" w:color="000000" w:fill="0B3040"/>
            <w:noWrap/>
            <w:vAlign w:val="bottom"/>
            <w:hideMark/>
          </w:tcPr>
          <w:p w14:paraId="7B9F3897" w14:textId="65903C13" w:rsidR="002A2717" w:rsidRPr="000020F0" w:rsidRDefault="002A2717" w:rsidP="002A2717">
            <w:pPr>
              <w:jc w:val="right"/>
              <w:rPr>
                <w:rFonts w:ascii="Arial" w:hAnsi="Arial" w:cs="Arial"/>
                <w:b/>
                <w:bCs/>
                <w:color w:val="FFFFFF"/>
                <w:sz w:val="20"/>
                <w:szCs w:val="20"/>
              </w:rPr>
            </w:pPr>
            <w:r w:rsidRPr="000020F0">
              <w:rPr>
                <w:rFonts w:ascii="Arial" w:hAnsi="Arial" w:cs="Arial"/>
                <w:b/>
                <w:bCs/>
                <w:color w:val="FFFFFF"/>
                <w:sz w:val="20"/>
                <w:szCs w:val="20"/>
              </w:rPr>
              <w:t>2029</w:t>
            </w:r>
          </w:p>
        </w:tc>
      </w:tr>
      <w:tr w:rsidR="00191AE3" w:rsidRPr="000020F0" w14:paraId="731F7305" w14:textId="77777777" w:rsidTr="00A40EAC">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24728F82" w14:textId="43F663A2" w:rsidR="00191AE3" w:rsidRPr="000020F0" w:rsidRDefault="00191AE3" w:rsidP="00191AE3">
            <w:pPr>
              <w:rPr>
                <w:rFonts w:ascii="Arial" w:hAnsi="Arial" w:cs="Arial"/>
                <w:b/>
                <w:bCs/>
                <w:color w:val="000000"/>
                <w:sz w:val="20"/>
                <w:szCs w:val="20"/>
              </w:rPr>
            </w:pPr>
            <w:r w:rsidRPr="000020F0">
              <w:rPr>
                <w:rFonts w:ascii="Arial" w:hAnsi="Arial" w:cs="Arial"/>
                <w:b/>
                <w:bCs/>
                <w:color w:val="000000"/>
                <w:sz w:val="20"/>
                <w:szCs w:val="20"/>
              </w:rPr>
              <w:t>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59F84465" w14:textId="55AF4A66"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2.498.375,04</w:t>
            </w:r>
          </w:p>
        </w:tc>
        <w:tc>
          <w:tcPr>
            <w:tcW w:w="453" w:type="pct"/>
            <w:tcBorders>
              <w:top w:val="nil"/>
              <w:left w:val="nil"/>
              <w:bottom w:val="single" w:sz="4" w:space="0" w:color="auto"/>
              <w:right w:val="single" w:sz="4" w:space="0" w:color="auto"/>
            </w:tcBorders>
            <w:shd w:val="clear" w:color="000000" w:fill="D9D9D9"/>
            <w:noWrap/>
            <w:vAlign w:val="bottom"/>
            <w:hideMark/>
          </w:tcPr>
          <w:p w14:paraId="2464AC30" w14:textId="09B63FD9"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73,78%</w:t>
            </w:r>
          </w:p>
        </w:tc>
        <w:tc>
          <w:tcPr>
            <w:tcW w:w="496" w:type="pct"/>
            <w:tcBorders>
              <w:top w:val="nil"/>
              <w:left w:val="nil"/>
              <w:bottom w:val="single" w:sz="4" w:space="0" w:color="auto"/>
              <w:right w:val="single" w:sz="4" w:space="0" w:color="auto"/>
            </w:tcBorders>
            <w:shd w:val="clear" w:color="000000" w:fill="D9D9D9"/>
            <w:noWrap/>
            <w:vAlign w:val="bottom"/>
            <w:hideMark/>
          </w:tcPr>
          <w:p w14:paraId="452E6A94" w14:textId="5DAD002A"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7.071,29</w:t>
            </w:r>
          </w:p>
        </w:tc>
        <w:tc>
          <w:tcPr>
            <w:tcW w:w="558" w:type="pct"/>
            <w:tcBorders>
              <w:top w:val="nil"/>
              <w:left w:val="nil"/>
              <w:bottom w:val="single" w:sz="4" w:space="0" w:color="auto"/>
              <w:right w:val="single" w:sz="4" w:space="0" w:color="auto"/>
            </w:tcBorders>
            <w:shd w:val="clear" w:color="000000" w:fill="D9D9D9"/>
            <w:noWrap/>
            <w:vAlign w:val="bottom"/>
            <w:hideMark/>
          </w:tcPr>
          <w:p w14:paraId="20BB9200" w14:textId="10072E5C"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77.577,15</w:t>
            </w:r>
          </w:p>
        </w:tc>
        <w:tc>
          <w:tcPr>
            <w:tcW w:w="478" w:type="pct"/>
            <w:tcBorders>
              <w:top w:val="nil"/>
              <w:left w:val="nil"/>
              <w:bottom w:val="single" w:sz="4" w:space="0" w:color="auto"/>
              <w:right w:val="single" w:sz="4" w:space="0" w:color="auto"/>
            </w:tcBorders>
            <w:shd w:val="clear" w:color="000000" w:fill="D9D9D9"/>
            <w:noWrap/>
            <w:vAlign w:val="bottom"/>
            <w:hideMark/>
          </w:tcPr>
          <w:p w14:paraId="56DCC27F" w14:textId="16177B82"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35.386,34</w:t>
            </w:r>
          </w:p>
        </w:tc>
        <w:tc>
          <w:tcPr>
            <w:tcW w:w="466" w:type="pct"/>
            <w:tcBorders>
              <w:top w:val="nil"/>
              <w:left w:val="nil"/>
              <w:bottom w:val="single" w:sz="4" w:space="0" w:color="auto"/>
              <w:right w:val="single" w:sz="4" w:space="0" w:color="auto"/>
            </w:tcBorders>
            <w:shd w:val="clear" w:color="000000" w:fill="D9D9D9"/>
            <w:noWrap/>
            <w:vAlign w:val="bottom"/>
            <w:hideMark/>
          </w:tcPr>
          <w:p w14:paraId="6E1E5A53" w14:textId="2F279CDC"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762.087,20</w:t>
            </w:r>
          </w:p>
        </w:tc>
        <w:tc>
          <w:tcPr>
            <w:tcW w:w="527" w:type="pct"/>
            <w:tcBorders>
              <w:top w:val="nil"/>
              <w:left w:val="nil"/>
              <w:bottom w:val="single" w:sz="4" w:space="0" w:color="auto"/>
              <w:right w:val="single" w:sz="4" w:space="0" w:color="auto"/>
            </w:tcBorders>
            <w:shd w:val="clear" w:color="000000" w:fill="D9D9D9"/>
            <w:noWrap/>
            <w:vAlign w:val="bottom"/>
            <w:hideMark/>
          </w:tcPr>
          <w:p w14:paraId="1D7C1A57" w14:textId="6C09E25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1.542.592,01</w:t>
            </w:r>
          </w:p>
        </w:tc>
        <w:tc>
          <w:tcPr>
            <w:tcW w:w="478" w:type="pct"/>
            <w:tcBorders>
              <w:top w:val="nil"/>
              <w:left w:val="nil"/>
              <w:bottom w:val="single" w:sz="4" w:space="0" w:color="auto"/>
              <w:right w:val="single" w:sz="4" w:space="0" w:color="auto"/>
            </w:tcBorders>
            <w:shd w:val="clear" w:color="000000" w:fill="D9D9D9"/>
            <w:noWrap/>
            <w:vAlign w:val="bottom"/>
            <w:hideMark/>
          </w:tcPr>
          <w:p w14:paraId="3D0B3C92" w14:textId="76DC9F14"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73.661,05</w:t>
            </w:r>
          </w:p>
        </w:tc>
      </w:tr>
      <w:tr w:rsidR="00191AE3" w:rsidRPr="000020F0" w14:paraId="75B3437E"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188C79AF" w14:textId="6B901112"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6024F395" w14:textId="25A6647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1.698.895,04</w:t>
            </w:r>
          </w:p>
        </w:tc>
        <w:tc>
          <w:tcPr>
            <w:tcW w:w="453" w:type="pct"/>
            <w:tcBorders>
              <w:top w:val="nil"/>
              <w:left w:val="nil"/>
              <w:bottom w:val="single" w:sz="4" w:space="0" w:color="auto"/>
              <w:right w:val="single" w:sz="4" w:space="0" w:color="auto"/>
            </w:tcBorders>
            <w:noWrap/>
            <w:vAlign w:val="bottom"/>
            <w:hideMark/>
          </w:tcPr>
          <w:p w14:paraId="04A18023" w14:textId="6379D06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50,17%</w:t>
            </w:r>
          </w:p>
        </w:tc>
        <w:tc>
          <w:tcPr>
            <w:tcW w:w="496" w:type="pct"/>
            <w:tcBorders>
              <w:top w:val="nil"/>
              <w:left w:val="nil"/>
              <w:bottom w:val="single" w:sz="4" w:space="0" w:color="auto"/>
              <w:right w:val="single" w:sz="4" w:space="0" w:color="auto"/>
            </w:tcBorders>
            <w:noWrap/>
            <w:vAlign w:val="bottom"/>
            <w:hideMark/>
          </w:tcPr>
          <w:p w14:paraId="42BD6C7F" w14:textId="4C87AF8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77F81D4C" w14:textId="5BDC82F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0488F2A9" w14:textId="760EF6B4"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14D1EF3A" w14:textId="2D97C40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518.219,30</w:t>
            </w:r>
          </w:p>
        </w:tc>
        <w:tc>
          <w:tcPr>
            <w:tcW w:w="527" w:type="pct"/>
            <w:tcBorders>
              <w:top w:val="nil"/>
              <w:left w:val="nil"/>
              <w:bottom w:val="single" w:sz="4" w:space="0" w:color="auto"/>
              <w:right w:val="single" w:sz="4" w:space="0" w:color="auto"/>
            </w:tcBorders>
            <w:noWrap/>
            <w:vAlign w:val="bottom"/>
            <w:hideMark/>
          </w:tcPr>
          <w:p w14:paraId="54D32F87" w14:textId="6DBC4250"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1.048.962,57</w:t>
            </w:r>
          </w:p>
        </w:tc>
        <w:tc>
          <w:tcPr>
            <w:tcW w:w="478" w:type="pct"/>
            <w:tcBorders>
              <w:top w:val="nil"/>
              <w:left w:val="nil"/>
              <w:bottom w:val="single" w:sz="4" w:space="0" w:color="auto"/>
              <w:right w:val="single" w:sz="4" w:space="0" w:color="auto"/>
            </w:tcBorders>
            <w:noWrap/>
            <w:vAlign w:val="bottom"/>
            <w:hideMark/>
          </w:tcPr>
          <w:p w14:paraId="44D3355E" w14:textId="0C681BB2"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50.089,52</w:t>
            </w:r>
          </w:p>
        </w:tc>
      </w:tr>
      <w:tr w:rsidR="00191AE3" w:rsidRPr="000020F0" w14:paraId="5CE6BCFF"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79312BA3" w14:textId="20EF1627"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6E63F796" w14:textId="12B3429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299.804,99</w:t>
            </w:r>
          </w:p>
        </w:tc>
        <w:tc>
          <w:tcPr>
            <w:tcW w:w="453" w:type="pct"/>
            <w:tcBorders>
              <w:top w:val="nil"/>
              <w:left w:val="nil"/>
              <w:bottom w:val="single" w:sz="4" w:space="0" w:color="auto"/>
              <w:right w:val="single" w:sz="4" w:space="0" w:color="auto"/>
            </w:tcBorders>
            <w:noWrap/>
            <w:vAlign w:val="bottom"/>
            <w:hideMark/>
          </w:tcPr>
          <w:p w14:paraId="0C1E1A93" w14:textId="59E834BD"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8,85%</w:t>
            </w:r>
          </w:p>
        </w:tc>
        <w:tc>
          <w:tcPr>
            <w:tcW w:w="496" w:type="pct"/>
            <w:tcBorders>
              <w:top w:val="nil"/>
              <w:left w:val="nil"/>
              <w:bottom w:val="single" w:sz="4" w:space="0" w:color="auto"/>
              <w:right w:val="single" w:sz="4" w:space="0" w:color="auto"/>
            </w:tcBorders>
            <w:noWrap/>
            <w:vAlign w:val="bottom"/>
            <w:hideMark/>
          </w:tcPr>
          <w:p w14:paraId="79EE2E39" w14:textId="6C0650F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848,55</w:t>
            </w:r>
          </w:p>
        </w:tc>
        <w:tc>
          <w:tcPr>
            <w:tcW w:w="558" w:type="pct"/>
            <w:tcBorders>
              <w:top w:val="nil"/>
              <w:left w:val="nil"/>
              <w:bottom w:val="single" w:sz="4" w:space="0" w:color="auto"/>
              <w:right w:val="single" w:sz="4" w:space="0" w:color="auto"/>
            </w:tcBorders>
            <w:noWrap/>
            <w:vAlign w:val="bottom"/>
            <w:hideMark/>
          </w:tcPr>
          <w:p w14:paraId="41704315" w14:textId="2E15CF92"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0ACA5892" w14:textId="549D6D7A"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0FB487A6" w14:textId="0F20557A"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91.450,46</w:t>
            </w:r>
          </w:p>
        </w:tc>
        <w:tc>
          <w:tcPr>
            <w:tcW w:w="527" w:type="pct"/>
            <w:tcBorders>
              <w:top w:val="nil"/>
              <w:left w:val="nil"/>
              <w:bottom w:val="single" w:sz="4" w:space="0" w:color="auto"/>
              <w:right w:val="single" w:sz="4" w:space="0" w:color="auto"/>
            </w:tcBorders>
            <w:noWrap/>
            <w:vAlign w:val="bottom"/>
            <w:hideMark/>
          </w:tcPr>
          <w:p w14:paraId="1BC49E09" w14:textId="39FA627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185.111,04</w:t>
            </w:r>
          </w:p>
        </w:tc>
        <w:tc>
          <w:tcPr>
            <w:tcW w:w="478" w:type="pct"/>
            <w:tcBorders>
              <w:top w:val="nil"/>
              <w:left w:val="nil"/>
              <w:bottom w:val="single" w:sz="4" w:space="0" w:color="auto"/>
              <w:right w:val="single" w:sz="4" w:space="0" w:color="auto"/>
            </w:tcBorders>
            <w:noWrap/>
            <w:vAlign w:val="bottom"/>
            <w:hideMark/>
          </w:tcPr>
          <w:p w14:paraId="60EF719F" w14:textId="7AF03077"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8.839,32</w:t>
            </w:r>
          </w:p>
        </w:tc>
      </w:tr>
      <w:tr w:rsidR="00191AE3" w:rsidRPr="000020F0" w14:paraId="42412233"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1AED737B" w14:textId="348B781A"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2273FE4B" w14:textId="33FA196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499.675,01</w:t>
            </w:r>
          </w:p>
        </w:tc>
        <w:tc>
          <w:tcPr>
            <w:tcW w:w="453" w:type="pct"/>
            <w:tcBorders>
              <w:top w:val="nil"/>
              <w:left w:val="nil"/>
              <w:bottom w:val="single" w:sz="4" w:space="0" w:color="auto"/>
              <w:right w:val="single" w:sz="4" w:space="0" w:color="auto"/>
            </w:tcBorders>
            <w:noWrap/>
            <w:vAlign w:val="bottom"/>
            <w:hideMark/>
          </w:tcPr>
          <w:p w14:paraId="56EF3718" w14:textId="1D1A84E0"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14,76%</w:t>
            </w:r>
          </w:p>
        </w:tc>
        <w:tc>
          <w:tcPr>
            <w:tcW w:w="496" w:type="pct"/>
            <w:tcBorders>
              <w:top w:val="nil"/>
              <w:left w:val="nil"/>
              <w:bottom w:val="single" w:sz="4" w:space="0" w:color="auto"/>
              <w:right w:val="single" w:sz="4" w:space="0" w:color="auto"/>
            </w:tcBorders>
            <w:noWrap/>
            <w:vAlign w:val="bottom"/>
            <w:hideMark/>
          </w:tcPr>
          <w:p w14:paraId="3221883C" w14:textId="4373883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1.414,26</w:t>
            </w:r>
          </w:p>
        </w:tc>
        <w:tc>
          <w:tcPr>
            <w:tcW w:w="558" w:type="pct"/>
            <w:tcBorders>
              <w:top w:val="nil"/>
              <w:left w:val="nil"/>
              <w:bottom w:val="single" w:sz="4" w:space="0" w:color="auto"/>
              <w:right w:val="single" w:sz="4" w:space="0" w:color="auto"/>
            </w:tcBorders>
            <w:noWrap/>
            <w:vAlign w:val="bottom"/>
            <w:hideMark/>
          </w:tcPr>
          <w:p w14:paraId="4B742A95" w14:textId="2C855BB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15.515,43</w:t>
            </w:r>
          </w:p>
        </w:tc>
        <w:tc>
          <w:tcPr>
            <w:tcW w:w="478" w:type="pct"/>
            <w:tcBorders>
              <w:top w:val="nil"/>
              <w:left w:val="nil"/>
              <w:bottom w:val="single" w:sz="4" w:space="0" w:color="auto"/>
              <w:right w:val="single" w:sz="4" w:space="0" w:color="auto"/>
            </w:tcBorders>
            <w:noWrap/>
            <w:vAlign w:val="bottom"/>
            <w:hideMark/>
          </w:tcPr>
          <w:p w14:paraId="4292663A" w14:textId="55EA4BA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7.077,27</w:t>
            </w:r>
          </w:p>
        </w:tc>
        <w:tc>
          <w:tcPr>
            <w:tcW w:w="466" w:type="pct"/>
            <w:tcBorders>
              <w:top w:val="nil"/>
              <w:left w:val="nil"/>
              <w:bottom w:val="single" w:sz="4" w:space="0" w:color="auto"/>
              <w:right w:val="single" w:sz="4" w:space="0" w:color="auto"/>
            </w:tcBorders>
            <w:noWrap/>
            <w:vAlign w:val="bottom"/>
            <w:hideMark/>
          </w:tcPr>
          <w:p w14:paraId="05689F95" w14:textId="00084FC2"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152.417,44</w:t>
            </w:r>
          </w:p>
        </w:tc>
        <w:tc>
          <w:tcPr>
            <w:tcW w:w="527" w:type="pct"/>
            <w:tcBorders>
              <w:top w:val="nil"/>
              <w:left w:val="nil"/>
              <w:bottom w:val="single" w:sz="4" w:space="0" w:color="auto"/>
              <w:right w:val="single" w:sz="4" w:space="0" w:color="auto"/>
            </w:tcBorders>
            <w:noWrap/>
            <w:vAlign w:val="bottom"/>
            <w:hideMark/>
          </w:tcPr>
          <w:p w14:paraId="19BEC8CF" w14:textId="44C5CDB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308.518,40</w:t>
            </w:r>
          </w:p>
        </w:tc>
        <w:tc>
          <w:tcPr>
            <w:tcW w:w="478" w:type="pct"/>
            <w:tcBorders>
              <w:top w:val="nil"/>
              <w:left w:val="nil"/>
              <w:bottom w:val="single" w:sz="4" w:space="0" w:color="auto"/>
              <w:right w:val="single" w:sz="4" w:space="0" w:color="auto"/>
            </w:tcBorders>
            <w:noWrap/>
            <w:vAlign w:val="bottom"/>
            <w:hideMark/>
          </w:tcPr>
          <w:p w14:paraId="472A7116" w14:textId="6AA6626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14.732,21</w:t>
            </w:r>
          </w:p>
        </w:tc>
      </w:tr>
      <w:tr w:rsidR="00191AE3" w:rsidRPr="000020F0" w14:paraId="6649A316" w14:textId="77777777" w:rsidTr="00A40EAC">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57C9C3C3" w14:textId="401B5275" w:rsidR="00191AE3" w:rsidRPr="000020F0" w:rsidRDefault="00191AE3" w:rsidP="00191AE3">
            <w:pPr>
              <w:rPr>
                <w:rFonts w:ascii="Arial" w:hAnsi="Arial" w:cs="Arial"/>
                <w:b/>
                <w:bCs/>
                <w:color w:val="000000"/>
                <w:sz w:val="20"/>
                <w:szCs w:val="20"/>
              </w:rPr>
            </w:pPr>
            <w:r w:rsidRPr="000020F0">
              <w:rPr>
                <w:rFonts w:ascii="Arial" w:hAnsi="Arial" w:cs="Arial"/>
                <w:b/>
                <w:bCs/>
                <w:color w:val="000000"/>
                <w:sz w:val="20"/>
                <w:szCs w:val="20"/>
              </w:rPr>
              <w:t>NEUPRAVIČENI STROŠKI</w:t>
            </w:r>
          </w:p>
        </w:tc>
        <w:tc>
          <w:tcPr>
            <w:tcW w:w="502" w:type="pct"/>
            <w:tcBorders>
              <w:top w:val="nil"/>
              <w:left w:val="nil"/>
              <w:bottom w:val="single" w:sz="4" w:space="0" w:color="auto"/>
              <w:right w:val="single" w:sz="4" w:space="0" w:color="auto"/>
            </w:tcBorders>
            <w:shd w:val="clear" w:color="000000" w:fill="D9D9D9"/>
            <w:noWrap/>
            <w:vAlign w:val="bottom"/>
            <w:hideMark/>
          </w:tcPr>
          <w:p w14:paraId="7267E362" w14:textId="6894EFD5"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865.388,76</w:t>
            </w:r>
          </w:p>
        </w:tc>
        <w:tc>
          <w:tcPr>
            <w:tcW w:w="453" w:type="pct"/>
            <w:tcBorders>
              <w:top w:val="nil"/>
              <w:left w:val="nil"/>
              <w:bottom w:val="single" w:sz="4" w:space="0" w:color="auto"/>
              <w:right w:val="single" w:sz="4" w:space="0" w:color="auto"/>
            </w:tcBorders>
            <w:shd w:val="clear" w:color="000000" w:fill="D9D9D9"/>
            <w:noWrap/>
            <w:vAlign w:val="bottom"/>
            <w:hideMark/>
          </w:tcPr>
          <w:p w14:paraId="168B14C0" w14:textId="02D9A3EF"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25,56%</w:t>
            </w:r>
          </w:p>
        </w:tc>
        <w:tc>
          <w:tcPr>
            <w:tcW w:w="496" w:type="pct"/>
            <w:tcBorders>
              <w:top w:val="nil"/>
              <w:left w:val="nil"/>
              <w:bottom w:val="single" w:sz="4" w:space="0" w:color="auto"/>
              <w:right w:val="single" w:sz="4" w:space="0" w:color="auto"/>
            </w:tcBorders>
            <w:shd w:val="clear" w:color="000000" w:fill="D9D9D9"/>
            <w:noWrap/>
            <w:vAlign w:val="bottom"/>
            <w:hideMark/>
          </w:tcPr>
          <w:p w14:paraId="70A7BDD3" w14:textId="3449648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290.629,88</w:t>
            </w:r>
          </w:p>
        </w:tc>
        <w:tc>
          <w:tcPr>
            <w:tcW w:w="558" w:type="pct"/>
            <w:tcBorders>
              <w:top w:val="nil"/>
              <w:left w:val="nil"/>
              <w:bottom w:val="single" w:sz="4" w:space="0" w:color="auto"/>
              <w:right w:val="single" w:sz="4" w:space="0" w:color="auto"/>
            </w:tcBorders>
            <w:shd w:val="clear" w:color="000000" w:fill="D9D9D9"/>
            <w:noWrap/>
            <w:vAlign w:val="bottom"/>
            <w:hideMark/>
          </w:tcPr>
          <w:p w14:paraId="6E2A2AB4" w14:textId="210CBBB8"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18.338,88</w:t>
            </w:r>
          </w:p>
        </w:tc>
        <w:tc>
          <w:tcPr>
            <w:tcW w:w="478" w:type="pct"/>
            <w:tcBorders>
              <w:top w:val="nil"/>
              <w:left w:val="nil"/>
              <w:bottom w:val="single" w:sz="4" w:space="0" w:color="auto"/>
              <w:right w:val="single" w:sz="4" w:space="0" w:color="auto"/>
            </w:tcBorders>
            <w:shd w:val="clear" w:color="000000" w:fill="D9D9D9"/>
            <w:noWrap/>
            <w:vAlign w:val="bottom"/>
            <w:hideMark/>
          </w:tcPr>
          <w:p w14:paraId="62B540B0" w14:textId="56622074"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5.590,26</w:t>
            </w:r>
          </w:p>
        </w:tc>
        <w:tc>
          <w:tcPr>
            <w:tcW w:w="466" w:type="pct"/>
            <w:tcBorders>
              <w:top w:val="nil"/>
              <w:left w:val="nil"/>
              <w:bottom w:val="single" w:sz="4" w:space="0" w:color="auto"/>
              <w:right w:val="single" w:sz="4" w:space="0" w:color="auto"/>
            </w:tcBorders>
            <w:shd w:val="clear" w:color="000000" w:fill="D9D9D9"/>
            <w:noWrap/>
            <w:vAlign w:val="bottom"/>
            <w:hideMark/>
          </w:tcPr>
          <w:p w14:paraId="5E7F7F2B" w14:textId="176FBFC1"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9.948,87</w:t>
            </w:r>
          </w:p>
        </w:tc>
        <w:tc>
          <w:tcPr>
            <w:tcW w:w="527" w:type="pct"/>
            <w:tcBorders>
              <w:top w:val="nil"/>
              <w:left w:val="nil"/>
              <w:bottom w:val="single" w:sz="4" w:space="0" w:color="auto"/>
              <w:right w:val="single" w:sz="4" w:space="0" w:color="auto"/>
            </w:tcBorders>
            <w:shd w:val="clear" w:color="000000" w:fill="D9D9D9"/>
            <w:noWrap/>
            <w:vAlign w:val="bottom"/>
            <w:hideMark/>
          </w:tcPr>
          <w:p w14:paraId="5C3E8FA7" w14:textId="0DA217C8"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538.339,10</w:t>
            </w:r>
          </w:p>
        </w:tc>
        <w:tc>
          <w:tcPr>
            <w:tcW w:w="478" w:type="pct"/>
            <w:tcBorders>
              <w:top w:val="nil"/>
              <w:left w:val="nil"/>
              <w:bottom w:val="single" w:sz="4" w:space="0" w:color="auto"/>
              <w:right w:val="single" w:sz="4" w:space="0" w:color="auto"/>
            </w:tcBorders>
            <w:shd w:val="clear" w:color="000000" w:fill="D9D9D9"/>
            <w:noWrap/>
            <w:vAlign w:val="bottom"/>
            <w:hideMark/>
          </w:tcPr>
          <w:p w14:paraId="6719DD3F" w14:textId="5944FEE8"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2.541,77</w:t>
            </w:r>
          </w:p>
        </w:tc>
      </w:tr>
      <w:tr w:rsidR="00191AE3" w:rsidRPr="000020F0" w14:paraId="26DF2047"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32025DBB" w14:textId="79B01276"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1FD2A780" w14:textId="191281F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6F70A7CC" w14:textId="5235387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4FE23631" w14:textId="3B62A2E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3445E405" w14:textId="6B8CE5C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8497512" w14:textId="1DCE9580"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351D2AE7" w14:textId="4BA8313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3B03A108" w14:textId="3B93F7BD"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154583D4" w14:textId="612DE1CD"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r>
      <w:tr w:rsidR="00191AE3" w:rsidRPr="000020F0" w14:paraId="63F963CC"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58E6097A" w14:textId="3157ECDB"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0C066451" w14:textId="0141ED9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6C43267A" w14:textId="5D6389E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67281938" w14:textId="6A83419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085C5FC6" w14:textId="2DA5860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AD2EE05" w14:textId="5F396F0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69020D68" w14:textId="67EA560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0EC93596" w14:textId="240BEBB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5819770F" w14:textId="75C1E89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r>
      <w:tr w:rsidR="00191AE3" w:rsidRPr="000020F0" w14:paraId="2D5E1376"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717671C8" w14:textId="2276382B"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67F7FC57" w14:textId="6F048B8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865.388,76</w:t>
            </w:r>
          </w:p>
        </w:tc>
        <w:tc>
          <w:tcPr>
            <w:tcW w:w="453" w:type="pct"/>
            <w:tcBorders>
              <w:top w:val="nil"/>
              <w:left w:val="nil"/>
              <w:bottom w:val="single" w:sz="4" w:space="0" w:color="auto"/>
              <w:right w:val="single" w:sz="4" w:space="0" w:color="auto"/>
            </w:tcBorders>
            <w:noWrap/>
            <w:vAlign w:val="bottom"/>
            <w:hideMark/>
          </w:tcPr>
          <w:p w14:paraId="2F988B05" w14:textId="3C3E251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25,56%</w:t>
            </w:r>
          </w:p>
        </w:tc>
        <w:tc>
          <w:tcPr>
            <w:tcW w:w="496" w:type="pct"/>
            <w:tcBorders>
              <w:top w:val="nil"/>
              <w:left w:val="nil"/>
              <w:bottom w:val="single" w:sz="4" w:space="0" w:color="auto"/>
              <w:right w:val="single" w:sz="4" w:space="0" w:color="auto"/>
            </w:tcBorders>
            <w:noWrap/>
            <w:vAlign w:val="bottom"/>
            <w:hideMark/>
          </w:tcPr>
          <w:p w14:paraId="0A1A0A7F" w14:textId="3EC9E8C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290.629,88</w:t>
            </w:r>
          </w:p>
        </w:tc>
        <w:tc>
          <w:tcPr>
            <w:tcW w:w="558" w:type="pct"/>
            <w:tcBorders>
              <w:top w:val="nil"/>
              <w:left w:val="nil"/>
              <w:bottom w:val="single" w:sz="4" w:space="0" w:color="auto"/>
              <w:right w:val="single" w:sz="4" w:space="0" w:color="auto"/>
            </w:tcBorders>
            <w:noWrap/>
            <w:vAlign w:val="bottom"/>
            <w:hideMark/>
          </w:tcPr>
          <w:p w14:paraId="24116F26" w14:textId="57AF8A4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18.338,88</w:t>
            </w:r>
          </w:p>
        </w:tc>
        <w:tc>
          <w:tcPr>
            <w:tcW w:w="478" w:type="pct"/>
            <w:tcBorders>
              <w:top w:val="nil"/>
              <w:left w:val="nil"/>
              <w:bottom w:val="single" w:sz="4" w:space="0" w:color="auto"/>
              <w:right w:val="single" w:sz="4" w:space="0" w:color="auto"/>
            </w:tcBorders>
            <w:noWrap/>
            <w:vAlign w:val="bottom"/>
            <w:hideMark/>
          </w:tcPr>
          <w:p w14:paraId="4BE1C372" w14:textId="5BA5455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5.590,26</w:t>
            </w:r>
          </w:p>
        </w:tc>
        <w:tc>
          <w:tcPr>
            <w:tcW w:w="466" w:type="pct"/>
            <w:tcBorders>
              <w:top w:val="nil"/>
              <w:left w:val="nil"/>
              <w:bottom w:val="single" w:sz="4" w:space="0" w:color="auto"/>
              <w:right w:val="single" w:sz="4" w:space="0" w:color="auto"/>
            </w:tcBorders>
            <w:noWrap/>
            <w:vAlign w:val="bottom"/>
            <w:hideMark/>
          </w:tcPr>
          <w:p w14:paraId="2F13C08F" w14:textId="390C2EB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9.948,87</w:t>
            </w:r>
          </w:p>
        </w:tc>
        <w:tc>
          <w:tcPr>
            <w:tcW w:w="527" w:type="pct"/>
            <w:tcBorders>
              <w:top w:val="nil"/>
              <w:left w:val="nil"/>
              <w:bottom w:val="single" w:sz="4" w:space="0" w:color="auto"/>
              <w:right w:val="single" w:sz="4" w:space="0" w:color="auto"/>
            </w:tcBorders>
            <w:noWrap/>
            <w:vAlign w:val="bottom"/>
            <w:hideMark/>
          </w:tcPr>
          <w:p w14:paraId="23CF071E" w14:textId="1A2117A7"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538.339,10</w:t>
            </w:r>
          </w:p>
        </w:tc>
        <w:tc>
          <w:tcPr>
            <w:tcW w:w="478" w:type="pct"/>
            <w:tcBorders>
              <w:top w:val="nil"/>
              <w:left w:val="nil"/>
              <w:bottom w:val="single" w:sz="4" w:space="0" w:color="auto"/>
              <w:right w:val="single" w:sz="4" w:space="0" w:color="auto"/>
            </w:tcBorders>
            <w:noWrap/>
            <w:vAlign w:val="bottom"/>
            <w:hideMark/>
          </w:tcPr>
          <w:p w14:paraId="5850C338" w14:textId="2F6C9AA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2.541,77</w:t>
            </w:r>
          </w:p>
        </w:tc>
      </w:tr>
      <w:tr w:rsidR="00191AE3" w:rsidRPr="000020F0" w14:paraId="5BE9E2BC" w14:textId="77777777" w:rsidTr="00A40EAC">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0D1D60B9" w14:textId="23CBFDA8" w:rsidR="00191AE3" w:rsidRPr="000020F0" w:rsidRDefault="00191AE3" w:rsidP="00191AE3">
            <w:pPr>
              <w:rPr>
                <w:rFonts w:ascii="Arial" w:hAnsi="Arial" w:cs="Arial"/>
                <w:b/>
                <w:bCs/>
                <w:color w:val="000000"/>
                <w:sz w:val="20"/>
                <w:szCs w:val="20"/>
              </w:rPr>
            </w:pPr>
            <w:r w:rsidRPr="000020F0">
              <w:rPr>
                <w:rFonts w:ascii="Arial" w:hAnsi="Arial" w:cs="Arial"/>
                <w:b/>
                <w:bCs/>
                <w:color w:val="000000"/>
                <w:sz w:val="20"/>
                <w:szCs w:val="20"/>
              </w:rPr>
              <w:t>POVRATNI DDV</w:t>
            </w:r>
          </w:p>
        </w:tc>
        <w:tc>
          <w:tcPr>
            <w:tcW w:w="502" w:type="pct"/>
            <w:tcBorders>
              <w:top w:val="nil"/>
              <w:left w:val="nil"/>
              <w:bottom w:val="single" w:sz="4" w:space="0" w:color="auto"/>
              <w:right w:val="single" w:sz="4" w:space="0" w:color="auto"/>
            </w:tcBorders>
            <w:shd w:val="clear" w:color="000000" w:fill="D9D9D9"/>
            <w:noWrap/>
            <w:vAlign w:val="bottom"/>
            <w:hideMark/>
          </w:tcPr>
          <w:p w14:paraId="3B145E4B" w14:textId="0CC87BE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22.291,03</w:t>
            </w:r>
          </w:p>
        </w:tc>
        <w:tc>
          <w:tcPr>
            <w:tcW w:w="453" w:type="pct"/>
            <w:tcBorders>
              <w:top w:val="nil"/>
              <w:left w:val="nil"/>
              <w:bottom w:val="single" w:sz="4" w:space="0" w:color="auto"/>
              <w:right w:val="single" w:sz="4" w:space="0" w:color="auto"/>
            </w:tcBorders>
            <w:shd w:val="clear" w:color="000000" w:fill="D9D9D9"/>
            <w:noWrap/>
            <w:vAlign w:val="bottom"/>
            <w:hideMark/>
          </w:tcPr>
          <w:p w14:paraId="177228DB" w14:textId="3CF52CEE"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0,68%</w:t>
            </w:r>
          </w:p>
        </w:tc>
        <w:tc>
          <w:tcPr>
            <w:tcW w:w="496" w:type="pct"/>
            <w:tcBorders>
              <w:top w:val="nil"/>
              <w:left w:val="nil"/>
              <w:bottom w:val="single" w:sz="4" w:space="0" w:color="auto"/>
              <w:right w:val="single" w:sz="4" w:space="0" w:color="auto"/>
            </w:tcBorders>
            <w:shd w:val="clear" w:color="000000" w:fill="D9D9D9"/>
            <w:noWrap/>
            <w:vAlign w:val="bottom"/>
            <w:hideMark/>
          </w:tcPr>
          <w:p w14:paraId="11962996" w14:textId="5E2716DB"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58" w:type="pct"/>
            <w:tcBorders>
              <w:top w:val="nil"/>
              <w:left w:val="nil"/>
              <w:bottom w:val="single" w:sz="4" w:space="0" w:color="auto"/>
              <w:right w:val="single" w:sz="4" w:space="0" w:color="auto"/>
            </w:tcBorders>
            <w:shd w:val="clear" w:color="000000" w:fill="D9D9D9"/>
            <w:noWrap/>
            <w:vAlign w:val="bottom"/>
            <w:hideMark/>
          </w:tcPr>
          <w:p w14:paraId="48C612AB" w14:textId="78C928C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78" w:type="pct"/>
            <w:tcBorders>
              <w:top w:val="nil"/>
              <w:left w:val="nil"/>
              <w:bottom w:val="single" w:sz="4" w:space="0" w:color="auto"/>
              <w:right w:val="single" w:sz="4" w:space="0" w:color="auto"/>
            </w:tcBorders>
            <w:shd w:val="clear" w:color="000000" w:fill="D9D9D9"/>
            <w:noWrap/>
            <w:vAlign w:val="bottom"/>
            <w:hideMark/>
          </w:tcPr>
          <w:p w14:paraId="71C70648" w14:textId="6A7F60EA"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466" w:type="pct"/>
            <w:tcBorders>
              <w:top w:val="nil"/>
              <w:left w:val="nil"/>
              <w:bottom w:val="single" w:sz="4" w:space="0" w:color="auto"/>
              <w:right w:val="single" w:sz="4" w:space="0" w:color="auto"/>
            </w:tcBorders>
            <w:shd w:val="clear" w:color="000000" w:fill="D9D9D9"/>
            <w:noWrap/>
            <w:vAlign w:val="bottom"/>
            <w:hideMark/>
          </w:tcPr>
          <w:p w14:paraId="7B48E207" w14:textId="65D9977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0,00</w:t>
            </w:r>
          </w:p>
        </w:tc>
        <w:tc>
          <w:tcPr>
            <w:tcW w:w="527" w:type="pct"/>
            <w:tcBorders>
              <w:top w:val="nil"/>
              <w:left w:val="nil"/>
              <w:bottom w:val="single" w:sz="4" w:space="0" w:color="auto"/>
              <w:right w:val="single" w:sz="4" w:space="0" w:color="auto"/>
            </w:tcBorders>
            <w:shd w:val="clear" w:color="000000" w:fill="D9D9D9"/>
            <w:noWrap/>
            <w:vAlign w:val="bottom"/>
            <w:hideMark/>
          </w:tcPr>
          <w:p w14:paraId="361419B5" w14:textId="37004FD5"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22.291,03</w:t>
            </w:r>
          </w:p>
        </w:tc>
        <w:tc>
          <w:tcPr>
            <w:tcW w:w="478" w:type="pct"/>
            <w:tcBorders>
              <w:top w:val="nil"/>
              <w:left w:val="nil"/>
              <w:bottom w:val="single" w:sz="4" w:space="0" w:color="auto"/>
              <w:right w:val="single" w:sz="4" w:space="0" w:color="auto"/>
            </w:tcBorders>
            <w:shd w:val="clear" w:color="000000" w:fill="D9D9D9"/>
            <w:noWrap/>
            <w:vAlign w:val="bottom"/>
            <w:hideMark/>
          </w:tcPr>
          <w:p w14:paraId="3C2B15A3" w14:textId="770B91D6"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0,00</w:t>
            </w:r>
          </w:p>
        </w:tc>
      </w:tr>
      <w:tr w:rsidR="00191AE3" w:rsidRPr="000020F0" w14:paraId="0883B38D"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36AC1BF1" w14:textId="1D87BB65"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EU sredstva</w:t>
            </w:r>
          </w:p>
        </w:tc>
        <w:tc>
          <w:tcPr>
            <w:tcW w:w="502" w:type="pct"/>
            <w:tcBorders>
              <w:top w:val="nil"/>
              <w:left w:val="nil"/>
              <w:bottom w:val="single" w:sz="4" w:space="0" w:color="auto"/>
              <w:right w:val="single" w:sz="4" w:space="0" w:color="auto"/>
            </w:tcBorders>
            <w:noWrap/>
            <w:vAlign w:val="bottom"/>
            <w:hideMark/>
          </w:tcPr>
          <w:p w14:paraId="03B8B7A2" w14:textId="5ABF8C87"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6069757A" w14:textId="7E44FBC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48CCA8EE" w14:textId="125C41D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6E79839B" w14:textId="2F20BB7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6BAC6A5" w14:textId="5C5A0D41"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0663932B" w14:textId="02BBCDC2"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35118953" w14:textId="6BE7629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7CCE1189" w14:textId="1821378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r>
      <w:tr w:rsidR="00191AE3" w:rsidRPr="000020F0" w14:paraId="2CFA07A7"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3F8BE896" w14:textId="75A68A24"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75669D74" w14:textId="63D0D51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53" w:type="pct"/>
            <w:tcBorders>
              <w:top w:val="nil"/>
              <w:left w:val="nil"/>
              <w:bottom w:val="single" w:sz="4" w:space="0" w:color="auto"/>
              <w:right w:val="single" w:sz="4" w:space="0" w:color="auto"/>
            </w:tcBorders>
            <w:noWrap/>
            <w:vAlign w:val="bottom"/>
            <w:hideMark/>
          </w:tcPr>
          <w:p w14:paraId="7CB3589C" w14:textId="00E2B29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96" w:type="pct"/>
            <w:tcBorders>
              <w:top w:val="nil"/>
              <w:left w:val="nil"/>
              <w:bottom w:val="single" w:sz="4" w:space="0" w:color="auto"/>
              <w:right w:val="single" w:sz="4" w:space="0" w:color="auto"/>
            </w:tcBorders>
            <w:noWrap/>
            <w:vAlign w:val="bottom"/>
            <w:hideMark/>
          </w:tcPr>
          <w:p w14:paraId="075B410D" w14:textId="19DEE335"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52DB443F" w14:textId="40BAE6F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0D60B64" w14:textId="340D50E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6E7FC162" w14:textId="18D00F35"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362AC670" w14:textId="4A6C273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220B77A7" w14:textId="02886790"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r>
      <w:tr w:rsidR="00191AE3" w:rsidRPr="000020F0" w14:paraId="011D43A9"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0F045E2C" w14:textId="657D3417"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359D82EB" w14:textId="19498A2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22.291,03</w:t>
            </w:r>
          </w:p>
        </w:tc>
        <w:tc>
          <w:tcPr>
            <w:tcW w:w="453" w:type="pct"/>
            <w:tcBorders>
              <w:top w:val="nil"/>
              <w:left w:val="nil"/>
              <w:bottom w:val="single" w:sz="4" w:space="0" w:color="auto"/>
              <w:right w:val="single" w:sz="4" w:space="0" w:color="auto"/>
            </w:tcBorders>
            <w:noWrap/>
            <w:vAlign w:val="bottom"/>
            <w:hideMark/>
          </w:tcPr>
          <w:p w14:paraId="76B44F67" w14:textId="676F75B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0,68%</w:t>
            </w:r>
          </w:p>
        </w:tc>
        <w:tc>
          <w:tcPr>
            <w:tcW w:w="496" w:type="pct"/>
            <w:tcBorders>
              <w:top w:val="nil"/>
              <w:left w:val="nil"/>
              <w:bottom w:val="single" w:sz="4" w:space="0" w:color="auto"/>
              <w:right w:val="single" w:sz="4" w:space="0" w:color="auto"/>
            </w:tcBorders>
            <w:noWrap/>
            <w:vAlign w:val="bottom"/>
            <w:hideMark/>
          </w:tcPr>
          <w:p w14:paraId="7E57210B" w14:textId="575742B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58" w:type="pct"/>
            <w:tcBorders>
              <w:top w:val="nil"/>
              <w:left w:val="nil"/>
              <w:bottom w:val="single" w:sz="4" w:space="0" w:color="auto"/>
              <w:right w:val="single" w:sz="4" w:space="0" w:color="auto"/>
            </w:tcBorders>
            <w:noWrap/>
            <w:vAlign w:val="bottom"/>
            <w:hideMark/>
          </w:tcPr>
          <w:p w14:paraId="6F9BA24C" w14:textId="1D10F9A5"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78" w:type="pct"/>
            <w:tcBorders>
              <w:top w:val="nil"/>
              <w:left w:val="nil"/>
              <w:bottom w:val="single" w:sz="4" w:space="0" w:color="auto"/>
              <w:right w:val="single" w:sz="4" w:space="0" w:color="auto"/>
            </w:tcBorders>
            <w:noWrap/>
            <w:vAlign w:val="bottom"/>
            <w:hideMark/>
          </w:tcPr>
          <w:p w14:paraId="40AE2ED4" w14:textId="2A2550DA"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466" w:type="pct"/>
            <w:tcBorders>
              <w:top w:val="nil"/>
              <w:left w:val="nil"/>
              <w:bottom w:val="single" w:sz="4" w:space="0" w:color="auto"/>
              <w:right w:val="single" w:sz="4" w:space="0" w:color="auto"/>
            </w:tcBorders>
            <w:noWrap/>
            <w:vAlign w:val="bottom"/>
            <w:hideMark/>
          </w:tcPr>
          <w:p w14:paraId="7547402C" w14:textId="0BE5B7A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c>
          <w:tcPr>
            <w:tcW w:w="527" w:type="pct"/>
            <w:tcBorders>
              <w:top w:val="nil"/>
              <w:left w:val="nil"/>
              <w:bottom w:val="single" w:sz="4" w:space="0" w:color="auto"/>
              <w:right w:val="single" w:sz="4" w:space="0" w:color="auto"/>
            </w:tcBorders>
            <w:noWrap/>
            <w:vAlign w:val="bottom"/>
            <w:hideMark/>
          </w:tcPr>
          <w:p w14:paraId="4975CAED" w14:textId="114F483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22.291,03</w:t>
            </w:r>
          </w:p>
        </w:tc>
        <w:tc>
          <w:tcPr>
            <w:tcW w:w="478" w:type="pct"/>
            <w:tcBorders>
              <w:top w:val="nil"/>
              <w:left w:val="nil"/>
              <w:bottom w:val="single" w:sz="4" w:space="0" w:color="auto"/>
              <w:right w:val="single" w:sz="4" w:space="0" w:color="auto"/>
            </w:tcBorders>
            <w:noWrap/>
            <w:vAlign w:val="bottom"/>
            <w:hideMark/>
          </w:tcPr>
          <w:p w14:paraId="46F6B226" w14:textId="10F133F7"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0,00</w:t>
            </w:r>
          </w:p>
        </w:tc>
      </w:tr>
      <w:tr w:rsidR="00191AE3" w:rsidRPr="000020F0" w14:paraId="5AAE982C" w14:textId="77777777" w:rsidTr="00A40EAC">
        <w:trPr>
          <w:trHeight w:val="300"/>
        </w:trPr>
        <w:tc>
          <w:tcPr>
            <w:tcW w:w="1042" w:type="pct"/>
            <w:tcBorders>
              <w:top w:val="nil"/>
              <w:left w:val="single" w:sz="4" w:space="0" w:color="auto"/>
              <w:bottom w:val="single" w:sz="4" w:space="0" w:color="auto"/>
              <w:right w:val="single" w:sz="4" w:space="0" w:color="auto"/>
            </w:tcBorders>
            <w:shd w:val="clear" w:color="000000" w:fill="D9D9D9"/>
            <w:vAlign w:val="bottom"/>
            <w:hideMark/>
          </w:tcPr>
          <w:p w14:paraId="5AB9546E" w14:textId="5BB19826" w:rsidR="00191AE3" w:rsidRPr="000020F0" w:rsidRDefault="00191AE3" w:rsidP="00191AE3">
            <w:pPr>
              <w:rPr>
                <w:rFonts w:ascii="Arial" w:hAnsi="Arial" w:cs="Arial"/>
                <w:b/>
                <w:bCs/>
                <w:color w:val="000000"/>
                <w:sz w:val="20"/>
                <w:szCs w:val="20"/>
              </w:rPr>
            </w:pPr>
            <w:r w:rsidRPr="000020F0">
              <w:rPr>
                <w:rFonts w:ascii="Arial" w:hAnsi="Arial" w:cs="Arial"/>
                <w:b/>
                <w:bCs/>
                <w:color w:val="000000"/>
                <w:sz w:val="20"/>
                <w:szCs w:val="20"/>
              </w:rPr>
              <w:t>SKUPAJ</w:t>
            </w:r>
          </w:p>
        </w:tc>
        <w:tc>
          <w:tcPr>
            <w:tcW w:w="502" w:type="pct"/>
            <w:tcBorders>
              <w:top w:val="nil"/>
              <w:left w:val="nil"/>
              <w:bottom w:val="single" w:sz="4" w:space="0" w:color="auto"/>
              <w:right w:val="single" w:sz="4" w:space="0" w:color="auto"/>
            </w:tcBorders>
            <w:shd w:val="clear" w:color="000000" w:fill="D9D9D9"/>
            <w:noWrap/>
            <w:vAlign w:val="bottom"/>
            <w:hideMark/>
          </w:tcPr>
          <w:p w14:paraId="12E8D5FC" w14:textId="487EDE23"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3.386.054,83</w:t>
            </w:r>
          </w:p>
        </w:tc>
        <w:tc>
          <w:tcPr>
            <w:tcW w:w="453" w:type="pct"/>
            <w:tcBorders>
              <w:top w:val="nil"/>
              <w:left w:val="nil"/>
              <w:bottom w:val="single" w:sz="4" w:space="0" w:color="auto"/>
              <w:right w:val="single" w:sz="4" w:space="0" w:color="auto"/>
            </w:tcBorders>
            <w:shd w:val="clear" w:color="000000" w:fill="D9D9D9"/>
            <w:noWrap/>
            <w:vAlign w:val="bottom"/>
            <w:hideMark/>
          </w:tcPr>
          <w:p w14:paraId="0965D135" w14:textId="55827961"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100,00%</w:t>
            </w:r>
          </w:p>
        </w:tc>
        <w:tc>
          <w:tcPr>
            <w:tcW w:w="496" w:type="pct"/>
            <w:tcBorders>
              <w:top w:val="nil"/>
              <w:left w:val="nil"/>
              <w:bottom w:val="single" w:sz="4" w:space="0" w:color="auto"/>
              <w:right w:val="single" w:sz="4" w:space="0" w:color="auto"/>
            </w:tcBorders>
            <w:shd w:val="clear" w:color="000000" w:fill="D9D9D9"/>
            <w:noWrap/>
            <w:vAlign w:val="bottom"/>
            <w:hideMark/>
          </w:tcPr>
          <w:p w14:paraId="22179B9F" w14:textId="466E9B6A"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297.701,17</w:t>
            </w:r>
          </w:p>
        </w:tc>
        <w:tc>
          <w:tcPr>
            <w:tcW w:w="558" w:type="pct"/>
            <w:tcBorders>
              <w:top w:val="nil"/>
              <w:left w:val="nil"/>
              <w:bottom w:val="single" w:sz="4" w:space="0" w:color="auto"/>
              <w:right w:val="single" w:sz="4" w:space="0" w:color="auto"/>
            </w:tcBorders>
            <w:shd w:val="clear" w:color="000000" w:fill="D9D9D9"/>
            <w:noWrap/>
            <w:vAlign w:val="bottom"/>
            <w:hideMark/>
          </w:tcPr>
          <w:p w14:paraId="7EB9F388" w14:textId="53BBDB5D"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95.916,03</w:t>
            </w:r>
          </w:p>
        </w:tc>
        <w:tc>
          <w:tcPr>
            <w:tcW w:w="478" w:type="pct"/>
            <w:tcBorders>
              <w:top w:val="nil"/>
              <w:left w:val="nil"/>
              <w:bottom w:val="single" w:sz="4" w:space="0" w:color="auto"/>
              <w:right w:val="single" w:sz="4" w:space="0" w:color="auto"/>
            </w:tcBorders>
            <w:shd w:val="clear" w:color="000000" w:fill="D9D9D9"/>
            <w:noWrap/>
            <w:vAlign w:val="bottom"/>
            <w:hideMark/>
          </w:tcPr>
          <w:p w14:paraId="3EC0A144" w14:textId="43BB2E96"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40.976,60</w:t>
            </w:r>
          </w:p>
        </w:tc>
        <w:tc>
          <w:tcPr>
            <w:tcW w:w="466" w:type="pct"/>
            <w:tcBorders>
              <w:top w:val="nil"/>
              <w:left w:val="nil"/>
              <w:bottom w:val="single" w:sz="4" w:space="0" w:color="auto"/>
              <w:right w:val="single" w:sz="4" w:space="0" w:color="auto"/>
            </w:tcBorders>
            <w:shd w:val="clear" w:color="000000" w:fill="D9D9D9"/>
            <w:noWrap/>
            <w:vAlign w:val="bottom"/>
            <w:hideMark/>
          </w:tcPr>
          <w:p w14:paraId="7EF78717" w14:textId="687657FA"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772.036,07</w:t>
            </w:r>
          </w:p>
        </w:tc>
        <w:tc>
          <w:tcPr>
            <w:tcW w:w="527" w:type="pct"/>
            <w:tcBorders>
              <w:top w:val="nil"/>
              <w:left w:val="nil"/>
              <w:bottom w:val="single" w:sz="4" w:space="0" w:color="auto"/>
              <w:right w:val="single" w:sz="4" w:space="0" w:color="auto"/>
            </w:tcBorders>
            <w:shd w:val="clear" w:color="000000" w:fill="D9D9D9"/>
            <w:noWrap/>
            <w:vAlign w:val="bottom"/>
            <w:hideMark/>
          </w:tcPr>
          <w:p w14:paraId="790671F1" w14:textId="43C55DC9"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2.103.222,14</w:t>
            </w:r>
          </w:p>
        </w:tc>
        <w:tc>
          <w:tcPr>
            <w:tcW w:w="478" w:type="pct"/>
            <w:tcBorders>
              <w:top w:val="nil"/>
              <w:left w:val="nil"/>
              <w:bottom w:val="single" w:sz="4" w:space="0" w:color="auto"/>
              <w:right w:val="single" w:sz="4" w:space="0" w:color="auto"/>
            </w:tcBorders>
            <w:shd w:val="clear" w:color="000000" w:fill="D9D9D9"/>
            <w:noWrap/>
            <w:vAlign w:val="bottom"/>
            <w:hideMark/>
          </w:tcPr>
          <w:p w14:paraId="074E1CAC" w14:textId="2A5299EC" w:rsidR="00191AE3" w:rsidRPr="000020F0" w:rsidRDefault="00191AE3" w:rsidP="00191AE3">
            <w:pPr>
              <w:jc w:val="right"/>
              <w:rPr>
                <w:rFonts w:ascii="Arial" w:hAnsi="Arial" w:cs="Arial"/>
                <w:b/>
                <w:bCs/>
                <w:color w:val="000000"/>
                <w:sz w:val="20"/>
                <w:szCs w:val="20"/>
              </w:rPr>
            </w:pPr>
            <w:r w:rsidRPr="000020F0">
              <w:rPr>
                <w:rFonts w:ascii="Arial" w:hAnsi="Arial" w:cs="Arial"/>
                <w:b/>
                <w:bCs/>
                <w:color w:val="000000"/>
                <w:sz w:val="20"/>
                <w:szCs w:val="20"/>
              </w:rPr>
              <w:t>76.202,82</w:t>
            </w:r>
          </w:p>
        </w:tc>
      </w:tr>
      <w:tr w:rsidR="00191AE3" w:rsidRPr="000020F0" w14:paraId="5747F0BE"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7710B7D5" w14:textId="0A9E0A54"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lastRenderedPageBreak/>
              <w:t>EU sredstva</w:t>
            </w:r>
          </w:p>
        </w:tc>
        <w:tc>
          <w:tcPr>
            <w:tcW w:w="502" w:type="pct"/>
            <w:tcBorders>
              <w:top w:val="nil"/>
              <w:left w:val="nil"/>
              <w:bottom w:val="single" w:sz="4" w:space="0" w:color="auto"/>
              <w:right w:val="single" w:sz="4" w:space="0" w:color="auto"/>
            </w:tcBorders>
            <w:noWrap/>
            <w:vAlign w:val="bottom"/>
            <w:hideMark/>
          </w:tcPr>
          <w:p w14:paraId="57695D24" w14:textId="7D8698C4"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1.698.895,04</w:t>
            </w:r>
          </w:p>
        </w:tc>
        <w:tc>
          <w:tcPr>
            <w:tcW w:w="453" w:type="pct"/>
            <w:tcBorders>
              <w:top w:val="nil"/>
              <w:left w:val="nil"/>
              <w:bottom w:val="single" w:sz="4" w:space="0" w:color="auto"/>
              <w:right w:val="single" w:sz="4" w:space="0" w:color="auto"/>
            </w:tcBorders>
            <w:noWrap/>
            <w:vAlign w:val="bottom"/>
            <w:hideMark/>
          </w:tcPr>
          <w:p w14:paraId="0027042D" w14:textId="16699A96"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50,17%</w:t>
            </w:r>
          </w:p>
        </w:tc>
        <w:tc>
          <w:tcPr>
            <w:tcW w:w="496" w:type="pct"/>
            <w:tcBorders>
              <w:top w:val="nil"/>
              <w:left w:val="nil"/>
              <w:bottom w:val="single" w:sz="4" w:space="0" w:color="auto"/>
              <w:right w:val="single" w:sz="4" w:space="0" w:color="auto"/>
            </w:tcBorders>
            <w:noWrap/>
            <w:vAlign w:val="bottom"/>
            <w:hideMark/>
          </w:tcPr>
          <w:p w14:paraId="73D7DA82" w14:textId="262094CF"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4.808,48</w:t>
            </w:r>
          </w:p>
        </w:tc>
        <w:tc>
          <w:tcPr>
            <w:tcW w:w="558" w:type="pct"/>
            <w:tcBorders>
              <w:top w:val="nil"/>
              <w:left w:val="nil"/>
              <w:bottom w:val="single" w:sz="4" w:space="0" w:color="auto"/>
              <w:right w:val="single" w:sz="4" w:space="0" w:color="auto"/>
            </w:tcBorders>
            <w:noWrap/>
            <w:vAlign w:val="bottom"/>
            <w:hideMark/>
          </w:tcPr>
          <w:p w14:paraId="3AE694DB" w14:textId="64529AED"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52.752,46</w:t>
            </w:r>
          </w:p>
        </w:tc>
        <w:tc>
          <w:tcPr>
            <w:tcW w:w="478" w:type="pct"/>
            <w:tcBorders>
              <w:top w:val="nil"/>
              <w:left w:val="nil"/>
              <w:bottom w:val="single" w:sz="4" w:space="0" w:color="auto"/>
              <w:right w:val="single" w:sz="4" w:space="0" w:color="auto"/>
            </w:tcBorders>
            <w:noWrap/>
            <w:vAlign w:val="bottom"/>
            <w:hideMark/>
          </w:tcPr>
          <w:p w14:paraId="3AE95F83" w14:textId="52BE1D9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24.062,71</w:t>
            </w:r>
          </w:p>
        </w:tc>
        <w:tc>
          <w:tcPr>
            <w:tcW w:w="466" w:type="pct"/>
            <w:tcBorders>
              <w:top w:val="nil"/>
              <w:left w:val="nil"/>
              <w:bottom w:val="single" w:sz="4" w:space="0" w:color="auto"/>
              <w:right w:val="single" w:sz="4" w:space="0" w:color="auto"/>
            </w:tcBorders>
            <w:noWrap/>
            <w:vAlign w:val="bottom"/>
            <w:hideMark/>
          </w:tcPr>
          <w:p w14:paraId="26020925" w14:textId="3B799AB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518.219,30</w:t>
            </w:r>
          </w:p>
        </w:tc>
        <w:tc>
          <w:tcPr>
            <w:tcW w:w="527" w:type="pct"/>
            <w:tcBorders>
              <w:top w:val="nil"/>
              <w:left w:val="nil"/>
              <w:bottom w:val="single" w:sz="4" w:space="0" w:color="auto"/>
              <w:right w:val="single" w:sz="4" w:space="0" w:color="auto"/>
            </w:tcBorders>
            <w:noWrap/>
            <w:vAlign w:val="bottom"/>
            <w:hideMark/>
          </w:tcPr>
          <w:p w14:paraId="3725A124" w14:textId="6FE95E4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1.048.962,57</w:t>
            </w:r>
          </w:p>
        </w:tc>
        <w:tc>
          <w:tcPr>
            <w:tcW w:w="478" w:type="pct"/>
            <w:tcBorders>
              <w:top w:val="nil"/>
              <w:left w:val="nil"/>
              <w:bottom w:val="single" w:sz="4" w:space="0" w:color="auto"/>
              <w:right w:val="single" w:sz="4" w:space="0" w:color="auto"/>
            </w:tcBorders>
            <w:noWrap/>
            <w:vAlign w:val="bottom"/>
            <w:hideMark/>
          </w:tcPr>
          <w:p w14:paraId="39A3AD9B" w14:textId="5A1BDC2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50.089,52</w:t>
            </w:r>
          </w:p>
        </w:tc>
      </w:tr>
      <w:tr w:rsidR="00191AE3" w:rsidRPr="000020F0" w14:paraId="0C7EFEA5"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7DEB9644" w14:textId="4AB8290C"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Slovenska udeležba</w:t>
            </w:r>
          </w:p>
        </w:tc>
        <w:tc>
          <w:tcPr>
            <w:tcW w:w="502" w:type="pct"/>
            <w:tcBorders>
              <w:top w:val="nil"/>
              <w:left w:val="nil"/>
              <w:bottom w:val="single" w:sz="4" w:space="0" w:color="auto"/>
              <w:right w:val="single" w:sz="4" w:space="0" w:color="auto"/>
            </w:tcBorders>
            <w:noWrap/>
            <w:vAlign w:val="bottom"/>
            <w:hideMark/>
          </w:tcPr>
          <w:p w14:paraId="51F0A876" w14:textId="4D112E00"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299.804,99</w:t>
            </w:r>
          </w:p>
        </w:tc>
        <w:tc>
          <w:tcPr>
            <w:tcW w:w="453" w:type="pct"/>
            <w:tcBorders>
              <w:top w:val="nil"/>
              <w:left w:val="nil"/>
              <w:bottom w:val="single" w:sz="4" w:space="0" w:color="auto"/>
              <w:right w:val="single" w:sz="4" w:space="0" w:color="auto"/>
            </w:tcBorders>
            <w:noWrap/>
            <w:vAlign w:val="bottom"/>
            <w:hideMark/>
          </w:tcPr>
          <w:p w14:paraId="187B9727" w14:textId="5A86BC84"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8,85%</w:t>
            </w:r>
          </w:p>
        </w:tc>
        <w:tc>
          <w:tcPr>
            <w:tcW w:w="496" w:type="pct"/>
            <w:tcBorders>
              <w:top w:val="nil"/>
              <w:left w:val="nil"/>
              <w:bottom w:val="single" w:sz="4" w:space="0" w:color="auto"/>
              <w:right w:val="single" w:sz="4" w:space="0" w:color="auto"/>
            </w:tcBorders>
            <w:noWrap/>
            <w:vAlign w:val="bottom"/>
            <w:hideMark/>
          </w:tcPr>
          <w:p w14:paraId="5862764D" w14:textId="22F3A335"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848,55</w:t>
            </w:r>
          </w:p>
        </w:tc>
        <w:tc>
          <w:tcPr>
            <w:tcW w:w="558" w:type="pct"/>
            <w:tcBorders>
              <w:top w:val="nil"/>
              <w:left w:val="nil"/>
              <w:bottom w:val="single" w:sz="4" w:space="0" w:color="auto"/>
              <w:right w:val="single" w:sz="4" w:space="0" w:color="auto"/>
            </w:tcBorders>
            <w:noWrap/>
            <w:vAlign w:val="bottom"/>
            <w:hideMark/>
          </w:tcPr>
          <w:p w14:paraId="54615E95" w14:textId="723D489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9.309,26</w:t>
            </w:r>
          </w:p>
        </w:tc>
        <w:tc>
          <w:tcPr>
            <w:tcW w:w="478" w:type="pct"/>
            <w:tcBorders>
              <w:top w:val="nil"/>
              <w:left w:val="nil"/>
              <w:bottom w:val="single" w:sz="4" w:space="0" w:color="auto"/>
              <w:right w:val="single" w:sz="4" w:space="0" w:color="auto"/>
            </w:tcBorders>
            <w:noWrap/>
            <w:vAlign w:val="bottom"/>
            <w:hideMark/>
          </w:tcPr>
          <w:p w14:paraId="36766893" w14:textId="75130D1C"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4.246,36</w:t>
            </w:r>
          </w:p>
        </w:tc>
        <w:tc>
          <w:tcPr>
            <w:tcW w:w="466" w:type="pct"/>
            <w:tcBorders>
              <w:top w:val="nil"/>
              <w:left w:val="nil"/>
              <w:bottom w:val="single" w:sz="4" w:space="0" w:color="auto"/>
              <w:right w:val="single" w:sz="4" w:space="0" w:color="auto"/>
            </w:tcBorders>
            <w:noWrap/>
            <w:vAlign w:val="bottom"/>
            <w:hideMark/>
          </w:tcPr>
          <w:p w14:paraId="77969F33" w14:textId="295261D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91.450,46</w:t>
            </w:r>
          </w:p>
        </w:tc>
        <w:tc>
          <w:tcPr>
            <w:tcW w:w="527" w:type="pct"/>
            <w:tcBorders>
              <w:top w:val="nil"/>
              <w:left w:val="nil"/>
              <w:bottom w:val="single" w:sz="4" w:space="0" w:color="auto"/>
              <w:right w:val="single" w:sz="4" w:space="0" w:color="auto"/>
            </w:tcBorders>
            <w:noWrap/>
            <w:vAlign w:val="bottom"/>
            <w:hideMark/>
          </w:tcPr>
          <w:p w14:paraId="68665286" w14:textId="73EAAFBD"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185.111,04</w:t>
            </w:r>
          </w:p>
        </w:tc>
        <w:tc>
          <w:tcPr>
            <w:tcW w:w="478" w:type="pct"/>
            <w:tcBorders>
              <w:top w:val="nil"/>
              <w:left w:val="nil"/>
              <w:bottom w:val="single" w:sz="4" w:space="0" w:color="auto"/>
              <w:right w:val="single" w:sz="4" w:space="0" w:color="auto"/>
            </w:tcBorders>
            <w:noWrap/>
            <w:vAlign w:val="bottom"/>
            <w:hideMark/>
          </w:tcPr>
          <w:p w14:paraId="3878C735" w14:textId="6EE50E4B"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8.839,32</w:t>
            </w:r>
          </w:p>
        </w:tc>
      </w:tr>
      <w:tr w:rsidR="00191AE3" w:rsidRPr="000020F0" w14:paraId="77344FC1" w14:textId="77777777" w:rsidTr="00A40EAC">
        <w:trPr>
          <w:trHeight w:val="285"/>
        </w:trPr>
        <w:tc>
          <w:tcPr>
            <w:tcW w:w="1042" w:type="pct"/>
            <w:tcBorders>
              <w:top w:val="nil"/>
              <w:left w:val="single" w:sz="4" w:space="0" w:color="auto"/>
              <w:bottom w:val="single" w:sz="4" w:space="0" w:color="auto"/>
              <w:right w:val="single" w:sz="4" w:space="0" w:color="auto"/>
            </w:tcBorders>
            <w:vAlign w:val="bottom"/>
            <w:hideMark/>
          </w:tcPr>
          <w:p w14:paraId="7EFBB0DE" w14:textId="6C18EBDF" w:rsidR="00191AE3" w:rsidRPr="000020F0" w:rsidRDefault="00191AE3" w:rsidP="00191AE3">
            <w:pPr>
              <w:rPr>
                <w:rFonts w:ascii="Arial" w:hAnsi="Arial" w:cs="Arial"/>
                <w:color w:val="000000"/>
                <w:sz w:val="20"/>
                <w:szCs w:val="20"/>
              </w:rPr>
            </w:pPr>
            <w:r w:rsidRPr="000020F0">
              <w:rPr>
                <w:rFonts w:ascii="Arial" w:hAnsi="Arial" w:cs="Arial"/>
                <w:color w:val="000000"/>
                <w:sz w:val="20"/>
                <w:szCs w:val="20"/>
              </w:rPr>
              <w:t>Lastna sredstva</w:t>
            </w:r>
          </w:p>
        </w:tc>
        <w:tc>
          <w:tcPr>
            <w:tcW w:w="502" w:type="pct"/>
            <w:tcBorders>
              <w:top w:val="nil"/>
              <w:left w:val="nil"/>
              <w:bottom w:val="single" w:sz="4" w:space="0" w:color="auto"/>
              <w:right w:val="single" w:sz="4" w:space="0" w:color="auto"/>
            </w:tcBorders>
            <w:noWrap/>
            <w:vAlign w:val="bottom"/>
            <w:hideMark/>
          </w:tcPr>
          <w:p w14:paraId="18BD25F1" w14:textId="29D223D7"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1.387.354,80</w:t>
            </w:r>
          </w:p>
        </w:tc>
        <w:tc>
          <w:tcPr>
            <w:tcW w:w="453" w:type="pct"/>
            <w:tcBorders>
              <w:top w:val="nil"/>
              <w:left w:val="nil"/>
              <w:bottom w:val="single" w:sz="4" w:space="0" w:color="auto"/>
              <w:right w:val="single" w:sz="4" w:space="0" w:color="auto"/>
            </w:tcBorders>
            <w:noWrap/>
            <w:vAlign w:val="bottom"/>
            <w:hideMark/>
          </w:tcPr>
          <w:p w14:paraId="2B655A9B" w14:textId="409A6CB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40,97%</w:t>
            </w:r>
          </w:p>
        </w:tc>
        <w:tc>
          <w:tcPr>
            <w:tcW w:w="496" w:type="pct"/>
            <w:tcBorders>
              <w:top w:val="nil"/>
              <w:left w:val="nil"/>
              <w:bottom w:val="single" w:sz="4" w:space="0" w:color="auto"/>
              <w:right w:val="single" w:sz="4" w:space="0" w:color="auto"/>
            </w:tcBorders>
            <w:noWrap/>
            <w:vAlign w:val="bottom"/>
            <w:hideMark/>
          </w:tcPr>
          <w:p w14:paraId="6A51ADCB" w14:textId="454F7079"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292.044,14</w:t>
            </w:r>
          </w:p>
        </w:tc>
        <w:tc>
          <w:tcPr>
            <w:tcW w:w="558" w:type="pct"/>
            <w:tcBorders>
              <w:top w:val="nil"/>
              <w:left w:val="nil"/>
              <w:bottom w:val="single" w:sz="4" w:space="0" w:color="auto"/>
              <w:right w:val="single" w:sz="4" w:space="0" w:color="auto"/>
            </w:tcBorders>
            <w:noWrap/>
            <w:vAlign w:val="bottom"/>
            <w:hideMark/>
          </w:tcPr>
          <w:p w14:paraId="5A853B82" w14:textId="31447132"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33.854,31</w:t>
            </w:r>
          </w:p>
        </w:tc>
        <w:tc>
          <w:tcPr>
            <w:tcW w:w="478" w:type="pct"/>
            <w:tcBorders>
              <w:top w:val="nil"/>
              <w:left w:val="nil"/>
              <w:bottom w:val="single" w:sz="4" w:space="0" w:color="auto"/>
              <w:right w:val="single" w:sz="4" w:space="0" w:color="auto"/>
            </w:tcBorders>
            <w:noWrap/>
            <w:vAlign w:val="bottom"/>
            <w:hideMark/>
          </w:tcPr>
          <w:p w14:paraId="4448C03F" w14:textId="7818922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12.667,53</w:t>
            </w:r>
          </w:p>
        </w:tc>
        <w:tc>
          <w:tcPr>
            <w:tcW w:w="466" w:type="pct"/>
            <w:tcBorders>
              <w:top w:val="nil"/>
              <w:left w:val="nil"/>
              <w:bottom w:val="single" w:sz="4" w:space="0" w:color="auto"/>
              <w:right w:val="single" w:sz="4" w:space="0" w:color="auto"/>
            </w:tcBorders>
            <w:noWrap/>
            <w:vAlign w:val="bottom"/>
            <w:hideMark/>
          </w:tcPr>
          <w:p w14:paraId="3603F872" w14:textId="20B25C38"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162.366,31</w:t>
            </w:r>
          </w:p>
        </w:tc>
        <w:tc>
          <w:tcPr>
            <w:tcW w:w="527" w:type="pct"/>
            <w:tcBorders>
              <w:top w:val="nil"/>
              <w:left w:val="nil"/>
              <w:bottom w:val="single" w:sz="4" w:space="0" w:color="auto"/>
              <w:right w:val="single" w:sz="4" w:space="0" w:color="auto"/>
            </w:tcBorders>
            <w:noWrap/>
            <w:vAlign w:val="bottom"/>
            <w:hideMark/>
          </w:tcPr>
          <w:p w14:paraId="515EF2CC" w14:textId="113E8093"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869.148,53</w:t>
            </w:r>
          </w:p>
        </w:tc>
        <w:tc>
          <w:tcPr>
            <w:tcW w:w="478" w:type="pct"/>
            <w:tcBorders>
              <w:top w:val="nil"/>
              <w:left w:val="nil"/>
              <w:bottom w:val="single" w:sz="4" w:space="0" w:color="auto"/>
              <w:right w:val="single" w:sz="4" w:space="0" w:color="auto"/>
            </w:tcBorders>
            <w:noWrap/>
            <w:vAlign w:val="bottom"/>
            <w:hideMark/>
          </w:tcPr>
          <w:p w14:paraId="42955D97" w14:textId="50D1AF2E" w:rsidR="00191AE3" w:rsidRPr="000020F0" w:rsidRDefault="00191AE3" w:rsidP="00191AE3">
            <w:pPr>
              <w:jc w:val="right"/>
              <w:rPr>
                <w:rFonts w:ascii="Arial" w:hAnsi="Arial" w:cs="Arial"/>
                <w:color w:val="000000"/>
                <w:sz w:val="20"/>
                <w:szCs w:val="20"/>
              </w:rPr>
            </w:pPr>
            <w:r w:rsidRPr="000020F0">
              <w:rPr>
                <w:rFonts w:ascii="Arial" w:hAnsi="Arial" w:cs="Arial"/>
                <w:color w:val="000000"/>
                <w:sz w:val="20"/>
                <w:szCs w:val="20"/>
              </w:rPr>
              <w:t>17.273,98</w:t>
            </w:r>
          </w:p>
        </w:tc>
      </w:tr>
    </w:tbl>
    <w:p w14:paraId="54F3B3B1" w14:textId="77777777" w:rsidR="00A40EAC" w:rsidRPr="000020F0" w:rsidRDefault="00A40EAC" w:rsidP="00CF701C">
      <w:pPr>
        <w:spacing w:after="120" w:line="276" w:lineRule="auto"/>
        <w:jc w:val="both"/>
        <w:rPr>
          <w:rFonts w:asciiTheme="majorHAnsi" w:hAnsiTheme="majorHAnsi" w:cstheme="majorHAnsi"/>
          <w:sz w:val="22"/>
          <w:szCs w:val="22"/>
        </w:rPr>
      </w:pPr>
    </w:p>
    <w:p w14:paraId="7F7CFAF3" w14:textId="77777777" w:rsidR="00A40EAC" w:rsidRPr="000020F0" w:rsidRDefault="00A40EAC" w:rsidP="00CF701C">
      <w:pPr>
        <w:spacing w:after="120" w:line="276" w:lineRule="auto"/>
        <w:jc w:val="both"/>
        <w:rPr>
          <w:rFonts w:asciiTheme="majorHAnsi" w:hAnsiTheme="majorHAnsi" w:cstheme="majorHAnsi"/>
          <w:sz w:val="22"/>
          <w:szCs w:val="22"/>
        </w:rPr>
      </w:pPr>
    </w:p>
    <w:p w14:paraId="5DEEC051" w14:textId="77777777" w:rsidR="00B0343F" w:rsidRPr="000020F0" w:rsidRDefault="00B0343F" w:rsidP="00CF701C">
      <w:pPr>
        <w:spacing w:after="120" w:line="276" w:lineRule="auto"/>
        <w:jc w:val="both"/>
        <w:rPr>
          <w:rFonts w:asciiTheme="majorHAnsi" w:hAnsiTheme="majorHAnsi" w:cstheme="majorHAnsi"/>
          <w:b/>
          <w:sz w:val="22"/>
          <w:szCs w:val="22"/>
        </w:rPr>
      </w:pPr>
    </w:p>
    <w:p w14:paraId="6D2448EA" w14:textId="77777777" w:rsidR="00B0343F" w:rsidRPr="000020F0" w:rsidRDefault="00B0343F" w:rsidP="00CF701C">
      <w:pPr>
        <w:spacing w:after="120" w:line="276" w:lineRule="auto"/>
        <w:jc w:val="both"/>
        <w:rPr>
          <w:rFonts w:asciiTheme="majorHAnsi" w:hAnsiTheme="majorHAnsi" w:cstheme="majorHAnsi"/>
          <w:b/>
          <w:sz w:val="22"/>
          <w:szCs w:val="22"/>
        </w:rPr>
      </w:pPr>
    </w:p>
    <w:p w14:paraId="3C347D6C" w14:textId="77777777" w:rsidR="00FA72C5" w:rsidRPr="000020F0" w:rsidRDefault="00FA72C5" w:rsidP="00BD1D20">
      <w:pPr>
        <w:spacing w:line="276" w:lineRule="auto"/>
        <w:rPr>
          <w:rFonts w:asciiTheme="majorHAnsi" w:hAnsiTheme="majorHAnsi" w:cstheme="majorHAnsi"/>
          <w:sz w:val="20"/>
          <w:szCs w:val="20"/>
        </w:rPr>
        <w:sectPr w:rsidR="00FA72C5" w:rsidRPr="000020F0" w:rsidSect="009F09DA">
          <w:headerReference w:type="first" r:id="rId91"/>
          <w:pgSz w:w="16838" w:h="11906" w:orient="landscape"/>
          <w:pgMar w:top="1134" w:right="1134" w:bottom="1417" w:left="1417" w:header="708" w:footer="708" w:gutter="0"/>
          <w:cols w:space="708"/>
          <w:titlePg/>
          <w:docGrid w:linePitch="360"/>
        </w:sectPr>
      </w:pPr>
    </w:p>
    <w:p w14:paraId="683B899E" w14:textId="77777777" w:rsidR="001E2DDA" w:rsidRPr="000020F0" w:rsidRDefault="001E2DDA" w:rsidP="00BD1D20">
      <w:pPr>
        <w:spacing w:line="276" w:lineRule="auto"/>
        <w:rPr>
          <w:rFonts w:asciiTheme="majorHAnsi" w:hAnsiTheme="majorHAnsi" w:cstheme="majorHAnsi"/>
          <w:sz w:val="20"/>
          <w:szCs w:val="20"/>
        </w:rPr>
      </w:pPr>
    </w:p>
    <w:p w14:paraId="54CCEA99" w14:textId="77777777" w:rsidR="006B2762" w:rsidRPr="000020F0" w:rsidRDefault="00550CF1" w:rsidP="00BD1D20">
      <w:pPr>
        <w:pStyle w:val="Naslov1"/>
        <w:numPr>
          <w:ilvl w:val="0"/>
          <w:numId w:val="3"/>
        </w:numPr>
        <w:jc w:val="both"/>
        <w:rPr>
          <w:rFonts w:cstheme="majorHAnsi"/>
        </w:rPr>
      </w:pPr>
      <w:bookmarkStart w:id="364" w:name="_Toc230882250"/>
      <w:r w:rsidRPr="000020F0">
        <w:rPr>
          <w:rFonts w:cstheme="majorHAnsi"/>
        </w:rPr>
        <w:t>P</w:t>
      </w:r>
      <w:r w:rsidR="00357FA2" w:rsidRPr="000020F0">
        <w:rPr>
          <w:rFonts w:cstheme="majorHAnsi"/>
        </w:rPr>
        <w:t>ROJEKCIJE PRIHODKOV IN STROŠKOV POSLOVANJA PO VZPOSTAVITVI DELOVANJA INVESTICIJE ZA OBDOBJE EKONOMSKE DOBE INVESTICIJSKEGA PROJEKTA</w:t>
      </w:r>
      <w:bookmarkEnd w:id="364"/>
    </w:p>
    <w:p w14:paraId="5450C440" w14:textId="77777777" w:rsidR="00337C5A" w:rsidRPr="000020F0" w:rsidRDefault="00337C5A"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65" w:name="_Toc230882251"/>
      <w:r w:rsidRPr="000020F0">
        <w:rPr>
          <w:rFonts w:asciiTheme="majorHAnsi" w:eastAsiaTheme="majorEastAsia" w:hAnsiTheme="majorHAnsi" w:cstheme="majorHAnsi"/>
          <w:color w:val="244061" w:themeColor="accent1" w:themeShade="80"/>
        </w:rPr>
        <w:t>Osnovna izhodišča za prikaz prihodkov in stroškov poslovanja projekta</w:t>
      </w:r>
      <w:bookmarkEnd w:id="365"/>
    </w:p>
    <w:p w14:paraId="3985AED5" w14:textId="77777777" w:rsidR="00F82A16" w:rsidRPr="000020F0" w:rsidRDefault="00F82A16" w:rsidP="00BD1D20">
      <w:pPr>
        <w:pStyle w:val="Naslov2"/>
        <w:numPr>
          <w:ilvl w:val="2"/>
          <w:numId w:val="2"/>
        </w:numPr>
        <w:rPr>
          <w:rFonts w:asciiTheme="majorHAnsi" w:eastAsiaTheme="majorEastAsia" w:hAnsiTheme="majorHAnsi" w:cstheme="majorHAnsi"/>
          <w:color w:val="244061" w:themeColor="accent1" w:themeShade="80"/>
          <w:szCs w:val="22"/>
        </w:rPr>
      </w:pPr>
      <w:bookmarkStart w:id="366" w:name="_Toc230882252"/>
      <w:r w:rsidRPr="000020F0">
        <w:rPr>
          <w:rFonts w:asciiTheme="majorHAnsi" w:eastAsiaTheme="majorEastAsia" w:hAnsiTheme="majorHAnsi" w:cstheme="majorHAnsi"/>
          <w:color w:val="244061" w:themeColor="accent1" w:themeShade="80"/>
          <w:szCs w:val="22"/>
        </w:rPr>
        <w:t>Prih</w:t>
      </w:r>
      <w:r w:rsidR="002E0C49" w:rsidRPr="000020F0">
        <w:rPr>
          <w:rFonts w:asciiTheme="majorHAnsi" w:eastAsiaTheme="majorEastAsia" w:hAnsiTheme="majorHAnsi" w:cstheme="majorHAnsi"/>
          <w:color w:val="244061" w:themeColor="accent1" w:themeShade="80"/>
          <w:szCs w:val="22"/>
        </w:rPr>
        <w:t>o</w:t>
      </w:r>
      <w:r w:rsidRPr="000020F0">
        <w:rPr>
          <w:rFonts w:asciiTheme="majorHAnsi" w:eastAsiaTheme="majorEastAsia" w:hAnsiTheme="majorHAnsi" w:cstheme="majorHAnsi"/>
          <w:color w:val="244061" w:themeColor="accent1" w:themeShade="80"/>
          <w:szCs w:val="22"/>
        </w:rPr>
        <w:t>dki</w:t>
      </w:r>
      <w:bookmarkEnd w:id="366"/>
    </w:p>
    <w:p w14:paraId="1E1E9B5F" w14:textId="77777777" w:rsidR="005B4E50" w:rsidRPr="000020F0" w:rsidRDefault="005B4E50" w:rsidP="00BD1D20">
      <w:pPr>
        <w:spacing w:after="120" w:line="276" w:lineRule="auto"/>
        <w:jc w:val="both"/>
        <w:rPr>
          <w:rFonts w:asciiTheme="majorHAnsi" w:hAnsiTheme="majorHAnsi" w:cstheme="majorHAnsi"/>
          <w:sz w:val="22"/>
          <w:szCs w:val="22"/>
        </w:rPr>
      </w:pPr>
    </w:p>
    <w:p w14:paraId="5218266A" w14:textId="77777777" w:rsidR="005B4E50" w:rsidRPr="000020F0" w:rsidRDefault="005B4E50" w:rsidP="005B4E50">
      <w:pPr>
        <w:spacing w:after="200" w:line="276" w:lineRule="auto"/>
        <w:jc w:val="both"/>
        <w:rPr>
          <w:rFonts w:ascii="Arial" w:hAnsi="Arial" w:cs="Arial"/>
          <w:sz w:val="22"/>
          <w:szCs w:val="22"/>
        </w:rPr>
      </w:pPr>
      <w:r w:rsidRPr="000020F0">
        <w:rPr>
          <w:rFonts w:ascii="Arial" w:hAnsi="Arial" w:cs="Arial"/>
          <w:sz w:val="22"/>
          <w:szCs w:val="22"/>
        </w:rPr>
        <w:t>Z izvedbo projekta se vzpostavljata dva vira prihodkov v okviru javnih storitev:</w:t>
      </w:r>
    </w:p>
    <w:p w14:paraId="038688B4" w14:textId="77777777" w:rsidR="005B4E50" w:rsidRPr="000020F0" w:rsidRDefault="005B4E50" w:rsidP="005B4E50">
      <w:pPr>
        <w:numPr>
          <w:ilvl w:val="0"/>
          <w:numId w:val="137"/>
        </w:numPr>
        <w:spacing w:after="200" w:line="276" w:lineRule="auto"/>
        <w:jc w:val="both"/>
        <w:rPr>
          <w:rFonts w:ascii="Arial" w:hAnsi="Arial" w:cs="Arial"/>
          <w:sz w:val="22"/>
          <w:szCs w:val="22"/>
        </w:rPr>
      </w:pPr>
      <w:r w:rsidRPr="000020F0">
        <w:rPr>
          <w:rFonts w:ascii="Arial" w:hAnsi="Arial" w:cs="Arial"/>
          <w:b/>
          <w:bCs/>
          <w:sz w:val="22"/>
          <w:szCs w:val="22"/>
        </w:rPr>
        <w:t>Prihodki od parkirišč</w:t>
      </w:r>
    </w:p>
    <w:p w14:paraId="5B370CD9" w14:textId="55F03AB4" w:rsidR="005B4E50" w:rsidRPr="000020F0" w:rsidRDefault="005B4E50" w:rsidP="005B4E50">
      <w:pPr>
        <w:spacing w:after="200" w:line="276" w:lineRule="auto"/>
        <w:ind w:left="720"/>
        <w:jc w:val="both"/>
        <w:rPr>
          <w:rFonts w:ascii="Arial" w:hAnsi="Arial" w:cs="Arial"/>
          <w:sz w:val="22"/>
          <w:szCs w:val="22"/>
        </w:rPr>
      </w:pPr>
      <w:r w:rsidRPr="000020F0">
        <w:rPr>
          <w:rFonts w:ascii="Arial" w:hAnsi="Arial" w:cs="Arial"/>
          <w:sz w:val="22"/>
          <w:szCs w:val="22"/>
        </w:rPr>
        <w:t>V središču Iga bo urejenih 56 parkirnih mest (izgradnja</w:t>
      </w:r>
      <w:r w:rsidR="0001201E" w:rsidRPr="000020F0">
        <w:rPr>
          <w:rFonts w:ascii="Arial" w:hAnsi="Arial" w:cs="Arial"/>
          <w:sz w:val="22"/>
          <w:szCs w:val="22"/>
        </w:rPr>
        <w:t xml:space="preserve"> 50 parkirnih mest </w:t>
      </w:r>
      <w:r w:rsidRPr="000020F0">
        <w:rPr>
          <w:rFonts w:ascii="Arial" w:hAnsi="Arial" w:cs="Arial"/>
          <w:sz w:val="22"/>
          <w:szCs w:val="22"/>
        </w:rPr>
        <w:t xml:space="preserve"> predstavlja neupravičen strošek). Ob predpostavljeni 80-odstotni zasedenosti v času od 8.00 do 18.00, ter ob upoštevanju, da približno 40 % uporabnikov parkira kratkotrajno (do dve uri brezplačno), medtem ko ostali po dveh urah parkiranja plačujejo parkirnino v višini 0,50 EUR/uro, se ocenjujejo prihodki v višini približno 17.160 EUR letno (upoštevano 260 delovnih dni na leto).</w:t>
      </w:r>
    </w:p>
    <w:p w14:paraId="69F4C828" w14:textId="77777777" w:rsidR="005B4E50" w:rsidRPr="000020F0" w:rsidRDefault="005B4E50" w:rsidP="005B4E50">
      <w:pPr>
        <w:numPr>
          <w:ilvl w:val="0"/>
          <w:numId w:val="137"/>
        </w:numPr>
        <w:spacing w:after="200" w:line="276" w:lineRule="auto"/>
        <w:jc w:val="both"/>
        <w:rPr>
          <w:rFonts w:ascii="Arial" w:hAnsi="Arial" w:cs="Arial"/>
          <w:sz w:val="22"/>
          <w:szCs w:val="22"/>
        </w:rPr>
      </w:pPr>
      <w:r w:rsidRPr="000020F0">
        <w:rPr>
          <w:rFonts w:ascii="Arial" w:hAnsi="Arial" w:cs="Arial"/>
          <w:b/>
          <w:bCs/>
          <w:sz w:val="22"/>
          <w:szCs w:val="22"/>
        </w:rPr>
        <w:t>Prihodki iz sistema javne izposoje e-koles</w:t>
      </w:r>
    </w:p>
    <w:p w14:paraId="6EAF92E0" w14:textId="77777777" w:rsidR="005B4E50" w:rsidRPr="000020F0" w:rsidRDefault="005B4E50" w:rsidP="005B4E50">
      <w:pPr>
        <w:spacing w:after="200" w:line="276" w:lineRule="auto"/>
        <w:ind w:left="720"/>
        <w:jc w:val="both"/>
        <w:rPr>
          <w:rFonts w:ascii="Arial" w:hAnsi="Arial" w:cs="Arial"/>
          <w:sz w:val="22"/>
          <w:szCs w:val="22"/>
        </w:rPr>
      </w:pPr>
      <w:r w:rsidRPr="000020F0">
        <w:rPr>
          <w:rFonts w:ascii="Arial" w:hAnsi="Arial" w:cs="Arial"/>
          <w:sz w:val="22"/>
          <w:szCs w:val="22"/>
        </w:rPr>
        <w:t>Za občino Ig, ki šteje 7.793 prebivalcev, se ocenjuje, da se bo v sistem registriralo približno 5 % prebivalcev (okoli 390 uporabnikov). Ob letni uporabnini v višini 20 EUR znašajo skupni pričakovani prihodki sistema e-koles približno 7.800 EUR letno.</w:t>
      </w:r>
    </w:p>
    <w:p w14:paraId="60A28E3D" w14:textId="77777777" w:rsidR="005B4E50" w:rsidRPr="000020F0" w:rsidRDefault="005B4E50" w:rsidP="005B4E50">
      <w:pPr>
        <w:spacing w:after="200" w:line="276" w:lineRule="auto"/>
        <w:jc w:val="both"/>
        <w:rPr>
          <w:rFonts w:ascii="Arial" w:hAnsi="Arial" w:cs="Arial"/>
          <w:sz w:val="22"/>
          <w:szCs w:val="22"/>
        </w:rPr>
      </w:pPr>
      <w:r w:rsidRPr="000020F0">
        <w:rPr>
          <w:rFonts w:ascii="Arial" w:hAnsi="Arial" w:cs="Arial"/>
          <w:sz w:val="22"/>
          <w:szCs w:val="22"/>
        </w:rPr>
        <w:t>Skupni letni prihodki iz obeh virov se tako ocenjujejo na okoli 24.960 EUR, kar predstavlja prispevek k pokrivanju obratovalnih stroškov nove infrastrukture.</w:t>
      </w:r>
    </w:p>
    <w:p w14:paraId="498FECB8" w14:textId="77777777" w:rsidR="00F82A16" w:rsidRPr="000020F0" w:rsidRDefault="00BD7D49"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67" w:name="_Toc230882253"/>
      <w:r w:rsidRPr="000020F0">
        <w:rPr>
          <w:rFonts w:asciiTheme="majorHAnsi" w:eastAsiaTheme="majorEastAsia" w:hAnsiTheme="majorHAnsi" w:cstheme="majorHAnsi"/>
          <w:color w:val="244061" w:themeColor="accent1" w:themeShade="80"/>
        </w:rPr>
        <w:t>Obratovalni stroški</w:t>
      </w:r>
      <w:bookmarkEnd w:id="367"/>
    </w:p>
    <w:p w14:paraId="31792769" w14:textId="63F2A78B" w:rsidR="00B50BBE" w:rsidRPr="000020F0" w:rsidRDefault="00B50BBE" w:rsidP="00BD1D20">
      <w:pPr>
        <w:spacing w:line="276" w:lineRule="auto"/>
        <w:rPr>
          <w:rFonts w:asciiTheme="majorHAnsi" w:hAnsiTheme="majorHAnsi" w:cstheme="majorHAnsi"/>
          <w:sz w:val="22"/>
          <w:szCs w:val="22"/>
        </w:rPr>
      </w:pPr>
      <w:r w:rsidRPr="000020F0">
        <w:rPr>
          <w:rFonts w:asciiTheme="majorHAnsi" w:hAnsiTheme="majorHAnsi" w:cstheme="majorHAnsi"/>
          <w:sz w:val="22"/>
          <w:szCs w:val="22"/>
        </w:rPr>
        <w:t xml:space="preserve">Zaradi projekta bodo nastali dodatni obratovalni stroški v vrednosti </w:t>
      </w:r>
      <w:r w:rsidR="0097302B" w:rsidRPr="000020F0">
        <w:rPr>
          <w:rFonts w:asciiTheme="majorHAnsi" w:hAnsiTheme="majorHAnsi" w:cstheme="majorHAnsi"/>
          <w:sz w:val="22"/>
          <w:szCs w:val="22"/>
        </w:rPr>
        <w:t>582</w:t>
      </w:r>
      <w:r w:rsidR="00A56F90" w:rsidRPr="000020F0">
        <w:rPr>
          <w:rFonts w:asciiTheme="majorHAnsi" w:hAnsiTheme="majorHAnsi" w:cstheme="majorHAnsi"/>
          <w:sz w:val="22"/>
          <w:szCs w:val="22"/>
        </w:rPr>
        <w:t>.000,00</w:t>
      </w:r>
      <w:r w:rsidRPr="000020F0">
        <w:rPr>
          <w:rFonts w:asciiTheme="majorHAnsi" w:hAnsiTheme="majorHAnsi" w:cstheme="majorHAnsi"/>
          <w:sz w:val="22"/>
          <w:szCs w:val="22"/>
        </w:rPr>
        <w:t xml:space="preserve"> EUR na leto. Stroški obratovanja bodo nastajali</w:t>
      </w:r>
      <w:r w:rsidR="002B5D18" w:rsidRPr="000020F0">
        <w:rPr>
          <w:rFonts w:asciiTheme="majorHAnsi" w:hAnsiTheme="majorHAnsi" w:cstheme="majorHAnsi"/>
          <w:sz w:val="22"/>
          <w:szCs w:val="22"/>
        </w:rPr>
        <w:t>,</w:t>
      </w:r>
      <w:r w:rsidRPr="000020F0">
        <w:rPr>
          <w:rFonts w:asciiTheme="majorHAnsi" w:hAnsiTheme="majorHAnsi" w:cstheme="majorHAnsi"/>
          <w:sz w:val="22"/>
          <w:szCs w:val="22"/>
        </w:rPr>
        <w:t xml:space="preserve"> kot </w:t>
      </w:r>
      <w:r w:rsidR="002B5D18" w:rsidRPr="000020F0">
        <w:rPr>
          <w:rFonts w:asciiTheme="majorHAnsi" w:hAnsiTheme="majorHAnsi" w:cstheme="majorHAnsi"/>
          <w:sz w:val="22"/>
          <w:szCs w:val="22"/>
        </w:rPr>
        <w:t xml:space="preserve">je prikazano v </w:t>
      </w:r>
      <w:r w:rsidR="00B96609" w:rsidRPr="000020F0">
        <w:rPr>
          <w:rFonts w:asciiTheme="majorHAnsi" w:hAnsiTheme="majorHAnsi" w:cstheme="majorHAnsi"/>
          <w:sz w:val="22"/>
          <w:szCs w:val="22"/>
        </w:rPr>
        <w:t>nadaljevanju:</w:t>
      </w:r>
    </w:p>
    <w:p w14:paraId="0C1F76A2" w14:textId="1A1140B8"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Vzdrževanje cest in tlakovanih površin</w:t>
      </w:r>
    </w:p>
    <w:p w14:paraId="3C732BD4" w14:textId="0A79B685" w:rsidR="00B96609" w:rsidRPr="000020F0" w:rsidRDefault="00B96609" w:rsidP="00B96609">
      <w:pPr>
        <w:numPr>
          <w:ilvl w:val="0"/>
          <w:numId w:val="207"/>
        </w:numPr>
        <w:spacing w:line="276" w:lineRule="auto"/>
        <w:ind w:hanging="357"/>
        <w:rPr>
          <w:rFonts w:asciiTheme="majorHAnsi" w:hAnsiTheme="majorHAnsi" w:cstheme="majorHAnsi"/>
          <w:sz w:val="22"/>
          <w:szCs w:val="22"/>
        </w:rPr>
      </w:pPr>
      <w:r w:rsidRPr="000020F0">
        <w:rPr>
          <w:rFonts w:asciiTheme="majorHAnsi" w:hAnsiTheme="majorHAnsi" w:cstheme="majorHAnsi"/>
          <w:sz w:val="22"/>
          <w:szCs w:val="22"/>
        </w:rPr>
        <w:t xml:space="preserve">Letni stroški vzdrževanja (čiščenje, popravila, zimska služba): </w:t>
      </w:r>
      <w:r w:rsidR="002F2D89" w:rsidRPr="000020F0">
        <w:rPr>
          <w:rFonts w:asciiTheme="majorHAnsi" w:hAnsiTheme="majorHAnsi" w:cstheme="majorHAnsi"/>
          <w:b/>
          <w:bCs/>
          <w:sz w:val="22"/>
          <w:szCs w:val="22"/>
        </w:rPr>
        <w:t>21</w:t>
      </w:r>
      <w:r w:rsidRPr="000020F0">
        <w:rPr>
          <w:rFonts w:asciiTheme="majorHAnsi" w:hAnsiTheme="majorHAnsi" w:cstheme="majorHAnsi"/>
          <w:b/>
          <w:bCs/>
          <w:sz w:val="22"/>
          <w:szCs w:val="22"/>
        </w:rPr>
        <w:t>.</w:t>
      </w:r>
      <w:r w:rsidR="002F2D89" w:rsidRPr="000020F0">
        <w:rPr>
          <w:rFonts w:asciiTheme="majorHAnsi" w:hAnsiTheme="majorHAnsi" w:cstheme="majorHAnsi"/>
          <w:b/>
          <w:bCs/>
          <w:sz w:val="22"/>
          <w:szCs w:val="22"/>
        </w:rPr>
        <w:t>6</w:t>
      </w:r>
      <w:r w:rsidRPr="000020F0">
        <w:rPr>
          <w:rFonts w:asciiTheme="majorHAnsi" w:hAnsiTheme="majorHAnsi" w:cstheme="majorHAnsi"/>
          <w:b/>
          <w:bCs/>
          <w:sz w:val="22"/>
          <w:szCs w:val="22"/>
        </w:rPr>
        <w:t>00 EUR</w:t>
      </w:r>
    </w:p>
    <w:p w14:paraId="296530AB" w14:textId="0056D7BE"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Avtobusno postajališče (nivo + nadstrešnica)</w:t>
      </w:r>
    </w:p>
    <w:p w14:paraId="31F90011" w14:textId="68EA190A" w:rsidR="00B96609" w:rsidRPr="000020F0" w:rsidRDefault="00B96609" w:rsidP="00B96609">
      <w:pPr>
        <w:numPr>
          <w:ilvl w:val="0"/>
          <w:numId w:val="208"/>
        </w:numPr>
        <w:spacing w:line="276" w:lineRule="auto"/>
        <w:ind w:hanging="357"/>
        <w:rPr>
          <w:rFonts w:asciiTheme="majorHAnsi" w:hAnsiTheme="majorHAnsi" w:cstheme="majorHAnsi"/>
          <w:sz w:val="22"/>
          <w:szCs w:val="22"/>
        </w:rPr>
      </w:pPr>
      <w:r w:rsidRPr="000020F0">
        <w:rPr>
          <w:rFonts w:asciiTheme="majorHAnsi" w:hAnsiTheme="majorHAnsi" w:cstheme="majorHAnsi"/>
          <w:sz w:val="22"/>
          <w:szCs w:val="22"/>
        </w:rPr>
        <w:t xml:space="preserve">Vzdrževanje (čiščenje, razsvetljava, manjša popravila, pregled varnosti): </w:t>
      </w:r>
      <w:r w:rsidRPr="000020F0">
        <w:rPr>
          <w:rFonts w:asciiTheme="majorHAnsi" w:hAnsiTheme="majorHAnsi" w:cstheme="majorHAnsi"/>
          <w:b/>
          <w:bCs/>
          <w:sz w:val="22"/>
          <w:szCs w:val="22"/>
        </w:rPr>
        <w:t>16.500 EUR</w:t>
      </w:r>
    </w:p>
    <w:p w14:paraId="38846531" w14:textId="1E9F41F5"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Kolesarska infrastruktura (parkirišča, kolesarnica)</w:t>
      </w:r>
    </w:p>
    <w:p w14:paraId="690F0D37" w14:textId="354B2246" w:rsidR="00B96609" w:rsidRPr="000020F0" w:rsidRDefault="00B96609" w:rsidP="00B96609">
      <w:pPr>
        <w:numPr>
          <w:ilvl w:val="0"/>
          <w:numId w:val="209"/>
        </w:numPr>
        <w:spacing w:line="276" w:lineRule="auto"/>
        <w:ind w:hanging="357"/>
        <w:rPr>
          <w:rFonts w:asciiTheme="majorHAnsi" w:hAnsiTheme="majorHAnsi" w:cstheme="majorHAnsi"/>
          <w:sz w:val="22"/>
          <w:szCs w:val="22"/>
        </w:rPr>
      </w:pPr>
      <w:r w:rsidRPr="000020F0">
        <w:rPr>
          <w:rFonts w:asciiTheme="majorHAnsi" w:hAnsiTheme="majorHAnsi" w:cstheme="majorHAnsi"/>
          <w:sz w:val="22"/>
          <w:szCs w:val="22"/>
        </w:rPr>
        <w:t xml:space="preserve">Vzdrževanje: </w:t>
      </w:r>
      <w:r w:rsidR="002F2D89" w:rsidRPr="000020F0">
        <w:rPr>
          <w:rFonts w:asciiTheme="majorHAnsi" w:hAnsiTheme="majorHAnsi" w:cstheme="majorHAnsi"/>
          <w:b/>
          <w:bCs/>
          <w:sz w:val="22"/>
          <w:szCs w:val="22"/>
        </w:rPr>
        <w:t>750</w:t>
      </w:r>
      <w:r w:rsidRPr="000020F0">
        <w:rPr>
          <w:rFonts w:asciiTheme="majorHAnsi" w:hAnsiTheme="majorHAnsi" w:cstheme="majorHAnsi"/>
          <w:b/>
          <w:bCs/>
          <w:sz w:val="22"/>
          <w:szCs w:val="22"/>
        </w:rPr>
        <w:t xml:space="preserve"> EUR</w:t>
      </w:r>
    </w:p>
    <w:p w14:paraId="017AE774" w14:textId="5C4A339D"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 xml:space="preserve">Sistem izposoje e-koles (2 postajališči, </w:t>
      </w:r>
      <w:r w:rsidR="00FF0447" w:rsidRPr="000020F0">
        <w:rPr>
          <w:rFonts w:asciiTheme="majorHAnsi" w:eastAsia="Times New Roman" w:hAnsiTheme="majorHAnsi" w:cstheme="majorHAnsi"/>
          <w:b/>
          <w:bCs/>
        </w:rPr>
        <w:t>10</w:t>
      </w:r>
      <w:r w:rsidRPr="000020F0">
        <w:rPr>
          <w:rFonts w:asciiTheme="majorHAnsi" w:eastAsia="Times New Roman" w:hAnsiTheme="majorHAnsi" w:cstheme="majorHAnsi"/>
          <w:b/>
          <w:bCs/>
        </w:rPr>
        <w:t xml:space="preserve"> koles)</w:t>
      </w:r>
    </w:p>
    <w:p w14:paraId="292C76BD" w14:textId="0814AA76" w:rsidR="00B96609" w:rsidRPr="000020F0" w:rsidRDefault="00B96609" w:rsidP="00741F9E">
      <w:pPr>
        <w:numPr>
          <w:ilvl w:val="0"/>
          <w:numId w:val="210"/>
        </w:numPr>
        <w:spacing w:line="276" w:lineRule="auto"/>
        <w:ind w:right="-568" w:hanging="357"/>
        <w:rPr>
          <w:rFonts w:asciiTheme="majorHAnsi" w:hAnsiTheme="majorHAnsi" w:cstheme="majorHAnsi"/>
          <w:sz w:val="22"/>
          <w:szCs w:val="22"/>
        </w:rPr>
      </w:pPr>
      <w:r w:rsidRPr="000020F0">
        <w:rPr>
          <w:rFonts w:asciiTheme="majorHAnsi" w:hAnsiTheme="majorHAnsi" w:cstheme="majorHAnsi"/>
          <w:sz w:val="22"/>
          <w:szCs w:val="22"/>
        </w:rPr>
        <w:t xml:space="preserve">Stroški vzdrževanja + servis koles + IT sistem: </w:t>
      </w:r>
      <w:r w:rsidR="00FF0447" w:rsidRPr="000020F0">
        <w:rPr>
          <w:rFonts w:asciiTheme="majorHAnsi" w:hAnsiTheme="majorHAnsi" w:cstheme="majorHAnsi"/>
          <w:b/>
          <w:bCs/>
          <w:sz w:val="22"/>
          <w:szCs w:val="22"/>
        </w:rPr>
        <w:t>7.350</w:t>
      </w:r>
      <w:r w:rsidRPr="000020F0">
        <w:rPr>
          <w:rFonts w:asciiTheme="majorHAnsi" w:hAnsiTheme="majorHAnsi" w:cstheme="majorHAnsi"/>
          <w:b/>
          <w:bCs/>
          <w:sz w:val="22"/>
          <w:szCs w:val="22"/>
        </w:rPr>
        <w:t xml:space="preserve"> EUR</w:t>
      </w:r>
    </w:p>
    <w:p w14:paraId="29D40867" w14:textId="70D2A2D9"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Merilniki hitrosti, prikazovalniki, števci kolesarjev</w:t>
      </w:r>
    </w:p>
    <w:p w14:paraId="7EDDB66F" w14:textId="10CA8AFD" w:rsidR="00B96609" w:rsidRPr="000020F0" w:rsidRDefault="00B96609" w:rsidP="00B96609">
      <w:pPr>
        <w:numPr>
          <w:ilvl w:val="0"/>
          <w:numId w:val="211"/>
        </w:numPr>
        <w:spacing w:line="276" w:lineRule="auto"/>
        <w:ind w:hanging="357"/>
        <w:rPr>
          <w:rFonts w:asciiTheme="majorHAnsi" w:hAnsiTheme="majorHAnsi" w:cstheme="majorHAnsi"/>
          <w:sz w:val="22"/>
          <w:szCs w:val="22"/>
        </w:rPr>
      </w:pPr>
      <w:r w:rsidRPr="000020F0">
        <w:rPr>
          <w:rFonts w:asciiTheme="majorHAnsi" w:hAnsiTheme="majorHAnsi" w:cstheme="majorHAnsi"/>
          <w:sz w:val="22"/>
          <w:szCs w:val="22"/>
        </w:rPr>
        <w:t xml:space="preserve">Vzdrževanje, kalibracije, elektrika: </w:t>
      </w:r>
      <w:r w:rsidR="00FF0447" w:rsidRPr="000020F0">
        <w:rPr>
          <w:rFonts w:asciiTheme="majorHAnsi" w:hAnsiTheme="majorHAnsi" w:cstheme="majorHAnsi"/>
          <w:b/>
          <w:bCs/>
          <w:sz w:val="22"/>
          <w:szCs w:val="22"/>
        </w:rPr>
        <w:t>2.200</w:t>
      </w:r>
      <w:r w:rsidRPr="000020F0">
        <w:rPr>
          <w:rFonts w:asciiTheme="majorHAnsi" w:hAnsiTheme="majorHAnsi" w:cstheme="majorHAnsi"/>
          <w:b/>
          <w:bCs/>
          <w:sz w:val="22"/>
          <w:szCs w:val="22"/>
        </w:rPr>
        <w:t xml:space="preserve"> EUR</w:t>
      </w:r>
    </w:p>
    <w:p w14:paraId="1AACAA6D" w14:textId="5BBE5943" w:rsidR="00B96609" w:rsidRPr="000020F0" w:rsidRDefault="00B96609" w:rsidP="00B96609">
      <w:pPr>
        <w:pStyle w:val="Odstavekseznama"/>
        <w:numPr>
          <w:ilvl w:val="0"/>
          <w:numId w:val="213"/>
        </w:numPr>
        <w:spacing w:after="0"/>
        <w:ind w:left="426" w:hanging="357"/>
        <w:rPr>
          <w:rFonts w:asciiTheme="majorHAnsi" w:hAnsiTheme="majorHAnsi" w:cstheme="majorHAnsi"/>
        </w:rPr>
      </w:pPr>
      <w:r w:rsidRPr="000020F0">
        <w:rPr>
          <w:rFonts w:asciiTheme="majorHAnsi" w:eastAsia="Times New Roman" w:hAnsiTheme="majorHAnsi" w:cstheme="majorHAnsi"/>
          <w:b/>
          <w:bCs/>
        </w:rPr>
        <w:t>Splošni stroški vzdrževanja javnih površin</w:t>
      </w:r>
      <w:r w:rsidRPr="000020F0">
        <w:rPr>
          <w:rFonts w:asciiTheme="majorHAnsi" w:hAnsiTheme="majorHAnsi" w:cstheme="majorHAnsi"/>
        </w:rPr>
        <w:t xml:space="preserve"> (zelene površine ob cestah, košnja, zalivanje, čistilni servis ipd.)</w:t>
      </w:r>
    </w:p>
    <w:p w14:paraId="6D12D2DD" w14:textId="73BD019E" w:rsidR="00B96609" w:rsidRPr="000020F0" w:rsidRDefault="00B96609" w:rsidP="00B96609">
      <w:pPr>
        <w:numPr>
          <w:ilvl w:val="0"/>
          <w:numId w:val="212"/>
        </w:numPr>
        <w:spacing w:line="276" w:lineRule="auto"/>
        <w:ind w:hanging="357"/>
        <w:rPr>
          <w:rFonts w:asciiTheme="majorHAnsi" w:hAnsiTheme="majorHAnsi" w:cstheme="majorHAnsi"/>
          <w:sz w:val="22"/>
          <w:szCs w:val="22"/>
        </w:rPr>
      </w:pPr>
      <w:r w:rsidRPr="000020F0">
        <w:rPr>
          <w:rFonts w:asciiTheme="majorHAnsi" w:hAnsiTheme="majorHAnsi" w:cstheme="majorHAnsi"/>
          <w:sz w:val="22"/>
          <w:szCs w:val="22"/>
        </w:rPr>
        <w:t xml:space="preserve">Ocenjeno glede na obseg projekta: </w:t>
      </w:r>
      <w:r w:rsidRPr="000020F0">
        <w:rPr>
          <w:rFonts w:asciiTheme="majorHAnsi" w:hAnsiTheme="majorHAnsi" w:cstheme="majorHAnsi"/>
          <w:b/>
          <w:bCs/>
          <w:sz w:val="22"/>
          <w:szCs w:val="22"/>
        </w:rPr>
        <w:t>10.000 EUR letno</w:t>
      </w:r>
    </w:p>
    <w:p w14:paraId="2EC28877" w14:textId="77777777" w:rsidR="00741F9E" w:rsidRPr="000020F0" w:rsidRDefault="00741F9E" w:rsidP="00BD1D20">
      <w:pPr>
        <w:spacing w:after="120" w:line="276" w:lineRule="auto"/>
        <w:jc w:val="both"/>
        <w:rPr>
          <w:rFonts w:asciiTheme="majorHAnsi" w:hAnsiTheme="majorHAnsi" w:cstheme="majorHAnsi"/>
          <w:sz w:val="22"/>
          <w:szCs w:val="22"/>
        </w:rPr>
      </w:pPr>
    </w:p>
    <w:p w14:paraId="13A3B74D" w14:textId="1083E3B0" w:rsidR="000A7D30" w:rsidRPr="000020F0" w:rsidRDefault="00633931"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lastRenderedPageBreak/>
        <w:t xml:space="preserve">Obratovalni </w:t>
      </w:r>
      <w:r w:rsidR="00174517" w:rsidRPr="000020F0">
        <w:rPr>
          <w:rFonts w:asciiTheme="majorHAnsi" w:hAnsiTheme="majorHAnsi" w:cstheme="majorHAnsi"/>
          <w:sz w:val="22"/>
          <w:szCs w:val="22"/>
        </w:rPr>
        <w:t>stroški</w:t>
      </w:r>
      <w:r w:rsidRPr="000020F0">
        <w:rPr>
          <w:rFonts w:asciiTheme="majorHAnsi" w:hAnsiTheme="majorHAnsi" w:cstheme="majorHAnsi"/>
          <w:sz w:val="22"/>
          <w:szCs w:val="22"/>
        </w:rPr>
        <w:t xml:space="preserve"> so določeni kot dodatni stroški, ki bodo nastajali zaradi izvedbe projekta in so ocenjeni izkustveno.</w:t>
      </w:r>
      <w:r w:rsidR="00DE0FBA" w:rsidRPr="000020F0">
        <w:rPr>
          <w:rFonts w:asciiTheme="majorHAnsi" w:hAnsiTheme="majorHAnsi" w:cstheme="majorHAnsi"/>
          <w:sz w:val="22"/>
          <w:szCs w:val="22"/>
        </w:rPr>
        <w:t xml:space="preserve"> </w:t>
      </w:r>
      <w:r w:rsidR="00B96609" w:rsidRPr="000020F0">
        <w:rPr>
          <w:rFonts w:asciiTheme="majorHAnsi" w:hAnsiTheme="majorHAnsi" w:cstheme="majorHAnsi"/>
          <w:sz w:val="22"/>
          <w:szCs w:val="22"/>
        </w:rPr>
        <w:t xml:space="preserve">Ker stroški vzdrževanja cest že obstajajo </w:t>
      </w:r>
      <w:r w:rsidR="00494757" w:rsidRPr="000020F0">
        <w:rPr>
          <w:rFonts w:asciiTheme="majorHAnsi" w:hAnsiTheme="majorHAnsi" w:cstheme="majorHAnsi"/>
          <w:sz w:val="22"/>
          <w:szCs w:val="22"/>
        </w:rPr>
        <w:t xml:space="preserve">vezano na obstoječe stanje, </w:t>
      </w:r>
      <w:r w:rsidR="00A075F5" w:rsidRPr="000020F0">
        <w:rPr>
          <w:rFonts w:asciiTheme="majorHAnsi" w:hAnsiTheme="majorHAnsi" w:cstheme="majorHAnsi"/>
          <w:sz w:val="22"/>
          <w:szCs w:val="22"/>
        </w:rPr>
        <w:t>le-ti ne predstavljajo dodatnih ampak obstoječe obratovalne stroške.</w:t>
      </w:r>
    </w:p>
    <w:p w14:paraId="0ABBB0A9" w14:textId="71A91621" w:rsidR="00BD7D49" w:rsidRPr="000020F0" w:rsidRDefault="00BD7D49" w:rsidP="00BD1D20">
      <w:pPr>
        <w:spacing w:after="120"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 xml:space="preserve">Kot začetno obdobje obratovalnih stroškov smo upoštevali </w:t>
      </w:r>
      <w:r w:rsidR="00A075F5" w:rsidRPr="000020F0">
        <w:rPr>
          <w:rFonts w:asciiTheme="majorHAnsi" w:hAnsiTheme="majorHAnsi" w:cstheme="majorHAnsi"/>
          <w:sz w:val="22"/>
          <w:szCs w:val="22"/>
          <w:lang w:eastAsia="zh-TW"/>
        </w:rPr>
        <w:t>leto 20</w:t>
      </w:r>
      <w:r w:rsidR="00EE7843" w:rsidRPr="000020F0">
        <w:rPr>
          <w:rFonts w:asciiTheme="majorHAnsi" w:hAnsiTheme="majorHAnsi" w:cstheme="majorHAnsi"/>
          <w:sz w:val="22"/>
          <w:szCs w:val="22"/>
          <w:lang w:eastAsia="zh-TW"/>
        </w:rPr>
        <w:t>29</w:t>
      </w:r>
      <w:r w:rsidR="00A075F5" w:rsidRPr="000020F0">
        <w:rPr>
          <w:rFonts w:asciiTheme="majorHAnsi" w:hAnsiTheme="majorHAnsi" w:cstheme="majorHAnsi"/>
          <w:sz w:val="22"/>
          <w:szCs w:val="22"/>
          <w:lang w:eastAsia="zh-TW"/>
        </w:rPr>
        <w:t xml:space="preserve">, ko se bo </w:t>
      </w:r>
      <w:r w:rsidRPr="000020F0">
        <w:rPr>
          <w:rFonts w:asciiTheme="majorHAnsi" w:hAnsiTheme="majorHAnsi" w:cstheme="majorHAnsi"/>
          <w:sz w:val="22"/>
          <w:szCs w:val="22"/>
          <w:lang w:eastAsia="zh-TW"/>
        </w:rPr>
        <w:t xml:space="preserve">predmetna investicija </w:t>
      </w:r>
      <w:r w:rsidR="00A075F5" w:rsidRPr="000020F0">
        <w:rPr>
          <w:rFonts w:asciiTheme="majorHAnsi" w:hAnsiTheme="majorHAnsi" w:cstheme="majorHAnsi"/>
          <w:sz w:val="22"/>
          <w:szCs w:val="22"/>
          <w:lang w:eastAsia="zh-TW"/>
        </w:rPr>
        <w:t>v celoti tudi začela</w:t>
      </w:r>
      <w:r w:rsidRPr="000020F0">
        <w:rPr>
          <w:rFonts w:asciiTheme="majorHAnsi" w:hAnsiTheme="majorHAnsi" w:cstheme="majorHAnsi"/>
          <w:sz w:val="22"/>
          <w:szCs w:val="22"/>
          <w:lang w:eastAsia="zh-TW"/>
        </w:rPr>
        <w:t xml:space="preserve"> uporabljati.</w:t>
      </w:r>
    </w:p>
    <w:p w14:paraId="5D74F2E6" w14:textId="77777777" w:rsidR="000E29C4" w:rsidRPr="000020F0" w:rsidRDefault="000E29C4" w:rsidP="00BD1D20">
      <w:pPr>
        <w:spacing w:after="120" w:line="276" w:lineRule="auto"/>
        <w:jc w:val="both"/>
        <w:rPr>
          <w:rFonts w:asciiTheme="majorHAnsi" w:hAnsiTheme="majorHAnsi" w:cstheme="majorHAnsi"/>
          <w:sz w:val="22"/>
          <w:szCs w:val="22"/>
          <w:lang w:eastAsia="zh-TW"/>
        </w:rPr>
      </w:pPr>
      <w:bookmarkStart w:id="368" w:name="_Toc447095053"/>
      <w:r w:rsidRPr="000020F0">
        <w:rPr>
          <w:rFonts w:asciiTheme="majorHAnsi" w:hAnsiTheme="majorHAnsi" w:cstheme="majorHAnsi"/>
          <w:sz w:val="22"/>
          <w:szCs w:val="22"/>
          <w:lang w:eastAsia="zh-TW"/>
        </w:rPr>
        <w:t xml:space="preserve">Ekonomska doba investicije je določena na </w:t>
      </w:r>
      <w:r w:rsidR="00EB682C" w:rsidRPr="000020F0">
        <w:rPr>
          <w:rFonts w:asciiTheme="majorHAnsi" w:hAnsiTheme="majorHAnsi" w:cstheme="majorHAnsi"/>
          <w:sz w:val="22"/>
          <w:szCs w:val="22"/>
          <w:lang w:eastAsia="zh-TW"/>
        </w:rPr>
        <w:t>30</w:t>
      </w:r>
      <w:r w:rsidRPr="000020F0">
        <w:rPr>
          <w:rFonts w:asciiTheme="majorHAnsi" w:hAnsiTheme="majorHAnsi" w:cstheme="majorHAnsi"/>
          <w:sz w:val="22"/>
          <w:szCs w:val="22"/>
          <w:lang w:eastAsia="zh-TW"/>
        </w:rPr>
        <w:t xml:space="preserve"> let</w:t>
      </w:r>
      <w:r w:rsidRPr="000020F0">
        <w:rPr>
          <w:rFonts w:asciiTheme="majorHAnsi" w:hAnsiTheme="majorHAnsi" w:cstheme="majorHAnsi"/>
          <w:sz w:val="22"/>
          <w:szCs w:val="22"/>
          <w:vertAlign w:val="superscript"/>
          <w:lang w:eastAsia="zh-TW"/>
        </w:rPr>
        <w:footnoteReference w:id="4"/>
      </w:r>
      <w:r w:rsidRPr="000020F0">
        <w:rPr>
          <w:rFonts w:asciiTheme="majorHAnsi" w:hAnsiTheme="majorHAnsi" w:cstheme="majorHAnsi"/>
          <w:sz w:val="22"/>
          <w:szCs w:val="22"/>
          <w:lang w:eastAsia="zh-TW"/>
        </w:rPr>
        <w:t>.  Pri tem amortizacija vsebuje različne amortizacijske stopnje, ki so v skladu s Pravilnikom o načinu in stopnjah odpisa neopredmetenih sredstev in opredmetenih osnovnih sredstev (Uradni list RS, št. 45/05, 138/06, 120/07, 48/09, 112/09, 58/10, 108/13 in 100/15):</w:t>
      </w:r>
    </w:p>
    <w:p w14:paraId="6A974189" w14:textId="77777777" w:rsidR="00BD7D49" w:rsidRPr="000020F0" w:rsidRDefault="00BD7D49" w:rsidP="00BD1D20">
      <w:pPr>
        <w:pStyle w:val="Naslov2"/>
        <w:numPr>
          <w:ilvl w:val="2"/>
          <w:numId w:val="2"/>
        </w:numPr>
        <w:spacing w:before="240" w:after="240"/>
        <w:rPr>
          <w:rFonts w:asciiTheme="majorHAnsi" w:eastAsiaTheme="majorEastAsia" w:hAnsiTheme="majorHAnsi" w:cstheme="majorHAnsi"/>
          <w:color w:val="244061" w:themeColor="accent1" w:themeShade="80"/>
          <w:szCs w:val="22"/>
        </w:rPr>
      </w:pPr>
      <w:bookmarkStart w:id="369" w:name="_Toc230882254"/>
      <w:r w:rsidRPr="000020F0">
        <w:rPr>
          <w:rFonts w:asciiTheme="majorHAnsi" w:eastAsiaTheme="majorEastAsia" w:hAnsiTheme="majorHAnsi" w:cstheme="majorHAnsi"/>
          <w:color w:val="244061" w:themeColor="accent1" w:themeShade="80"/>
          <w:szCs w:val="22"/>
        </w:rPr>
        <w:t>Stroški amor</w:t>
      </w:r>
      <w:r w:rsidR="00C819D0" w:rsidRPr="000020F0">
        <w:rPr>
          <w:rFonts w:asciiTheme="majorHAnsi" w:eastAsiaTheme="majorEastAsia" w:hAnsiTheme="majorHAnsi" w:cstheme="majorHAnsi"/>
          <w:color w:val="244061" w:themeColor="accent1" w:themeShade="80"/>
          <w:szCs w:val="22"/>
        </w:rPr>
        <w:t>t</w:t>
      </w:r>
      <w:r w:rsidRPr="000020F0">
        <w:rPr>
          <w:rFonts w:asciiTheme="majorHAnsi" w:eastAsiaTheme="majorEastAsia" w:hAnsiTheme="majorHAnsi" w:cstheme="majorHAnsi"/>
          <w:color w:val="244061" w:themeColor="accent1" w:themeShade="80"/>
          <w:szCs w:val="22"/>
        </w:rPr>
        <w:t>izacije</w:t>
      </w:r>
      <w:bookmarkEnd w:id="369"/>
    </w:p>
    <w:p w14:paraId="47BA18C2" w14:textId="5504DF6A" w:rsidR="00337C5A" w:rsidRPr="000020F0" w:rsidRDefault="00063B2B" w:rsidP="00BD1D20">
      <w:pPr>
        <w:pStyle w:val="Napis"/>
        <w:keepNext/>
        <w:spacing w:after="120" w:line="276" w:lineRule="auto"/>
        <w:rPr>
          <w:rFonts w:asciiTheme="majorHAnsi" w:hAnsiTheme="majorHAnsi" w:cstheme="majorHAnsi"/>
          <w:b w:val="0"/>
          <w:color w:val="auto"/>
          <w:sz w:val="22"/>
          <w:szCs w:val="22"/>
        </w:rPr>
      </w:pPr>
      <w:bookmarkStart w:id="370" w:name="_Toc230882307"/>
      <w:r w:rsidRPr="000020F0">
        <w:rPr>
          <w:rFonts w:asciiTheme="majorHAnsi" w:hAnsiTheme="majorHAnsi" w:cstheme="majorHAnsi"/>
          <w:color w:val="auto"/>
          <w:sz w:val="22"/>
          <w:szCs w:val="22"/>
        </w:rPr>
        <w:t xml:space="preserve">Tabela </w:t>
      </w:r>
      <w:r w:rsidR="00050C93"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00050C93"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27</w:t>
      </w:r>
      <w:r w:rsidR="00050C93" w:rsidRPr="000020F0">
        <w:rPr>
          <w:rFonts w:asciiTheme="majorHAnsi" w:hAnsiTheme="majorHAnsi" w:cstheme="majorHAnsi"/>
          <w:color w:val="auto"/>
          <w:sz w:val="22"/>
          <w:szCs w:val="22"/>
        </w:rPr>
        <w:fldChar w:fldCharType="end"/>
      </w:r>
      <w:r w:rsidRPr="000020F0">
        <w:rPr>
          <w:rFonts w:asciiTheme="majorHAnsi" w:hAnsiTheme="majorHAnsi" w:cstheme="majorHAnsi"/>
          <w:b w:val="0"/>
          <w:color w:val="auto"/>
          <w:sz w:val="22"/>
          <w:szCs w:val="22"/>
        </w:rPr>
        <w:t>:</w:t>
      </w:r>
      <w:r w:rsidR="00337C5A" w:rsidRPr="000020F0">
        <w:rPr>
          <w:rFonts w:asciiTheme="majorHAnsi" w:hAnsiTheme="majorHAnsi" w:cstheme="majorHAnsi"/>
          <w:b w:val="0"/>
          <w:color w:val="auto"/>
          <w:sz w:val="22"/>
          <w:szCs w:val="22"/>
        </w:rPr>
        <w:t>Prikaz amortizacijske vrednosti</w:t>
      </w:r>
      <w:bookmarkEnd w:id="370"/>
      <w:r w:rsidR="00337C5A" w:rsidRPr="000020F0">
        <w:rPr>
          <w:rFonts w:asciiTheme="majorHAnsi" w:hAnsiTheme="majorHAnsi" w:cstheme="majorHAnsi"/>
          <w:b w:val="0"/>
          <w:color w:val="auto"/>
          <w:sz w:val="22"/>
          <w:szCs w:val="22"/>
        </w:rPr>
        <w:t xml:space="preserve"> </w:t>
      </w:r>
      <w:bookmarkEnd w:id="368"/>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8"/>
        <w:gridCol w:w="1425"/>
        <w:gridCol w:w="1112"/>
        <w:gridCol w:w="1325"/>
        <w:gridCol w:w="8"/>
        <w:gridCol w:w="1703"/>
        <w:gridCol w:w="1531"/>
      </w:tblGrid>
      <w:tr w:rsidR="006A1C00" w:rsidRPr="000020F0" w14:paraId="4022F25E" w14:textId="77777777" w:rsidTr="00C76A9C">
        <w:trPr>
          <w:trHeight w:val="300"/>
          <w:tblHeader/>
        </w:trPr>
        <w:tc>
          <w:tcPr>
            <w:tcW w:w="2278" w:type="dxa"/>
            <w:shd w:val="clear" w:color="auto" w:fill="C6D9F1" w:themeFill="text2" w:themeFillTint="33"/>
            <w:noWrap/>
            <w:vAlign w:val="center"/>
            <w:hideMark/>
          </w:tcPr>
          <w:p w14:paraId="4954AB35" w14:textId="77777777" w:rsidR="006A1C00" w:rsidRPr="000020F0" w:rsidRDefault="006A1C00" w:rsidP="00BD1D20">
            <w:pPr>
              <w:spacing w:line="276" w:lineRule="auto"/>
              <w:rPr>
                <w:rFonts w:ascii="Arial" w:hAnsi="Arial" w:cs="Arial"/>
                <w:b/>
                <w:bCs/>
                <w:color w:val="000000"/>
                <w:sz w:val="20"/>
                <w:szCs w:val="20"/>
              </w:rPr>
            </w:pPr>
            <w:r w:rsidRPr="000020F0">
              <w:rPr>
                <w:rFonts w:ascii="Arial" w:hAnsi="Arial" w:cs="Arial"/>
                <w:b/>
                <w:bCs/>
                <w:color w:val="000000"/>
                <w:sz w:val="20"/>
                <w:szCs w:val="20"/>
              </w:rPr>
              <w:t>AMORTIZACIJA</w:t>
            </w:r>
          </w:p>
        </w:tc>
        <w:tc>
          <w:tcPr>
            <w:tcW w:w="1425" w:type="dxa"/>
            <w:tcBorders>
              <w:bottom w:val="single" w:sz="4" w:space="0" w:color="auto"/>
            </w:tcBorders>
            <w:shd w:val="clear" w:color="auto" w:fill="C6D9F1" w:themeFill="text2" w:themeFillTint="33"/>
            <w:vAlign w:val="center"/>
          </w:tcPr>
          <w:p w14:paraId="5038FD33" w14:textId="77777777" w:rsidR="006A1C00" w:rsidRPr="000020F0" w:rsidRDefault="006A1C00" w:rsidP="00BD1D20">
            <w:pPr>
              <w:spacing w:line="276" w:lineRule="auto"/>
              <w:rPr>
                <w:rFonts w:ascii="Arial" w:hAnsi="Arial" w:cs="Arial"/>
                <w:b/>
                <w:bCs/>
                <w:color w:val="000000"/>
                <w:sz w:val="20"/>
                <w:szCs w:val="20"/>
              </w:rPr>
            </w:pPr>
            <w:r w:rsidRPr="000020F0">
              <w:rPr>
                <w:rFonts w:ascii="Arial" w:hAnsi="Arial" w:cs="Arial"/>
                <w:b/>
                <w:bCs/>
                <w:color w:val="000000"/>
                <w:sz w:val="20"/>
                <w:szCs w:val="20"/>
              </w:rPr>
              <w:t>VREDNOST</w:t>
            </w:r>
          </w:p>
        </w:tc>
        <w:tc>
          <w:tcPr>
            <w:tcW w:w="1112" w:type="dxa"/>
            <w:shd w:val="clear" w:color="auto" w:fill="C6D9F1" w:themeFill="text2" w:themeFillTint="33"/>
            <w:noWrap/>
            <w:vAlign w:val="center"/>
            <w:hideMark/>
          </w:tcPr>
          <w:p w14:paraId="35566B6A" w14:textId="77777777" w:rsidR="006A1C00" w:rsidRPr="000020F0" w:rsidRDefault="006A1C00" w:rsidP="00BD1D20">
            <w:pPr>
              <w:spacing w:line="276" w:lineRule="auto"/>
              <w:rPr>
                <w:rFonts w:ascii="Arial" w:hAnsi="Arial" w:cs="Arial"/>
                <w:b/>
                <w:bCs/>
                <w:color w:val="000000"/>
                <w:sz w:val="20"/>
                <w:szCs w:val="20"/>
              </w:rPr>
            </w:pPr>
            <w:r w:rsidRPr="000020F0">
              <w:rPr>
                <w:rFonts w:ascii="Arial" w:hAnsi="Arial" w:cs="Arial"/>
                <w:b/>
                <w:bCs/>
                <w:color w:val="000000"/>
                <w:sz w:val="20"/>
                <w:szCs w:val="20"/>
              </w:rPr>
              <w:t>STOPNJA AM</w:t>
            </w:r>
          </w:p>
        </w:tc>
        <w:tc>
          <w:tcPr>
            <w:tcW w:w="1325" w:type="dxa"/>
            <w:shd w:val="clear" w:color="auto" w:fill="C6D9F1" w:themeFill="text2" w:themeFillTint="33"/>
            <w:noWrap/>
            <w:vAlign w:val="center"/>
            <w:hideMark/>
          </w:tcPr>
          <w:p w14:paraId="4F638BD6" w14:textId="77777777" w:rsidR="006A1C00" w:rsidRPr="000020F0" w:rsidRDefault="006A1C00" w:rsidP="00BD1D20">
            <w:pPr>
              <w:spacing w:line="276" w:lineRule="auto"/>
              <w:rPr>
                <w:rFonts w:ascii="Arial" w:hAnsi="Arial" w:cs="Arial"/>
                <w:b/>
                <w:bCs/>
                <w:color w:val="000000"/>
                <w:sz w:val="20"/>
                <w:szCs w:val="20"/>
              </w:rPr>
            </w:pPr>
            <w:r w:rsidRPr="000020F0">
              <w:rPr>
                <w:rFonts w:ascii="Arial" w:hAnsi="Arial" w:cs="Arial"/>
                <w:b/>
                <w:bCs/>
                <w:color w:val="000000"/>
                <w:sz w:val="20"/>
                <w:szCs w:val="20"/>
              </w:rPr>
              <w:t>VREDNOST AM</w:t>
            </w:r>
          </w:p>
        </w:tc>
        <w:tc>
          <w:tcPr>
            <w:tcW w:w="1711" w:type="dxa"/>
            <w:gridSpan w:val="2"/>
            <w:shd w:val="clear" w:color="auto" w:fill="C6D9F1" w:themeFill="text2" w:themeFillTint="33"/>
            <w:noWrap/>
            <w:vAlign w:val="center"/>
            <w:hideMark/>
          </w:tcPr>
          <w:p w14:paraId="38F871C6" w14:textId="77777777" w:rsidR="006A1C00" w:rsidRPr="000020F0" w:rsidRDefault="006A1C00" w:rsidP="00BD1D20">
            <w:pPr>
              <w:spacing w:line="276" w:lineRule="auto"/>
              <w:rPr>
                <w:rFonts w:ascii="Arial" w:hAnsi="Arial" w:cs="Arial"/>
                <w:b/>
                <w:bCs/>
                <w:sz w:val="20"/>
                <w:szCs w:val="20"/>
              </w:rPr>
            </w:pPr>
            <w:r w:rsidRPr="000020F0">
              <w:rPr>
                <w:rFonts w:ascii="Arial" w:hAnsi="Arial" w:cs="Arial"/>
                <w:b/>
                <w:bCs/>
                <w:color w:val="000000"/>
                <w:sz w:val="20"/>
                <w:szCs w:val="20"/>
              </w:rPr>
              <w:t>ODPISANA VREDNOST</w:t>
            </w:r>
          </w:p>
        </w:tc>
        <w:tc>
          <w:tcPr>
            <w:tcW w:w="1531" w:type="dxa"/>
            <w:shd w:val="clear" w:color="auto" w:fill="C6D9F1" w:themeFill="text2" w:themeFillTint="33"/>
            <w:noWrap/>
            <w:vAlign w:val="center"/>
            <w:hideMark/>
          </w:tcPr>
          <w:p w14:paraId="2E319B63" w14:textId="77777777" w:rsidR="006A1C00" w:rsidRPr="000020F0" w:rsidRDefault="006A1C00" w:rsidP="00BD1D20">
            <w:pPr>
              <w:spacing w:line="276" w:lineRule="auto"/>
              <w:rPr>
                <w:rFonts w:ascii="Arial" w:hAnsi="Arial" w:cs="Arial"/>
                <w:b/>
                <w:bCs/>
                <w:sz w:val="20"/>
                <w:szCs w:val="20"/>
              </w:rPr>
            </w:pPr>
            <w:r w:rsidRPr="000020F0">
              <w:rPr>
                <w:rFonts w:ascii="Arial" w:hAnsi="Arial" w:cs="Arial"/>
                <w:b/>
                <w:bCs/>
                <w:color w:val="000000"/>
                <w:sz w:val="20"/>
                <w:szCs w:val="20"/>
              </w:rPr>
              <w:t>PREOSTANEK VREDNOSTI</w:t>
            </w:r>
          </w:p>
        </w:tc>
      </w:tr>
      <w:tr w:rsidR="00EE7843" w:rsidRPr="000020F0" w14:paraId="37653AB3" w14:textId="77777777" w:rsidTr="005E3CF6">
        <w:trPr>
          <w:trHeight w:val="300"/>
        </w:trPr>
        <w:tc>
          <w:tcPr>
            <w:tcW w:w="2278" w:type="dxa"/>
            <w:noWrap/>
            <w:vAlign w:val="center"/>
            <w:hideMark/>
          </w:tcPr>
          <w:p w14:paraId="45F1181B" w14:textId="664F44BD" w:rsidR="00EE7843" w:rsidRPr="000020F0" w:rsidRDefault="00EE7843" w:rsidP="00EE7843">
            <w:pPr>
              <w:spacing w:line="276" w:lineRule="auto"/>
              <w:rPr>
                <w:rFonts w:ascii="Arial" w:hAnsi="Arial" w:cs="Arial"/>
                <w:color w:val="000000"/>
                <w:sz w:val="20"/>
                <w:szCs w:val="20"/>
              </w:rPr>
            </w:pPr>
            <w:r w:rsidRPr="000020F0">
              <w:rPr>
                <w:rFonts w:ascii="Arial" w:hAnsi="Arial" w:cs="Arial"/>
                <w:color w:val="000000"/>
                <w:sz w:val="20"/>
                <w:szCs w:val="20"/>
              </w:rPr>
              <w:t>gradbeni del</w:t>
            </w:r>
          </w:p>
        </w:tc>
        <w:tc>
          <w:tcPr>
            <w:tcW w:w="1425" w:type="dxa"/>
            <w:tcBorders>
              <w:top w:val="single" w:sz="4" w:space="0" w:color="auto"/>
              <w:left w:val="nil"/>
              <w:bottom w:val="single" w:sz="4" w:space="0" w:color="auto"/>
              <w:right w:val="single" w:sz="4" w:space="0" w:color="auto"/>
            </w:tcBorders>
            <w:noWrap/>
            <w:vAlign w:val="center"/>
            <w:hideMark/>
          </w:tcPr>
          <w:p w14:paraId="4D36AF41" w14:textId="75C3A8CE"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1.667.649,66</w:t>
            </w:r>
          </w:p>
        </w:tc>
        <w:tc>
          <w:tcPr>
            <w:tcW w:w="1112" w:type="dxa"/>
            <w:tcBorders>
              <w:left w:val="single" w:sz="4" w:space="0" w:color="auto"/>
            </w:tcBorders>
            <w:noWrap/>
            <w:vAlign w:val="center"/>
            <w:hideMark/>
          </w:tcPr>
          <w:p w14:paraId="45EE3C96" w14:textId="3CE7D197"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3,00%</w:t>
            </w:r>
          </w:p>
        </w:tc>
        <w:tc>
          <w:tcPr>
            <w:tcW w:w="1333" w:type="dxa"/>
            <w:gridSpan w:val="2"/>
            <w:noWrap/>
            <w:vAlign w:val="center"/>
            <w:hideMark/>
          </w:tcPr>
          <w:p w14:paraId="5F971684" w14:textId="2AA4E28D"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50.029,49</w:t>
            </w:r>
          </w:p>
        </w:tc>
        <w:tc>
          <w:tcPr>
            <w:tcW w:w="1703" w:type="dxa"/>
            <w:noWrap/>
            <w:vAlign w:val="center"/>
            <w:hideMark/>
          </w:tcPr>
          <w:p w14:paraId="42479F7E" w14:textId="1914D097"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1.300.766,73</w:t>
            </w:r>
          </w:p>
        </w:tc>
        <w:tc>
          <w:tcPr>
            <w:tcW w:w="1531" w:type="dxa"/>
            <w:noWrap/>
            <w:vAlign w:val="center"/>
            <w:hideMark/>
          </w:tcPr>
          <w:p w14:paraId="50BE80EF" w14:textId="3001EB84"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366.882,93</w:t>
            </w:r>
          </w:p>
        </w:tc>
      </w:tr>
      <w:tr w:rsidR="00EE7843" w:rsidRPr="000020F0" w14:paraId="6B81B0E5" w14:textId="77777777" w:rsidTr="005E3CF6">
        <w:trPr>
          <w:trHeight w:val="300"/>
        </w:trPr>
        <w:tc>
          <w:tcPr>
            <w:tcW w:w="2278" w:type="dxa"/>
            <w:noWrap/>
            <w:vAlign w:val="center"/>
            <w:hideMark/>
          </w:tcPr>
          <w:p w14:paraId="4189B1C1" w14:textId="363D8AFB" w:rsidR="00EE7843" w:rsidRPr="000020F0" w:rsidRDefault="00EE7843" w:rsidP="00EE7843">
            <w:pPr>
              <w:spacing w:line="276" w:lineRule="auto"/>
              <w:rPr>
                <w:rFonts w:ascii="Arial" w:hAnsi="Arial" w:cs="Arial"/>
                <w:color w:val="000000"/>
                <w:sz w:val="20"/>
                <w:szCs w:val="20"/>
              </w:rPr>
            </w:pPr>
            <w:r w:rsidRPr="000020F0">
              <w:rPr>
                <w:rFonts w:ascii="Arial" w:hAnsi="Arial" w:cs="Arial"/>
                <w:color w:val="000000"/>
                <w:sz w:val="20"/>
                <w:szCs w:val="20"/>
              </w:rPr>
              <w:t>oprema</w:t>
            </w:r>
          </w:p>
        </w:tc>
        <w:tc>
          <w:tcPr>
            <w:tcW w:w="1425" w:type="dxa"/>
            <w:tcBorders>
              <w:top w:val="single" w:sz="4" w:space="0" w:color="auto"/>
              <w:left w:val="nil"/>
              <w:bottom w:val="single" w:sz="4" w:space="0" w:color="auto"/>
              <w:right w:val="single" w:sz="4" w:space="0" w:color="auto"/>
            </w:tcBorders>
            <w:noWrap/>
            <w:vAlign w:val="center"/>
            <w:hideMark/>
          </w:tcPr>
          <w:p w14:paraId="5A7512F3" w14:textId="2040774E"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136.771,00</w:t>
            </w:r>
          </w:p>
        </w:tc>
        <w:tc>
          <w:tcPr>
            <w:tcW w:w="1112" w:type="dxa"/>
            <w:tcBorders>
              <w:left w:val="single" w:sz="4" w:space="0" w:color="auto"/>
            </w:tcBorders>
            <w:noWrap/>
            <w:vAlign w:val="center"/>
            <w:hideMark/>
          </w:tcPr>
          <w:p w14:paraId="5864EC50" w14:textId="48967C2D"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10,00%</w:t>
            </w:r>
          </w:p>
        </w:tc>
        <w:tc>
          <w:tcPr>
            <w:tcW w:w="1333" w:type="dxa"/>
            <w:gridSpan w:val="2"/>
            <w:noWrap/>
            <w:vAlign w:val="center"/>
            <w:hideMark/>
          </w:tcPr>
          <w:p w14:paraId="32CA9274" w14:textId="159657B3"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13.677,10</w:t>
            </w:r>
          </w:p>
        </w:tc>
        <w:tc>
          <w:tcPr>
            <w:tcW w:w="1703" w:type="dxa"/>
            <w:noWrap/>
            <w:vAlign w:val="center"/>
            <w:hideMark/>
          </w:tcPr>
          <w:p w14:paraId="20613A5E" w14:textId="77A6FC02"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355.604,60</w:t>
            </w:r>
          </w:p>
        </w:tc>
        <w:tc>
          <w:tcPr>
            <w:tcW w:w="1531" w:type="dxa"/>
            <w:noWrap/>
            <w:vAlign w:val="center"/>
            <w:hideMark/>
          </w:tcPr>
          <w:p w14:paraId="4D08F3E7" w14:textId="3DB8AB42"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54.708,40</w:t>
            </w:r>
          </w:p>
        </w:tc>
      </w:tr>
      <w:tr w:rsidR="00EE7843" w:rsidRPr="000020F0" w14:paraId="3284FD74" w14:textId="77777777" w:rsidTr="00B80C03">
        <w:trPr>
          <w:trHeight w:val="300"/>
        </w:trPr>
        <w:tc>
          <w:tcPr>
            <w:tcW w:w="2278" w:type="dxa"/>
            <w:noWrap/>
            <w:vAlign w:val="center"/>
            <w:hideMark/>
          </w:tcPr>
          <w:p w14:paraId="696C2212" w14:textId="7B364C0A" w:rsidR="00EE7843" w:rsidRPr="000020F0" w:rsidRDefault="00EE7843" w:rsidP="00EE7843">
            <w:pPr>
              <w:spacing w:line="276" w:lineRule="auto"/>
              <w:rPr>
                <w:rFonts w:ascii="Arial" w:hAnsi="Arial" w:cs="Arial"/>
                <w:color w:val="000000"/>
                <w:sz w:val="20"/>
                <w:szCs w:val="20"/>
              </w:rPr>
            </w:pPr>
            <w:r w:rsidRPr="000020F0">
              <w:rPr>
                <w:rFonts w:ascii="Arial" w:hAnsi="Arial" w:cs="Arial"/>
                <w:color w:val="000000"/>
                <w:sz w:val="20"/>
                <w:szCs w:val="20"/>
              </w:rPr>
              <w:t>projektna dokumentacija in nadzor</w:t>
            </w:r>
          </w:p>
        </w:tc>
        <w:tc>
          <w:tcPr>
            <w:tcW w:w="1425" w:type="dxa"/>
            <w:tcBorders>
              <w:top w:val="single" w:sz="4" w:space="0" w:color="auto"/>
              <w:left w:val="nil"/>
              <w:bottom w:val="single" w:sz="4" w:space="0" w:color="auto"/>
              <w:right w:val="single" w:sz="4" w:space="0" w:color="auto"/>
            </w:tcBorders>
            <w:noWrap/>
            <w:vAlign w:val="center"/>
            <w:hideMark/>
          </w:tcPr>
          <w:p w14:paraId="7464077E" w14:textId="789A72E5"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171.151,58</w:t>
            </w:r>
          </w:p>
        </w:tc>
        <w:tc>
          <w:tcPr>
            <w:tcW w:w="1112" w:type="dxa"/>
            <w:tcBorders>
              <w:left w:val="single" w:sz="4" w:space="0" w:color="auto"/>
            </w:tcBorders>
            <w:noWrap/>
            <w:vAlign w:val="center"/>
            <w:hideMark/>
          </w:tcPr>
          <w:p w14:paraId="3C806FC0" w14:textId="463BA963"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3,00%</w:t>
            </w:r>
          </w:p>
        </w:tc>
        <w:tc>
          <w:tcPr>
            <w:tcW w:w="1333" w:type="dxa"/>
            <w:gridSpan w:val="2"/>
            <w:noWrap/>
            <w:vAlign w:val="center"/>
            <w:hideMark/>
          </w:tcPr>
          <w:p w14:paraId="264BDFB6" w14:textId="4AA99E36"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5.134,55</w:t>
            </w:r>
          </w:p>
        </w:tc>
        <w:tc>
          <w:tcPr>
            <w:tcW w:w="1703" w:type="dxa"/>
            <w:noWrap/>
            <w:vAlign w:val="center"/>
            <w:hideMark/>
          </w:tcPr>
          <w:p w14:paraId="47D1FD1E" w14:textId="265275C3"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133.498,23</w:t>
            </w:r>
          </w:p>
        </w:tc>
        <w:tc>
          <w:tcPr>
            <w:tcW w:w="1531" w:type="dxa"/>
            <w:noWrap/>
            <w:vAlign w:val="center"/>
            <w:hideMark/>
          </w:tcPr>
          <w:p w14:paraId="5DE843FC" w14:textId="30C051DF" w:rsidR="00EE7843" w:rsidRPr="000020F0" w:rsidRDefault="00EE7843" w:rsidP="00EE7843">
            <w:pPr>
              <w:spacing w:line="276" w:lineRule="auto"/>
              <w:jc w:val="right"/>
              <w:rPr>
                <w:rFonts w:ascii="Arial" w:hAnsi="Arial" w:cs="Arial"/>
                <w:color w:val="000000"/>
                <w:sz w:val="20"/>
                <w:szCs w:val="20"/>
              </w:rPr>
            </w:pPr>
            <w:r w:rsidRPr="000020F0">
              <w:rPr>
                <w:rFonts w:ascii="Arial" w:hAnsi="Arial" w:cs="Arial"/>
                <w:color w:val="000000"/>
                <w:sz w:val="20"/>
                <w:szCs w:val="20"/>
              </w:rPr>
              <w:t>37.653,35</w:t>
            </w:r>
          </w:p>
        </w:tc>
      </w:tr>
      <w:tr w:rsidR="00EE7843" w:rsidRPr="000020F0" w14:paraId="0D2B823A" w14:textId="77777777" w:rsidTr="005E3CF6">
        <w:trPr>
          <w:trHeight w:val="300"/>
        </w:trPr>
        <w:tc>
          <w:tcPr>
            <w:tcW w:w="2278" w:type="dxa"/>
            <w:noWrap/>
            <w:vAlign w:val="center"/>
            <w:hideMark/>
          </w:tcPr>
          <w:p w14:paraId="32FC1BFD" w14:textId="4865DDA1"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b/>
                <w:bCs/>
                <w:color w:val="000000"/>
                <w:sz w:val="20"/>
                <w:szCs w:val="20"/>
              </w:rPr>
              <w:t>SKUPAJ</w:t>
            </w:r>
          </w:p>
        </w:tc>
        <w:tc>
          <w:tcPr>
            <w:tcW w:w="1425" w:type="dxa"/>
            <w:tcBorders>
              <w:top w:val="single" w:sz="4" w:space="0" w:color="auto"/>
              <w:left w:val="nil"/>
              <w:bottom w:val="single" w:sz="4" w:space="0" w:color="auto"/>
              <w:right w:val="single" w:sz="4" w:space="0" w:color="auto"/>
            </w:tcBorders>
            <w:noWrap/>
            <w:vAlign w:val="center"/>
            <w:hideMark/>
          </w:tcPr>
          <w:p w14:paraId="0CCA9261" w14:textId="5874CD23"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color w:val="000000"/>
                <w:sz w:val="20"/>
                <w:szCs w:val="20"/>
              </w:rPr>
              <w:t>1.975.572,24</w:t>
            </w:r>
          </w:p>
        </w:tc>
        <w:tc>
          <w:tcPr>
            <w:tcW w:w="1112" w:type="dxa"/>
            <w:tcBorders>
              <w:left w:val="single" w:sz="4" w:space="0" w:color="auto"/>
            </w:tcBorders>
            <w:noWrap/>
            <w:vAlign w:val="center"/>
            <w:hideMark/>
          </w:tcPr>
          <w:p w14:paraId="525E4211" w14:textId="418F4F0D"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color w:val="000000"/>
                <w:sz w:val="20"/>
                <w:szCs w:val="20"/>
              </w:rPr>
              <w:t> </w:t>
            </w:r>
          </w:p>
        </w:tc>
        <w:tc>
          <w:tcPr>
            <w:tcW w:w="1333" w:type="dxa"/>
            <w:gridSpan w:val="2"/>
            <w:noWrap/>
            <w:vAlign w:val="center"/>
            <w:hideMark/>
          </w:tcPr>
          <w:p w14:paraId="0519742D" w14:textId="4EDF8C67"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color w:val="000000"/>
                <w:sz w:val="20"/>
                <w:szCs w:val="20"/>
              </w:rPr>
              <w:t>68.841,14</w:t>
            </w:r>
          </w:p>
        </w:tc>
        <w:tc>
          <w:tcPr>
            <w:tcW w:w="1703" w:type="dxa"/>
            <w:noWrap/>
            <w:vAlign w:val="center"/>
            <w:hideMark/>
          </w:tcPr>
          <w:p w14:paraId="3C8A8856" w14:textId="771E0FB4"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color w:val="000000"/>
                <w:sz w:val="20"/>
                <w:szCs w:val="20"/>
              </w:rPr>
              <w:t>1.789.869,57</w:t>
            </w:r>
          </w:p>
        </w:tc>
        <w:tc>
          <w:tcPr>
            <w:tcW w:w="1531" w:type="dxa"/>
            <w:noWrap/>
            <w:vAlign w:val="center"/>
            <w:hideMark/>
          </w:tcPr>
          <w:p w14:paraId="299D289B" w14:textId="07C1ADD3" w:rsidR="00EE7843" w:rsidRPr="000020F0" w:rsidRDefault="00EE7843" w:rsidP="00EE7843">
            <w:pPr>
              <w:spacing w:line="276" w:lineRule="auto"/>
              <w:jc w:val="right"/>
              <w:rPr>
                <w:rFonts w:ascii="Arial" w:hAnsi="Arial" w:cs="Arial"/>
                <w:b/>
                <w:bCs/>
                <w:color w:val="000000"/>
                <w:sz w:val="20"/>
                <w:szCs w:val="20"/>
              </w:rPr>
            </w:pPr>
            <w:r w:rsidRPr="000020F0">
              <w:rPr>
                <w:rFonts w:ascii="Arial" w:hAnsi="Arial" w:cs="Arial"/>
                <w:color w:val="000000"/>
                <w:sz w:val="20"/>
                <w:szCs w:val="20"/>
              </w:rPr>
              <w:t>459.244,67</w:t>
            </w:r>
          </w:p>
        </w:tc>
      </w:tr>
    </w:tbl>
    <w:p w14:paraId="592F9C39" w14:textId="77777777" w:rsidR="006A1C00" w:rsidRPr="000020F0" w:rsidRDefault="006A1C00" w:rsidP="00BD1D20">
      <w:pPr>
        <w:spacing w:line="276" w:lineRule="auto"/>
        <w:rPr>
          <w:rFonts w:asciiTheme="majorHAnsi" w:hAnsiTheme="majorHAnsi" w:cstheme="majorHAnsi"/>
        </w:rPr>
      </w:pPr>
    </w:p>
    <w:p w14:paraId="1289168B" w14:textId="41734994" w:rsidR="000E29C4" w:rsidRPr="000020F0" w:rsidRDefault="000E29C4" w:rsidP="00BD1D20">
      <w:pPr>
        <w:spacing w:after="120"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 xml:space="preserve">Kot začetno obdobje </w:t>
      </w:r>
      <w:r w:rsidR="00BD7D49" w:rsidRPr="000020F0">
        <w:rPr>
          <w:rFonts w:asciiTheme="majorHAnsi" w:hAnsiTheme="majorHAnsi" w:cstheme="majorHAnsi"/>
          <w:sz w:val="22"/>
          <w:szCs w:val="22"/>
          <w:lang w:eastAsia="zh-TW"/>
        </w:rPr>
        <w:t xml:space="preserve">obratovalnih </w:t>
      </w:r>
      <w:r w:rsidRPr="000020F0">
        <w:rPr>
          <w:rFonts w:asciiTheme="majorHAnsi" w:hAnsiTheme="majorHAnsi" w:cstheme="majorHAnsi"/>
          <w:sz w:val="22"/>
          <w:szCs w:val="22"/>
          <w:lang w:eastAsia="zh-TW"/>
        </w:rPr>
        <w:t xml:space="preserve">stroškov smo upoštevali </w:t>
      </w:r>
      <w:r w:rsidR="006C7083" w:rsidRPr="000020F0">
        <w:rPr>
          <w:rFonts w:asciiTheme="majorHAnsi" w:hAnsiTheme="majorHAnsi" w:cstheme="majorHAnsi"/>
          <w:sz w:val="22"/>
          <w:szCs w:val="22"/>
          <w:lang w:eastAsia="zh-TW"/>
        </w:rPr>
        <w:t>julij</w:t>
      </w:r>
      <w:r w:rsidR="00566AD6" w:rsidRPr="000020F0">
        <w:rPr>
          <w:rFonts w:asciiTheme="majorHAnsi" w:hAnsiTheme="majorHAnsi" w:cstheme="majorHAnsi"/>
          <w:sz w:val="22"/>
          <w:szCs w:val="22"/>
          <w:lang w:eastAsia="zh-TW"/>
        </w:rPr>
        <w:t xml:space="preserve"> 20</w:t>
      </w:r>
      <w:r w:rsidR="006C7083" w:rsidRPr="000020F0">
        <w:rPr>
          <w:rFonts w:asciiTheme="majorHAnsi" w:hAnsiTheme="majorHAnsi" w:cstheme="majorHAnsi"/>
          <w:sz w:val="22"/>
          <w:szCs w:val="22"/>
          <w:lang w:eastAsia="zh-TW"/>
        </w:rPr>
        <w:t>29</w:t>
      </w:r>
      <w:r w:rsidRPr="000020F0">
        <w:rPr>
          <w:rFonts w:asciiTheme="majorHAnsi" w:hAnsiTheme="majorHAnsi" w:cstheme="majorHAnsi"/>
          <w:sz w:val="22"/>
          <w:szCs w:val="22"/>
          <w:lang w:eastAsia="zh-TW"/>
        </w:rPr>
        <w:t xml:space="preserve">, saj se bo takrat začela predmetna investicija tudi </w:t>
      </w:r>
      <w:r w:rsidR="00BD7D49" w:rsidRPr="000020F0">
        <w:rPr>
          <w:rFonts w:asciiTheme="majorHAnsi" w:hAnsiTheme="majorHAnsi" w:cstheme="majorHAnsi"/>
          <w:sz w:val="22"/>
          <w:szCs w:val="22"/>
          <w:lang w:eastAsia="zh-TW"/>
        </w:rPr>
        <w:t>uporabljati.</w:t>
      </w:r>
    </w:p>
    <w:p w14:paraId="30329230" w14:textId="77777777" w:rsidR="000E29C4" w:rsidRPr="000020F0" w:rsidRDefault="000E29C4" w:rsidP="00BD1D20">
      <w:pPr>
        <w:spacing w:after="120" w:line="276" w:lineRule="auto"/>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Omenjene spremembe so upoštevane v naslednjem prikazu poslovanja celotnega projekta, kakor tudi v izdelani Analizi stroškov in koristi, ki je predstavljena v nadaljevanju dokumenta.</w:t>
      </w:r>
    </w:p>
    <w:p w14:paraId="1F1EFE0D" w14:textId="2A684E3A" w:rsidR="000E29C4" w:rsidRPr="000020F0" w:rsidRDefault="000E29C4" w:rsidP="00BD1D20">
      <w:pPr>
        <w:spacing w:after="120" w:line="276" w:lineRule="auto"/>
        <w:jc w:val="both"/>
        <w:rPr>
          <w:rFonts w:asciiTheme="majorHAnsi" w:eastAsia="Arial Unicode MS" w:hAnsiTheme="majorHAnsi" w:cstheme="majorHAnsi"/>
          <w:sz w:val="22"/>
          <w:szCs w:val="22"/>
          <w:lang w:eastAsia="zh-TW"/>
        </w:rPr>
      </w:pPr>
      <w:r w:rsidRPr="000020F0">
        <w:rPr>
          <w:rFonts w:asciiTheme="majorHAnsi" w:eastAsia="Arial Unicode MS" w:hAnsiTheme="majorHAnsi" w:cstheme="majorHAnsi"/>
          <w:sz w:val="22"/>
          <w:szCs w:val="22"/>
          <w:lang w:eastAsia="zh-TW"/>
        </w:rPr>
        <w:t>Dejavnosti, ki se bodo izvajale v sklopu celotnega projekta</w:t>
      </w:r>
      <w:r w:rsidR="002B5D18" w:rsidRPr="000020F0">
        <w:rPr>
          <w:rFonts w:asciiTheme="majorHAnsi" w:eastAsia="Arial Unicode MS" w:hAnsiTheme="majorHAnsi" w:cstheme="majorHAnsi"/>
          <w:sz w:val="22"/>
          <w:szCs w:val="22"/>
          <w:lang w:eastAsia="zh-TW"/>
        </w:rPr>
        <w:t>,</w:t>
      </w:r>
      <w:r w:rsidRPr="000020F0">
        <w:rPr>
          <w:rFonts w:asciiTheme="majorHAnsi" w:eastAsia="Arial Unicode MS" w:hAnsiTheme="majorHAnsi" w:cstheme="majorHAnsi"/>
          <w:sz w:val="22"/>
          <w:szCs w:val="22"/>
          <w:lang w:eastAsia="zh-TW"/>
        </w:rPr>
        <w:t xml:space="preserve"> se bodo vodile na samostojnih stroškovnih nosilcih (vsaki dejavnosti bo pripadal svoj stroškovni nosilec) oz. delovnih nalogih, na katerih bodo vidni vsi prihodki in vsi stroški obravnavane dejavnosti.</w:t>
      </w:r>
    </w:p>
    <w:p w14:paraId="71A67283" w14:textId="0DF82860" w:rsidR="006C5B67" w:rsidRPr="000020F0" w:rsidRDefault="000E29C4" w:rsidP="00694AE8">
      <w:pPr>
        <w:spacing w:after="120" w:line="276" w:lineRule="auto"/>
        <w:jc w:val="both"/>
        <w:rPr>
          <w:rFonts w:asciiTheme="majorHAnsi" w:hAnsiTheme="majorHAnsi" w:cstheme="majorHAnsi"/>
          <w:sz w:val="22"/>
          <w:szCs w:val="22"/>
          <w:lang w:eastAsia="zh-TW"/>
        </w:rPr>
      </w:pPr>
      <w:r w:rsidRPr="000020F0">
        <w:rPr>
          <w:rFonts w:asciiTheme="majorHAnsi" w:hAnsiTheme="majorHAnsi" w:cstheme="majorHAnsi"/>
          <w:sz w:val="22"/>
          <w:szCs w:val="22"/>
          <w:lang w:eastAsia="zh-TW"/>
        </w:rPr>
        <w:t>V tabeli »</w:t>
      </w:r>
      <w:r w:rsidR="00BD1D20" w:rsidRPr="000020F0">
        <w:rPr>
          <w:rFonts w:asciiTheme="majorHAnsi" w:hAnsiTheme="majorHAnsi" w:cstheme="majorHAnsi"/>
          <w:sz w:val="22"/>
          <w:szCs w:val="22"/>
          <w:lang w:eastAsia="zh-TW"/>
        </w:rPr>
        <w:t>Finančni tok poslovanja</w:t>
      </w:r>
      <w:r w:rsidRPr="000020F0">
        <w:rPr>
          <w:rFonts w:asciiTheme="majorHAnsi" w:hAnsiTheme="majorHAnsi" w:cstheme="majorHAnsi"/>
          <w:sz w:val="22"/>
          <w:szCs w:val="22"/>
          <w:lang w:eastAsia="zh-TW"/>
        </w:rPr>
        <w:t>« so zajete finančne postavke iz Izkaza prihodkov in stroškov poslovanja projekta, ne za</w:t>
      </w:r>
      <w:r w:rsidR="002B5D18" w:rsidRPr="000020F0">
        <w:rPr>
          <w:rFonts w:asciiTheme="majorHAnsi" w:hAnsiTheme="majorHAnsi" w:cstheme="majorHAnsi"/>
          <w:sz w:val="22"/>
          <w:szCs w:val="22"/>
          <w:lang w:eastAsia="zh-TW"/>
        </w:rPr>
        <w:t xml:space="preserve">jemajo pa prikaza </w:t>
      </w:r>
      <w:r w:rsidRPr="000020F0">
        <w:rPr>
          <w:rFonts w:asciiTheme="majorHAnsi" w:hAnsiTheme="majorHAnsi" w:cstheme="majorHAnsi"/>
          <w:sz w:val="22"/>
          <w:szCs w:val="22"/>
          <w:lang w:eastAsia="zh-TW"/>
        </w:rPr>
        <w:t>postavke amortizacija, ki je izločena iz nadaljnjega prikaza finančne in ekonomske analize, saj v skladu z dokumentom »</w:t>
      </w:r>
      <w:proofErr w:type="spellStart"/>
      <w:r w:rsidRPr="000020F0">
        <w:rPr>
          <w:rFonts w:asciiTheme="majorHAnsi" w:hAnsiTheme="majorHAnsi" w:cstheme="majorHAnsi"/>
          <w:sz w:val="22"/>
          <w:szCs w:val="22"/>
          <w:lang w:eastAsia="zh-TW"/>
        </w:rPr>
        <w:t>Guide</w:t>
      </w:r>
      <w:proofErr w:type="spellEnd"/>
      <w:r w:rsidRPr="000020F0">
        <w:rPr>
          <w:rFonts w:asciiTheme="majorHAnsi" w:hAnsiTheme="majorHAnsi" w:cstheme="majorHAnsi"/>
          <w:sz w:val="22"/>
          <w:szCs w:val="22"/>
          <w:lang w:eastAsia="zh-TW"/>
        </w:rPr>
        <w:t xml:space="preserve"> to </w:t>
      </w:r>
      <w:bookmarkStart w:id="371" w:name="OLE_LINK433"/>
      <w:bookmarkStart w:id="372" w:name="OLE_LINK434"/>
      <w:bookmarkStart w:id="373" w:name="OLE_LINK435"/>
      <w:r w:rsidRPr="000020F0">
        <w:rPr>
          <w:rFonts w:asciiTheme="majorHAnsi" w:hAnsiTheme="majorHAnsi" w:cstheme="majorHAnsi"/>
          <w:sz w:val="22"/>
          <w:szCs w:val="22"/>
          <w:lang w:eastAsia="zh-TW"/>
        </w:rPr>
        <w:t>Cost-</w:t>
      </w:r>
      <w:proofErr w:type="spellStart"/>
      <w:r w:rsidRPr="000020F0">
        <w:rPr>
          <w:rFonts w:asciiTheme="majorHAnsi" w:hAnsiTheme="majorHAnsi" w:cstheme="majorHAnsi"/>
          <w:sz w:val="22"/>
          <w:szCs w:val="22"/>
          <w:lang w:eastAsia="zh-TW"/>
        </w:rPr>
        <w:t>benefit</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Analysis</w:t>
      </w:r>
      <w:proofErr w:type="spellEnd"/>
      <w:r w:rsidRPr="000020F0">
        <w:rPr>
          <w:rFonts w:asciiTheme="majorHAnsi" w:hAnsiTheme="majorHAnsi" w:cstheme="majorHAnsi"/>
          <w:sz w:val="22"/>
          <w:szCs w:val="22"/>
          <w:lang w:eastAsia="zh-TW"/>
        </w:rPr>
        <w:t xml:space="preserve"> </w:t>
      </w:r>
      <w:bookmarkEnd w:id="371"/>
      <w:bookmarkEnd w:id="372"/>
      <w:bookmarkEnd w:id="373"/>
      <w:proofErr w:type="spellStart"/>
      <w:r w:rsidRPr="000020F0">
        <w:rPr>
          <w:rFonts w:asciiTheme="majorHAnsi" w:hAnsiTheme="majorHAnsi" w:cstheme="majorHAnsi"/>
          <w:sz w:val="22"/>
          <w:szCs w:val="22"/>
          <w:lang w:eastAsia="zh-TW"/>
        </w:rPr>
        <w:t>of</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Investment</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Projects</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Economic</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appraisal</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tool</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for</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Cohesion</w:t>
      </w:r>
      <w:proofErr w:type="spellEnd"/>
      <w:r w:rsidRPr="000020F0">
        <w:rPr>
          <w:rFonts w:asciiTheme="majorHAnsi" w:hAnsiTheme="majorHAnsi" w:cstheme="majorHAnsi"/>
          <w:sz w:val="22"/>
          <w:szCs w:val="22"/>
          <w:lang w:eastAsia="zh-TW"/>
        </w:rPr>
        <w:t xml:space="preserve"> </w:t>
      </w:r>
      <w:proofErr w:type="spellStart"/>
      <w:r w:rsidRPr="000020F0">
        <w:rPr>
          <w:rFonts w:asciiTheme="majorHAnsi" w:hAnsiTheme="majorHAnsi" w:cstheme="majorHAnsi"/>
          <w:sz w:val="22"/>
          <w:szCs w:val="22"/>
          <w:lang w:eastAsia="zh-TW"/>
        </w:rPr>
        <w:t>Policy</w:t>
      </w:r>
      <w:proofErr w:type="spellEnd"/>
      <w:r w:rsidRPr="000020F0">
        <w:rPr>
          <w:rFonts w:asciiTheme="majorHAnsi" w:hAnsiTheme="majorHAnsi" w:cstheme="majorHAnsi"/>
          <w:sz w:val="22"/>
          <w:szCs w:val="22"/>
          <w:lang w:eastAsia="zh-TW"/>
        </w:rPr>
        <w:t xml:space="preserve"> 2014-2020)« iz decembra 2014</w:t>
      </w:r>
      <w:r w:rsidR="00566AD6" w:rsidRPr="000020F0">
        <w:rPr>
          <w:rFonts w:asciiTheme="majorHAnsi" w:hAnsiTheme="majorHAnsi" w:cstheme="majorHAnsi"/>
          <w:sz w:val="22"/>
          <w:szCs w:val="22"/>
          <w:lang w:eastAsia="zh-TW"/>
        </w:rPr>
        <w:t xml:space="preserve"> in </w:t>
      </w:r>
      <w:proofErr w:type="spellStart"/>
      <w:r w:rsidR="00EB6555" w:rsidRPr="000020F0">
        <w:rPr>
          <w:rFonts w:asciiTheme="majorHAnsi" w:hAnsiTheme="majorHAnsi" w:cstheme="majorHAnsi"/>
          <w:sz w:val="22"/>
          <w:szCs w:val="22"/>
          <w:lang w:eastAsia="zh-TW"/>
        </w:rPr>
        <w:t>Economic</w:t>
      </w:r>
      <w:proofErr w:type="spellEnd"/>
      <w:r w:rsidR="00EB6555" w:rsidRPr="000020F0">
        <w:rPr>
          <w:rFonts w:asciiTheme="majorHAnsi" w:hAnsiTheme="majorHAnsi" w:cstheme="majorHAnsi"/>
          <w:sz w:val="22"/>
          <w:szCs w:val="22"/>
          <w:lang w:eastAsia="zh-TW"/>
        </w:rPr>
        <w:t xml:space="preserve"> </w:t>
      </w:r>
      <w:proofErr w:type="spellStart"/>
      <w:r w:rsidR="00EB6555" w:rsidRPr="000020F0">
        <w:rPr>
          <w:rFonts w:asciiTheme="majorHAnsi" w:hAnsiTheme="majorHAnsi" w:cstheme="majorHAnsi"/>
          <w:sz w:val="22"/>
          <w:szCs w:val="22"/>
          <w:lang w:eastAsia="zh-TW"/>
        </w:rPr>
        <w:t>Appraisal</w:t>
      </w:r>
      <w:proofErr w:type="spellEnd"/>
      <w:r w:rsidR="00EB6555" w:rsidRPr="000020F0">
        <w:rPr>
          <w:rFonts w:asciiTheme="majorHAnsi" w:hAnsiTheme="majorHAnsi" w:cstheme="majorHAnsi"/>
          <w:sz w:val="22"/>
          <w:szCs w:val="22"/>
          <w:lang w:eastAsia="zh-TW"/>
        </w:rPr>
        <w:t xml:space="preserve"> </w:t>
      </w:r>
      <w:proofErr w:type="spellStart"/>
      <w:r w:rsidR="00EB6555" w:rsidRPr="000020F0">
        <w:rPr>
          <w:rFonts w:asciiTheme="majorHAnsi" w:hAnsiTheme="majorHAnsi" w:cstheme="majorHAnsi"/>
          <w:sz w:val="22"/>
          <w:szCs w:val="22"/>
          <w:lang w:eastAsia="zh-TW"/>
        </w:rPr>
        <w:t>Vademecum</w:t>
      </w:r>
      <w:proofErr w:type="spellEnd"/>
      <w:r w:rsidR="00EB6555" w:rsidRPr="000020F0">
        <w:rPr>
          <w:rFonts w:asciiTheme="majorHAnsi" w:hAnsiTheme="majorHAnsi" w:cstheme="majorHAnsi"/>
          <w:sz w:val="22"/>
          <w:szCs w:val="22"/>
          <w:lang w:eastAsia="zh-TW"/>
        </w:rPr>
        <w:t xml:space="preserve"> 2021-2027 - General </w:t>
      </w:r>
      <w:proofErr w:type="spellStart"/>
      <w:r w:rsidR="00EB6555" w:rsidRPr="000020F0">
        <w:rPr>
          <w:rFonts w:asciiTheme="majorHAnsi" w:hAnsiTheme="majorHAnsi" w:cstheme="majorHAnsi"/>
          <w:sz w:val="22"/>
          <w:szCs w:val="22"/>
          <w:lang w:eastAsia="zh-TW"/>
        </w:rPr>
        <w:t>Principles</w:t>
      </w:r>
      <w:proofErr w:type="spellEnd"/>
      <w:r w:rsidR="00EB6555" w:rsidRPr="000020F0">
        <w:rPr>
          <w:rFonts w:asciiTheme="majorHAnsi" w:hAnsiTheme="majorHAnsi" w:cstheme="majorHAnsi"/>
          <w:sz w:val="22"/>
          <w:szCs w:val="22"/>
          <w:lang w:eastAsia="zh-TW"/>
        </w:rPr>
        <w:t xml:space="preserve"> </w:t>
      </w:r>
      <w:proofErr w:type="spellStart"/>
      <w:r w:rsidR="00EB6555" w:rsidRPr="000020F0">
        <w:rPr>
          <w:rFonts w:asciiTheme="majorHAnsi" w:hAnsiTheme="majorHAnsi" w:cstheme="majorHAnsi"/>
          <w:sz w:val="22"/>
          <w:szCs w:val="22"/>
          <w:lang w:eastAsia="zh-TW"/>
        </w:rPr>
        <w:t>and</w:t>
      </w:r>
      <w:proofErr w:type="spellEnd"/>
      <w:r w:rsidR="00EB6555" w:rsidRPr="000020F0">
        <w:rPr>
          <w:rFonts w:asciiTheme="majorHAnsi" w:hAnsiTheme="majorHAnsi" w:cstheme="majorHAnsi"/>
          <w:sz w:val="22"/>
          <w:szCs w:val="22"/>
          <w:lang w:eastAsia="zh-TW"/>
        </w:rPr>
        <w:t xml:space="preserve"> </w:t>
      </w:r>
      <w:proofErr w:type="spellStart"/>
      <w:r w:rsidR="00EB6555" w:rsidRPr="000020F0">
        <w:rPr>
          <w:rFonts w:asciiTheme="majorHAnsi" w:hAnsiTheme="majorHAnsi" w:cstheme="majorHAnsi"/>
          <w:sz w:val="22"/>
          <w:szCs w:val="22"/>
          <w:lang w:eastAsia="zh-TW"/>
        </w:rPr>
        <w:t>Sector</w:t>
      </w:r>
      <w:proofErr w:type="spellEnd"/>
      <w:r w:rsidR="00EB6555" w:rsidRPr="000020F0">
        <w:rPr>
          <w:rFonts w:asciiTheme="majorHAnsi" w:hAnsiTheme="majorHAnsi" w:cstheme="majorHAnsi"/>
          <w:sz w:val="22"/>
          <w:szCs w:val="22"/>
          <w:lang w:eastAsia="zh-TW"/>
        </w:rPr>
        <w:t xml:space="preserve"> </w:t>
      </w:r>
      <w:proofErr w:type="spellStart"/>
      <w:r w:rsidR="00EB6555" w:rsidRPr="000020F0">
        <w:rPr>
          <w:rFonts w:asciiTheme="majorHAnsi" w:hAnsiTheme="majorHAnsi" w:cstheme="majorHAnsi"/>
          <w:sz w:val="22"/>
          <w:szCs w:val="22"/>
          <w:lang w:eastAsia="zh-TW"/>
        </w:rPr>
        <w:t>Applications</w:t>
      </w:r>
      <w:proofErr w:type="spellEnd"/>
      <w:r w:rsidR="00EB6555" w:rsidRPr="000020F0">
        <w:rPr>
          <w:rFonts w:asciiTheme="majorHAnsi" w:hAnsiTheme="majorHAnsi" w:cstheme="majorHAnsi"/>
          <w:sz w:val="22"/>
          <w:szCs w:val="22"/>
          <w:lang w:eastAsia="zh-TW"/>
        </w:rPr>
        <w:t xml:space="preserve"> iz septembra 2021</w:t>
      </w:r>
      <w:r w:rsidRPr="000020F0">
        <w:rPr>
          <w:rFonts w:asciiTheme="majorHAnsi" w:hAnsiTheme="majorHAnsi" w:cstheme="majorHAnsi"/>
          <w:sz w:val="22"/>
          <w:szCs w:val="22"/>
          <w:lang w:eastAsia="zh-TW"/>
        </w:rPr>
        <w:t>, ne sodi med postavke, ki izkazujejo denarne odlive.</w:t>
      </w:r>
      <w:r w:rsidR="006C5B67" w:rsidRPr="000020F0">
        <w:rPr>
          <w:rFonts w:asciiTheme="majorHAnsi" w:hAnsiTheme="majorHAnsi" w:cstheme="majorHAnsi"/>
        </w:rPr>
        <w:br w:type="page"/>
      </w:r>
    </w:p>
    <w:p w14:paraId="1983FF22" w14:textId="77777777" w:rsidR="006B2762" w:rsidRPr="000020F0" w:rsidRDefault="00357FA2" w:rsidP="00BD1D20">
      <w:pPr>
        <w:pStyle w:val="Naslov1"/>
        <w:numPr>
          <w:ilvl w:val="0"/>
          <w:numId w:val="3"/>
        </w:numPr>
        <w:jc w:val="both"/>
        <w:rPr>
          <w:rFonts w:cstheme="majorHAnsi"/>
        </w:rPr>
      </w:pPr>
      <w:bookmarkStart w:id="374" w:name="_Ref230594382"/>
      <w:bookmarkStart w:id="375" w:name="_Toc230882255"/>
      <w:r w:rsidRPr="000020F0">
        <w:rPr>
          <w:rFonts w:cstheme="majorHAnsi"/>
        </w:rPr>
        <w:lastRenderedPageBreak/>
        <w:t>VREDNOTENJE DRUGIH STROŠKOV IN KORISTI</w:t>
      </w:r>
      <w:bookmarkEnd w:id="374"/>
      <w:bookmarkEnd w:id="375"/>
    </w:p>
    <w:p w14:paraId="77DF8959" w14:textId="77777777" w:rsidR="00E444A4" w:rsidRPr="000020F0" w:rsidRDefault="00E444A4" w:rsidP="00BD1D20">
      <w:pPr>
        <w:spacing w:after="120" w:line="276" w:lineRule="auto"/>
        <w:rPr>
          <w:rFonts w:asciiTheme="majorHAnsi" w:hAnsiTheme="majorHAnsi" w:cstheme="majorHAnsi"/>
          <w:sz w:val="22"/>
          <w:szCs w:val="22"/>
        </w:rPr>
      </w:pPr>
    </w:p>
    <w:p w14:paraId="55A51EE8"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Tako finančna analiza kot ekonomska analiza sta izdelani na podlagi podatkov, predstavljenih v predhodnem poglavju »Osnovna izhodišča za prikaz prihodkov in stroškov poslovanja projekta«.</w:t>
      </w:r>
    </w:p>
    <w:p w14:paraId="3A9F829F"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Kot metodologija pri izdelavi finančne in ekonomske analize je bila uporabljena Metoda diferenčnih vrednosti (</w:t>
      </w:r>
      <w:proofErr w:type="spellStart"/>
      <w:r w:rsidRPr="000020F0">
        <w:rPr>
          <w:rFonts w:asciiTheme="majorHAnsi" w:hAnsiTheme="majorHAnsi" w:cstheme="majorHAnsi"/>
          <w:sz w:val="22"/>
          <w:szCs w:val="22"/>
        </w:rPr>
        <w:t>inkrementalna</w:t>
      </w:r>
      <w:proofErr w:type="spellEnd"/>
      <w:r w:rsidRPr="000020F0">
        <w:rPr>
          <w:rFonts w:asciiTheme="majorHAnsi" w:hAnsiTheme="majorHAnsi" w:cstheme="majorHAnsi"/>
          <w:sz w:val="22"/>
          <w:szCs w:val="22"/>
        </w:rPr>
        <w:t xml:space="preserve"> metoda), kar pomeni, da projekt upošteva vse dejanske nastale stroške in ne stroške, ki so nastali že prej in posredno vplivajo na sam projekt (Metoda že nastalih stroškov). Hkrati je bila upoštevana metoda diskontiranega denarnega toka, za katero veljata dve poglavitni značilnosti:</w:t>
      </w:r>
    </w:p>
    <w:p w14:paraId="1462ED86" w14:textId="77777777" w:rsidR="00F55912" w:rsidRPr="000020F0" w:rsidRDefault="00F55912" w:rsidP="00410EBD">
      <w:pPr>
        <w:numPr>
          <w:ilvl w:val="0"/>
          <w:numId w:val="6"/>
        </w:numPr>
        <w:suppressAutoHyphens/>
        <w:autoSpaceDN w:val="0"/>
        <w:spacing w:after="120" w:line="276" w:lineRule="auto"/>
        <w:ind w:left="284" w:hanging="284"/>
        <w:jc w:val="both"/>
        <w:textAlignment w:val="baseline"/>
        <w:rPr>
          <w:rFonts w:asciiTheme="majorHAnsi" w:hAnsiTheme="majorHAnsi" w:cstheme="majorHAnsi"/>
          <w:sz w:val="22"/>
          <w:szCs w:val="22"/>
        </w:rPr>
      </w:pPr>
      <w:r w:rsidRPr="000020F0">
        <w:rPr>
          <w:rFonts w:asciiTheme="majorHAnsi" w:hAnsiTheme="majorHAnsi" w:cstheme="majorHAnsi"/>
          <w:sz w:val="22"/>
          <w:szCs w:val="22"/>
        </w:rPr>
        <w:t>Upoštevani so le denarni tokovi, tj. dejanski znesek denarnih sredstev, ki je izplačan v okviru projekta oziroma ki ga za projekt prejme investitor. Zato na primer računovodske postavke, kot sta amortizacija in rezervacije, ki ne pomenijo denarnih odlivov, ne smejo biti vključene v analizo metode diskontiranega denarnega toka. Kadar pa je predlagani projekt podprt s podrobno analizo tveganj, so nepredvideni stroški lahko vključeni med upravičene stroške, vendar ne smejo biti višji od 10 % skupnih stroškov investicije (brez nepredvidenih stroškov).</w:t>
      </w:r>
    </w:p>
    <w:p w14:paraId="323EE667" w14:textId="77777777" w:rsidR="00F55912" w:rsidRPr="000020F0" w:rsidRDefault="00F55912" w:rsidP="00410EBD">
      <w:pPr>
        <w:numPr>
          <w:ilvl w:val="0"/>
          <w:numId w:val="6"/>
        </w:numPr>
        <w:suppressAutoHyphens/>
        <w:autoSpaceDN w:val="0"/>
        <w:spacing w:after="120" w:line="276" w:lineRule="auto"/>
        <w:ind w:left="284" w:hanging="284"/>
        <w:jc w:val="both"/>
        <w:textAlignment w:val="baseline"/>
        <w:rPr>
          <w:rFonts w:asciiTheme="majorHAnsi" w:hAnsiTheme="majorHAnsi" w:cstheme="majorHAnsi"/>
          <w:sz w:val="22"/>
          <w:szCs w:val="22"/>
        </w:rPr>
      </w:pPr>
      <w:r w:rsidRPr="000020F0">
        <w:rPr>
          <w:rFonts w:asciiTheme="majorHAnsi" w:hAnsiTheme="majorHAnsi" w:cstheme="majorHAnsi"/>
          <w:sz w:val="22"/>
          <w:szCs w:val="22"/>
        </w:rPr>
        <w:t>Pri združevanju (tj. seštevanju ali odštevanju) denarnih tokov, nastalih v različnih letih, je treba upoštevati vrednost denarja v posameznem obdobju. Zato je treba sedanjo vrednost prihodnjih denarnih tokov oceniti z diskontnim faktorjem, ki se v časovnem obdobju znižuje, njegovo vrednost pa določimo z izbiro diskontne stopnje (4%</w:t>
      </w:r>
      <w:r w:rsidRPr="000020F0">
        <w:rPr>
          <w:rStyle w:val="Sprotnaopomba-sklic"/>
          <w:rFonts w:asciiTheme="majorHAnsi" w:hAnsiTheme="majorHAnsi" w:cstheme="majorHAnsi"/>
          <w:sz w:val="22"/>
          <w:szCs w:val="22"/>
        </w:rPr>
        <w:footnoteReference w:id="5"/>
      </w:r>
      <w:r w:rsidRPr="000020F0">
        <w:rPr>
          <w:rFonts w:asciiTheme="majorHAnsi" w:hAnsiTheme="majorHAnsi" w:cstheme="majorHAnsi"/>
          <w:sz w:val="22"/>
          <w:szCs w:val="22"/>
        </w:rPr>
        <w:t>), ki jo uporabimo v analizi metode diskontiranega denarnega toka.</w:t>
      </w:r>
    </w:p>
    <w:p w14:paraId="3219C427" w14:textId="77777777" w:rsidR="00F55912" w:rsidRPr="000020F0" w:rsidRDefault="00F559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76" w:name="_Toc230882256"/>
      <w:r w:rsidRPr="000020F0">
        <w:rPr>
          <w:rFonts w:asciiTheme="majorHAnsi" w:eastAsiaTheme="majorEastAsia" w:hAnsiTheme="majorHAnsi" w:cstheme="majorHAnsi"/>
          <w:color w:val="244061" w:themeColor="accent1" w:themeShade="80"/>
        </w:rPr>
        <w:t>Finančna analiza celotnega projekta</w:t>
      </w:r>
      <w:bookmarkEnd w:id="376"/>
    </w:p>
    <w:p w14:paraId="2186D1A1" w14:textId="77777777" w:rsidR="006B2B7C" w:rsidRPr="000020F0" w:rsidRDefault="006B2B7C"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Namen finančne analize je izdelati napovedi denarnih tokov celotnega projekta, da bi lahko izračunali primerne stopnje donosnosti, zlasti </w:t>
      </w:r>
      <w:bookmarkStart w:id="377" w:name="OLE_LINK436"/>
      <w:bookmarkStart w:id="378" w:name="OLE_LINK437"/>
      <w:bookmarkStart w:id="379" w:name="OLE_LINK438"/>
      <w:bookmarkStart w:id="380" w:name="OLE_LINK439"/>
      <w:bookmarkStart w:id="381" w:name="OLE_LINK440"/>
      <w:bookmarkStart w:id="382" w:name="OLE_LINK441"/>
      <w:r w:rsidRPr="000020F0">
        <w:rPr>
          <w:rFonts w:asciiTheme="majorHAnsi" w:hAnsiTheme="majorHAnsi" w:cstheme="majorHAnsi"/>
          <w:sz w:val="22"/>
          <w:szCs w:val="22"/>
        </w:rPr>
        <w:t xml:space="preserve">finančno interno stopnjo donosnosti investicije </w:t>
      </w:r>
      <w:bookmarkEnd w:id="377"/>
      <w:bookmarkEnd w:id="378"/>
      <w:bookmarkEnd w:id="379"/>
      <w:r w:rsidRPr="000020F0">
        <w:rPr>
          <w:rFonts w:asciiTheme="majorHAnsi" w:hAnsiTheme="majorHAnsi" w:cstheme="majorHAnsi"/>
          <w:sz w:val="22"/>
          <w:szCs w:val="22"/>
        </w:rPr>
        <w:t xml:space="preserve">(FRR/C) in lastnega vloženega kapitala </w:t>
      </w:r>
      <w:bookmarkEnd w:id="380"/>
      <w:bookmarkEnd w:id="381"/>
      <w:bookmarkEnd w:id="382"/>
      <w:r w:rsidRPr="000020F0">
        <w:rPr>
          <w:rFonts w:asciiTheme="majorHAnsi" w:hAnsiTheme="majorHAnsi" w:cstheme="majorHAnsi"/>
          <w:sz w:val="22"/>
          <w:szCs w:val="22"/>
        </w:rPr>
        <w:t xml:space="preserve">(FRR/K) ter pripadajoče </w:t>
      </w:r>
      <w:bookmarkStart w:id="383" w:name="OLE_LINK442"/>
      <w:bookmarkStart w:id="384" w:name="OLE_LINK443"/>
      <w:bookmarkStart w:id="385" w:name="OLE_LINK444"/>
      <w:r w:rsidRPr="000020F0">
        <w:rPr>
          <w:rFonts w:asciiTheme="majorHAnsi" w:hAnsiTheme="majorHAnsi" w:cstheme="majorHAnsi"/>
          <w:sz w:val="22"/>
          <w:szCs w:val="22"/>
        </w:rPr>
        <w:t xml:space="preserve">finančne neto sedanje vrednosti </w:t>
      </w:r>
      <w:bookmarkEnd w:id="383"/>
      <w:bookmarkEnd w:id="384"/>
      <w:bookmarkEnd w:id="385"/>
      <w:r w:rsidRPr="000020F0">
        <w:rPr>
          <w:rFonts w:asciiTheme="majorHAnsi" w:hAnsiTheme="majorHAnsi" w:cstheme="majorHAnsi"/>
          <w:sz w:val="22"/>
          <w:szCs w:val="22"/>
        </w:rPr>
        <w:t>(FNPV). Na podlagi izračunane diskontirane neto sedanje vrednosti je finančna ocena projekta negativna, kar je povsem s pričakovanji, saj projekt v ekonomski dobi ne bo ustvarjal nobenih finančnih oz. tržnih prihodkov, le stroške poslovanja oz. operativne stroške projekta. Zaradi negativne neto sedanje vrednosti projekta lahko sklepamo, da je tudi relativna neto sedanja vrednost, ki meri neto donos na enoto investicijskih stroškov, prav tako negativna. Izračunamo jo iz razmerja med NSV in sedanjo vrednostjo investicijskih stroškov in pomeni primerjavo med vsoto vseh diskontiranih neto prilivov (NSV) in vsoto diskontiranih investicijskih stroškov.</w:t>
      </w:r>
    </w:p>
    <w:p w14:paraId="4C24CF93" w14:textId="77777777" w:rsidR="006B2B7C" w:rsidRPr="000020F0" w:rsidRDefault="006B2B7C" w:rsidP="00BD1D20">
      <w:pPr>
        <w:spacing w:line="276" w:lineRule="auto"/>
        <w:jc w:val="both"/>
        <w:rPr>
          <w:rFonts w:asciiTheme="majorHAnsi" w:hAnsiTheme="majorHAnsi" w:cstheme="majorHAnsi"/>
          <w:sz w:val="22"/>
          <w:szCs w:val="22"/>
        </w:rPr>
      </w:pPr>
      <w:r w:rsidRPr="000020F0">
        <w:rPr>
          <w:rFonts w:asciiTheme="majorHAnsi" w:hAnsiTheme="majorHAnsi" w:cstheme="majorHAnsi"/>
          <w:sz w:val="22"/>
          <w:szCs w:val="22"/>
        </w:rPr>
        <w:t>Finančna analiza se izdela na podlagi serije tabel, ki so predstavljene v nadaljevanju dokumenta, kjer so zbrani finančni tokovi investicije, razdeljeni na:</w:t>
      </w:r>
    </w:p>
    <w:p w14:paraId="3B3C1C2F" w14:textId="0296135C" w:rsidR="006B2B7C" w:rsidRPr="000020F0" w:rsidRDefault="006B2B7C"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skupno vrednost celotneg</w:t>
      </w:r>
      <w:r w:rsidR="007F0676" w:rsidRPr="000020F0">
        <w:rPr>
          <w:rFonts w:asciiTheme="majorHAnsi" w:hAnsiTheme="majorHAnsi" w:cstheme="majorHAnsi"/>
          <w:sz w:val="22"/>
          <w:szCs w:val="22"/>
        </w:rPr>
        <w:t>a projekta;</w:t>
      </w:r>
    </w:p>
    <w:p w14:paraId="0C12127D" w14:textId="4B2E4820" w:rsidR="006B2B7C" w:rsidRPr="000020F0" w:rsidRDefault="006B2B7C"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stroške poslovanja</w:t>
      </w:r>
      <w:r w:rsidR="007F0676" w:rsidRPr="000020F0">
        <w:rPr>
          <w:rFonts w:asciiTheme="majorHAnsi" w:hAnsiTheme="majorHAnsi" w:cstheme="majorHAnsi"/>
          <w:sz w:val="22"/>
          <w:szCs w:val="22"/>
        </w:rPr>
        <w:t xml:space="preserve"> in prihodke celotnega projekta;</w:t>
      </w:r>
    </w:p>
    <w:p w14:paraId="2C5C0FF7" w14:textId="77777777" w:rsidR="006B2B7C" w:rsidRPr="000020F0" w:rsidRDefault="006B2B7C"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vire financiranja in analizo denarnih tokov celotnega projekta ter</w:t>
      </w:r>
    </w:p>
    <w:p w14:paraId="62DD464D" w14:textId="77777777" w:rsidR="00F55912" w:rsidRPr="000020F0" w:rsidRDefault="006B2B7C" w:rsidP="00BD1D20">
      <w:pPr>
        <w:numPr>
          <w:ilvl w:val="0"/>
          <w:numId w:val="92"/>
        </w:numPr>
        <w:spacing w:line="276" w:lineRule="auto"/>
        <w:contextualSpacing/>
        <w:jc w:val="both"/>
        <w:rPr>
          <w:rFonts w:asciiTheme="majorHAnsi" w:hAnsiTheme="majorHAnsi" w:cstheme="majorHAnsi"/>
          <w:sz w:val="22"/>
          <w:szCs w:val="22"/>
        </w:rPr>
      </w:pPr>
      <w:r w:rsidRPr="000020F0">
        <w:rPr>
          <w:rFonts w:asciiTheme="majorHAnsi" w:hAnsiTheme="majorHAnsi" w:cstheme="majorHAnsi"/>
          <w:sz w:val="22"/>
          <w:szCs w:val="22"/>
        </w:rPr>
        <w:t xml:space="preserve">pokritosti celotnega projekta z viri financiranja. </w:t>
      </w:r>
    </w:p>
    <w:p w14:paraId="5DDEF46D" w14:textId="77777777" w:rsidR="00F55912" w:rsidRPr="000020F0" w:rsidRDefault="00F55912" w:rsidP="00BD1D20">
      <w:pPr>
        <w:spacing w:line="276" w:lineRule="auto"/>
        <w:rPr>
          <w:rFonts w:asciiTheme="majorHAnsi" w:hAnsiTheme="majorHAnsi" w:cstheme="majorHAnsi"/>
          <w:sz w:val="22"/>
          <w:szCs w:val="22"/>
        </w:rPr>
        <w:sectPr w:rsidR="00F55912" w:rsidRPr="000020F0" w:rsidSect="00480057">
          <w:pgSz w:w="11906" w:h="16838"/>
          <w:pgMar w:top="1134" w:right="1417" w:bottom="1417" w:left="1418" w:header="708" w:footer="708" w:gutter="0"/>
          <w:cols w:space="708"/>
          <w:titlePg/>
          <w:docGrid w:linePitch="360"/>
        </w:sectPr>
      </w:pPr>
    </w:p>
    <w:p w14:paraId="46F65FD7" w14:textId="77777777" w:rsidR="005F597B" w:rsidRPr="000020F0" w:rsidRDefault="005F597B" w:rsidP="005F597B">
      <w:pPr>
        <w:pStyle w:val="Naslov2"/>
        <w:numPr>
          <w:ilvl w:val="1"/>
          <w:numId w:val="2"/>
        </w:numPr>
        <w:rPr>
          <w:rFonts w:asciiTheme="majorHAnsi" w:eastAsiaTheme="majorEastAsia" w:hAnsiTheme="majorHAnsi" w:cstheme="majorHAnsi"/>
          <w:color w:val="244061" w:themeColor="accent1" w:themeShade="80"/>
          <w:szCs w:val="22"/>
        </w:rPr>
      </w:pPr>
      <w:bookmarkStart w:id="386" w:name="_Toc230882257"/>
      <w:r w:rsidRPr="000020F0">
        <w:rPr>
          <w:rFonts w:asciiTheme="majorHAnsi" w:eastAsiaTheme="majorEastAsia" w:hAnsiTheme="majorHAnsi" w:cstheme="majorHAnsi"/>
          <w:color w:val="244061" w:themeColor="accent1" w:themeShade="80"/>
          <w:szCs w:val="22"/>
        </w:rPr>
        <w:lastRenderedPageBreak/>
        <w:t>Finančni tok poslovanja</w:t>
      </w:r>
      <w:bookmarkEnd w:id="386"/>
      <w:r w:rsidRPr="000020F0">
        <w:rPr>
          <w:rFonts w:asciiTheme="majorHAnsi" w:eastAsiaTheme="majorEastAsia" w:hAnsiTheme="majorHAnsi" w:cstheme="majorHAnsi"/>
          <w:color w:val="244061" w:themeColor="accent1" w:themeShade="80"/>
          <w:szCs w:val="22"/>
        </w:rPr>
        <w:t xml:space="preserve"> </w:t>
      </w:r>
    </w:p>
    <w:p w14:paraId="058CDC3D" w14:textId="7288075E" w:rsidR="00B80C03" w:rsidRPr="000020F0" w:rsidRDefault="00A00D8C" w:rsidP="00BD1D20">
      <w:pPr>
        <w:spacing w:line="276" w:lineRule="auto"/>
        <w:ind w:left="-567"/>
        <w:rPr>
          <w:rFonts w:asciiTheme="majorHAnsi" w:eastAsia="Arial Unicode MS" w:hAnsiTheme="majorHAnsi" w:cstheme="majorHAnsi"/>
        </w:rPr>
      </w:pPr>
      <w:r w:rsidRPr="000020F0">
        <w:rPr>
          <w:noProof/>
        </w:rPr>
        <w:drawing>
          <wp:inline distT="0" distB="0" distL="0" distR="0" wp14:anchorId="69C28B1B" wp14:editId="5C011240">
            <wp:extent cx="9072245" cy="5284470"/>
            <wp:effectExtent l="0" t="0" r="0" b="0"/>
            <wp:docPr id="12092845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072245" cy="5284470"/>
                    </a:xfrm>
                    <a:prstGeom prst="rect">
                      <a:avLst/>
                    </a:prstGeom>
                    <a:noFill/>
                    <a:ln>
                      <a:noFill/>
                    </a:ln>
                  </pic:spPr>
                </pic:pic>
              </a:graphicData>
            </a:graphic>
          </wp:inline>
        </w:drawing>
      </w:r>
    </w:p>
    <w:p w14:paraId="2EAF8E21" w14:textId="78F2E77C" w:rsidR="00B80C03" w:rsidRPr="000020F0" w:rsidRDefault="00A00D8C" w:rsidP="00BD1D20">
      <w:pPr>
        <w:spacing w:line="276" w:lineRule="auto"/>
        <w:ind w:left="-567"/>
        <w:rPr>
          <w:rFonts w:asciiTheme="majorHAnsi" w:eastAsia="Arial Unicode MS" w:hAnsiTheme="majorHAnsi" w:cstheme="majorHAnsi"/>
        </w:rPr>
      </w:pPr>
      <w:r w:rsidRPr="000020F0">
        <w:rPr>
          <w:noProof/>
        </w:rPr>
        <w:lastRenderedPageBreak/>
        <w:drawing>
          <wp:inline distT="0" distB="0" distL="0" distR="0" wp14:anchorId="6592D224" wp14:editId="2218D48F">
            <wp:extent cx="9072245" cy="5311775"/>
            <wp:effectExtent l="0" t="0" r="0" b="3175"/>
            <wp:docPr id="13515828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072245" cy="5311775"/>
                    </a:xfrm>
                    <a:prstGeom prst="rect">
                      <a:avLst/>
                    </a:prstGeom>
                    <a:noFill/>
                    <a:ln>
                      <a:noFill/>
                    </a:ln>
                  </pic:spPr>
                </pic:pic>
              </a:graphicData>
            </a:graphic>
          </wp:inline>
        </w:drawing>
      </w:r>
    </w:p>
    <w:p w14:paraId="2C41FC49" w14:textId="67011335" w:rsidR="00B80C03" w:rsidRPr="000020F0" w:rsidRDefault="00B80C03" w:rsidP="00BD1D20">
      <w:pPr>
        <w:spacing w:line="276" w:lineRule="auto"/>
        <w:ind w:left="-567"/>
        <w:rPr>
          <w:rFonts w:asciiTheme="majorHAnsi" w:eastAsia="Arial Unicode MS" w:hAnsiTheme="majorHAnsi" w:cstheme="majorHAnsi"/>
        </w:rPr>
      </w:pPr>
    </w:p>
    <w:p w14:paraId="738A9F41" w14:textId="17A9EA84" w:rsidR="00172372" w:rsidRPr="000020F0" w:rsidRDefault="00172372" w:rsidP="00172372">
      <w:pPr>
        <w:pStyle w:val="Naslov2"/>
        <w:numPr>
          <w:ilvl w:val="1"/>
          <w:numId w:val="2"/>
        </w:numPr>
        <w:rPr>
          <w:rFonts w:asciiTheme="majorHAnsi" w:eastAsiaTheme="majorEastAsia" w:hAnsiTheme="majorHAnsi" w:cstheme="majorHAnsi"/>
          <w:color w:val="244061" w:themeColor="accent1" w:themeShade="80"/>
          <w:szCs w:val="22"/>
        </w:rPr>
      </w:pPr>
      <w:bookmarkStart w:id="387" w:name="_Toc230882258"/>
      <w:r w:rsidRPr="000020F0">
        <w:rPr>
          <w:rFonts w:asciiTheme="majorHAnsi" w:eastAsiaTheme="majorEastAsia" w:hAnsiTheme="majorHAnsi" w:cstheme="majorHAnsi"/>
          <w:color w:val="244061" w:themeColor="accent1" w:themeShade="80"/>
          <w:szCs w:val="22"/>
        </w:rPr>
        <w:lastRenderedPageBreak/>
        <w:t>Analiza donosnosti kapitala</w:t>
      </w:r>
      <w:bookmarkEnd w:id="387"/>
    </w:p>
    <w:p w14:paraId="05CB5730" w14:textId="79B1E350" w:rsidR="00B80C03" w:rsidRPr="000020F0" w:rsidRDefault="008E6A01" w:rsidP="00B80C03">
      <w:pPr>
        <w:rPr>
          <w:rFonts w:eastAsiaTheme="majorEastAsia"/>
          <w:lang w:eastAsia="zh-TW"/>
        </w:rPr>
      </w:pPr>
      <w:r w:rsidRPr="000020F0">
        <w:rPr>
          <w:noProof/>
        </w:rPr>
        <w:drawing>
          <wp:inline distT="0" distB="0" distL="0" distR="0" wp14:anchorId="0855E103" wp14:editId="71F1520B">
            <wp:extent cx="9072245" cy="1155700"/>
            <wp:effectExtent l="0" t="0" r="0" b="6350"/>
            <wp:docPr id="18366819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072245" cy="1155700"/>
                    </a:xfrm>
                    <a:prstGeom prst="rect">
                      <a:avLst/>
                    </a:prstGeom>
                    <a:noFill/>
                    <a:ln>
                      <a:noFill/>
                    </a:ln>
                  </pic:spPr>
                </pic:pic>
              </a:graphicData>
            </a:graphic>
          </wp:inline>
        </w:drawing>
      </w:r>
    </w:p>
    <w:p w14:paraId="0FDD7934" w14:textId="77777777" w:rsidR="00B80C03" w:rsidRPr="000020F0" w:rsidRDefault="00B80C03" w:rsidP="00B80C03">
      <w:pPr>
        <w:rPr>
          <w:rFonts w:eastAsiaTheme="majorEastAsia"/>
          <w:sz w:val="10"/>
          <w:szCs w:val="10"/>
          <w:lang w:eastAsia="zh-TW"/>
        </w:rPr>
      </w:pPr>
    </w:p>
    <w:p w14:paraId="78C83553" w14:textId="65123A00" w:rsidR="00B80C03" w:rsidRPr="000020F0" w:rsidRDefault="008E6A01" w:rsidP="00B80C03">
      <w:pPr>
        <w:rPr>
          <w:rFonts w:eastAsiaTheme="majorEastAsia"/>
          <w:lang w:eastAsia="zh-TW"/>
        </w:rPr>
      </w:pPr>
      <w:r w:rsidRPr="000020F0">
        <w:rPr>
          <w:noProof/>
        </w:rPr>
        <w:drawing>
          <wp:inline distT="0" distB="0" distL="0" distR="0" wp14:anchorId="248AE6C0" wp14:editId="664C6335">
            <wp:extent cx="9072245" cy="1162050"/>
            <wp:effectExtent l="0" t="0" r="0" b="0"/>
            <wp:docPr id="19730569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072245" cy="1162050"/>
                    </a:xfrm>
                    <a:prstGeom prst="rect">
                      <a:avLst/>
                    </a:prstGeom>
                    <a:noFill/>
                    <a:ln>
                      <a:noFill/>
                    </a:ln>
                  </pic:spPr>
                </pic:pic>
              </a:graphicData>
            </a:graphic>
          </wp:inline>
        </w:drawing>
      </w:r>
    </w:p>
    <w:p w14:paraId="3DC4F2CD" w14:textId="52EB03F8" w:rsidR="00172372" w:rsidRPr="000020F0" w:rsidRDefault="00172372" w:rsidP="00172372">
      <w:pPr>
        <w:spacing w:line="276" w:lineRule="auto"/>
        <w:rPr>
          <w:rFonts w:asciiTheme="majorHAnsi" w:hAnsiTheme="majorHAnsi" w:cstheme="majorHAnsi"/>
          <w:sz w:val="4"/>
          <w:szCs w:val="4"/>
        </w:rPr>
      </w:pPr>
    </w:p>
    <w:p w14:paraId="47A375B8" w14:textId="6BA01949" w:rsidR="00172372" w:rsidRPr="000020F0" w:rsidRDefault="00172372" w:rsidP="00172372">
      <w:pPr>
        <w:spacing w:line="276" w:lineRule="auto"/>
        <w:rPr>
          <w:rFonts w:asciiTheme="majorHAnsi" w:hAnsiTheme="majorHAnsi" w:cstheme="majorHAnsi"/>
          <w:sz w:val="4"/>
          <w:szCs w:val="4"/>
        </w:rPr>
      </w:pPr>
    </w:p>
    <w:p w14:paraId="1EFA3FD7" w14:textId="1D9F80F8" w:rsidR="00C40082" w:rsidRPr="000020F0" w:rsidRDefault="00C40082" w:rsidP="00172372">
      <w:pPr>
        <w:spacing w:line="276" w:lineRule="auto"/>
        <w:rPr>
          <w:rFonts w:asciiTheme="majorHAnsi" w:hAnsiTheme="majorHAnsi" w:cstheme="majorHAnsi"/>
          <w:sz w:val="4"/>
          <w:szCs w:val="4"/>
        </w:rPr>
      </w:pPr>
    </w:p>
    <w:p w14:paraId="26BBFFB9" w14:textId="1DF4BC8F" w:rsidR="00C40082" w:rsidRPr="000020F0" w:rsidRDefault="00C40082" w:rsidP="00172372">
      <w:pPr>
        <w:spacing w:line="276" w:lineRule="auto"/>
        <w:rPr>
          <w:rFonts w:asciiTheme="majorHAnsi" w:hAnsiTheme="majorHAnsi" w:cstheme="majorHAnsi"/>
          <w:sz w:val="4"/>
          <w:szCs w:val="4"/>
        </w:rPr>
      </w:pPr>
    </w:p>
    <w:p w14:paraId="64E7E61D" w14:textId="303E330B" w:rsidR="00172372" w:rsidRPr="000020F0" w:rsidRDefault="00172372" w:rsidP="00172372">
      <w:pPr>
        <w:spacing w:line="276" w:lineRule="auto"/>
        <w:rPr>
          <w:rFonts w:asciiTheme="majorHAnsi" w:hAnsiTheme="majorHAnsi" w:cstheme="majorHAnsi"/>
          <w:sz w:val="4"/>
          <w:szCs w:val="4"/>
        </w:rPr>
      </w:pPr>
    </w:p>
    <w:p w14:paraId="2F73D14F" w14:textId="5D38F3F4" w:rsidR="00172372" w:rsidRPr="000020F0" w:rsidRDefault="00172372" w:rsidP="00172372">
      <w:pPr>
        <w:spacing w:line="276" w:lineRule="auto"/>
        <w:rPr>
          <w:rFonts w:asciiTheme="majorHAnsi" w:hAnsiTheme="majorHAnsi" w:cstheme="majorHAnsi"/>
          <w:sz w:val="4"/>
          <w:szCs w:val="4"/>
        </w:rPr>
      </w:pPr>
    </w:p>
    <w:p w14:paraId="758A474F" w14:textId="77777777" w:rsidR="00172372" w:rsidRPr="000020F0" w:rsidRDefault="00172372" w:rsidP="00BD1D20">
      <w:pPr>
        <w:spacing w:line="276" w:lineRule="auto"/>
        <w:rPr>
          <w:rFonts w:asciiTheme="majorHAnsi" w:hAnsiTheme="majorHAnsi" w:cstheme="majorHAnsi"/>
          <w:sz w:val="16"/>
          <w:highlight w:val="yellow"/>
        </w:rPr>
        <w:sectPr w:rsidR="00172372" w:rsidRPr="000020F0" w:rsidSect="00480057">
          <w:pgSz w:w="16838" w:h="11906" w:orient="landscape"/>
          <w:pgMar w:top="1134" w:right="1134" w:bottom="1417" w:left="1417" w:header="708" w:footer="708" w:gutter="0"/>
          <w:cols w:space="708"/>
          <w:titlePg/>
          <w:docGrid w:linePitch="360"/>
        </w:sectPr>
      </w:pPr>
    </w:p>
    <w:p w14:paraId="54DE983C" w14:textId="77777777" w:rsidR="00F55912" w:rsidRPr="000020F0" w:rsidRDefault="00F559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88" w:name="_Toc230882259"/>
      <w:r w:rsidRPr="000020F0">
        <w:rPr>
          <w:rFonts w:asciiTheme="majorHAnsi" w:eastAsiaTheme="majorEastAsia" w:hAnsiTheme="majorHAnsi" w:cstheme="majorHAnsi"/>
          <w:color w:val="244061" w:themeColor="accent1" w:themeShade="80"/>
        </w:rPr>
        <w:lastRenderedPageBreak/>
        <w:t>Doba vračanja investicijskih sredstev</w:t>
      </w:r>
      <w:bookmarkEnd w:id="388"/>
    </w:p>
    <w:p w14:paraId="7A831D6B" w14:textId="46E5805A" w:rsidR="00F55912" w:rsidRPr="000020F0" w:rsidRDefault="00B4794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Investitorju se projekt </w:t>
      </w:r>
      <w:r w:rsidR="003A0D69" w:rsidRPr="000020F0">
        <w:rPr>
          <w:rFonts w:asciiTheme="majorHAnsi" w:hAnsiTheme="majorHAnsi" w:cstheme="majorHAnsi"/>
          <w:sz w:val="22"/>
          <w:szCs w:val="22"/>
        </w:rPr>
        <w:t>ne povrne v ekonomski dobi</w:t>
      </w:r>
      <w:r w:rsidRPr="000020F0">
        <w:rPr>
          <w:rFonts w:asciiTheme="majorHAnsi" w:hAnsiTheme="majorHAnsi" w:cstheme="majorHAnsi"/>
          <w:sz w:val="22"/>
          <w:szCs w:val="22"/>
        </w:rPr>
        <w:t>.</w:t>
      </w:r>
    </w:p>
    <w:p w14:paraId="130C9A18" w14:textId="77777777" w:rsidR="00F55912" w:rsidRPr="000020F0" w:rsidRDefault="00F559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389" w:name="_Toc230882260"/>
      <w:r w:rsidRPr="000020F0">
        <w:rPr>
          <w:rFonts w:asciiTheme="majorHAnsi" w:eastAsiaTheme="majorEastAsia" w:hAnsiTheme="majorHAnsi" w:cstheme="majorHAnsi"/>
          <w:color w:val="244061" w:themeColor="accent1" w:themeShade="80"/>
        </w:rPr>
        <w:t>Finančni kazalniki</w:t>
      </w:r>
      <w:bookmarkEnd w:id="389"/>
    </w:p>
    <w:p w14:paraId="658046E2" w14:textId="73178167" w:rsidR="00F55912"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390" w:name="_Toc230882261"/>
      <w:r w:rsidRPr="000020F0">
        <w:rPr>
          <w:rFonts w:asciiTheme="majorHAnsi" w:eastAsiaTheme="majorEastAsia" w:hAnsiTheme="majorHAnsi" w:cstheme="majorHAnsi"/>
          <w:color w:val="244061" w:themeColor="accent1" w:themeShade="80"/>
        </w:rPr>
        <w:t>Finančna neto sedanja vrednost projekta</w:t>
      </w:r>
      <w:bookmarkEnd w:id="390"/>
    </w:p>
    <w:p w14:paraId="052C46D7"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Neto sedanja vrednost (Net </w:t>
      </w:r>
      <w:proofErr w:type="spellStart"/>
      <w:r w:rsidRPr="000020F0">
        <w:rPr>
          <w:rFonts w:asciiTheme="majorHAnsi" w:hAnsiTheme="majorHAnsi" w:cstheme="majorHAnsi"/>
          <w:sz w:val="22"/>
          <w:szCs w:val="22"/>
        </w:rPr>
        <w:t>present</w:t>
      </w:r>
      <w:proofErr w:type="spellEnd"/>
      <w:r w:rsidRPr="000020F0">
        <w:rPr>
          <w:rFonts w:asciiTheme="majorHAnsi" w:hAnsiTheme="majorHAnsi" w:cstheme="majorHAnsi"/>
          <w:sz w:val="22"/>
          <w:szCs w:val="22"/>
        </w:rPr>
        <w:t xml:space="preserve"> </w:t>
      </w:r>
      <w:proofErr w:type="spellStart"/>
      <w:r w:rsidRPr="000020F0">
        <w:rPr>
          <w:rFonts w:asciiTheme="majorHAnsi" w:hAnsiTheme="majorHAnsi" w:cstheme="majorHAnsi"/>
          <w:sz w:val="22"/>
          <w:szCs w:val="22"/>
        </w:rPr>
        <w:t>value</w:t>
      </w:r>
      <w:proofErr w:type="spellEnd"/>
      <w:r w:rsidRPr="000020F0">
        <w:rPr>
          <w:rFonts w:asciiTheme="majorHAnsi" w:hAnsiTheme="majorHAnsi" w:cstheme="majorHAnsi"/>
          <w:sz w:val="22"/>
          <w:szCs w:val="22"/>
        </w:rPr>
        <w:t>, NPV) predstavlja znesek, ki ga dobimo, ko diskontirane vrednosti pričakovanih stroškov projekta odštejemo od diskontiranih vrednosti pričakovanih koristi. Ločimo ekonomsko neto sedanjo vrednost (ENPV) in finančno sedanjo vrednost (FNPV).</w:t>
      </w:r>
    </w:p>
    <w:p w14:paraId="0EA64774"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Tako je finančna neto sedanja vrednost projekta določena kot:</w:t>
      </w:r>
    </w:p>
    <w:p w14:paraId="1C0FDA1A"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noProof/>
          <w:sz w:val="22"/>
          <w:szCs w:val="22"/>
        </w:rPr>
        <w:drawing>
          <wp:inline distT="0" distB="0" distL="0" distR="0" wp14:anchorId="53CD636B" wp14:editId="593702A7">
            <wp:extent cx="3143250" cy="533400"/>
            <wp:effectExtent l="0" t="0" r="0" b="0"/>
            <wp:docPr id="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43250" cy="533400"/>
                    </a:xfrm>
                    <a:prstGeom prst="rect">
                      <a:avLst/>
                    </a:prstGeom>
                    <a:noFill/>
                    <a:ln>
                      <a:noFill/>
                    </a:ln>
                  </pic:spPr>
                </pic:pic>
              </a:graphicData>
            </a:graphic>
          </wp:inline>
        </w:drawing>
      </w:r>
    </w:p>
    <w:p w14:paraId="272ECA53" w14:textId="2E5C61BE"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Pri tem je </w:t>
      </w:r>
      <w:proofErr w:type="spellStart"/>
      <w:r w:rsidRPr="000020F0">
        <w:rPr>
          <w:rFonts w:asciiTheme="majorHAnsi" w:hAnsiTheme="majorHAnsi" w:cstheme="majorHAnsi"/>
          <w:sz w:val="22"/>
          <w:szCs w:val="22"/>
        </w:rPr>
        <w:t>Sn</w:t>
      </w:r>
      <w:proofErr w:type="spellEnd"/>
      <w:r w:rsidRPr="000020F0">
        <w:rPr>
          <w:rFonts w:asciiTheme="majorHAnsi" w:hAnsiTheme="majorHAnsi" w:cstheme="majorHAnsi"/>
          <w:sz w:val="22"/>
          <w:szCs w:val="22"/>
        </w:rPr>
        <w:t xml:space="preserve"> finančni tok virov (neto priliv) v času n in at izbrani finančni diskontni faktor za diskontiranje. To je zelo zgoščen kazalnik učinkov celotnega projekta: je dejanska vsota vseh neto prilivov projekta, izražena v eni sami številki in v isti enoti mere upo</w:t>
      </w:r>
      <w:r w:rsidR="007244C1" w:rsidRPr="000020F0">
        <w:rPr>
          <w:rFonts w:asciiTheme="majorHAnsi" w:hAnsiTheme="majorHAnsi" w:cstheme="majorHAnsi"/>
          <w:sz w:val="22"/>
          <w:szCs w:val="22"/>
        </w:rPr>
        <w:t xml:space="preserve">rabljena v obračunskih tabelah. </w:t>
      </w:r>
      <w:r w:rsidRPr="000020F0">
        <w:rPr>
          <w:rFonts w:asciiTheme="majorHAnsi" w:hAnsiTheme="majorHAnsi" w:cstheme="majorHAnsi"/>
          <w:sz w:val="22"/>
          <w:szCs w:val="22"/>
        </w:rPr>
        <w:t xml:space="preserve">Pomembno je poudariti, da je običajno bilanca celotnega projekta v prvih letih negativna in postane pozitivna šele pozneje. Kakor se negativne vrednosti sčasoma znižujejo, so v prvih letih bolj obremenjene z utežmi od pozitivnih v zadnjem obdobju. To pomeni, da je izbira časovnega obdobja ključna pri določanju NPV. Še več, na izračun NPV vpliva tudi izbira diskontnega faktorja. Ta kazalnik je lahko zelo preprosto in natančno merilo za izbor projekta: NPV &gt; 0 pomeni, da projekt povzroči neto koristi (ker je vsota utežnih </w:t>
      </w:r>
      <w:proofErr w:type="spellStart"/>
      <w:r w:rsidRPr="000020F0">
        <w:rPr>
          <w:rFonts w:asciiTheme="majorHAnsi" w:hAnsiTheme="majorHAnsi" w:cstheme="majorHAnsi"/>
          <w:sz w:val="22"/>
          <w:szCs w:val="22"/>
        </w:rPr>
        <w:t>Sn</w:t>
      </w:r>
      <w:proofErr w:type="spellEnd"/>
      <w:r w:rsidRPr="000020F0">
        <w:rPr>
          <w:rFonts w:asciiTheme="majorHAnsi" w:hAnsiTheme="majorHAnsi" w:cstheme="majorHAnsi"/>
          <w:sz w:val="22"/>
          <w:szCs w:val="22"/>
        </w:rPr>
        <w:t xml:space="preserve"> še vedno pozitivna) in je na splošno sprejemljiv. Z drugimi besedami, lahko je dobro merilo za ugotavljanje dodane vrednosti, ki jo ustvari projekt družbi v denarnih enotah. Je tudi koristno za razvrščanje projektov na podlagi vrednosti NPV in odločanje, kateri je najboljši. Včasih pa se NPV ne more uporabiti za vsako vrednost i. V tem primeru pa opredelitev istega i za vsak projekt lahko vodi k jasni izbiri med projektoma. Poznamo finančno neto sedanjo vrednost – če je izračunana v finančni analizi s finančnimi spremenljivkami – in ekonomsko neto sedanjo vrednost, kadar jo računamo v ekonomski analizi.</w:t>
      </w:r>
    </w:p>
    <w:p w14:paraId="49149271"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Vse prihodnje pritoke in odtoke (oziroma neto ekonomski tok v posameznih letih ekonomske dobe projekta) diskontiramo na sedanji termin t0,  torej na leto, v katerem nastopijo prvi investicijski stroški.</w:t>
      </w:r>
    </w:p>
    <w:p w14:paraId="3542CD0C" w14:textId="31A198A0" w:rsidR="007C5ACA" w:rsidRPr="000020F0" w:rsidRDefault="007C5ACA"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Seštevek diskontiranih neto prilivov nam pove finančno neto sedanjo vrednost</w:t>
      </w:r>
      <w:r w:rsidR="00250F27" w:rsidRPr="000020F0">
        <w:rPr>
          <w:rFonts w:asciiTheme="majorHAnsi" w:hAnsiTheme="majorHAnsi" w:cstheme="majorHAnsi"/>
          <w:sz w:val="22"/>
          <w:szCs w:val="22"/>
        </w:rPr>
        <w:t xml:space="preserve"> projekta, ki</w:t>
      </w:r>
      <w:r w:rsidRPr="000020F0">
        <w:rPr>
          <w:rFonts w:asciiTheme="majorHAnsi" w:hAnsiTheme="majorHAnsi" w:cstheme="majorHAnsi"/>
          <w:sz w:val="22"/>
          <w:szCs w:val="22"/>
        </w:rPr>
        <w:t xml:space="preserve"> znaša </w:t>
      </w:r>
      <w:r w:rsidR="00571D57" w:rsidRPr="000020F0">
        <w:rPr>
          <w:rFonts w:asciiTheme="majorHAnsi" w:hAnsiTheme="majorHAnsi" w:cstheme="majorHAnsi"/>
          <w:sz w:val="22"/>
          <w:szCs w:val="22"/>
        </w:rPr>
        <w:t xml:space="preserve">-3.218.649 </w:t>
      </w:r>
      <w:r w:rsidRPr="000020F0">
        <w:rPr>
          <w:rFonts w:asciiTheme="majorHAnsi" w:hAnsiTheme="majorHAnsi" w:cstheme="majorHAnsi"/>
          <w:sz w:val="22"/>
          <w:szCs w:val="22"/>
        </w:rPr>
        <w:t>EUR</w:t>
      </w:r>
      <w:r w:rsidR="00250F27" w:rsidRPr="000020F0">
        <w:rPr>
          <w:rFonts w:asciiTheme="majorHAnsi" w:hAnsiTheme="majorHAnsi" w:cstheme="majorHAnsi"/>
          <w:sz w:val="22"/>
          <w:szCs w:val="22"/>
        </w:rPr>
        <w:t xml:space="preserve">, ter kapitala, ki znaša </w:t>
      </w:r>
      <w:r w:rsidR="00571D57" w:rsidRPr="000020F0">
        <w:rPr>
          <w:rFonts w:asciiTheme="majorHAnsi" w:hAnsiTheme="majorHAnsi" w:cstheme="majorHAnsi"/>
          <w:sz w:val="22"/>
          <w:szCs w:val="22"/>
        </w:rPr>
        <w:t xml:space="preserve">-415.709 </w:t>
      </w:r>
      <w:r w:rsidR="00250F27" w:rsidRPr="000020F0">
        <w:rPr>
          <w:rFonts w:asciiTheme="majorHAnsi" w:hAnsiTheme="majorHAnsi" w:cstheme="majorHAnsi"/>
          <w:sz w:val="22"/>
          <w:szCs w:val="22"/>
        </w:rPr>
        <w:t>EUR</w:t>
      </w:r>
      <w:r w:rsidRPr="000020F0">
        <w:rPr>
          <w:rFonts w:asciiTheme="majorHAnsi" w:hAnsiTheme="majorHAnsi" w:cstheme="majorHAnsi"/>
          <w:sz w:val="22"/>
          <w:szCs w:val="22"/>
        </w:rPr>
        <w:t>.</w:t>
      </w:r>
    </w:p>
    <w:p w14:paraId="5EC11096" w14:textId="66F81278"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Finančna neto sedanja vrednost projekta se izračuna z upoštevanjem celotne vrednosti projekta kot odliv (skupaj </w:t>
      </w:r>
      <w:r w:rsidR="007244C1" w:rsidRPr="000020F0">
        <w:rPr>
          <w:rFonts w:asciiTheme="majorHAnsi" w:hAnsiTheme="majorHAnsi" w:cstheme="majorHAnsi"/>
          <w:sz w:val="22"/>
          <w:szCs w:val="22"/>
        </w:rPr>
        <w:t>z</w:t>
      </w:r>
      <w:r w:rsidRPr="000020F0">
        <w:rPr>
          <w:rFonts w:asciiTheme="majorHAnsi" w:hAnsiTheme="majorHAnsi" w:cstheme="majorHAnsi"/>
          <w:sz w:val="22"/>
          <w:szCs w:val="22"/>
        </w:rPr>
        <w:t xml:space="preserve"> odhodki poslovanja) in prihodki kot priliv.</w:t>
      </w:r>
    </w:p>
    <w:p w14:paraId="2FA6326B" w14:textId="77777777" w:rsidR="00F55912"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Rezultati so povsem pričakovani in v skladu z ostalimi primerljivimi projekti. </w:t>
      </w:r>
    </w:p>
    <w:p w14:paraId="15E90A3E" w14:textId="77777777" w:rsidR="00F55912"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391" w:name="_Toc230882262"/>
      <w:r w:rsidRPr="000020F0">
        <w:rPr>
          <w:rFonts w:asciiTheme="majorHAnsi" w:eastAsiaTheme="majorEastAsia" w:hAnsiTheme="majorHAnsi" w:cstheme="majorHAnsi"/>
          <w:color w:val="244061" w:themeColor="accent1" w:themeShade="80"/>
        </w:rPr>
        <w:t>Finančna interna stopnja donosnosti celotnega projekta</w:t>
      </w:r>
      <w:bookmarkEnd w:id="391"/>
    </w:p>
    <w:p w14:paraId="283A980F"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Finančna interna stopnja donosnosti je določena kot obrestna mera, ki izenači neto sedanjo vrednost investicije z nič, kar pomeni, da je obrestna mera </w:t>
      </w:r>
      <w:bookmarkStart w:id="392" w:name="OLE_LINK474"/>
      <w:bookmarkStart w:id="393" w:name="OLE_LINK475"/>
      <w:r w:rsidRPr="000020F0">
        <w:rPr>
          <w:rFonts w:asciiTheme="majorHAnsi" w:hAnsiTheme="majorHAnsi" w:cstheme="majorHAnsi"/>
          <w:sz w:val="22"/>
          <w:szCs w:val="22"/>
        </w:rPr>
        <w:t xml:space="preserve">IRR </w:t>
      </w:r>
      <w:bookmarkEnd w:id="392"/>
      <w:bookmarkEnd w:id="393"/>
      <w:r w:rsidRPr="000020F0">
        <w:rPr>
          <w:rFonts w:asciiTheme="majorHAnsi" w:hAnsiTheme="majorHAnsi" w:cstheme="majorHAnsi"/>
          <w:sz w:val="22"/>
          <w:szCs w:val="22"/>
        </w:rPr>
        <w:t>v spodnji enačbi:</w:t>
      </w:r>
    </w:p>
    <w:p w14:paraId="6AE83F61"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noProof/>
          <w:sz w:val="22"/>
          <w:szCs w:val="22"/>
        </w:rPr>
        <w:lastRenderedPageBreak/>
        <w:drawing>
          <wp:inline distT="0" distB="0" distL="0" distR="0" wp14:anchorId="096BEFBE" wp14:editId="3F0970AC">
            <wp:extent cx="2257425" cy="495300"/>
            <wp:effectExtent l="0" t="0" r="9525" b="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57425" cy="495300"/>
                    </a:xfrm>
                    <a:prstGeom prst="rect">
                      <a:avLst/>
                    </a:prstGeom>
                    <a:noFill/>
                    <a:ln>
                      <a:noFill/>
                    </a:ln>
                  </pic:spPr>
                </pic:pic>
              </a:graphicData>
            </a:graphic>
          </wp:inline>
        </w:drawing>
      </w:r>
    </w:p>
    <w:p w14:paraId="6AD45476"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Kakor je jasno že iz definicije IRR in njene formule, za izračun tega kazalnika ni treba določiti diskontnega faktorja. Tisti, ki pregleduje izračune, večinoma uporabi finančno stopnjo donosa zato, da bi presodil bodoče učinke investicije. Ob predpostavki, da i predstavlja </w:t>
      </w:r>
      <w:proofErr w:type="spellStart"/>
      <w:r w:rsidRPr="000020F0">
        <w:rPr>
          <w:rFonts w:asciiTheme="majorHAnsi" w:hAnsiTheme="majorHAnsi" w:cstheme="majorHAnsi"/>
          <w:sz w:val="22"/>
          <w:szCs w:val="22"/>
        </w:rPr>
        <w:t>oportunitetne</w:t>
      </w:r>
      <w:proofErr w:type="spellEnd"/>
      <w:r w:rsidRPr="000020F0">
        <w:rPr>
          <w:rFonts w:asciiTheme="majorHAnsi" w:hAnsiTheme="majorHAnsi" w:cstheme="majorHAnsi"/>
          <w:sz w:val="22"/>
          <w:szCs w:val="22"/>
        </w:rPr>
        <w:t xml:space="preserve"> stroške lastniškega kapitala, je IRR tista največja vrednost i, kjer bi brez investicije nastala neto izguba v primerjavi z alternativno rabo kapitala. Torej je lahko IRR ocenjevalni kriterij v oceni projekta: pod določeno vrednostjo IRR se investicija šteje za neprimerno. NPV in IRR lahko uporabimo za ocenjevalni kriterij pri razvrščanju projektov. Vendar pa je koristno vedno upoštevati NPV in IRR skupaj, ker lahko pride tudi do nejasnih primerov.</w:t>
      </w:r>
    </w:p>
    <w:p w14:paraId="6EB9262E" w14:textId="77777777" w:rsidR="00F55912" w:rsidRPr="000020F0" w:rsidRDefault="00F5591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Finančna interna stopnja donosnosti (</w:t>
      </w:r>
      <w:proofErr w:type="spellStart"/>
      <w:r w:rsidRPr="000020F0">
        <w:rPr>
          <w:rFonts w:asciiTheme="majorHAnsi" w:hAnsiTheme="majorHAnsi" w:cstheme="majorHAnsi"/>
          <w:sz w:val="22"/>
          <w:szCs w:val="22"/>
        </w:rPr>
        <w:t>Internal</w:t>
      </w:r>
      <w:proofErr w:type="spellEnd"/>
      <w:r w:rsidRPr="000020F0">
        <w:rPr>
          <w:rFonts w:asciiTheme="majorHAnsi" w:hAnsiTheme="majorHAnsi" w:cstheme="majorHAnsi"/>
          <w:sz w:val="22"/>
          <w:szCs w:val="22"/>
        </w:rPr>
        <w:t xml:space="preserve"> </w:t>
      </w:r>
      <w:proofErr w:type="spellStart"/>
      <w:r w:rsidRPr="000020F0">
        <w:rPr>
          <w:rFonts w:asciiTheme="majorHAnsi" w:hAnsiTheme="majorHAnsi" w:cstheme="majorHAnsi"/>
          <w:sz w:val="22"/>
          <w:szCs w:val="22"/>
        </w:rPr>
        <w:t>rate</w:t>
      </w:r>
      <w:proofErr w:type="spellEnd"/>
      <w:r w:rsidRPr="000020F0">
        <w:rPr>
          <w:rFonts w:asciiTheme="majorHAnsi" w:hAnsiTheme="majorHAnsi" w:cstheme="majorHAnsi"/>
          <w:sz w:val="22"/>
          <w:szCs w:val="22"/>
        </w:rPr>
        <w:t xml:space="preserve"> </w:t>
      </w:r>
      <w:proofErr w:type="spellStart"/>
      <w:r w:rsidRPr="000020F0">
        <w:rPr>
          <w:rFonts w:asciiTheme="majorHAnsi" w:hAnsiTheme="majorHAnsi" w:cstheme="majorHAnsi"/>
          <w:sz w:val="22"/>
          <w:szCs w:val="22"/>
        </w:rPr>
        <w:t>of</w:t>
      </w:r>
      <w:proofErr w:type="spellEnd"/>
      <w:r w:rsidRPr="000020F0">
        <w:rPr>
          <w:rFonts w:asciiTheme="majorHAnsi" w:hAnsiTheme="majorHAnsi" w:cstheme="majorHAnsi"/>
          <w:sz w:val="22"/>
          <w:szCs w:val="22"/>
        </w:rPr>
        <w:t xml:space="preserve"> </w:t>
      </w:r>
      <w:proofErr w:type="spellStart"/>
      <w:r w:rsidRPr="000020F0">
        <w:rPr>
          <w:rFonts w:asciiTheme="majorHAnsi" w:hAnsiTheme="majorHAnsi" w:cstheme="majorHAnsi"/>
          <w:sz w:val="22"/>
          <w:szCs w:val="22"/>
        </w:rPr>
        <w:t>return</w:t>
      </w:r>
      <w:proofErr w:type="spellEnd"/>
      <w:r w:rsidRPr="000020F0">
        <w:rPr>
          <w:rFonts w:asciiTheme="majorHAnsi" w:hAnsiTheme="majorHAnsi" w:cstheme="majorHAnsi"/>
          <w:sz w:val="22"/>
          <w:szCs w:val="22"/>
        </w:rPr>
        <w:t xml:space="preserve">) predstavlja diskontno stopnjo, pri kateri je sedanja vrednost neto prilivov stroškov in koristi enaka nič. Finančna stopnja donosa (FRR), ko se vrednosti izrazijo po dejanskih cenah. </w:t>
      </w:r>
      <w:bookmarkStart w:id="394" w:name="OLE_LINK479"/>
      <w:bookmarkStart w:id="395" w:name="OLE_LINK480"/>
      <w:r w:rsidRPr="000020F0">
        <w:rPr>
          <w:rFonts w:asciiTheme="majorHAnsi" w:hAnsiTheme="majorHAnsi" w:cstheme="majorHAnsi"/>
          <w:sz w:val="22"/>
          <w:szCs w:val="22"/>
        </w:rPr>
        <w:t xml:space="preserve">Ekonomska stopnja donosa </w:t>
      </w:r>
      <w:bookmarkEnd w:id="394"/>
      <w:bookmarkEnd w:id="395"/>
      <w:r w:rsidRPr="000020F0">
        <w:rPr>
          <w:rFonts w:asciiTheme="majorHAnsi" w:hAnsiTheme="majorHAnsi" w:cstheme="majorHAnsi"/>
          <w:sz w:val="22"/>
          <w:szCs w:val="22"/>
        </w:rPr>
        <w:t>(ERR), ko se vrednosti ocenijo z obračunskimi cenami. Finančna interna stopnja donosa se primerja s podatkom, ki predstavlja merilo za primerjave, s čimer se ocenijo učinki predlaganega projekta.</w:t>
      </w:r>
    </w:p>
    <w:p w14:paraId="23D275AA" w14:textId="1D46508B" w:rsidR="003368DA" w:rsidRPr="000020F0" w:rsidRDefault="003368DA" w:rsidP="003368D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Finančna interna stopnja donosnosti (FRR) projekta znaša </w:t>
      </w:r>
      <w:r w:rsidR="00CE2B8D" w:rsidRPr="000020F0">
        <w:rPr>
          <w:rFonts w:asciiTheme="majorHAnsi" w:hAnsiTheme="majorHAnsi" w:cstheme="majorHAnsi"/>
          <w:sz w:val="22"/>
          <w:szCs w:val="22"/>
        </w:rPr>
        <w:t>-9,64%</w:t>
      </w:r>
      <w:r w:rsidRPr="000020F0">
        <w:rPr>
          <w:rFonts w:asciiTheme="majorHAnsi" w:hAnsiTheme="majorHAnsi" w:cstheme="majorHAnsi"/>
          <w:sz w:val="22"/>
          <w:szCs w:val="22"/>
        </w:rPr>
        <w:t xml:space="preserve">, finančna interna stopnja donosnosti kapitala (FRR/K) pa </w:t>
      </w:r>
      <w:r w:rsidR="00CE2B8D" w:rsidRPr="000020F0">
        <w:rPr>
          <w:rFonts w:asciiTheme="majorHAnsi" w:hAnsiTheme="majorHAnsi" w:cstheme="majorHAnsi"/>
          <w:sz w:val="22"/>
          <w:szCs w:val="22"/>
        </w:rPr>
        <w:t xml:space="preserve">-4,46%. </w:t>
      </w:r>
      <w:r w:rsidRPr="000020F0">
        <w:rPr>
          <w:rFonts w:asciiTheme="majorHAnsi" w:hAnsiTheme="majorHAnsi" w:cstheme="majorHAnsi"/>
          <w:sz w:val="22"/>
          <w:szCs w:val="22"/>
        </w:rPr>
        <w:t>Obe izračunani stopnji sta nižji od referenčne finančne diskontne stopnje 4 %, kar pomeni, da projekt iz ozko finančnega vidika ni vzdržen.</w:t>
      </w:r>
    </w:p>
    <w:p w14:paraId="5BF8B44D" w14:textId="77777777" w:rsidR="003368DA" w:rsidRPr="000020F0" w:rsidRDefault="003368DA" w:rsidP="003368D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Ker pa gre za javni, netržni projekt, katerega namen je zagotavljanje družbenih koristi (večja prometna varnost, zmanjšanje emisij, zdravstvene koristi, višja kakovost bivanja), je tak rezultat pričakovan. Projekt se tako ne presoja po finančni donosnosti, temveč po ekonomskih in </w:t>
      </w:r>
      <w:proofErr w:type="spellStart"/>
      <w:r w:rsidRPr="000020F0">
        <w:rPr>
          <w:rFonts w:asciiTheme="majorHAnsi" w:hAnsiTheme="majorHAnsi" w:cstheme="majorHAnsi"/>
          <w:sz w:val="22"/>
          <w:szCs w:val="22"/>
        </w:rPr>
        <w:t>okoljskih</w:t>
      </w:r>
      <w:proofErr w:type="spellEnd"/>
      <w:r w:rsidRPr="000020F0">
        <w:rPr>
          <w:rFonts w:asciiTheme="majorHAnsi" w:hAnsiTheme="majorHAnsi" w:cstheme="majorHAnsi"/>
          <w:sz w:val="22"/>
          <w:szCs w:val="22"/>
        </w:rPr>
        <w:t xml:space="preserve"> učinkih, kjer ustvarja pozitivne rezultate in dosega cilje lokalnih ter evropskih razvojnih politik.</w:t>
      </w:r>
    </w:p>
    <w:p w14:paraId="5D13AAC2" w14:textId="77777777" w:rsidR="00F55912"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396" w:name="_Toc230882263"/>
      <w:r w:rsidRPr="000020F0">
        <w:rPr>
          <w:rFonts w:asciiTheme="majorHAnsi" w:eastAsiaTheme="majorEastAsia" w:hAnsiTheme="majorHAnsi" w:cstheme="majorHAnsi"/>
          <w:color w:val="244061" w:themeColor="accent1" w:themeShade="80"/>
        </w:rPr>
        <w:t>Finančna relativna neto sedanja vrednost celotnega projekta</w:t>
      </w:r>
      <w:bookmarkEnd w:id="396"/>
    </w:p>
    <w:p w14:paraId="568AB1D6" w14:textId="77777777" w:rsidR="00367A2B" w:rsidRPr="000020F0" w:rsidRDefault="00367A2B"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Finančna relativna neto sedanja vrednost prikazuje sedanjo vrednost neto denarnih tokov v celotni ekonomski dobi projekta glede na sedanjo vrednost stroškov celotnega projekta.</w:t>
      </w:r>
    </w:p>
    <w:p w14:paraId="21D54505" w14:textId="38B7403B" w:rsidR="005B3550" w:rsidRPr="000020F0" w:rsidRDefault="005B3550"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Finančna relativna neto sedanja vrednost je razmerje med neto sedanjo vrednostjo projekta in diskontiranimi investicijskimi stroški. V tem primeru znaša </w:t>
      </w:r>
      <w:r w:rsidR="00506CDC" w:rsidRPr="000020F0">
        <w:rPr>
          <w:rFonts w:asciiTheme="majorHAnsi" w:hAnsiTheme="majorHAnsi" w:cstheme="majorHAnsi"/>
          <w:sz w:val="22"/>
          <w:szCs w:val="22"/>
        </w:rPr>
        <w:t xml:space="preserve">RNSV = </w:t>
      </w:r>
      <w:r w:rsidR="00CE2B8D" w:rsidRPr="000020F0">
        <w:rPr>
          <w:rFonts w:asciiTheme="majorHAnsi" w:hAnsiTheme="majorHAnsi" w:cstheme="majorHAnsi"/>
          <w:sz w:val="22"/>
          <w:szCs w:val="22"/>
        </w:rPr>
        <w:t>-0,9503.</w:t>
      </w:r>
    </w:p>
    <w:p w14:paraId="0DC5A856" w14:textId="77777777" w:rsidR="00F55912" w:rsidRPr="000020F0" w:rsidRDefault="00F55912" w:rsidP="00BD1D20">
      <w:pPr>
        <w:pStyle w:val="Naslov2"/>
        <w:numPr>
          <w:ilvl w:val="1"/>
          <w:numId w:val="2"/>
        </w:numPr>
        <w:spacing w:before="240" w:after="240"/>
        <w:ind w:left="578" w:hanging="578"/>
        <w:rPr>
          <w:rFonts w:asciiTheme="majorHAnsi" w:eastAsiaTheme="majorEastAsia" w:hAnsiTheme="majorHAnsi" w:cstheme="majorHAnsi"/>
          <w:color w:val="244061" w:themeColor="accent1" w:themeShade="80"/>
        </w:rPr>
      </w:pPr>
      <w:bookmarkStart w:id="397" w:name="_Toc230882264"/>
      <w:r w:rsidRPr="000020F0">
        <w:rPr>
          <w:rFonts w:asciiTheme="majorHAnsi" w:eastAsiaTheme="majorEastAsia" w:hAnsiTheme="majorHAnsi" w:cstheme="majorHAnsi"/>
          <w:color w:val="244061" w:themeColor="accent1" w:themeShade="80"/>
        </w:rPr>
        <w:t>Povzetek finančne analize</w:t>
      </w:r>
      <w:bookmarkEnd w:id="397"/>
    </w:p>
    <w:p w14:paraId="72D7A4B6" w14:textId="77777777" w:rsidR="00DB691E" w:rsidRPr="000020F0" w:rsidRDefault="00DB691E" w:rsidP="00BD1D20">
      <w:pPr>
        <w:spacing w:after="120" w:line="276" w:lineRule="auto"/>
        <w:jc w:val="both"/>
        <w:rPr>
          <w:rFonts w:asciiTheme="majorHAnsi" w:hAnsiTheme="majorHAnsi" w:cstheme="majorHAnsi"/>
          <w:sz w:val="22"/>
          <w:szCs w:val="22"/>
        </w:rPr>
      </w:pPr>
      <w:bookmarkStart w:id="398" w:name="_Toc447095059"/>
      <w:r w:rsidRPr="000020F0">
        <w:rPr>
          <w:rFonts w:asciiTheme="majorHAnsi" w:hAnsiTheme="majorHAnsi" w:cstheme="majorHAnsi"/>
          <w:sz w:val="22"/>
          <w:szCs w:val="22"/>
        </w:rPr>
        <w:t>Finančna analiza zajema prikaz vseh prihodkovnih in odhodkovnih postavk po denarnem toku (izjema je amortizacija in ostale računovodske bilance, ki ne predstavljajo denarnega toka).</w:t>
      </w:r>
    </w:p>
    <w:p w14:paraId="55D6C02B"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Prav tako najpomembnejši izračuni finančnih kazalnikov prikazujejo, ali je projekt upravičen do </w:t>
      </w:r>
      <w:r w:rsidR="004B1875" w:rsidRPr="000020F0">
        <w:rPr>
          <w:rFonts w:asciiTheme="majorHAnsi" w:hAnsiTheme="majorHAnsi" w:cstheme="majorHAnsi"/>
          <w:sz w:val="22"/>
          <w:szCs w:val="22"/>
        </w:rPr>
        <w:t>izvedbe ali ne</w:t>
      </w:r>
      <w:r w:rsidRPr="000020F0">
        <w:rPr>
          <w:rFonts w:asciiTheme="majorHAnsi" w:hAnsiTheme="majorHAnsi" w:cstheme="majorHAnsi"/>
          <w:sz w:val="22"/>
          <w:szCs w:val="22"/>
        </w:rPr>
        <w:t>.</w:t>
      </w:r>
    </w:p>
    <w:p w14:paraId="2A971ABF"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Tabela v nadaljevanju prikazuje povzetek preračunanih najpomembnejših finančni kazalnikov</w:t>
      </w:r>
      <w:r w:rsidR="00916434" w:rsidRPr="000020F0">
        <w:rPr>
          <w:rFonts w:asciiTheme="majorHAnsi" w:hAnsiTheme="majorHAnsi" w:cstheme="majorHAnsi"/>
          <w:sz w:val="22"/>
          <w:szCs w:val="22"/>
        </w:rPr>
        <w:t>.</w:t>
      </w:r>
    </w:p>
    <w:p w14:paraId="01E9E529" w14:textId="3155674C" w:rsidR="00916434" w:rsidRPr="000020F0" w:rsidRDefault="00916434" w:rsidP="00BD1D20">
      <w:pPr>
        <w:pStyle w:val="Tabela-IP"/>
        <w:spacing w:line="276" w:lineRule="auto"/>
        <w:rPr>
          <w:rFonts w:asciiTheme="majorHAnsi" w:hAnsiTheme="majorHAnsi" w:cstheme="majorHAnsi"/>
        </w:rPr>
      </w:pPr>
      <w:bookmarkStart w:id="399" w:name="_Toc305347171"/>
      <w:bookmarkStart w:id="400" w:name="_Toc414802682"/>
      <w:bookmarkStart w:id="401" w:name="_Toc442223467"/>
      <w:bookmarkStart w:id="402" w:name="_Toc507300716"/>
      <w:bookmarkStart w:id="403" w:name="_Toc2605273"/>
      <w:bookmarkStart w:id="404" w:name="_Toc230882308"/>
      <w:r w:rsidRPr="000020F0">
        <w:rPr>
          <w:rFonts w:asciiTheme="majorHAnsi" w:eastAsiaTheme="minorHAnsi" w:hAnsiTheme="majorHAnsi" w:cstheme="majorHAnsi"/>
        </w:rPr>
        <w:t xml:space="preserve">Tabela </w:t>
      </w:r>
      <w:r w:rsidRPr="000020F0">
        <w:rPr>
          <w:rFonts w:asciiTheme="majorHAnsi" w:eastAsiaTheme="minorHAnsi" w:hAnsiTheme="majorHAnsi" w:cstheme="majorHAnsi"/>
        </w:rPr>
        <w:fldChar w:fldCharType="begin"/>
      </w:r>
      <w:r w:rsidRPr="000020F0">
        <w:rPr>
          <w:rFonts w:asciiTheme="majorHAnsi" w:eastAsiaTheme="minorHAnsi" w:hAnsiTheme="majorHAnsi" w:cstheme="majorHAnsi"/>
        </w:rPr>
        <w:instrText xml:space="preserve"> SEQ Tabela \* ARABIC </w:instrText>
      </w:r>
      <w:r w:rsidRPr="000020F0">
        <w:rPr>
          <w:rFonts w:asciiTheme="majorHAnsi" w:eastAsiaTheme="minorHAnsi" w:hAnsiTheme="majorHAnsi" w:cstheme="majorHAnsi"/>
        </w:rPr>
        <w:fldChar w:fldCharType="separate"/>
      </w:r>
      <w:r w:rsidR="00BB0C0C">
        <w:rPr>
          <w:rFonts w:asciiTheme="majorHAnsi" w:eastAsiaTheme="minorHAnsi" w:hAnsiTheme="majorHAnsi" w:cstheme="majorHAnsi"/>
          <w:noProof/>
        </w:rPr>
        <w:t>28</w:t>
      </w:r>
      <w:r w:rsidRPr="000020F0">
        <w:rPr>
          <w:rFonts w:asciiTheme="majorHAnsi" w:eastAsiaTheme="minorHAnsi" w:hAnsiTheme="majorHAnsi" w:cstheme="majorHAnsi"/>
        </w:rPr>
        <w:fldChar w:fldCharType="end"/>
      </w:r>
      <w:r w:rsidRPr="000020F0">
        <w:rPr>
          <w:rFonts w:asciiTheme="majorHAnsi" w:eastAsiaTheme="minorHAnsi" w:hAnsiTheme="majorHAnsi" w:cstheme="majorHAnsi"/>
        </w:rPr>
        <w:t>:</w:t>
      </w:r>
      <w:r w:rsidRPr="000020F0">
        <w:rPr>
          <w:rFonts w:asciiTheme="majorHAnsi" w:hAnsiTheme="majorHAnsi" w:cstheme="majorHAnsi"/>
        </w:rPr>
        <w:t xml:space="preserve"> </w:t>
      </w:r>
      <w:r w:rsidRPr="000020F0">
        <w:rPr>
          <w:rFonts w:asciiTheme="majorHAnsi" w:eastAsia="ArialNarrow" w:hAnsiTheme="majorHAnsi" w:cstheme="majorHAnsi"/>
          <w:b w:val="0"/>
          <w:bCs/>
        </w:rPr>
        <w:t>Kazalci finančne upravičenosti</w:t>
      </w:r>
      <w:bookmarkEnd w:id="399"/>
      <w:bookmarkEnd w:id="400"/>
      <w:bookmarkEnd w:id="401"/>
      <w:bookmarkEnd w:id="402"/>
      <w:bookmarkEnd w:id="403"/>
      <w:bookmarkEnd w:id="404"/>
    </w:p>
    <w:tbl>
      <w:tblPr>
        <w:tblStyle w:val="Svetlosenenjepoudarek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2401"/>
      </w:tblGrid>
      <w:tr w:rsidR="00D30C88" w:rsidRPr="000020F0" w14:paraId="2D2CDA4E" w14:textId="77777777" w:rsidTr="00CD57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75" w:type="pct"/>
            <w:tcBorders>
              <w:top w:val="none" w:sz="0" w:space="0" w:color="auto"/>
              <w:left w:val="none" w:sz="0" w:space="0" w:color="auto"/>
              <w:bottom w:val="none" w:sz="0" w:space="0" w:color="auto"/>
              <w:right w:val="none" w:sz="0" w:space="0" w:color="auto"/>
            </w:tcBorders>
            <w:shd w:val="clear" w:color="auto" w:fill="C6D9F1" w:themeFill="text2" w:themeFillTint="33"/>
          </w:tcPr>
          <w:p w14:paraId="05090C39" w14:textId="77777777" w:rsidR="00D30C88" w:rsidRPr="000020F0" w:rsidRDefault="00D30C88" w:rsidP="00BD1D20">
            <w:pPr>
              <w:spacing w:before="120" w:after="120" w:line="276" w:lineRule="auto"/>
              <w:rPr>
                <w:rFonts w:asciiTheme="majorHAnsi" w:eastAsia="Arial Unicode MS" w:hAnsiTheme="majorHAnsi" w:cstheme="majorHAnsi"/>
                <w:color w:val="auto"/>
                <w:sz w:val="22"/>
                <w:szCs w:val="22"/>
              </w:rPr>
            </w:pPr>
            <w:r w:rsidRPr="000020F0">
              <w:rPr>
                <w:rFonts w:asciiTheme="majorHAnsi" w:eastAsia="Arial Unicode MS" w:hAnsiTheme="majorHAnsi" w:cstheme="majorHAnsi"/>
                <w:color w:val="auto"/>
                <w:sz w:val="22"/>
                <w:szCs w:val="22"/>
              </w:rPr>
              <w:t>Kazalnik</w:t>
            </w:r>
          </w:p>
        </w:tc>
        <w:tc>
          <w:tcPr>
            <w:tcW w:w="1325" w:type="pct"/>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14:paraId="47268E45" w14:textId="77777777" w:rsidR="00D30C88" w:rsidRPr="000020F0" w:rsidRDefault="00D30C88" w:rsidP="00BD1D20">
            <w:pPr>
              <w:spacing w:before="120" w:after="120" w:line="276" w:lineRule="auto"/>
              <w:jc w:val="righ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22"/>
                <w:szCs w:val="22"/>
              </w:rPr>
            </w:pPr>
            <w:r w:rsidRPr="000020F0">
              <w:rPr>
                <w:rFonts w:asciiTheme="majorHAnsi" w:eastAsia="Arial Unicode MS" w:hAnsiTheme="majorHAnsi" w:cstheme="majorHAnsi"/>
                <w:color w:val="auto"/>
                <w:sz w:val="22"/>
                <w:szCs w:val="22"/>
              </w:rPr>
              <w:t>Vrednost</w:t>
            </w:r>
          </w:p>
        </w:tc>
      </w:tr>
      <w:tr w:rsidR="00CD5754" w:rsidRPr="000020F0" w14:paraId="611B90E9" w14:textId="77777777" w:rsidTr="00CD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Borders>
              <w:left w:val="none" w:sz="0" w:space="0" w:color="auto"/>
              <w:right w:val="none" w:sz="0" w:space="0" w:color="auto"/>
            </w:tcBorders>
            <w:shd w:val="clear" w:color="auto" w:fill="auto"/>
          </w:tcPr>
          <w:p w14:paraId="2CBFA672" w14:textId="0FD594F9" w:rsidR="00CD5754" w:rsidRPr="000020F0" w:rsidRDefault="00CD5754" w:rsidP="00CD5754">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Finančna neto sedanja vrednost projekta v EUR</w:t>
            </w:r>
          </w:p>
        </w:tc>
        <w:tc>
          <w:tcPr>
            <w:tcW w:w="1325" w:type="pct"/>
            <w:tcBorders>
              <w:left w:val="none" w:sz="0" w:space="0" w:color="auto"/>
              <w:right w:val="none" w:sz="0" w:space="0" w:color="auto"/>
            </w:tcBorders>
            <w:shd w:val="clear" w:color="auto" w:fill="auto"/>
            <w:vAlign w:val="center"/>
          </w:tcPr>
          <w:p w14:paraId="4F614186" w14:textId="54E30A0C" w:rsidR="00CD5754" w:rsidRPr="000020F0" w:rsidRDefault="00CD5754" w:rsidP="00CD5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2"/>
                <w:szCs w:val="22"/>
              </w:rPr>
            </w:pPr>
            <w:r w:rsidRPr="000020F0">
              <w:rPr>
                <w:rFonts w:ascii="Arial" w:hAnsi="Arial" w:cs="Arial"/>
                <w:color w:val="000000" w:themeColor="text1"/>
                <w:sz w:val="22"/>
                <w:szCs w:val="22"/>
              </w:rPr>
              <w:t>-3.218.649</w:t>
            </w:r>
          </w:p>
        </w:tc>
      </w:tr>
      <w:tr w:rsidR="00CD5754" w:rsidRPr="000020F0" w14:paraId="2E5E94CE" w14:textId="77777777" w:rsidTr="00CD5754">
        <w:tc>
          <w:tcPr>
            <w:cnfStyle w:val="001000000000" w:firstRow="0" w:lastRow="0" w:firstColumn="1" w:lastColumn="0" w:oddVBand="0" w:evenVBand="0" w:oddHBand="0" w:evenHBand="0" w:firstRowFirstColumn="0" w:firstRowLastColumn="0" w:lastRowFirstColumn="0" w:lastRowLastColumn="0"/>
            <w:tcW w:w="3675" w:type="pct"/>
          </w:tcPr>
          <w:p w14:paraId="0C8EC38B" w14:textId="727EBA92" w:rsidR="00CD5754" w:rsidRPr="000020F0" w:rsidRDefault="00CD5754" w:rsidP="00CD5754">
            <w:pPr>
              <w:spacing w:before="120" w:after="120" w:line="276" w:lineRule="auto"/>
              <w:rPr>
                <w:rFonts w:asciiTheme="majorHAnsi" w:eastAsia="Arial Unicode MS" w:hAnsiTheme="majorHAnsi" w:cstheme="majorHAnsi"/>
                <w:sz w:val="22"/>
                <w:szCs w:val="22"/>
              </w:rPr>
            </w:pPr>
            <w:r w:rsidRPr="000020F0">
              <w:rPr>
                <w:rFonts w:asciiTheme="majorHAnsi" w:eastAsia="Arial Unicode MS" w:hAnsiTheme="majorHAnsi" w:cstheme="majorHAnsi"/>
                <w:b w:val="0"/>
                <w:color w:val="auto"/>
                <w:sz w:val="22"/>
                <w:szCs w:val="22"/>
              </w:rPr>
              <w:t>Finančna neto sedanja vrednost kapitala v EUR</w:t>
            </w:r>
          </w:p>
        </w:tc>
        <w:tc>
          <w:tcPr>
            <w:tcW w:w="1325" w:type="pct"/>
            <w:vAlign w:val="center"/>
          </w:tcPr>
          <w:p w14:paraId="5BF057A1" w14:textId="56EBFB7B" w:rsidR="00CD5754" w:rsidRPr="000020F0" w:rsidRDefault="00CD5754" w:rsidP="00CD575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0020F0">
              <w:rPr>
                <w:rFonts w:ascii="Arial" w:hAnsi="Arial" w:cs="Arial"/>
                <w:color w:val="000000" w:themeColor="text1"/>
                <w:sz w:val="22"/>
                <w:szCs w:val="22"/>
              </w:rPr>
              <w:t xml:space="preserve">-415.709 </w:t>
            </w:r>
          </w:p>
        </w:tc>
      </w:tr>
      <w:tr w:rsidR="00CD5754" w:rsidRPr="000020F0" w14:paraId="68CC6BDF" w14:textId="77777777" w:rsidTr="00CD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Borders>
              <w:left w:val="none" w:sz="0" w:space="0" w:color="auto"/>
              <w:right w:val="none" w:sz="0" w:space="0" w:color="auto"/>
            </w:tcBorders>
            <w:shd w:val="clear" w:color="auto" w:fill="auto"/>
          </w:tcPr>
          <w:p w14:paraId="799335AC" w14:textId="3C58EDEC" w:rsidR="00CD5754" w:rsidRPr="000020F0" w:rsidRDefault="00CD5754" w:rsidP="00CD5754">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lastRenderedPageBreak/>
              <w:t>Finančna interna stopnja donosnosti projekta (%)</w:t>
            </w:r>
          </w:p>
        </w:tc>
        <w:tc>
          <w:tcPr>
            <w:tcW w:w="1325" w:type="pct"/>
            <w:tcBorders>
              <w:left w:val="none" w:sz="0" w:space="0" w:color="auto"/>
              <w:right w:val="none" w:sz="0" w:space="0" w:color="auto"/>
            </w:tcBorders>
            <w:shd w:val="clear" w:color="auto" w:fill="auto"/>
            <w:vAlign w:val="center"/>
          </w:tcPr>
          <w:p w14:paraId="1F7F116E" w14:textId="5AFB10DA" w:rsidR="00CD5754" w:rsidRPr="000020F0" w:rsidRDefault="00CD5754" w:rsidP="00CD5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2"/>
                <w:szCs w:val="22"/>
              </w:rPr>
            </w:pPr>
            <w:r w:rsidRPr="000020F0">
              <w:rPr>
                <w:rFonts w:ascii="Arial" w:hAnsi="Arial" w:cs="Arial"/>
                <w:color w:val="000000" w:themeColor="text1"/>
                <w:sz w:val="22"/>
                <w:szCs w:val="22"/>
              </w:rPr>
              <w:t>-9,64%</w:t>
            </w:r>
          </w:p>
        </w:tc>
      </w:tr>
      <w:tr w:rsidR="00CD5754" w:rsidRPr="000020F0" w14:paraId="2B27DBB6" w14:textId="77777777" w:rsidTr="00CD5754">
        <w:tc>
          <w:tcPr>
            <w:cnfStyle w:val="001000000000" w:firstRow="0" w:lastRow="0" w:firstColumn="1" w:lastColumn="0" w:oddVBand="0" w:evenVBand="0" w:oddHBand="0" w:evenHBand="0" w:firstRowFirstColumn="0" w:firstRowLastColumn="0" w:lastRowFirstColumn="0" w:lastRowLastColumn="0"/>
            <w:tcW w:w="3675" w:type="pct"/>
          </w:tcPr>
          <w:p w14:paraId="45C998D6" w14:textId="5F42BBE9" w:rsidR="00CD5754" w:rsidRPr="000020F0" w:rsidRDefault="00CD5754" w:rsidP="00CD5754">
            <w:pPr>
              <w:spacing w:before="120" w:after="120" w:line="276" w:lineRule="auto"/>
              <w:rPr>
                <w:rFonts w:asciiTheme="majorHAnsi" w:eastAsia="Arial Unicode MS" w:hAnsiTheme="majorHAnsi" w:cstheme="majorHAnsi"/>
                <w:sz w:val="22"/>
                <w:szCs w:val="22"/>
              </w:rPr>
            </w:pPr>
            <w:r w:rsidRPr="000020F0">
              <w:rPr>
                <w:rFonts w:asciiTheme="majorHAnsi" w:eastAsia="Arial Unicode MS" w:hAnsiTheme="majorHAnsi" w:cstheme="majorHAnsi"/>
                <w:b w:val="0"/>
                <w:color w:val="auto"/>
                <w:sz w:val="22"/>
                <w:szCs w:val="22"/>
              </w:rPr>
              <w:t>Finančna interna stopnja donosnosti kapitala (%)</w:t>
            </w:r>
          </w:p>
        </w:tc>
        <w:tc>
          <w:tcPr>
            <w:tcW w:w="1325" w:type="pct"/>
            <w:vAlign w:val="center"/>
          </w:tcPr>
          <w:p w14:paraId="61F911AC" w14:textId="7A52BD40" w:rsidR="00CD5754" w:rsidRPr="000020F0" w:rsidRDefault="00CD5754" w:rsidP="00CD5754">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0020F0">
              <w:rPr>
                <w:rFonts w:ascii="Arial" w:hAnsi="Arial" w:cs="Arial"/>
                <w:color w:val="000000" w:themeColor="text1"/>
                <w:sz w:val="22"/>
                <w:szCs w:val="22"/>
              </w:rPr>
              <w:t>-4,46%</w:t>
            </w:r>
          </w:p>
        </w:tc>
      </w:tr>
      <w:tr w:rsidR="00CD5754" w:rsidRPr="000020F0" w14:paraId="43C5AF00" w14:textId="77777777" w:rsidTr="00CD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5" w:type="pct"/>
            <w:tcBorders>
              <w:left w:val="none" w:sz="0" w:space="0" w:color="auto"/>
              <w:right w:val="none" w:sz="0" w:space="0" w:color="auto"/>
            </w:tcBorders>
            <w:shd w:val="clear" w:color="auto" w:fill="auto"/>
          </w:tcPr>
          <w:p w14:paraId="03CA2427" w14:textId="77777777" w:rsidR="00CD5754" w:rsidRPr="000020F0" w:rsidRDefault="00CD5754" w:rsidP="00CD5754">
            <w:pPr>
              <w:spacing w:before="120" w:after="120" w:line="276" w:lineRule="auto"/>
              <w:rPr>
                <w:rFonts w:asciiTheme="majorHAnsi" w:eastAsia="Arial Unicode MS" w:hAnsiTheme="majorHAnsi" w:cstheme="majorHAnsi"/>
                <w:b w:val="0"/>
                <w:color w:val="auto"/>
                <w:sz w:val="22"/>
                <w:szCs w:val="22"/>
              </w:rPr>
            </w:pPr>
            <w:r w:rsidRPr="000020F0">
              <w:rPr>
                <w:rFonts w:asciiTheme="majorHAnsi" w:eastAsia="Arial Unicode MS" w:hAnsiTheme="majorHAnsi" w:cstheme="majorHAnsi"/>
                <w:b w:val="0"/>
                <w:color w:val="auto"/>
                <w:sz w:val="22"/>
                <w:szCs w:val="22"/>
              </w:rPr>
              <w:t>Relativna neto sedanja vrednost (RFNP)</w:t>
            </w:r>
          </w:p>
        </w:tc>
        <w:tc>
          <w:tcPr>
            <w:tcW w:w="1325" w:type="pct"/>
            <w:tcBorders>
              <w:left w:val="none" w:sz="0" w:space="0" w:color="auto"/>
              <w:right w:val="none" w:sz="0" w:space="0" w:color="auto"/>
            </w:tcBorders>
            <w:shd w:val="clear" w:color="auto" w:fill="auto"/>
            <w:vAlign w:val="center"/>
          </w:tcPr>
          <w:p w14:paraId="7CD99F6A" w14:textId="754E8BE5" w:rsidR="00CD5754" w:rsidRPr="000020F0" w:rsidRDefault="00CD5754" w:rsidP="00CD5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2"/>
                <w:szCs w:val="22"/>
              </w:rPr>
            </w:pPr>
            <w:r w:rsidRPr="000020F0">
              <w:rPr>
                <w:rFonts w:ascii="Arial" w:hAnsi="Arial" w:cs="Arial"/>
                <w:color w:val="000000" w:themeColor="text1"/>
                <w:sz w:val="22"/>
                <w:szCs w:val="22"/>
              </w:rPr>
              <w:t>-0,9503</w:t>
            </w:r>
          </w:p>
        </w:tc>
      </w:tr>
    </w:tbl>
    <w:p w14:paraId="157FA958" w14:textId="697F1E72" w:rsidR="00197C2B" w:rsidRPr="000020F0" w:rsidRDefault="00197C2B" w:rsidP="00197C2B">
      <w:pPr>
        <w:pStyle w:val="Naslov2"/>
        <w:numPr>
          <w:ilvl w:val="1"/>
          <w:numId w:val="2"/>
        </w:numPr>
        <w:spacing w:before="240" w:after="240"/>
        <w:ind w:left="578" w:hanging="578"/>
        <w:rPr>
          <w:rFonts w:asciiTheme="majorHAnsi" w:eastAsiaTheme="majorEastAsia" w:hAnsiTheme="majorHAnsi" w:cstheme="majorHAnsi"/>
          <w:color w:val="244061" w:themeColor="accent1" w:themeShade="80"/>
        </w:rPr>
      </w:pPr>
      <w:bookmarkStart w:id="405" w:name="_Toc230882265"/>
      <w:r w:rsidRPr="000020F0">
        <w:rPr>
          <w:rFonts w:asciiTheme="majorHAnsi" w:eastAsiaTheme="majorEastAsia" w:hAnsiTheme="majorHAnsi" w:cstheme="majorHAnsi"/>
          <w:color w:val="244061" w:themeColor="accent1" w:themeShade="80"/>
        </w:rPr>
        <w:t>Izračun finančne</w:t>
      </w:r>
      <w:r w:rsidR="008E4ACE" w:rsidRPr="000020F0">
        <w:rPr>
          <w:rFonts w:asciiTheme="majorHAnsi" w:eastAsiaTheme="majorEastAsia" w:hAnsiTheme="majorHAnsi" w:cstheme="majorHAnsi"/>
          <w:color w:val="244061" w:themeColor="accent1" w:themeShade="80"/>
        </w:rPr>
        <w:t xml:space="preserve">ga </w:t>
      </w:r>
      <w:r w:rsidR="005010EC" w:rsidRPr="000020F0">
        <w:rPr>
          <w:rFonts w:asciiTheme="majorHAnsi" w:eastAsiaTheme="majorEastAsia" w:hAnsiTheme="majorHAnsi" w:cstheme="majorHAnsi"/>
          <w:color w:val="244061" w:themeColor="accent1" w:themeShade="80"/>
        </w:rPr>
        <w:t>primanjkljaja</w:t>
      </w:r>
      <w:bookmarkEnd w:id="405"/>
    </w:p>
    <w:p w14:paraId="3B194888" w14:textId="36B66ACF" w:rsidR="008E4ACE" w:rsidRPr="000020F0" w:rsidRDefault="005D0D74" w:rsidP="00197C2B">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V nadaljevanju so prikazani glavni finančni kazalniki, ki so bili izračunani na podlagi prej navedenih predpostavk (investicijska vrednost, dodatni obratovalni in vzdrževalni stroški, povišanje cen, izračun prihodkov).</w:t>
      </w:r>
    </w:p>
    <w:p w14:paraId="4924CCE6" w14:textId="7B967FDF" w:rsidR="005D0D74" w:rsidRPr="000020F0" w:rsidRDefault="005D0D74" w:rsidP="005D0D74">
      <w:pPr>
        <w:pStyle w:val="Tabela-IP"/>
        <w:spacing w:line="276" w:lineRule="auto"/>
        <w:rPr>
          <w:rFonts w:asciiTheme="majorHAnsi" w:hAnsiTheme="majorHAnsi" w:cstheme="majorHAnsi"/>
        </w:rPr>
      </w:pPr>
      <w:bookmarkStart w:id="406" w:name="_Toc230882309"/>
      <w:r w:rsidRPr="000020F0">
        <w:rPr>
          <w:rFonts w:asciiTheme="majorHAnsi" w:eastAsiaTheme="minorHAnsi" w:hAnsiTheme="majorHAnsi" w:cstheme="majorHAnsi"/>
        </w:rPr>
        <w:t xml:space="preserve">Tabela </w:t>
      </w:r>
      <w:r w:rsidRPr="000020F0">
        <w:rPr>
          <w:rFonts w:asciiTheme="majorHAnsi" w:eastAsiaTheme="minorHAnsi" w:hAnsiTheme="majorHAnsi" w:cstheme="majorHAnsi"/>
        </w:rPr>
        <w:fldChar w:fldCharType="begin"/>
      </w:r>
      <w:r w:rsidRPr="000020F0">
        <w:rPr>
          <w:rFonts w:asciiTheme="majorHAnsi" w:eastAsiaTheme="minorHAnsi" w:hAnsiTheme="majorHAnsi" w:cstheme="majorHAnsi"/>
        </w:rPr>
        <w:instrText xml:space="preserve"> SEQ Tabela \* ARABIC </w:instrText>
      </w:r>
      <w:r w:rsidRPr="000020F0">
        <w:rPr>
          <w:rFonts w:asciiTheme="majorHAnsi" w:eastAsiaTheme="minorHAnsi" w:hAnsiTheme="majorHAnsi" w:cstheme="majorHAnsi"/>
        </w:rPr>
        <w:fldChar w:fldCharType="separate"/>
      </w:r>
      <w:r w:rsidR="00BB0C0C">
        <w:rPr>
          <w:rFonts w:asciiTheme="majorHAnsi" w:eastAsiaTheme="minorHAnsi" w:hAnsiTheme="majorHAnsi" w:cstheme="majorHAnsi"/>
          <w:noProof/>
        </w:rPr>
        <w:t>29</w:t>
      </w:r>
      <w:r w:rsidRPr="000020F0">
        <w:rPr>
          <w:rFonts w:asciiTheme="majorHAnsi" w:eastAsiaTheme="minorHAnsi" w:hAnsiTheme="majorHAnsi" w:cstheme="majorHAnsi"/>
        </w:rPr>
        <w:fldChar w:fldCharType="end"/>
      </w:r>
      <w:r w:rsidRPr="000020F0">
        <w:rPr>
          <w:rFonts w:asciiTheme="majorHAnsi" w:eastAsiaTheme="minorHAnsi" w:hAnsiTheme="majorHAnsi" w:cstheme="majorHAnsi"/>
        </w:rPr>
        <w:t>:</w:t>
      </w:r>
      <w:r w:rsidRPr="000020F0">
        <w:rPr>
          <w:rFonts w:asciiTheme="majorHAnsi" w:hAnsiTheme="majorHAnsi" w:cstheme="majorHAnsi"/>
        </w:rPr>
        <w:t xml:space="preserve"> </w:t>
      </w:r>
      <w:r w:rsidRPr="000020F0">
        <w:rPr>
          <w:rFonts w:asciiTheme="majorHAnsi" w:eastAsia="ArialNarrow" w:hAnsiTheme="majorHAnsi" w:cstheme="majorHAnsi"/>
          <w:b w:val="0"/>
          <w:bCs/>
        </w:rPr>
        <w:t>Glavni kazalniki finančne analize</w:t>
      </w:r>
      <w:bookmarkEnd w:id="406"/>
    </w:p>
    <w:tbl>
      <w:tblPr>
        <w:tblW w:w="9204" w:type="dxa"/>
        <w:tblCellMar>
          <w:left w:w="70" w:type="dxa"/>
          <w:right w:w="70" w:type="dxa"/>
        </w:tblCellMar>
        <w:tblLook w:val="04A0" w:firstRow="1" w:lastRow="0" w:firstColumn="1" w:lastColumn="0" w:noHBand="0" w:noVBand="1"/>
      </w:tblPr>
      <w:tblGrid>
        <w:gridCol w:w="3806"/>
        <w:gridCol w:w="1555"/>
        <w:gridCol w:w="1131"/>
        <w:gridCol w:w="1568"/>
        <w:gridCol w:w="1144"/>
      </w:tblGrid>
      <w:tr w:rsidR="00A01B97" w:rsidRPr="000020F0" w14:paraId="4A755950" w14:textId="77777777" w:rsidTr="00CD5754">
        <w:trPr>
          <w:trHeight w:val="285"/>
        </w:trPr>
        <w:tc>
          <w:tcPr>
            <w:tcW w:w="3806" w:type="dxa"/>
            <w:vMerge w:val="restart"/>
            <w:tcBorders>
              <w:top w:val="single" w:sz="8" w:space="0" w:color="auto"/>
              <w:left w:val="single" w:sz="8" w:space="0" w:color="auto"/>
              <w:bottom w:val="single" w:sz="4" w:space="0" w:color="auto"/>
              <w:right w:val="single" w:sz="4" w:space="0" w:color="auto"/>
            </w:tcBorders>
            <w:noWrap/>
            <w:vAlign w:val="bottom"/>
            <w:hideMark/>
          </w:tcPr>
          <w:p w14:paraId="2CCCCE3D" w14:textId="77777777" w:rsidR="00A01B97" w:rsidRPr="000020F0" w:rsidRDefault="00A01B97">
            <w:pPr>
              <w:jc w:val="center"/>
              <w:rPr>
                <w:rFonts w:ascii="Arial" w:hAnsi="Arial" w:cs="Arial"/>
                <w:sz w:val="22"/>
                <w:szCs w:val="22"/>
              </w:rPr>
            </w:pPr>
            <w:r w:rsidRPr="000020F0">
              <w:rPr>
                <w:rFonts w:ascii="Arial" w:hAnsi="Arial" w:cs="Arial"/>
                <w:sz w:val="22"/>
                <w:szCs w:val="22"/>
              </w:rPr>
              <w:t> </w:t>
            </w:r>
          </w:p>
        </w:tc>
        <w:tc>
          <w:tcPr>
            <w:tcW w:w="2686" w:type="dxa"/>
            <w:gridSpan w:val="2"/>
            <w:tcBorders>
              <w:top w:val="single" w:sz="8" w:space="0" w:color="auto"/>
              <w:left w:val="nil"/>
              <w:bottom w:val="single" w:sz="4" w:space="0" w:color="auto"/>
              <w:right w:val="single" w:sz="4" w:space="0" w:color="auto"/>
            </w:tcBorders>
            <w:shd w:val="clear" w:color="auto" w:fill="DBE5F1" w:themeFill="accent1" w:themeFillTint="33"/>
            <w:noWrap/>
            <w:vAlign w:val="bottom"/>
            <w:hideMark/>
          </w:tcPr>
          <w:p w14:paraId="4810D3B3" w14:textId="77777777" w:rsidR="00A01B97" w:rsidRPr="000020F0" w:rsidRDefault="00A01B97">
            <w:pPr>
              <w:jc w:val="center"/>
              <w:rPr>
                <w:rFonts w:ascii="Arial" w:hAnsi="Arial" w:cs="Arial"/>
                <w:b/>
                <w:bCs/>
                <w:sz w:val="20"/>
                <w:szCs w:val="20"/>
              </w:rPr>
            </w:pPr>
            <w:r w:rsidRPr="000020F0">
              <w:rPr>
                <w:rFonts w:ascii="Arial" w:hAnsi="Arial" w:cs="Arial"/>
                <w:b/>
                <w:bCs/>
                <w:sz w:val="20"/>
                <w:szCs w:val="20"/>
              </w:rPr>
              <w:t>Brez pomoči skupnosti (FRR/C)</w:t>
            </w:r>
          </w:p>
        </w:tc>
        <w:tc>
          <w:tcPr>
            <w:tcW w:w="2712" w:type="dxa"/>
            <w:gridSpan w:val="2"/>
            <w:tcBorders>
              <w:top w:val="single" w:sz="8" w:space="0" w:color="auto"/>
              <w:left w:val="nil"/>
              <w:bottom w:val="single" w:sz="4" w:space="0" w:color="auto"/>
              <w:right w:val="single" w:sz="8" w:space="0" w:color="000000"/>
            </w:tcBorders>
            <w:shd w:val="clear" w:color="auto" w:fill="FDE9D9" w:themeFill="accent6" w:themeFillTint="33"/>
            <w:noWrap/>
            <w:vAlign w:val="bottom"/>
            <w:hideMark/>
          </w:tcPr>
          <w:p w14:paraId="48965630" w14:textId="77777777" w:rsidR="00A01B97" w:rsidRPr="000020F0" w:rsidRDefault="00A01B97">
            <w:pPr>
              <w:jc w:val="center"/>
              <w:rPr>
                <w:rFonts w:ascii="Arial" w:hAnsi="Arial" w:cs="Arial"/>
                <w:b/>
                <w:bCs/>
                <w:sz w:val="20"/>
                <w:szCs w:val="20"/>
              </w:rPr>
            </w:pPr>
            <w:r w:rsidRPr="000020F0">
              <w:rPr>
                <w:rFonts w:ascii="Arial" w:hAnsi="Arial" w:cs="Arial"/>
                <w:b/>
                <w:bCs/>
                <w:sz w:val="20"/>
                <w:szCs w:val="20"/>
              </w:rPr>
              <w:t>S pomočjo skupnosti (FRR/K)</w:t>
            </w:r>
          </w:p>
        </w:tc>
      </w:tr>
      <w:tr w:rsidR="00A01B97" w:rsidRPr="000020F0" w14:paraId="1964BBA1" w14:textId="77777777" w:rsidTr="00CD5754">
        <w:trPr>
          <w:trHeight w:val="300"/>
        </w:trPr>
        <w:tc>
          <w:tcPr>
            <w:tcW w:w="3806" w:type="dxa"/>
            <w:vMerge/>
            <w:tcBorders>
              <w:top w:val="single" w:sz="8" w:space="0" w:color="auto"/>
              <w:left w:val="single" w:sz="8" w:space="0" w:color="auto"/>
              <w:bottom w:val="single" w:sz="4" w:space="0" w:color="auto"/>
              <w:right w:val="single" w:sz="4" w:space="0" w:color="auto"/>
            </w:tcBorders>
            <w:vAlign w:val="center"/>
            <w:hideMark/>
          </w:tcPr>
          <w:p w14:paraId="12F01ECB" w14:textId="77777777" w:rsidR="00A01B97" w:rsidRPr="000020F0" w:rsidRDefault="00A01B97">
            <w:pPr>
              <w:rPr>
                <w:rFonts w:ascii="Arial" w:hAnsi="Arial" w:cs="Arial"/>
                <w:sz w:val="22"/>
                <w:szCs w:val="22"/>
              </w:rPr>
            </w:pPr>
          </w:p>
        </w:tc>
        <w:tc>
          <w:tcPr>
            <w:tcW w:w="2686" w:type="dxa"/>
            <w:gridSpan w:val="2"/>
            <w:tcBorders>
              <w:top w:val="single" w:sz="4" w:space="0" w:color="auto"/>
              <w:left w:val="nil"/>
              <w:bottom w:val="nil"/>
              <w:right w:val="single" w:sz="4" w:space="0" w:color="auto"/>
            </w:tcBorders>
            <w:shd w:val="clear" w:color="auto" w:fill="DBE5F1" w:themeFill="accent1" w:themeFillTint="33"/>
            <w:noWrap/>
            <w:vAlign w:val="bottom"/>
            <w:hideMark/>
          </w:tcPr>
          <w:p w14:paraId="20DA0539" w14:textId="77777777" w:rsidR="00A01B97" w:rsidRPr="000020F0" w:rsidRDefault="00A01B97">
            <w:pPr>
              <w:jc w:val="center"/>
              <w:rPr>
                <w:rFonts w:ascii="Arial" w:hAnsi="Arial" w:cs="Arial"/>
                <w:b/>
                <w:bCs/>
                <w:sz w:val="20"/>
                <w:szCs w:val="20"/>
              </w:rPr>
            </w:pPr>
            <w:r w:rsidRPr="000020F0">
              <w:rPr>
                <w:rFonts w:ascii="Arial" w:hAnsi="Arial" w:cs="Arial"/>
                <w:b/>
                <w:bCs/>
                <w:sz w:val="20"/>
                <w:szCs w:val="20"/>
              </w:rPr>
              <w:t>A</w:t>
            </w:r>
          </w:p>
        </w:tc>
        <w:tc>
          <w:tcPr>
            <w:tcW w:w="2712" w:type="dxa"/>
            <w:gridSpan w:val="2"/>
            <w:tcBorders>
              <w:top w:val="single" w:sz="4" w:space="0" w:color="auto"/>
              <w:left w:val="nil"/>
              <w:bottom w:val="nil"/>
              <w:right w:val="single" w:sz="8" w:space="0" w:color="000000"/>
            </w:tcBorders>
            <w:shd w:val="clear" w:color="auto" w:fill="FDE9D9" w:themeFill="accent6" w:themeFillTint="33"/>
            <w:noWrap/>
            <w:vAlign w:val="bottom"/>
            <w:hideMark/>
          </w:tcPr>
          <w:p w14:paraId="67072D60" w14:textId="77777777" w:rsidR="00A01B97" w:rsidRPr="000020F0" w:rsidRDefault="00A01B97">
            <w:pPr>
              <w:jc w:val="center"/>
              <w:rPr>
                <w:rFonts w:ascii="Arial" w:hAnsi="Arial" w:cs="Arial"/>
                <w:b/>
                <w:bCs/>
                <w:sz w:val="20"/>
                <w:szCs w:val="20"/>
              </w:rPr>
            </w:pPr>
            <w:r w:rsidRPr="000020F0">
              <w:rPr>
                <w:rFonts w:ascii="Arial" w:hAnsi="Arial" w:cs="Arial"/>
                <w:b/>
                <w:bCs/>
                <w:sz w:val="20"/>
                <w:szCs w:val="20"/>
              </w:rPr>
              <w:t>B</w:t>
            </w:r>
          </w:p>
        </w:tc>
      </w:tr>
      <w:tr w:rsidR="00CD5754" w:rsidRPr="000020F0" w14:paraId="43612546" w14:textId="77777777" w:rsidTr="00CD5754">
        <w:trPr>
          <w:trHeight w:val="300"/>
        </w:trPr>
        <w:tc>
          <w:tcPr>
            <w:tcW w:w="3806" w:type="dxa"/>
            <w:tcBorders>
              <w:top w:val="single" w:sz="8" w:space="0" w:color="auto"/>
              <w:left w:val="single" w:sz="8" w:space="0" w:color="auto"/>
              <w:bottom w:val="single" w:sz="8" w:space="0" w:color="auto"/>
              <w:right w:val="nil"/>
            </w:tcBorders>
            <w:noWrap/>
            <w:vAlign w:val="bottom"/>
            <w:hideMark/>
          </w:tcPr>
          <w:p w14:paraId="487EDDB7" w14:textId="77777777" w:rsidR="00CD5754" w:rsidRPr="000020F0" w:rsidRDefault="00CD5754" w:rsidP="00CD5754">
            <w:pPr>
              <w:rPr>
                <w:rFonts w:ascii="Arial" w:hAnsi="Arial" w:cs="Arial"/>
                <w:sz w:val="22"/>
                <w:szCs w:val="22"/>
              </w:rPr>
            </w:pPr>
            <w:r w:rsidRPr="000020F0">
              <w:rPr>
                <w:rFonts w:ascii="Arial" w:hAnsi="Arial" w:cs="Arial"/>
                <w:sz w:val="22"/>
                <w:szCs w:val="22"/>
              </w:rPr>
              <w:t>1. Finančna stopnja donosa</w:t>
            </w:r>
          </w:p>
        </w:tc>
        <w:tc>
          <w:tcPr>
            <w:tcW w:w="1555"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hideMark/>
          </w:tcPr>
          <w:p w14:paraId="460C813C" w14:textId="068072F0" w:rsidR="00CD5754" w:rsidRPr="000020F0" w:rsidRDefault="00CD5754" w:rsidP="00CD5754">
            <w:pPr>
              <w:jc w:val="right"/>
              <w:rPr>
                <w:rFonts w:ascii="Arial" w:hAnsi="Arial" w:cs="Arial"/>
                <w:sz w:val="20"/>
                <w:szCs w:val="20"/>
              </w:rPr>
            </w:pPr>
            <w:r w:rsidRPr="000020F0">
              <w:rPr>
                <w:rFonts w:ascii="Arial" w:hAnsi="Arial" w:cs="Arial"/>
                <w:sz w:val="20"/>
                <w:szCs w:val="20"/>
              </w:rPr>
              <w:t>-9,64%</w:t>
            </w:r>
          </w:p>
        </w:tc>
        <w:tc>
          <w:tcPr>
            <w:tcW w:w="1131" w:type="dxa"/>
            <w:tcBorders>
              <w:top w:val="single" w:sz="8" w:space="0" w:color="auto"/>
              <w:left w:val="nil"/>
              <w:bottom w:val="single" w:sz="8" w:space="0" w:color="auto"/>
              <w:right w:val="single" w:sz="8" w:space="0" w:color="auto"/>
            </w:tcBorders>
            <w:shd w:val="clear" w:color="auto" w:fill="DBE5F1" w:themeFill="accent1" w:themeFillTint="33"/>
            <w:noWrap/>
            <w:hideMark/>
          </w:tcPr>
          <w:p w14:paraId="68C6A6C6" w14:textId="31671731" w:rsidR="00CD5754" w:rsidRPr="000020F0" w:rsidRDefault="00CD5754" w:rsidP="00CD5754">
            <w:pPr>
              <w:rPr>
                <w:rFonts w:ascii="Arial" w:hAnsi="Arial" w:cs="Arial"/>
                <w:sz w:val="20"/>
                <w:szCs w:val="20"/>
              </w:rPr>
            </w:pPr>
            <w:r w:rsidRPr="000020F0">
              <w:rPr>
                <w:rFonts w:ascii="Arial" w:hAnsi="Arial" w:cs="Arial"/>
                <w:sz w:val="20"/>
                <w:szCs w:val="20"/>
              </w:rPr>
              <w:t>FRR/C</w:t>
            </w:r>
          </w:p>
        </w:tc>
        <w:tc>
          <w:tcPr>
            <w:tcW w:w="1568" w:type="dxa"/>
            <w:tcBorders>
              <w:top w:val="single" w:sz="8" w:space="0" w:color="auto"/>
              <w:left w:val="nil"/>
              <w:bottom w:val="single" w:sz="8" w:space="0" w:color="auto"/>
              <w:right w:val="single" w:sz="8" w:space="0" w:color="auto"/>
            </w:tcBorders>
            <w:shd w:val="clear" w:color="auto" w:fill="FDE9D9" w:themeFill="accent6" w:themeFillTint="33"/>
            <w:noWrap/>
            <w:hideMark/>
          </w:tcPr>
          <w:p w14:paraId="27F8DAD0" w14:textId="7C6BA6C0" w:rsidR="00CD5754" w:rsidRPr="000020F0" w:rsidRDefault="00CD5754" w:rsidP="00CD5754">
            <w:pPr>
              <w:jc w:val="right"/>
              <w:rPr>
                <w:rFonts w:ascii="Arial" w:hAnsi="Arial" w:cs="Arial"/>
                <w:sz w:val="20"/>
                <w:szCs w:val="20"/>
              </w:rPr>
            </w:pPr>
            <w:r w:rsidRPr="000020F0">
              <w:rPr>
                <w:rFonts w:ascii="Arial" w:hAnsi="Arial" w:cs="Arial"/>
                <w:sz w:val="20"/>
                <w:szCs w:val="20"/>
              </w:rPr>
              <w:t>-4,46%</w:t>
            </w:r>
          </w:p>
        </w:tc>
        <w:tc>
          <w:tcPr>
            <w:tcW w:w="1144" w:type="dxa"/>
            <w:tcBorders>
              <w:top w:val="single" w:sz="8" w:space="0" w:color="auto"/>
              <w:left w:val="nil"/>
              <w:bottom w:val="single" w:sz="8" w:space="0" w:color="auto"/>
              <w:right w:val="single" w:sz="8" w:space="0" w:color="auto"/>
            </w:tcBorders>
            <w:shd w:val="clear" w:color="auto" w:fill="FDE9D9" w:themeFill="accent6" w:themeFillTint="33"/>
            <w:noWrap/>
            <w:hideMark/>
          </w:tcPr>
          <w:p w14:paraId="10EF3216" w14:textId="317E4014" w:rsidR="00CD5754" w:rsidRPr="000020F0" w:rsidRDefault="00CD5754" w:rsidP="00CD5754">
            <w:pPr>
              <w:rPr>
                <w:rFonts w:ascii="Arial" w:hAnsi="Arial" w:cs="Arial"/>
                <w:sz w:val="20"/>
                <w:szCs w:val="20"/>
              </w:rPr>
            </w:pPr>
            <w:r w:rsidRPr="000020F0">
              <w:rPr>
                <w:rFonts w:ascii="Arial" w:hAnsi="Arial" w:cs="Arial"/>
                <w:sz w:val="20"/>
                <w:szCs w:val="20"/>
              </w:rPr>
              <w:t>FRR/K</w:t>
            </w:r>
          </w:p>
        </w:tc>
      </w:tr>
      <w:tr w:rsidR="00CD5754" w:rsidRPr="000020F0" w14:paraId="10080A92" w14:textId="77777777" w:rsidTr="00CD5754">
        <w:trPr>
          <w:trHeight w:val="300"/>
        </w:trPr>
        <w:tc>
          <w:tcPr>
            <w:tcW w:w="3806" w:type="dxa"/>
            <w:tcBorders>
              <w:top w:val="nil"/>
              <w:left w:val="single" w:sz="8" w:space="0" w:color="auto"/>
              <w:bottom w:val="single" w:sz="8" w:space="0" w:color="auto"/>
              <w:right w:val="nil"/>
            </w:tcBorders>
            <w:noWrap/>
            <w:vAlign w:val="bottom"/>
            <w:hideMark/>
          </w:tcPr>
          <w:p w14:paraId="00DFB983" w14:textId="77777777" w:rsidR="00CD5754" w:rsidRPr="000020F0" w:rsidRDefault="00CD5754" w:rsidP="00CD5754">
            <w:pPr>
              <w:rPr>
                <w:rFonts w:ascii="Arial" w:hAnsi="Arial" w:cs="Arial"/>
                <w:sz w:val="22"/>
                <w:szCs w:val="22"/>
              </w:rPr>
            </w:pPr>
            <w:r w:rsidRPr="000020F0">
              <w:rPr>
                <w:rFonts w:ascii="Arial" w:hAnsi="Arial" w:cs="Arial"/>
                <w:sz w:val="22"/>
                <w:szCs w:val="22"/>
              </w:rPr>
              <w:t>2. Čista sedanja vrednost</w:t>
            </w:r>
          </w:p>
        </w:tc>
        <w:tc>
          <w:tcPr>
            <w:tcW w:w="1555" w:type="dxa"/>
            <w:tcBorders>
              <w:top w:val="nil"/>
              <w:left w:val="single" w:sz="8" w:space="0" w:color="auto"/>
              <w:bottom w:val="single" w:sz="8" w:space="0" w:color="auto"/>
              <w:right w:val="single" w:sz="8" w:space="0" w:color="auto"/>
            </w:tcBorders>
            <w:shd w:val="clear" w:color="auto" w:fill="DBE5F1" w:themeFill="accent1" w:themeFillTint="33"/>
            <w:noWrap/>
            <w:hideMark/>
          </w:tcPr>
          <w:p w14:paraId="21DC8A38" w14:textId="182A37DC" w:rsidR="00CD5754" w:rsidRPr="000020F0" w:rsidRDefault="00CD5754" w:rsidP="00CD5754">
            <w:pPr>
              <w:jc w:val="right"/>
              <w:rPr>
                <w:rFonts w:ascii="Arial" w:hAnsi="Arial" w:cs="Arial"/>
                <w:sz w:val="20"/>
                <w:szCs w:val="20"/>
              </w:rPr>
            </w:pPr>
            <w:r w:rsidRPr="000020F0">
              <w:rPr>
                <w:rFonts w:ascii="Arial" w:hAnsi="Arial" w:cs="Arial"/>
                <w:sz w:val="20"/>
                <w:szCs w:val="20"/>
              </w:rPr>
              <w:t xml:space="preserve">-3.218.649,40 </w:t>
            </w:r>
          </w:p>
        </w:tc>
        <w:tc>
          <w:tcPr>
            <w:tcW w:w="1131" w:type="dxa"/>
            <w:tcBorders>
              <w:top w:val="nil"/>
              <w:left w:val="nil"/>
              <w:bottom w:val="single" w:sz="8" w:space="0" w:color="auto"/>
              <w:right w:val="single" w:sz="8" w:space="0" w:color="auto"/>
            </w:tcBorders>
            <w:shd w:val="clear" w:color="auto" w:fill="DBE5F1" w:themeFill="accent1" w:themeFillTint="33"/>
            <w:noWrap/>
            <w:hideMark/>
          </w:tcPr>
          <w:p w14:paraId="24AF3F98" w14:textId="6F064687" w:rsidR="00CD5754" w:rsidRPr="000020F0" w:rsidRDefault="00CD5754" w:rsidP="00CD5754">
            <w:pPr>
              <w:rPr>
                <w:rFonts w:ascii="Arial" w:hAnsi="Arial" w:cs="Arial"/>
                <w:sz w:val="20"/>
                <w:szCs w:val="20"/>
              </w:rPr>
            </w:pPr>
            <w:r w:rsidRPr="000020F0">
              <w:rPr>
                <w:rFonts w:ascii="Arial" w:hAnsi="Arial" w:cs="Arial"/>
                <w:sz w:val="20"/>
                <w:szCs w:val="20"/>
              </w:rPr>
              <w:t>FNPV/C</w:t>
            </w:r>
          </w:p>
        </w:tc>
        <w:tc>
          <w:tcPr>
            <w:tcW w:w="1568" w:type="dxa"/>
            <w:tcBorders>
              <w:top w:val="nil"/>
              <w:left w:val="nil"/>
              <w:bottom w:val="single" w:sz="8" w:space="0" w:color="auto"/>
              <w:right w:val="single" w:sz="8" w:space="0" w:color="auto"/>
            </w:tcBorders>
            <w:shd w:val="clear" w:color="auto" w:fill="FDE9D9" w:themeFill="accent6" w:themeFillTint="33"/>
            <w:noWrap/>
            <w:hideMark/>
          </w:tcPr>
          <w:p w14:paraId="72276080" w14:textId="67B47F30" w:rsidR="00CD5754" w:rsidRPr="000020F0" w:rsidRDefault="00CD5754" w:rsidP="00CD5754">
            <w:pPr>
              <w:jc w:val="right"/>
              <w:rPr>
                <w:rFonts w:ascii="Arial" w:hAnsi="Arial" w:cs="Arial"/>
                <w:sz w:val="20"/>
                <w:szCs w:val="20"/>
              </w:rPr>
            </w:pPr>
            <w:r w:rsidRPr="000020F0">
              <w:rPr>
                <w:rFonts w:ascii="Arial" w:hAnsi="Arial" w:cs="Arial"/>
                <w:sz w:val="20"/>
                <w:szCs w:val="20"/>
              </w:rPr>
              <w:t xml:space="preserve">-415.708,85 </w:t>
            </w:r>
          </w:p>
        </w:tc>
        <w:tc>
          <w:tcPr>
            <w:tcW w:w="1144" w:type="dxa"/>
            <w:tcBorders>
              <w:top w:val="nil"/>
              <w:left w:val="nil"/>
              <w:bottom w:val="single" w:sz="8" w:space="0" w:color="auto"/>
              <w:right w:val="single" w:sz="8" w:space="0" w:color="auto"/>
            </w:tcBorders>
            <w:shd w:val="clear" w:color="auto" w:fill="FDE9D9" w:themeFill="accent6" w:themeFillTint="33"/>
            <w:noWrap/>
            <w:hideMark/>
          </w:tcPr>
          <w:p w14:paraId="6BAE127C" w14:textId="5CFD2EA0" w:rsidR="00CD5754" w:rsidRPr="000020F0" w:rsidRDefault="00CD5754" w:rsidP="00CD5754">
            <w:pPr>
              <w:rPr>
                <w:rFonts w:ascii="Arial" w:hAnsi="Arial" w:cs="Arial"/>
                <w:sz w:val="20"/>
                <w:szCs w:val="20"/>
              </w:rPr>
            </w:pPr>
            <w:r w:rsidRPr="000020F0">
              <w:rPr>
                <w:rFonts w:ascii="Arial" w:hAnsi="Arial" w:cs="Arial"/>
                <w:sz w:val="20"/>
                <w:szCs w:val="20"/>
              </w:rPr>
              <w:t>FNPV/K</w:t>
            </w:r>
          </w:p>
        </w:tc>
      </w:tr>
    </w:tbl>
    <w:p w14:paraId="04F6FA4C" w14:textId="77777777" w:rsidR="005D0D74" w:rsidRPr="000020F0" w:rsidRDefault="005D0D74" w:rsidP="00197C2B">
      <w:pPr>
        <w:spacing w:after="120" w:line="276" w:lineRule="auto"/>
        <w:jc w:val="both"/>
        <w:rPr>
          <w:rFonts w:asciiTheme="majorHAnsi" w:hAnsiTheme="majorHAnsi" w:cstheme="majorHAnsi"/>
          <w:sz w:val="22"/>
          <w:szCs w:val="22"/>
        </w:rPr>
      </w:pPr>
    </w:p>
    <w:p w14:paraId="1BA65886" w14:textId="7A7D475D" w:rsidR="00466B6E" w:rsidRPr="000020F0" w:rsidRDefault="00466B6E" w:rsidP="00466B6E">
      <w:pPr>
        <w:pStyle w:val="Tabela-IP"/>
        <w:spacing w:line="276" w:lineRule="auto"/>
        <w:rPr>
          <w:rFonts w:asciiTheme="majorHAnsi" w:eastAsia="ArialNarrow" w:hAnsiTheme="majorHAnsi" w:cstheme="majorHAnsi"/>
          <w:b w:val="0"/>
          <w:bCs/>
        </w:rPr>
      </w:pPr>
      <w:bookmarkStart w:id="407" w:name="_Toc230882310"/>
      <w:r w:rsidRPr="000020F0">
        <w:rPr>
          <w:rFonts w:asciiTheme="majorHAnsi" w:eastAsiaTheme="minorHAnsi" w:hAnsiTheme="majorHAnsi" w:cstheme="majorHAnsi"/>
        </w:rPr>
        <w:t xml:space="preserve">Tabela </w:t>
      </w:r>
      <w:r w:rsidRPr="000020F0">
        <w:rPr>
          <w:rFonts w:asciiTheme="majorHAnsi" w:eastAsiaTheme="minorHAnsi" w:hAnsiTheme="majorHAnsi" w:cstheme="majorHAnsi"/>
        </w:rPr>
        <w:fldChar w:fldCharType="begin"/>
      </w:r>
      <w:r w:rsidRPr="000020F0">
        <w:rPr>
          <w:rFonts w:asciiTheme="majorHAnsi" w:eastAsiaTheme="minorHAnsi" w:hAnsiTheme="majorHAnsi" w:cstheme="majorHAnsi"/>
        </w:rPr>
        <w:instrText xml:space="preserve"> SEQ Tabela \* ARABIC </w:instrText>
      </w:r>
      <w:r w:rsidRPr="000020F0">
        <w:rPr>
          <w:rFonts w:asciiTheme="majorHAnsi" w:eastAsiaTheme="minorHAnsi" w:hAnsiTheme="majorHAnsi" w:cstheme="majorHAnsi"/>
        </w:rPr>
        <w:fldChar w:fldCharType="separate"/>
      </w:r>
      <w:r w:rsidR="00BB0C0C">
        <w:rPr>
          <w:rFonts w:asciiTheme="majorHAnsi" w:eastAsiaTheme="minorHAnsi" w:hAnsiTheme="majorHAnsi" w:cstheme="majorHAnsi"/>
          <w:noProof/>
        </w:rPr>
        <w:t>30</w:t>
      </w:r>
      <w:r w:rsidRPr="000020F0">
        <w:rPr>
          <w:rFonts w:asciiTheme="majorHAnsi" w:eastAsiaTheme="minorHAnsi" w:hAnsiTheme="majorHAnsi" w:cstheme="majorHAnsi"/>
        </w:rPr>
        <w:fldChar w:fldCharType="end"/>
      </w:r>
      <w:r w:rsidRPr="000020F0">
        <w:rPr>
          <w:rFonts w:asciiTheme="majorHAnsi" w:eastAsiaTheme="minorHAnsi" w:hAnsiTheme="majorHAnsi" w:cstheme="majorHAnsi"/>
        </w:rPr>
        <w:t>:</w:t>
      </w:r>
      <w:r w:rsidRPr="000020F0">
        <w:rPr>
          <w:rFonts w:asciiTheme="majorHAnsi" w:hAnsiTheme="majorHAnsi" w:cstheme="majorHAnsi"/>
        </w:rPr>
        <w:t xml:space="preserve"> </w:t>
      </w:r>
      <w:r w:rsidRPr="000020F0">
        <w:rPr>
          <w:rFonts w:asciiTheme="majorHAnsi" w:eastAsia="ArialNarrow" w:hAnsiTheme="majorHAnsi" w:cstheme="majorHAnsi"/>
          <w:b w:val="0"/>
          <w:bCs/>
        </w:rPr>
        <w:t>Izračun stopnje primanjkljaja v financiranju</w:t>
      </w:r>
      <w:bookmarkEnd w:id="407"/>
    </w:p>
    <w:tbl>
      <w:tblPr>
        <w:tblW w:w="9041" w:type="dxa"/>
        <w:tblCellMar>
          <w:left w:w="70" w:type="dxa"/>
          <w:right w:w="70" w:type="dxa"/>
        </w:tblCellMar>
        <w:tblLook w:val="04A0" w:firstRow="1" w:lastRow="0" w:firstColumn="1" w:lastColumn="0" w:noHBand="0" w:noVBand="1"/>
      </w:tblPr>
      <w:tblGrid>
        <w:gridCol w:w="4984"/>
        <w:gridCol w:w="1120"/>
        <w:gridCol w:w="1585"/>
        <w:gridCol w:w="1352"/>
      </w:tblGrid>
      <w:tr w:rsidR="006E4989" w:rsidRPr="000020F0" w14:paraId="2A67D7D1" w14:textId="77777777" w:rsidTr="00D77946">
        <w:trPr>
          <w:trHeight w:val="630"/>
        </w:trPr>
        <w:tc>
          <w:tcPr>
            <w:tcW w:w="498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2DF91777" w14:textId="77777777" w:rsidR="006E4989" w:rsidRPr="000020F0" w:rsidRDefault="006E4989">
            <w:pPr>
              <w:jc w:val="center"/>
              <w:rPr>
                <w:rFonts w:ascii="Arial" w:hAnsi="Arial" w:cs="Arial"/>
                <w:b/>
                <w:bCs/>
                <w:color w:val="000000"/>
                <w:sz w:val="20"/>
                <w:szCs w:val="20"/>
              </w:rPr>
            </w:pPr>
            <w:r w:rsidRPr="000020F0">
              <w:rPr>
                <w:rFonts w:ascii="Arial" w:hAnsi="Arial" w:cs="Arial"/>
                <w:b/>
                <w:bCs/>
                <w:color w:val="000000"/>
                <w:sz w:val="20"/>
                <w:szCs w:val="20"/>
              </w:rPr>
              <w:t>Glavni elementi in parametri</w:t>
            </w:r>
          </w:p>
        </w:tc>
        <w:tc>
          <w:tcPr>
            <w:tcW w:w="1120" w:type="dxa"/>
            <w:tcBorders>
              <w:top w:val="single" w:sz="4" w:space="0" w:color="auto"/>
              <w:left w:val="nil"/>
              <w:bottom w:val="single" w:sz="4" w:space="0" w:color="auto"/>
              <w:right w:val="single" w:sz="4" w:space="0" w:color="auto"/>
            </w:tcBorders>
            <w:shd w:val="clear" w:color="000000" w:fill="C5D9F1"/>
            <w:noWrap/>
            <w:vAlign w:val="center"/>
            <w:hideMark/>
          </w:tcPr>
          <w:p w14:paraId="4805F610" w14:textId="77777777" w:rsidR="006E4989" w:rsidRPr="000020F0" w:rsidRDefault="006E4989">
            <w:pPr>
              <w:jc w:val="center"/>
              <w:rPr>
                <w:rFonts w:ascii="Arial" w:hAnsi="Arial" w:cs="Arial"/>
                <w:b/>
                <w:bCs/>
                <w:i/>
                <w:iCs/>
                <w:color w:val="000000"/>
                <w:sz w:val="20"/>
                <w:szCs w:val="20"/>
              </w:rPr>
            </w:pPr>
            <w:r w:rsidRPr="000020F0">
              <w:rPr>
                <w:rFonts w:ascii="Arial" w:hAnsi="Arial" w:cs="Arial"/>
                <w:b/>
                <w:bCs/>
                <w:i/>
                <w:iCs/>
                <w:color w:val="000000"/>
                <w:sz w:val="20"/>
                <w:szCs w:val="20"/>
              </w:rPr>
              <w:t> </w:t>
            </w:r>
          </w:p>
        </w:tc>
        <w:tc>
          <w:tcPr>
            <w:tcW w:w="1585" w:type="dxa"/>
            <w:tcBorders>
              <w:top w:val="single" w:sz="4" w:space="0" w:color="auto"/>
              <w:left w:val="nil"/>
              <w:bottom w:val="single" w:sz="4" w:space="0" w:color="auto"/>
              <w:right w:val="single" w:sz="4" w:space="0" w:color="auto"/>
            </w:tcBorders>
            <w:shd w:val="clear" w:color="000000" w:fill="C5D9F1"/>
            <w:vAlign w:val="center"/>
            <w:hideMark/>
          </w:tcPr>
          <w:p w14:paraId="27BDA8BE" w14:textId="77777777" w:rsidR="006E4989" w:rsidRPr="000020F0" w:rsidRDefault="006E4989">
            <w:pPr>
              <w:jc w:val="center"/>
              <w:rPr>
                <w:rFonts w:ascii="Arial" w:hAnsi="Arial" w:cs="Arial"/>
                <w:b/>
                <w:bCs/>
                <w:i/>
                <w:iCs/>
                <w:color w:val="000000"/>
                <w:sz w:val="20"/>
                <w:szCs w:val="20"/>
              </w:rPr>
            </w:pPr>
            <w:proofErr w:type="spellStart"/>
            <w:r w:rsidRPr="000020F0">
              <w:rPr>
                <w:rFonts w:ascii="Arial" w:hAnsi="Arial" w:cs="Arial"/>
                <w:b/>
                <w:bCs/>
                <w:i/>
                <w:iCs/>
                <w:color w:val="000000"/>
                <w:sz w:val="20"/>
                <w:szCs w:val="20"/>
              </w:rPr>
              <w:t>Nediskontirana</w:t>
            </w:r>
            <w:proofErr w:type="spellEnd"/>
            <w:r w:rsidRPr="000020F0">
              <w:rPr>
                <w:rFonts w:ascii="Arial" w:hAnsi="Arial" w:cs="Arial"/>
                <w:b/>
                <w:bCs/>
                <w:i/>
                <w:iCs/>
                <w:color w:val="000000"/>
                <w:sz w:val="20"/>
                <w:szCs w:val="20"/>
              </w:rPr>
              <w:t xml:space="preserve"> vrednost</w:t>
            </w:r>
          </w:p>
        </w:tc>
        <w:tc>
          <w:tcPr>
            <w:tcW w:w="1352" w:type="dxa"/>
            <w:tcBorders>
              <w:top w:val="single" w:sz="4" w:space="0" w:color="auto"/>
              <w:left w:val="nil"/>
              <w:bottom w:val="single" w:sz="4" w:space="0" w:color="auto"/>
              <w:right w:val="single" w:sz="4" w:space="0" w:color="auto"/>
            </w:tcBorders>
            <w:shd w:val="clear" w:color="000000" w:fill="C5D9F1"/>
            <w:vAlign w:val="center"/>
            <w:hideMark/>
          </w:tcPr>
          <w:p w14:paraId="31FF4E33" w14:textId="77777777" w:rsidR="006E4989" w:rsidRPr="000020F0" w:rsidRDefault="006E4989">
            <w:pPr>
              <w:jc w:val="center"/>
              <w:rPr>
                <w:rFonts w:ascii="Arial" w:hAnsi="Arial" w:cs="Arial"/>
                <w:b/>
                <w:bCs/>
                <w:color w:val="808080"/>
                <w:sz w:val="20"/>
                <w:szCs w:val="20"/>
              </w:rPr>
            </w:pPr>
            <w:r w:rsidRPr="000020F0">
              <w:rPr>
                <w:rFonts w:ascii="Arial" w:hAnsi="Arial" w:cs="Arial"/>
                <w:b/>
                <w:bCs/>
                <w:color w:val="808080"/>
                <w:sz w:val="20"/>
                <w:szCs w:val="20"/>
              </w:rPr>
              <w:t>Diskontirana vrednost</w:t>
            </w:r>
          </w:p>
        </w:tc>
      </w:tr>
      <w:tr w:rsidR="006E4989" w:rsidRPr="000020F0" w14:paraId="05FB079E" w14:textId="77777777" w:rsidTr="00D77946">
        <w:trPr>
          <w:trHeight w:val="285"/>
        </w:trPr>
        <w:tc>
          <w:tcPr>
            <w:tcW w:w="4984" w:type="dxa"/>
            <w:tcBorders>
              <w:top w:val="nil"/>
              <w:left w:val="single" w:sz="4" w:space="0" w:color="auto"/>
              <w:bottom w:val="single" w:sz="4" w:space="0" w:color="auto"/>
              <w:right w:val="single" w:sz="4" w:space="0" w:color="auto"/>
            </w:tcBorders>
            <w:noWrap/>
            <w:vAlign w:val="bottom"/>
            <w:hideMark/>
          </w:tcPr>
          <w:p w14:paraId="6CCF25DE" w14:textId="77777777" w:rsidR="006E4989" w:rsidRPr="000020F0" w:rsidRDefault="006E4989">
            <w:pPr>
              <w:rPr>
                <w:rFonts w:ascii="Arial" w:hAnsi="Arial" w:cs="Arial"/>
                <w:color w:val="000000"/>
                <w:sz w:val="20"/>
                <w:szCs w:val="20"/>
              </w:rPr>
            </w:pPr>
            <w:r w:rsidRPr="000020F0">
              <w:rPr>
                <w:rFonts w:ascii="Arial" w:hAnsi="Arial" w:cs="Arial"/>
                <w:color w:val="000000"/>
                <w:sz w:val="20"/>
                <w:szCs w:val="20"/>
              </w:rPr>
              <w:t>Referenčno obdobje (leta)</w:t>
            </w:r>
          </w:p>
        </w:tc>
        <w:tc>
          <w:tcPr>
            <w:tcW w:w="1120" w:type="dxa"/>
            <w:tcBorders>
              <w:top w:val="nil"/>
              <w:left w:val="nil"/>
              <w:bottom w:val="single" w:sz="4" w:space="0" w:color="auto"/>
              <w:right w:val="single" w:sz="4" w:space="0" w:color="auto"/>
            </w:tcBorders>
            <w:noWrap/>
            <w:vAlign w:val="bottom"/>
            <w:hideMark/>
          </w:tcPr>
          <w:p w14:paraId="61ECB7A6" w14:textId="77777777" w:rsidR="006E4989" w:rsidRPr="000020F0" w:rsidRDefault="006E4989">
            <w:pPr>
              <w:jc w:val="center"/>
              <w:rPr>
                <w:rFonts w:ascii="Arial" w:hAnsi="Arial" w:cs="Arial"/>
                <w:i/>
                <w:iCs/>
                <w:color w:val="000000"/>
                <w:sz w:val="20"/>
                <w:szCs w:val="20"/>
              </w:rPr>
            </w:pPr>
            <w:r w:rsidRPr="000020F0">
              <w:rPr>
                <w:rFonts w:ascii="Arial" w:hAnsi="Arial" w:cs="Arial"/>
                <w:i/>
                <w:iCs/>
                <w:color w:val="000000"/>
                <w:sz w:val="20"/>
                <w:szCs w:val="20"/>
              </w:rPr>
              <w:t>30</w:t>
            </w:r>
          </w:p>
        </w:tc>
        <w:tc>
          <w:tcPr>
            <w:tcW w:w="1585" w:type="dxa"/>
            <w:tcBorders>
              <w:top w:val="nil"/>
              <w:left w:val="nil"/>
              <w:bottom w:val="single" w:sz="4" w:space="0" w:color="auto"/>
              <w:right w:val="single" w:sz="4" w:space="0" w:color="auto"/>
            </w:tcBorders>
            <w:noWrap/>
            <w:vAlign w:val="center"/>
            <w:hideMark/>
          </w:tcPr>
          <w:p w14:paraId="514E3AD6" w14:textId="77777777" w:rsidR="006E4989" w:rsidRPr="000020F0" w:rsidRDefault="006E4989">
            <w:pPr>
              <w:rPr>
                <w:rFonts w:ascii="Arial" w:hAnsi="Arial" w:cs="Arial"/>
                <w:i/>
                <w:iCs/>
                <w:color w:val="000000"/>
                <w:sz w:val="20"/>
                <w:szCs w:val="20"/>
              </w:rPr>
            </w:pPr>
            <w:r w:rsidRPr="000020F0">
              <w:rPr>
                <w:rFonts w:ascii="Arial" w:hAnsi="Arial" w:cs="Arial"/>
                <w:i/>
                <w:iCs/>
                <w:color w:val="000000"/>
                <w:sz w:val="20"/>
                <w:szCs w:val="20"/>
              </w:rPr>
              <w:t> </w:t>
            </w:r>
          </w:p>
        </w:tc>
        <w:tc>
          <w:tcPr>
            <w:tcW w:w="1352" w:type="dxa"/>
            <w:tcBorders>
              <w:top w:val="nil"/>
              <w:left w:val="nil"/>
              <w:bottom w:val="single" w:sz="4" w:space="0" w:color="auto"/>
              <w:right w:val="single" w:sz="4" w:space="0" w:color="auto"/>
            </w:tcBorders>
            <w:noWrap/>
            <w:vAlign w:val="center"/>
            <w:hideMark/>
          </w:tcPr>
          <w:p w14:paraId="41341449" w14:textId="77777777" w:rsidR="006E4989" w:rsidRPr="000020F0" w:rsidRDefault="006E4989">
            <w:pPr>
              <w:rPr>
                <w:rFonts w:ascii="Arial" w:hAnsi="Arial" w:cs="Arial"/>
                <w:color w:val="808080"/>
                <w:sz w:val="20"/>
                <w:szCs w:val="20"/>
              </w:rPr>
            </w:pPr>
            <w:r w:rsidRPr="000020F0">
              <w:rPr>
                <w:rFonts w:ascii="Arial" w:hAnsi="Arial" w:cs="Arial"/>
                <w:color w:val="808080"/>
                <w:sz w:val="20"/>
                <w:szCs w:val="20"/>
              </w:rPr>
              <w:t> </w:t>
            </w:r>
          </w:p>
        </w:tc>
      </w:tr>
      <w:tr w:rsidR="006E4989" w:rsidRPr="000020F0" w14:paraId="6FE84A98" w14:textId="77777777" w:rsidTr="00D77946">
        <w:trPr>
          <w:trHeight w:val="285"/>
        </w:trPr>
        <w:tc>
          <w:tcPr>
            <w:tcW w:w="4984" w:type="dxa"/>
            <w:tcBorders>
              <w:top w:val="nil"/>
              <w:left w:val="single" w:sz="4" w:space="0" w:color="auto"/>
              <w:bottom w:val="single" w:sz="4" w:space="0" w:color="auto"/>
              <w:right w:val="single" w:sz="4" w:space="0" w:color="auto"/>
            </w:tcBorders>
            <w:noWrap/>
            <w:vAlign w:val="bottom"/>
            <w:hideMark/>
          </w:tcPr>
          <w:p w14:paraId="0A5FFCBD" w14:textId="77777777" w:rsidR="006E4989" w:rsidRPr="000020F0" w:rsidRDefault="006E4989">
            <w:pPr>
              <w:rPr>
                <w:rFonts w:ascii="Arial" w:hAnsi="Arial" w:cs="Arial"/>
                <w:color w:val="000000"/>
                <w:sz w:val="20"/>
                <w:szCs w:val="20"/>
              </w:rPr>
            </w:pPr>
            <w:r w:rsidRPr="000020F0">
              <w:rPr>
                <w:rFonts w:ascii="Arial" w:hAnsi="Arial" w:cs="Arial"/>
                <w:color w:val="000000"/>
                <w:sz w:val="20"/>
                <w:szCs w:val="20"/>
              </w:rPr>
              <w:t>Finančna diskontna stopnja (%)</w:t>
            </w:r>
          </w:p>
        </w:tc>
        <w:tc>
          <w:tcPr>
            <w:tcW w:w="1120" w:type="dxa"/>
            <w:tcBorders>
              <w:top w:val="nil"/>
              <w:left w:val="nil"/>
              <w:bottom w:val="single" w:sz="4" w:space="0" w:color="auto"/>
              <w:right w:val="single" w:sz="4" w:space="0" w:color="auto"/>
            </w:tcBorders>
            <w:noWrap/>
            <w:vAlign w:val="bottom"/>
            <w:hideMark/>
          </w:tcPr>
          <w:p w14:paraId="1F6F84F3" w14:textId="77777777" w:rsidR="006E4989" w:rsidRPr="000020F0" w:rsidRDefault="006E4989">
            <w:pPr>
              <w:jc w:val="center"/>
              <w:rPr>
                <w:rFonts w:ascii="Arial" w:hAnsi="Arial" w:cs="Arial"/>
                <w:i/>
                <w:iCs/>
                <w:color w:val="000000"/>
                <w:sz w:val="20"/>
                <w:szCs w:val="20"/>
              </w:rPr>
            </w:pPr>
            <w:r w:rsidRPr="000020F0">
              <w:rPr>
                <w:rFonts w:ascii="Arial" w:hAnsi="Arial" w:cs="Arial"/>
                <w:i/>
                <w:iCs/>
                <w:color w:val="000000"/>
                <w:sz w:val="20"/>
                <w:szCs w:val="20"/>
              </w:rPr>
              <w:t>4%</w:t>
            </w:r>
          </w:p>
        </w:tc>
        <w:tc>
          <w:tcPr>
            <w:tcW w:w="1585" w:type="dxa"/>
            <w:tcBorders>
              <w:top w:val="nil"/>
              <w:left w:val="nil"/>
              <w:bottom w:val="single" w:sz="4" w:space="0" w:color="auto"/>
              <w:right w:val="single" w:sz="4" w:space="0" w:color="auto"/>
            </w:tcBorders>
            <w:noWrap/>
            <w:vAlign w:val="center"/>
            <w:hideMark/>
          </w:tcPr>
          <w:p w14:paraId="144C3127" w14:textId="77777777" w:rsidR="006E4989" w:rsidRPr="000020F0" w:rsidRDefault="006E4989">
            <w:pPr>
              <w:rPr>
                <w:rFonts w:ascii="Arial" w:hAnsi="Arial" w:cs="Arial"/>
                <w:i/>
                <w:iCs/>
                <w:color w:val="000000"/>
                <w:sz w:val="20"/>
                <w:szCs w:val="20"/>
              </w:rPr>
            </w:pPr>
            <w:r w:rsidRPr="000020F0">
              <w:rPr>
                <w:rFonts w:ascii="Arial" w:hAnsi="Arial" w:cs="Arial"/>
                <w:i/>
                <w:iCs/>
                <w:color w:val="000000"/>
                <w:sz w:val="20"/>
                <w:szCs w:val="20"/>
              </w:rPr>
              <w:t> </w:t>
            </w:r>
          </w:p>
        </w:tc>
        <w:tc>
          <w:tcPr>
            <w:tcW w:w="1352" w:type="dxa"/>
            <w:tcBorders>
              <w:top w:val="nil"/>
              <w:left w:val="nil"/>
              <w:bottom w:val="single" w:sz="4" w:space="0" w:color="auto"/>
              <w:right w:val="single" w:sz="4" w:space="0" w:color="auto"/>
            </w:tcBorders>
            <w:noWrap/>
            <w:vAlign w:val="center"/>
            <w:hideMark/>
          </w:tcPr>
          <w:p w14:paraId="4A065499" w14:textId="77777777" w:rsidR="006E4989" w:rsidRPr="000020F0" w:rsidRDefault="006E4989">
            <w:pPr>
              <w:rPr>
                <w:rFonts w:ascii="Arial" w:hAnsi="Arial" w:cs="Arial"/>
                <w:color w:val="808080"/>
                <w:sz w:val="20"/>
                <w:szCs w:val="20"/>
              </w:rPr>
            </w:pPr>
            <w:r w:rsidRPr="000020F0">
              <w:rPr>
                <w:rFonts w:ascii="Arial" w:hAnsi="Arial" w:cs="Arial"/>
                <w:color w:val="808080"/>
                <w:sz w:val="20"/>
                <w:szCs w:val="20"/>
              </w:rPr>
              <w:t> </w:t>
            </w:r>
          </w:p>
        </w:tc>
      </w:tr>
      <w:tr w:rsidR="00D77946" w:rsidRPr="000020F0" w14:paraId="251C8839" w14:textId="77777777" w:rsidTr="00D77946">
        <w:trPr>
          <w:trHeight w:val="285"/>
        </w:trPr>
        <w:tc>
          <w:tcPr>
            <w:tcW w:w="4984" w:type="dxa"/>
            <w:tcBorders>
              <w:top w:val="nil"/>
              <w:left w:val="single" w:sz="4" w:space="0" w:color="auto"/>
              <w:bottom w:val="single" w:sz="4" w:space="0" w:color="auto"/>
              <w:right w:val="single" w:sz="4" w:space="0" w:color="auto"/>
            </w:tcBorders>
            <w:shd w:val="clear" w:color="000000" w:fill="ECF2F8"/>
            <w:noWrap/>
            <w:vAlign w:val="bottom"/>
            <w:hideMark/>
          </w:tcPr>
          <w:p w14:paraId="3D82A154"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Skupni stroški naložb brez nepredvidenih stroškov (stalne cene, EUR)</w:t>
            </w:r>
          </w:p>
        </w:tc>
        <w:tc>
          <w:tcPr>
            <w:tcW w:w="1120" w:type="dxa"/>
            <w:tcBorders>
              <w:top w:val="nil"/>
              <w:left w:val="nil"/>
              <w:bottom w:val="single" w:sz="4" w:space="0" w:color="auto"/>
              <w:right w:val="single" w:sz="4" w:space="0" w:color="auto"/>
            </w:tcBorders>
            <w:shd w:val="clear" w:color="000000" w:fill="ECF2F8"/>
            <w:noWrap/>
            <w:vAlign w:val="bottom"/>
            <w:hideMark/>
          </w:tcPr>
          <w:p w14:paraId="5773F3F2"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shd w:val="clear" w:color="000000" w:fill="ECF2F8"/>
            <w:noWrap/>
            <w:vAlign w:val="bottom"/>
            <w:hideMark/>
          </w:tcPr>
          <w:p w14:paraId="1662825A" w14:textId="5051CE97"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3.245.659,20</w:t>
            </w:r>
          </w:p>
        </w:tc>
        <w:tc>
          <w:tcPr>
            <w:tcW w:w="1352" w:type="dxa"/>
            <w:tcBorders>
              <w:top w:val="nil"/>
              <w:left w:val="nil"/>
              <w:bottom w:val="single" w:sz="4" w:space="0" w:color="auto"/>
              <w:right w:val="single" w:sz="4" w:space="0" w:color="auto"/>
            </w:tcBorders>
            <w:shd w:val="clear" w:color="000000" w:fill="ECF2F8"/>
            <w:noWrap/>
            <w:vAlign w:val="bottom"/>
            <w:hideMark/>
          </w:tcPr>
          <w:p w14:paraId="5C2F7EB3" w14:textId="609A63CD"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3.058.666,88</w:t>
            </w:r>
          </w:p>
        </w:tc>
      </w:tr>
      <w:tr w:rsidR="00D77946" w:rsidRPr="000020F0" w14:paraId="27C9D0DE" w14:textId="77777777" w:rsidTr="00D77946">
        <w:trPr>
          <w:trHeight w:val="285"/>
        </w:trPr>
        <w:tc>
          <w:tcPr>
            <w:tcW w:w="4984" w:type="dxa"/>
            <w:tcBorders>
              <w:top w:val="nil"/>
              <w:left w:val="single" w:sz="4" w:space="0" w:color="auto"/>
              <w:bottom w:val="single" w:sz="4" w:space="0" w:color="auto"/>
              <w:right w:val="single" w:sz="4" w:space="0" w:color="auto"/>
            </w:tcBorders>
            <w:noWrap/>
            <w:vAlign w:val="bottom"/>
            <w:hideMark/>
          </w:tcPr>
          <w:p w14:paraId="52A2BB76"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Preostala vrednost (EUR)</w:t>
            </w:r>
          </w:p>
        </w:tc>
        <w:tc>
          <w:tcPr>
            <w:tcW w:w="1120" w:type="dxa"/>
            <w:tcBorders>
              <w:top w:val="nil"/>
              <w:left w:val="nil"/>
              <w:bottom w:val="single" w:sz="4" w:space="0" w:color="auto"/>
              <w:right w:val="single" w:sz="4" w:space="0" w:color="auto"/>
            </w:tcBorders>
            <w:noWrap/>
            <w:vAlign w:val="bottom"/>
            <w:hideMark/>
          </w:tcPr>
          <w:p w14:paraId="47FE8604"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noWrap/>
            <w:vAlign w:val="bottom"/>
            <w:hideMark/>
          </w:tcPr>
          <w:p w14:paraId="0A6833BA" w14:textId="279EDD6B"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459.244,67</w:t>
            </w:r>
          </w:p>
        </w:tc>
        <w:tc>
          <w:tcPr>
            <w:tcW w:w="1352" w:type="dxa"/>
            <w:tcBorders>
              <w:top w:val="nil"/>
              <w:left w:val="nil"/>
              <w:bottom w:val="single" w:sz="4" w:space="0" w:color="auto"/>
              <w:right w:val="single" w:sz="4" w:space="0" w:color="auto"/>
            </w:tcBorders>
            <w:noWrap/>
            <w:vAlign w:val="bottom"/>
            <w:hideMark/>
          </w:tcPr>
          <w:p w14:paraId="5A952C1A" w14:textId="0558FF54"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153.147,75</w:t>
            </w:r>
          </w:p>
        </w:tc>
      </w:tr>
      <w:tr w:rsidR="00D77946" w:rsidRPr="000020F0" w14:paraId="205138A5" w14:textId="77777777" w:rsidTr="00D77946">
        <w:trPr>
          <w:trHeight w:val="285"/>
        </w:trPr>
        <w:tc>
          <w:tcPr>
            <w:tcW w:w="4984" w:type="dxa"/>
            <w:tcBorders>
              <w:top w:val="nil"/>
              <w:left w:val="single" w:sz="4" w:space="0" w:color="auto"/>
              <w:bottom w:val="single" w:sz="4" w:space="0" w:color="auto"/>
              <w:right w:val="single" w:sz="4" w:space="0" w:color="auto"/>
            </w:tcBorders>
            <w:shd w:val="clear" w:color="000000" w:fill="ECF2F8"/>
            <w:noWrap/>
            <w:vAlign w:val="bottom"/>
            <w:hideMark/>
          </w:tcPr>
          <w:p w14:paraId="045E8BF3"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Prihodki (EUR, diskontirano)</w:t>
            </w:r>
          </w:p>
        </w:tc>
        <w:tc>
          <w:tcPr>
            <w:tcW w:w="1120" w:type="dxa"/>
            <w:tcBorders>
              <w:top w:val="nil"/>
              <w:left w:val="nil"/>
              <w:bottom w:val="single" w:sz="4" w:space="0" w:color="auto"/>
              <w:right w:val="single" w:sz="4" w:space="0" w:color="auto"/>
            </w:tcBorders>
            <w:shd w:val="clear" w:color="000000" w:fill="ECF2F8"/>
            <w:noWrap/>
            <w:vAlign w:val="bottom"/>
            <w:hideMark/>
          </w:tcPr>
          <w:p w14:paraId="3A2B9EB4"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shd w:val="clear" w:color="000000" w:fill="ECF2F8"/>
            <w:noWrap/>
            <w:vAlign w:val="bottom"/>
            <w:hideMark/>
          </w:tcPr>
          <w:p w14:paraId="3674266C" w14:textId="5CCE98C5"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624.000,00</w:t>
            </w:r>
          </w:p>
        </w:tc>
        <w:tc>
          <w:tcPr>
            <w:tcW w:w="1352" w:type="dxa"/>
            <w:tcBorders>
              <w:top w:val="nil"/>
              <w:left w:val="nil"/>
              <w:bottom w:val="single" w:sz="4" w:space="0" w:color="auto"/>
              <w:right w:val="single" w:sz="4" w:space="0" w:color="auto"/>
            </w:tcBorders>
            <w:shd w:val="clear" w:color="000000" w:fill="ECF2F8"/>
            <w:noWrap/>
            <w:vAlign w:val="bottom"/>
            <w:hideMark/>
          </w:tcPr>
          <w:p w14:paraId="20F2DE92" w14:textId="1401D4AD"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346.643,79</w:t>
            </w:r>
          </w:p>
        </w:tc>
      </w:tr>
      <w:tr w:rsidR="00D77946" w:rsidRPr="000020F0" w14:paraId="2743888C" w14:textId="77777777" w:rsidTr="00D77946">
        <w:trPr>
          <w:trHeight w:val="285"/>
        </w:trPr>
        <w:tc>
          <w:tcPr>
            <w:tcW w:w="4984" w:type="dxa"/>
            <w:tcBorders>
              <w:top w:val="nil"/>
              <w:left w:val="single" w:sz="4" w:space="0" w:color="auto"/>
              <w:bottom w:val="single" w:sz="4" w:space="0" w:color="auto"/>
              <w:right w:val="single" w:sz="4" w:space="0" w:color="auto"/>
            </w:tcBorders>
            <w:noWrap/>
            <w:vAlign w:val="bottom"/>
            <w:hideMark/>
          </w:tcPr>
          <w:p w14:paraId="66F6CEDB"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Operativni stroški in stroški nadomestitve (EUR, diskontirano)</w:t>
            </w:r>
          </w:p>
        </w:tc>
        <w:tc>
          <w:tcPr>
            <w:tcW w:w="1120" w:type="dxa"/>
            <w:tcBorders>
              <w:top w:val="nil"/>
              <w:left w:val="nil"/>
              <w:bottom w:val="single" w:sz="4" w:space="0" w:color="auto"/>
              <w:right w:val="single" w:sz="4" w:space="0" w:color="auto"/>
            </w:tcBorders>
            <w:noWrap/>
            <w:vAlign w:val="bottom"/>
            <w:hideMark/>
          </w:tcPr>
          <w:p w14:paraId="256A9B40"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noWrap/>
            <w:vAlign w:val="bottom"/>
            <w:hideMark/>
          </w:tcPr>
          <w:p w14:paraId="05D2AB1D" w14:textId="6E9B5868"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1.211.942,00</w:t>
            </w:r>
          </w:p>
        </w:tc>
        <w:tc>
          <w:tcPr>
            <w:tcW w:w="1352" w:type="dxa"/>
            <w:tcBorders>
              <w:top w:val="nil"/>
              <w:left w:val="nil"/>
              <w:bottom w:val="single" w:sz="4" w:space="0" w:color="auto"/>
              <w:right w:val="single" w:sz="4" w:space="0" w:color="auto"/>
            </w:tcBorders>
            <w:noWrap/>
            <w:vAlign w:val="bottom"/>
            <w:hideMark/>
          </w:tcPr>
          <w:p w14:paraId="7DFB283C" w14:textId="636C053D"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659.774,06</w:t>
            </w:r>
          </w:p>
        </w:tc>
      </w:tr>
      <w:tr w:rsidR="00D77946" w:rsidRPr="000020F0" w14:paraId="057CBD32" w14:textId="77777777" w:rsidTr="00D77946">
        <w:trPr>
          <w:trHeight w:val="285"/>
        </w:trPr>
        <w:tc>
          <w:tcPr>
            <w:tcW w:w="4984" w:type="dxa"/>
            <w:tcBorders>
              <w:top w:val="nil"/>
              <w:left w:val="single" w:sz="4" w:space="0" w:color="auto"/>
              <w:bottom w:val="single" w:sz="4" w:space="0" w:color="auto"/>
              <w:right w:val="single" w:sz="4" w:space="0" w:color="auto"/>
            </w:tcBorders>
            <w:shd w:val="clear" w:color="000000" w:fill="ECF2F8"/>
            <w:noWrap/>
            <w:vAlign w:val="bottom"/>
            <w:hideMark/>
          </w:tcPr>
          <w:p w14:paraId="64DA3B59"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Neto prihodki (EUR, diskontirano)</w:t>
            </w:r>
          </w:p>
        </w:tc>
        <w:tc>
          <w:tcPr>
            <w:tcW w:w="1120" w:type="dxa"/>
            <w:tcBorders>
              <w:top w:val="nil"/>
              <w:left w:val="nil"/>
              <w:bottom w:val="single" w:sz="4" w:space="0" w:color="auto"/>
              <w:right w:val="single" w:sz="4" w:space="0" w:color="auto"/>
            </w:tcBorders>
            <w:shd w:val="clear" w:color="000000" w:fill="ECF2F8"/>
            <w:noWrap/>
            <w:vAlign w:val="bottom"/>
            <w:hideMark/>
          </w:tcPr>
          <w:p w14:paraId="2323B307"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shd w:val="clear" w:color="000000" w:fill="ECF2F8"/>
            <w:noWrap/>
            <w:vAlign w:val="bottom"/>
            <w:hideMark/>
          </w:tcPr>
          <w:p w14:paraId="2B97EA63" w14:textId="43FC399B"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352" w:type="dxa"/>
            <w:tcBorders>
              <w:top w:val="nil"/>
              <w:left w:val="nil"/>
              <w:bottom w:val="single" w:sz="4" w:space="0" w:color="auto"/>
              <w:right w:val="single" w:sz="4" w:space="0" w:color="auto"/>
            </w:tcBorders>
            <w:shd w:val="clear" w:color="000000" w:fill="ECF2F8"/>
            <w:noWrap/>
            <w:vAlign w:val="bottom"/>
            <w:hideMark/>
          </w:tcPr>
          <w:p w14:paraId="7E079F71" w14:textId="71829A1E"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-159.982,52</w:t>
            </w:r>
          </w:p>
        </w:tc>
      </w:tr>
      <w:tr w:rsidR="00D77946" w:rsidRPr="000020F0" w14:paraId="7ED5B6E3" w14:textId="77777777" w:rsidTr="00D77946">
        <w:trPr>
          <w:trHeight w:val="285"/>
        </w:trPr>
        <w:tc>
          <w:tcPr>
            <w:tcW w:w="4984" w:type="dxa"/>
            <w:tcBorders>
              <w:top w:val="nil"/>
              <w:left w:val="single" w:sz="4" w:space="0" w:color="auto"/>
              <w:bottom w:val="single" w:sz="4" w:space="0" w:color="auto"/>
              <w:right w:val="single" w:sz="4" w:space="0" w:color="auto"/>
            </w:tcBorders>
            <w:noWrap/>
            <w:vAlign w:val="bottom"/>
            <w:hideMark/>
          </w:tcPr>
          <w:p w14:paraId="1D72E67B" w14:textId="77777777" w:rsidR="00D77946" w:rsidRPr="000020F0" w:rsidRDefault="00D77946" w:rsidP="00D77946">
            <w:pPr>
              <w:rPr>
                <w:rFonts w:ascii="Arial" w:hAnsi="Arial" w:cs="Arial"/>
                <w:color w:val="000000"/>
                <w:sz w:val="20"/>
                <w:szCs w:val="20"/>
              </w:rPr>
            </w:pPr>
            <w:r w:rsidRPr="000020F0">
              <w:rPr>
                <w:rFonts w:ascii="Arial" w:hAnsi="Arial" w:cs="Arial"/>
                <w:color w:val="000000"/>
                <w:sz w:val="20"/>
                <w:szCs w:val="20"/>
              </w:rPr>
              <w:t>Skupni stroški naložb – neto prihodki (EUR, diskontirano)</w:t>
            </w:r>
          </w:p>
        </w:tc>
        <w:tc>
          <w:tcPr>
            <w:tcW w:w="1120" w:type="dxa"/>
            <w:tcBorders>
              <w:top w:val="nil"/>
              <w:left w:val="nil"/>
              <w:bottom w:val="single" w:sz="4" w:space="0" w:color="auto"/>
              <w:right w:val="single" w:sz="4" w:space="0" w:color="auto"/>
            </w:tcBorders>
            <w:noWrap/>
            <w:vAlign w:val="bottom"/>
            <w:hideMark/>
          </w:tcPr>
          <w:p w14:paraId="5C00C2D1" w14:textId="77777777"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585" w:type="dxa"/>
            <w:tcBorders>
              <w:top w:val="nil"/>
              <w:left w:val="nil"/>
              <w:bottom w:val="single" w:sz="4" w:space="0" w:color="auto"/>
              <w:right w:val="single" w:sz="4" w:space="0" w:color="auto"/>
            </w:tcBorders>
            <w:noWrap/>
            <w:vAlign w:val="bottom"/>
            <w:hideMark/>
          </w:tcPr>
          <w:p w14:paraId="243EA65E" w14:textId="7AE19FD9" w:rsidR="00D77946" w:rsidRPr="000020F0" w:rsidRDefault="00D77946" w:rsidP="00D77946">
            <w:pPr>
              <w:rPr>
                <w:rFonts w:ascii="Arial" w:hAnsi="Arial" w:cs="Arial"/>
                <w:i/>
                <w:iCs/>
                <w:color w:val="000000"/>
                <w:sz w:val="20"/>
                <w:szCs w:val="20"/>
              </w:rPr>
            </w:pPr>
            <w:r w:rsidRPr="000020F0">
              <w:rPr>
                <w:rFonts w:ascii="Arial" w:hAnsi="Arial" w:cs="Arial"/>
                <w:i/>
                <w:iCs/>
                <w:color w:val="000000"/>
                <w:sz w:val="20"/>
                <w:szCs w:val="20"/>
              </w:rPr>
              <w:t> </w:t>
            </w:r>
          </w:p>
        </w:tc>
        <w:tc>
          <w:tcPr>
            <w:tcW w:w="1352" w:type="dxa"/>
            <w:tcBorders>
              <w:top w:val="nil"/>
              <w:left w:val="nil"/>
              <w:bottom w:val="single" w:sz="4" w:space="0" w:color="auto"/>
              <w:right w:val="single" w:sz="4" w:space="0" w:color="auto"/>
            </w:tcBorders>
            <w:noWrap/>
            <w:vAlign w:val="bottom"/>
            <w:hideMark/>
          </w:tcPr>
          <w:p w14:paraId="128120D8" w14:textId="67AB17F2" w:rsidR="00D77946" w:rsidRPr="000020F0" w:rsidRDefault="00D77946" w:rsidP="00D77946">
            <w:pPr>
              <w:jc w:val="right"/>
              <w:rPr>
                <w:rFonts w:ascii="Arial" w:hAnsi="Arial" w:cs="Arial"/>
                <w:i/>
                <w:iCs/>
                <w:color w:val="000000"/>
                <w:sz w:val="20"/>
                <w:szCs w:val="20"/>
              </w:rPr>
            </w:pPr>
            <w:r w:rsidRPr="000020F0">
              <w:rPr>
                <w:rFonts w:ascii="Arial" w:hAnsi="Arial" w:cs="Arial"/>
                <w:i/>
                <w:iCs/>
                <w:color w:val="000000"/>
                <w:sz w:val="20"/>
                <w:szCs w:val="20"/>
              </w:rPr>
              <w:t>3.218.649,40</w:t>
            </w:r>
          </w:p>
        </w:tc>
      </w:tr>
      <w:tr w:rsidR="006E4989" w:rsidRPr="000020F0" w14:paraId="46B8A9DE" w14:textId="77777777" w:rsidTr="00D77946">
        <w:trPr>
          <w:trHeight w:val="285"/>
        </w:trPr>
        <w:tc>
          <w:tcPr>
            <w:tcW w:w="4984" w:type="dxa"/>
            <w:tcBorders>
              <w:top w:val="nil"/>
              <w:left w:val="single" w:sz="4" w:space="0" w:color="auto"/>
              <w:bottom w:val="single" w:sz="4" w:space="0" w:color="auto"/>
              <w:right w:val="single" w:sz="4" w:space="0" w:color="auto"/>
            </w:tcBorders>
            <w:shd w:val="clear" w:color="000000" w:fill="D6DCE4"/>
            <w:noWrap/>
            <w:vAlign w:val="bottom"/>
            <w:hideMark/>
          </w:tcPr>
          <w:p w14:paraId="67D61A0C" w14:textId="77777777" w:rsidR="006E4989" w:rsidRPr="000020F0" w:rsidRDefault="006E4989">
            <w:pPr>
              <w:rPr>
                <w:rFonts w:ascii="Arial" w:hAnsi="Arial" w:cs="Arial"/>
                <w:b/>
                <w:bCs/>
                <w:color w:val="000000"/>
                <w:sz w:val="20"/>
                <w:szCs w:val="20"/>
              </w:rPr>
            </w:pPr>
            <w:r w:rsidRPr="000020F0">
              <w:rPr>
                <w:rFonts w:ascii="Arial" w:hAnsi="Arial" w:cs="Arial"/>
                <w:b/>
                <w:bCs/>
                <w:color w:val="000000"/>
                <w:sz w:val="20"/>
                <w:szCs w:val="20"/>
              </w:rPr>
              <w:t xml:space="preserve">Sorazmerna uporaba diskontiranih neto prihodkov (%) </w:t>
            </w:r>
          </w:p>
        </w:tc>
        <w:tc>
          <w:tcPr>
            <w:tcW w:w="1120" w:type="dxa"/>
            <w:tcBorders>
              <w:top w:val="nil"/>
              <w:left w:val="nil"/>
              <w:bottom w:val="single" w:sz="4" w:space="0" w:color="auto"/>
              <w:right w:val="single" w:sz="4" w:space="0" w:color="auto"/>
            </w:tcBorders>
            <w:shd w:val="clear" w:color="000000" w:fill="D6DCE4"/>
            <w:noWrap/>
            <w:vAlign w:val="bottom"/>
            <w:hideMark/>
          </w:tcPr>
          <w:p w14:paraId="1BB23AAB" w14:textId="5EC5EE57" w:rsidR="006E4989" w:rsidRPr="000020F0" w:rsidRDefault="006E4989">
            <w:pPr>
              <w:jc w:val="right"/>
              <w:rPr>
                <w:rFonts w:ascii="Arial" w:hAnsi="Arial" w:cs="Arial"/>
                <w:b/>
                <w:bCs/>
                <w:i/>
                <w:iCs/>
                <w:color w:val="000000"/>
                <w:sz w:val="20"/>
                <w:szCs w:val="20"/>
              </w:rPr>
            </w:pPr>
            <w:r w:rsidRPr="000020F0">
              <w:rPr>
                <w:rFonts w:ascii="Arial" w:hAnsi="Arial" w:cs="Arial"/>
                <w:b/>
                <w:bCs/>
                <w:i/>
                <w:iCs/>
                <w:color w:val="000000"/>
                <w:sz w:val="20"/>
                <w:szCs w:val="20"/>
              </w:rPr>
              <w:t>10</w:t>
            </w:r>
            <w:r w:rsidR="00D77946" w:rsidRPr="000020F0">
              <w:rPr>
                <w:rFonts w:ascii="Arial" w:hAnsi="Arial" w:cs="Arial"/>
                <w:b/>
                <w:bCs/>
                <w:i/>
                <w:iCs/>
                <w:color w:val="000000"/>
                <w:sz w:val="20"/>
                <w:szCs w:val="20"/>
              </w:rPr>
              <w:t>5</w:t>
            </w:r>
            <w:r w:rsidRPr="000020F0">
              <w:rPr>
                <w:rFonts w:ascii="Arial" w:hAnsi="Arial" w:cs="Arial"/>
                <w:b/>
                <w:bCs/>
                <w:i/>
                <w:iCs/>
                <w:color w:val="000000"/>
                <w:sz w:val="20"/>
                <w:szCs w:val="20"/>
              </w:rPr>
              <w:t>,2</w:t>
            </w:r>
            <w:r w:rsidR="00D77946" w:rsidRPr="000020F0">
              <w:rPr>
                <w:rFonts w:ascii="Arial" w:hAnsi="Arial" w:cs="Arial"/>
                <w:b/>
                <w:bCs/>
                <w:i/>
                <w:iCs/>
                <w:color w:val="000000"/>
                <w:sz w:val="20"/>
                <w:szCs w:val="20"/>
              </w:rPr>
              <w:t>3</w:t>
            </w:r>
            <w:r w:rsidRPr="000020F0">
              <w:rPr>
                <w:rFonts w:ascii="Arial" w:hAnsi="Arial" w:cs="Arial"/>
                <w:b/>
                <w:bCs/>
                <w:i/>
                <w:iCs/>
                <w:color w:val="000000"/>
                <w:sz w:val="20"/>
                <w:szCs w:val="20"/>
              </w:rPr>
              <w:t>%</w:t>
            </w:r>
          </w:p>
        </w:tc>
        <w:tc>
          <w:tcPr>
            <w:tcW w:w="1585" w:type="dxa"/>
            <w:tcBorders>
              <w:top w:val="nil"/>
              <w:left w:val="nil"/>
              <w:bottom w:val="nil"/>
              <w:right w:val="nil"/>
            </w:tcBorders>
            <w:noWrap/>
            <w:vAlign w:val="bottom"/>
            <w:hideMark/>
          </w:tcPr>
          <w:p w14:paraId="1F8172B6" w14:textId="77777777" w:rsidR="006E4989" w:rsidRPr="000020F0" w:rsidRDefault="006E4989">
            <w:pPr>
              <w:jc w:val="right"/>
              <w:rPr>
                <w:rFonts w:ascii="Arial" w:hAnsi="Arial" w:cs="Arial"/>
                <w:b/>
                <w:bCs/>
                <w:i/>
                <w:iCs/>
                <w:color w:val="000000"/>
                <w:sz w:val="20"/>
                <w:szCs w:val="20"/>
              </w:rPr>
            </w:pPr>
          </w:p>
        </w:tc>
        <w:tc>
          <w:tcPr>
            <w:tcW w:w="1352" w:type="dxa"/>
            <w:tcBorders>
              <w:top w:val="nil"/>
              <w:left w:val="nil"/>
              <w:bottom w:val="nil"/>
              <w:right w:val="nil"/>
            </w:tcBorders>
            <w:noWrap/>
            <w:vAlign w:val="bottom"/>
            <w:hideMark/>
          </w:tcPr>
          <w:p w14:paraId="441A799F" w14:textId="77777777" w:rsidR="006E4989" w:rsidRPr="000020F0" w:rsidRDefault="006E4989">
            <w:pPr>
              <w:rPr>
                <w:sz w:val="20"/>
                <w:szCs w:val="20"/>
              </w:rPr>
            </w:pPr>
          </w:p>
        </w:tc>
      </w:tr>
    </w:tbl>
    <w:p w14:paraId="00197D3E" w14:textId="77777777" w:rsidR="006E4989" w:rsidRPr="000020F0" w:rsidRDefault="006E4989" w:rsidP="006E4989"/>
    <w:p w14:paraId="5E243281" w14:textId="77777777" w:rsidR="006E4989" w:rsidRPr="000020F0" w:rsidRDefault="006E4989" w:rsidP="006E4989"/>
    <w:p w14:paraId="558B2A1B" w14:textId="70CD982F" w:rsidR="00F03F97" w:rsidRPr="000020F0" w:rsidRDefault="008D3E04"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Glede na to, da je z javnim razpisom določena maksimalno sofinanciranje v višini 80% upravičenih stroškov, je kljub izračunani večji stopnji primanjkljaja v financiranju </w:t>
      </w:r>
      <w:r w:rsidR="00F03F97" w:rsidRPr="000020F0">
        <w:rPr>
          <w:rFonts w:asciiTheme="majorHAnsi" w:hAnsiTheme="majorHAnsi" w:cstheme="majorHAnsi"/>
          <w:sz w:val="22"/>
          <w:szCs w:val="22"/>
        </w:rPr>
        <w:t>(10</w:t>
      </w:r>
      <w:r w:rsidR="00D77946" w:rsidRPr="000020F0">
        <w:rPr>
          <w:rFonts w:asciiTheme="majorHAnsi" w:hAnsiTheme="majorHAnsi" w:cstheme="majorHAnsi"/>
          <w:sz w:val="22"/>
          <w:szCs w:val="22"/>
        </w:rPr>
        <w:t>5</w:t>
      </w:r>
      <w:r w:rsidR="00F03F97" w:rsidRPr="000020F0">
        <w:rPr>
          <w:rFonts w:asciiTheme="majorHAnsi" w:hAnsiTheme="majorHAnsi" w:cstheme="majorHAnsi"/>
          <w:sz w:val="22"/>
          <w:szCs w:val="22"/>
        </w:rPr>
        <w:t>,</w:t>
      </w:r>
      <w:r w:rsidR="006E4989" w:rsidRPr="000020F0">
        <w:rPr>
          <w:rFonts w:asciiTheme="majorHAnsi" w:hAnsiTheme="majorHAnsi" w:cstheme="majorHAnsi"/>
          <w:sz w:val="22"/>
          <w:szCs w:val="22"/>
        </w:rPr>
        <w:t>2</w:t>
      </w:r>
      <w:r w:rsidR="003F06C4" w:rsidRPr="000020F0">
        <w:rPr>
          <w:rFonts w:asciiTheme="majorHAnsi" w:hAnsiTheme="majorHAnsi" w:cstheme="majorHAnsi"/>
          <w:sz w:val="22"/>
          <w:szCs w:val="22"/>
        </w:rPr>
        <w:t>3</w:t>
      </w:r>
      <w:r w:rsidR="00F03F97" w:rsidRPr="000020F0">
        <w:rPr>
          <w:rFonts w:asciiTheme="majorHAnsi" w:hAnsiTheme="majorHAnsi" w:cstheme="majorHAnsi"/>
          <w:sz w:val="22"/>
          <w:szCs w:val="22"/>
        </w:rPr>
        <w:t xml:space="preserve">%) </w:t>
      </w:r>
      <w:r w:rsidRPr="000020F0">
        <w:rPr>
          <w:rFonts w:asciiTheme="majorHAnsi" w:hAnsiTheme="majorHAnsi" w:cstheme="majorHAnsi"/>
          <w:sz w:val="22"/>
          <w:szCs w:val="22"/>
        </w:rPr>
        <w:t xml:space="preserve">upoštevana </w:t>
      </w:r>
      <w:r w:rsidR="00F03F97" w:rsidRPr="000020F0">
        <w:rPr>
          <w:rFonts w:asciiTheme="majorHAnsi" w:hAnsiTheme="majorHAnsi" w:cstheme="majorHAnsi"/>
          <w:sz w:val="22"/>
          <w:szCs w:val="22"/>
        </w:rPr>
        <w:t>omejitev z javnim razpisom, tj. 80%.</w:t>
      </w:r>
    </w:p>
    <w:p w14:paraId="12433117" w14:textId="52A2B625" w:rsidR="00F55912" w:rsidRPr="000020F0" w:rsidRDefault="00F55912" w:rsidP="00BD1D20">
      <w:pPr>
        <w:pStyle w:val="Naslov2"/>
        <w:numPr>
          <w:ilvl w:val="1"/>
          <w:numId w:val="2"/>
        </w:numPr>
        <w:spacing w:before="240" w:after="240"/>
        <w:ind w:left="578" w:hanging="578"/>
        <w:rPr>
          <w:rFonts w:asciiTheme="majorHAnsi" w:eastAsiaTheme="majorEastAsia" w:hAnsiTheme="majorHAnsi" w:cstheme="majorHAnsi"/>
          <w:color w:val="244061" w:themeColor="accent1" w:themeShade="80"/>
        </w:rPr>
      </w:pPr>
      <w:bookmarkStart w:id="408" w:name="_Ref230594395"/>
      <w:bookmarkStart w:id="409" w:name="_Toc230882266"/>
      <w:bookmarkEnd w:id="398"/>
      <w:r w:rsidRPr="000020F0">
        <w:rPr>
          <w:rFonts w:asciiTheme="majorHAnsi" w:eastAsiaTheme="majorEastAsia" w:hAnsiTheme="majorHAnsi" w:cstheme="majorHAnsi"/>
          <w:color w:val="244061" w:themeColor="accent1" w:themeShade="80"/>
        </w:rPr>
        <w:t>Ekonomska analiza projekta</w:t>
      </w:r>
      <w:bookmarkEnd w:id="408"/>
      <w:bookmarkEnd w:id="409"/>
    </w:p>
    <w:p w14:paraId="36BEEB30"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Analiza stroškov in koristi je temeljno orodje za ocenjevanje ekonomskih koristi projektov. Potrebno je oceniti vse vplive, tj. finančne, ekonomske in družbene, vpliv na okolje, itd.</w:t>
      </w:r>
    </w:p>
    <w:p w14:paraId="5551743E"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Cilj Analize stroškov in koristi je opredeliti in ovrednotiti (tj. pripisati vrednosti v denarnih enotah) vse morebitne vplive, saj so na ta način določeni stroški in koristi projekta.</w:t>
      </w:r>
    </w:p>
    <w:p w14:paraId="30E54644"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lastRenderedPageBreak/>
        <w:t>Rezultat Analize stroškov in koristi je izračunana celota (neto koristi), po finančnem delu pa je ugotovitve potrebno okrepiti s sklepi, ali je projekt zaželen in ali se ga splača izvesti.</w:t>
      </w:r>
    </w:p>
    <w:p w14:paraId="66C56D13" w14:textId="40C63740"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Evropska Komisija, v skladu s sprejeto Uredbo (EU) št. 1303/2013 Evropskega parlamenta in Sveta z dne 17.12.2013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priporoča uporabo 5 % družbene diskontne stopnje za velike projekte iz Kohezijskih držav članic ter 3 % družbeno diskontno stopnjo za ostale članice Unije, torej v našem primeru kot merilo za presojo upravič</w:t>
      </w:r>
      <w:r w:rsidR="001E2946" w:rsidRPr="000020F0">
        <w:rPr>
          <w:rFonts w:asciiTheme="majorHAnsi" w:hAnsiTheme="majorHAnsi" w:cstheme="majorHAnsi"/>
          <w:sz w:val="22"/>
          <w:szCs w:val="22"/>
        </w:rPr>
        <w:t>enosti investicijskih projektov</w:t>
      </w:r>
      <w:r w:rsidRPr="000020F0">
        <w:rPr>
          <w:rFonts w:asciiTheme="majorHAnsi" w:hAnsiTheme="majorHAnsi" w:cstheme="majorHAnsi"/>
          <w:sz w:val="22"/>
          <w:szCs w:val="22"/>
        </w:rPr>
        <w:t xml:space="preserve"> velja </w:t>
      </w:r>
      <w:r w:rsidR="00756F6B" w:rsidRPr="000020F0">
        <w:rPr>
          <w:rFonts w:asciiTheme="majorHAnsi" w:hAnsiTheme="majorHAnsi" w:cstheme="majorHAnsi"/>
          <w:sz w:val="22"/>
          <w:szCs w:val="22"/>
        </w:rPr>
        <w:t>4</w:t>
      </w:r>
      <w:r w:rsidRPr="000020F0">
        <w:rPr>
          <w:rFonts w:asciiTheme="majorHAnsi" w:hAnsiTheme="majorHAnsi" w:cstheme="majorHAnsi"/>
          <w:sz w:val="22"/>
          <w:szCs w:val="22"/>
        </w:rPr>
        <w:t xml:space="preserve"> % družbena diskontna stopnja.</w:t>
      </w:r>
    </w:p>
    <w:p w14:paraId="3EF671F5" w14:textId="77777777"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Ekonomska ocena se dela iz širšega družbenega vidika in poleg finančnih kazalcev zajema tudi ostale parametre, na primer vpliv na okolje, varnost, zdravje in podobno, pri čemer se gleda posredne učinke ne samo na investitorja, ampak tudi na širšo družbo. Vsi ti kazalci imajo skupno to, da jih je težko denarno ovrednotiti.</w:t>
      </w:r>
    </w:p>
    <w:p w14:paraId="0F7E87BE" w14:textId="11F08070" w:rsidR="00DB691E" w:rsidRPr="000020F0" w:rsidRDefault="00DB69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V tem kontekstu je projekt vzpostavitve in testiranja nove </w:t>
      </w:r>
      <w:r w:rsidR="00FE57AB" w:rsidRPr="000020F0">
        <w:rPr>
          <w:rFonts w:asciiTheme="majorHAnsi" w:hAnsiTheme="majorHAnsi" w:cstheme="majorHAnsi"/>
          <w:sz w:val="22"/>
          <w:szCs w:val="22"/>
        </w:rPr>
        <w:t xml:space="preserve">aplikacije </w:t>
      </w:r>
      <w:r w:rsidRPr="000020F0">
        <w:rPr>
          <w:rFonts w:asciiTheme="majorHAnsi" w:hAnsiTheme="majorHAnsi" w:cstheme="majorHAnsi"/>
          <w:sz w:val="22"/>
          <w:szCs w:val="22"/>
        </w:rPr>
        <w:t>socialne aktivacije ter izvedba s</w:t>
      </w:r>
      <w:r w:rsidR="001E2946" w:rsidRPr="000020F0">
        <w:rPr>
          <w:rFonts w:asciiTheme="majorHAnsi" w:hAnsiTheme="majorHAnsi" w:cstheme="majorHAnsi"/>
          <w:sz w:val="22"/>
          <w:szCs w:val="22"/>
        </w:rPr>
        <w:t>ocialno aktivacijskih programov</w:t>
      </w:r>
      <w:r w:rsidRPr="000020F0">
        <w:rPr>
          <w:rFonts w:asciiTheme="majorHAnsi" w:hAnsiTheme="majorHAnsi" w:cstheme="majorHAnsi"/>
          <w:sz w:val="22"/>
          <w:szCs w:val="22"/>
        </w:rPr>
        <w:t xml:space="preserve"> vsekakor pozitivna. Ocenjujemo, da pozitivni nedenarni stroški projekta prav gotovo presegajo denarne in nedenarne stroške projekta. Kot že sledi iz zgornjih navedb</w:t>
      </w:r>
      <w:r w:rsidR="001E2946" w:rsidRPr="000020F0">
        <w:rPr>
          <w:rFonts w:asciiTheme="majorHAnsi" w:hAnsiTheme="majorHAnsi" w:cstheme="majorHAnsi"/>
          <w:sz w:val="22"/>
          <w:szCs w:val="22"/>
        </w:rPr>
        <w:t>,</w:t>
      </w:r>
      <w:r w:rsidRPr="000020F0">
        <w:rPr>
          <w:rFonts w:asciiTheme="majorHAnsi" w:hAnsiTheme="majorHAnsi" w:cstheme="majorHAnsi"/>
          <w:sz w:val="22"/>
          <w:szCs w:val="22"/>
        </w:rPr>
        <w:t xml:space="preserve"> obstaja veliko nedenarnih vidikov projekta, ki so vsi po vrsti pozitivni. </w:t>
      </w:r>
    </w:p>
    <w:p w14:paraId="042A3F4C" w14:textId="77777777" w:rsidR="00437799" w:rsidRPr="000020F0" w:rsidRDefault="006208C0"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0" w:name="_Toc230882267"/>
      <w:r w:rsidRPr="000020F0">
        <w:rPr>
          <w:rFonts w:asciiTheme="majorHAnsi" w:eastAsiaTheme="majorEastAsia" w:hAnsiTheme="majorHAnsi" w:cstheme="majorHAnsi"/>
          <w:color w:val="244061" w:themeColor="accent1" w:themeShade="80"/>
        </w:rPr>
        <w:t>D</w:t>
      </w:r>
      <w:r w:rsidR="00F55912" w:rsidRPr="000020F0">
        <w:rPr>
          <w:rFonts w:asciiTheme="majorHAnsi" w:eastAsiaTheme="majorEastAsia" w:hAnsiTheme="majorHAnsi" w:cstheme="majorHAnsi"/>
          <w:color w:val="244061" w:themeColor="accent1" w:themeShade="80"/>
        </w:rPr>
        <w:t>avčni popravki</w:t>
      </w:r>
      <w:bookmarkEnd w:id="410"/>
    </w:p>
    <w:p w14:paraId="63CAEDB8" w14:textId="358C4A28" w:rsidR="006208C0" w:rsidRPr="000020F0" w:rsidRDefault="006208C0" w:rsidP="00BD1D20">
      <w:pPr>
        <w:tabs>
          <w:tab w:val="left" w:pos="8520"/>
          <w:tab w:val="left" w:pos="8662"/>
          <w:tab w:val="left" w:pos="9088"/>
          <w:tab w:val="left" w:pos="9656"/>
        </w:tabs>
        <w:autoSpaceDE w:val="0"/>
        <w:autoSpaceDN w:val="0"/>
        <w:adjustRightInd w:val="0"/>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Tržne cene vsebujejo tudi davke in prispevke ter nekatera transferna plačila, ki lahko vplivajo na relativne cene. </w:t>
      </w:r>
      <w:r w:rsidR="007E3C10" w:rsidRPr="000020F0">
        <w:rPr>
          <w:rFonts w:asciiTheme="majorHAnsi" w:eastAsia="Arial Unicode MS" w:hAnsiTheme="majorHAnsi" w:cstheme="majorHAnsi"/>
          <w:sz w:val="22"/>
          <w:szCs w:val="22"/>
        </w:rPr>
        <w:t>V</w:t>
      </w:r>
      <w:r w:rsidRPr="000020F0">
        <w:rPr>
          <w:rFonts w:asciiTheme="majorHAnsi" w:eastAsia="Arial Unicode MS" w:hAnsiTheme="majorHAnsi" w:cstheme="majorHAnsi"/>
          <w:sz w:val="22"/>
          <w:szCs w:val="22"/>
        </w:rPr>
        <w:t xml:space="preserve"> nekaterih primerih </w:t>
      </w:r>
      <w:r w:rsidR="007E3C10" w:rsidRPr="000020F0">
        <w:rPr>
          <w:rFonts w:asciiTheme="majorHAnsi" w:eastAsia="Arial Unicode MS" w:hAnsiTheme="majorHAnsi" w:cstheme="majorHAnsi"/>
          <w:sz w:val="22"/>
          <w:szCs w:val="22"/>
        </w:rPr>
        <w:t xml:space="preserve">je </w:t>
      </w:r>
      <w:r w:rsidRPr="000020F0">
        <w:rPr>
          <w:rFonts w:asciiTheme="majorHAnsi" w:eastAsia="Arial Unicode MS" w:hAnsiTheme="majorHAnsi" w:cstheme="majorHAnsi"/>
          <w:sz w:val="22"/>
          <w:szCs w:val="22"/>
        </w:rPr>
        <w:t xml:space="preserve">morda težko oceniti raven cen brez davkov, </w:t>
      </w:r>
      <w:r w:rsidR="007E3C10" w:rsidRPr="000020F0">
        <w:rPr>
          <w:rFonts w:asciiTheme="majorHAnsi" w:eastAsia="Arial Unicode MS" w:hAnsiTheme="majorHAnsi" w:cstheme="majorHAnsi"/>
          <w:sz w:val="22"/>
          <w:szCs w:val="22"/>
        </w:rPr>
        <w:t xml:space="preserve">vendar </w:t>
      </w:r>
      <w:r w:rsidRPr="000020F0">
        <w:rPr>
          <w:rFonts w:asciiTheme="majorHAnsi" w:eastAsia="Arial Unicode MS" w:hAnsiTheme="majorHAnsi" w:cstheme="majorHAnsi"/>
          <w:sz w:val="22"/>
          <w:szCs w:val="22"/>
        </w:rPr>
        <w:t>se lahko določijo nekateri splošni približki in odpravijo ta nesorazmerja cen:</w:t>
      </w:r>
    </w:p>
    <w:p w14:paraId="7B0EA500" w14:textId="36C3B046" w:rsidR="006208C0" w:rsidRPr="000020F0" w:rsidRDefault="007E3C10"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c</w:t>
      </w:r>
      <w:r w:rsidR="00DE6DC7" w:rsidRPr="000020F0">
        <w:rPr>
          <w:rFonts w:asciiTheme="majorHAnsi" w:eastAsia="Arial Unicode MS" w:hAnsiTheme="majorHAnsi" w:cstheme="majorHAnsi"/>
          <w:sz w:val="22"/>
          <w:szCs w:val="22"/>
          <w:lang w:eastAsia="x-none"/>
        </w:rPr>
        <w:t xml:space="preserve">ene </w:t>
      </w:r>
      <w:proofErr w:type="spellStart"/>
      <w:r w:rsidR="006208C0" w:rsidRPr="000020F0">
        <w:rPr>
          <w:rFonts w:asciiTheme="majorHAnsi" w:eastAsia="Arial Unicode MS" w:hAnsiTheme="majorHAnsi" w:cstheme="majorHAnsi"/>
          <w:sz w:val="22"/>
          <w:szCs w:val="22"/>
          <w:lang w:eastAsia="x-none"/>
        </w:rPr>
        <w:t>inputov</w:t>
      </w:r>
      <w:proofErr w:type="spellEnd"/>
      <w:r w:rsidR="006208C0" w:rsidRPr="000020F0">
        <w:rPr>
          <w:rFonts w:asciiTheme="majorHAnsi" w:eastAsia="Arial Unicode MS" w:hAnsiTheme="majorHAnsi" w:cstheme="majorHAnsi"/>
          <w:sz w:val="22"/>
          <w:szCs w:val="22"/>
          <w:lang w:eastAsia="x-none"/>
        </w:rPr>
        <w:t xml:space="preserve"> in </w:t>
      </w:r>
      <w:proofErr w:type="spellStart"/>
      <w:r w:rsidR="006208C0" w:rsidRPr="000020F0">
        <w:rPr>
          <w:rFonts w:asciiTheme="majorHAnsi" w:eastAsia="Arial Unicode MS" w:hAnsiTheme="majorHAnsi" w:cstheme="majorHAnsi"/>
          <w:sz w:val="22"/>
          <w:szCs w:val="22"/>
          <w:lang w:eastAsia="x-none"/>
        </w:rPr>
        <w:t>outputov</w:t>
      </w:r>
      <w:proofErr w:type="spellEnd"/>
      <w:r w:rsidR="006208C0" w:rsidRPr="000020F0">
        <w:rPr>
          <w:rFonts w:asciiTheme="majorHAnsi" w:eastAsia="Arial Unicode MS" w:hAnsiTheme="majorHAnsi" w:cstheme="majorHAnsi"/>
          <w:sz w:val="22"/>
          <w:szCs w:val="22"/>
          <w:lang w:eastAsia="x-none"/>
        </w:rPr>
        <w:t>, ki se jih upošteva v CBA, ne smejo vključevati DDV ali katerih koli drugih posrednih dajatev</w:t>
      </w:r>
      <w:r w:rsidRPr="000020F0">
        <w:rPr>
          <w:rFonts w:asciiTheme="majorHAnsi" w:eastAsia="Arial Unicode MS" w:hAnsiTheme="majorHAnsi" w:cstheme="majorHAnsi"/>
          <w:sz w:val="22"/>
          <w:szCs w:val="22"/>
          <w:lang w:eastAsia="x-none"/>
        </w:rPr>
        <w:t>;</w:t>
      </w:r>
    </w:p>
    <w:p w14:paraId="7BDCE62F" w14:textId="7B262580" w:rsidR="006208C0" w:rsidRPr="000020F0" w:rsidRDefault="007E3C10"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hAnsiTheme="majorHAnsi" w:cstheme="majorHAnsi"/>
          <w:sz w:val="22"/>
          <w:szCs w:val="22"/>
        </w:rPr>
        <w:t>c</w:t>
      </w:r>
      <w:r w:rsidR="00DE6DC7" w:rsidRPr="000020F0">
        <w:rPr>
          <w:rFonts w:asciiTheme="majorHAnsi" w:hAnsiTheme="majorHAnsi" w:cstheme="majorHAnsi"/>
          <w:sz w:val="22"/>
          <w:szCs w:val="22"/>
        </w:rPr>
        <w:t>ene</w:t>
      </w:r>
      <w:r w:rsidR="00DE6DC7" w:rsidRPr="000020F0">
        <w:rPr>
          <w:rFonts w:asciiTheme="majorHAnsi" w:eastAsia="Arial Unicode MS" w:hAnsiTheme="majorHAnsi" w:cstheme="majorHAnsi"/>
          <w:sz w:val="22"/>
          <w:szCs w:val="22"/>
          <w:lang w:eastAsia="x-none"/>
        </w:rPr>
        <w:t xml:space="preserve"> </w:t>
      </w:r>
      <w:r w:rsidR="006208C0" w:rsidRPr="000020F0">
        <w:rPr>
          <w:rFonts w:asciiTheme="majorHAnsi" w:eastAsia="Arial Unicode MS" w:hAnsiTheme="majorHAnsi" w:cstheme="majorHAnsi"/>
          <w:sz w:val="22"/>
          <w:szCs w:val="22"/>
          <w:lang w:eastAsia="x-none"/>
        </w:rPr>
        <w:t xml:space="preserve">vključenih </w:t>
      </w:r>
      <w:proofErr w:type="spellStart"/>
      <w:r w:rsidR="006208C0" w:rsidRPr="000020F0">
        <w:rPr>
          <w:rFonts w:asciiTheme="majorHAnsi" w:eastAsia="Arial Unicode MS" w:hAnsiTheme="majorHAnsi" w:cstheme="majorHAnsi"/>
          <w:sz w:val="22"/>
          <w:szCs w:val="22"/>
          <w:lang w:eastAsia="x-none"/>
        </w:rPr>
        <w:t>inputov</w:t>
      </w:r>
      <w:proofErr w:type="spellEnd"/>
      <w:r w:rsidR="006208C0" w:rsidRPr="000020F0">
        <w:rPr>
          <w:rFonts w:asciiTheme="majorHAnsi" w:eastAsia="Arial Unicode MS" w:hAnsiTheme="majorHAnsi" w:cstheme="majorHAnsi"/>
          <w:sz w:val="22"/>
          <w:szCs w:val="22"/>
          <w:lang w:eastAsia="x-none"/>
        </w:rPr>
        <w:t xml:space="preserve"> </w:t>
      </w:r>
      <w:r w:rsidRPr="000020F0">
        <w:rPr>
          <w:rFonts w:asciiTheme="majorHAnsi" w:eastAsia="Arial Unicode MS" w:hAnsiTheme="majorHAnsi" w:cstheme="majorHAnsi"/>
          <w:sz w:val="22"/>
          <w:szCs w:val="22"/>
          <w:lang w:eastAsia="x-none"/>
        </w:rPr>
        <w:t xml:space="preserve">v CBA </w:t>
      </w:r>
      <w:r w:rsidR="006208C0" w:rsidRPr="000020F0">
        <w:rPr>
          <w:rFonts w:asciiTheme="majorHAnsi" w:eastAsia="Arial Unicode MS" w:hAnsiTheme="majorHAnsi" w:cstheme="majorHAnsi"/>
          <w:sz w:val="22"/>
          <w:szCs w:val="22"/>
          <w:lang w:eastAsia="x-none"/>
        </w:rPr>
        <w:t>morajo biti v celo</w:t>
      </w:r>
      <w:r w:rsidRPr="000020F0">
        <w:rPr>
          <w:rFonts w:asciiTheme="majorHAnsi" w:eastAsia="Arial Unicode MS" w:hAnsiTheme="majorHAnsi" w:cstheme="majorHAnsi"/>
          <w:sz w:val="22"/>
          <w:szCs w:val="22"/>
          <w:lang w:eastAsia="x-none"/>
        </w:rPr>
        <w:t>ti brez neposrednih davščin;</w:t>
      </w:r>
    </w:p>
    <w:p w14:paraId="64779C92" w14:textId="1C15BDC4" w:rsidR="006208C0" w:rsidRPr="000020F0" w:rsidRDefault="007E3C10"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hAnsiTheme="majorHAnsi" w:cstheme="majorHAnsi"/>
          <w:sz w:val="22"/>
          <w:szCs w:val="22"/>
        </w:rPr>
        <w:t>i</w:t>
      </w:r>
      <w:r w:rsidR="00DE6DC7" w:rsidRPr="000020F0">
        <w:rPr>
          <w:rFonts w:asciiTheme="majorHAnsi" w:hAnsiTheme="majorHAnsi" w:cstheme="majorHAnsi"/>
          <w:sz w:val="22"/>
          <w:szCs w:val="22"/>
        </w:rPr>
        <w:t>zpustiti</w:t>
      </w:r>
      <w:r w:rsidR="00DE6DC7" w:rsidRPr="000020F0">
        <w:rPr>
          <w:rFonts w:asciiTheme="majorHAnsi" w:eastAsia="Arial Unicode MS" w:hAnsiTheme="majorHAnsi" w:cstheme="majorHAnsi"/>
          <w:sz w:val="22"/>
          <w:szCs w:val="22"/>
          <w:lang w:eastAsia="x-none"/>
        </w:rPr>
        <w:t xml:space="preserve"> </w:t>
      </w:r>
      <w:r w:rsidR="006208C0" w:rsidRPr="000020F0">
        <w:rPr>
          <w:rFonts w:asciiTheme="majorHAnsi" w:eastAsia="Arial Unicode MS" w:hAnsiTheme="majorHAnsi" w:cstheme="majorHAnsi"/>
          <w:sz w:val="22"/>
          <w:szCs w:val="22"/>
          <w:lang w:eastAsia="x-none"/>
        </w:rPr>
        <w:t xml:space="preserve">je treba čista transferna plačila posameznikom, </w:t>
      </w:r>
      <w:r w:rsidRPr="000020F0">
        <w:rPr>
          <w:rFonts w:asciiTheme="majorHAnsi" w:eastAsia="Arial Unicode MS" w:hAnsiTheme="majorHAnsi" w:cstheme="majorHAnsi"/>
          <w:sz w:val="22"/>
          <w:szCs w:val="22"/>
          <w:lang w:eastAsia="x-none"/>
        </w:rPr>
        <w:t>kot</w:t>
      </w:r>
      <w:r w:rsidR="006208C0" w:rsidRPr="000020F0">
        <w:rPr>
          <w:rFonts w:asciiTheme="majorHAnsi" w:eastAsia="Arial Unicode MS" w:hAnsiTheme="majorHAnsi" w:cstheme="majorHAnsi"/>
          <w:sz w:val="22"/>
          <w:szCs w:val="22"/>
          <w:lang w:eastAsia="x-none"/>
        </w:rPr>
        <w:t xml:space="preserve"> so na primer plačila za socialno zavarovanje</w:t>
      </w:r>
      <w:r w:rsidRPr="000020F0">
        <w:rPr>
          <w:rFonts w:asciiTheme="majorHAnsi" w:eastAsia="Arial Unicode MS" w:hAnsiTheme="majorHAnsi" w:cstheme="majorHAnsi"/>
          <w:sz w:val="22"/>
          <w:szCs w:val="22"/>
          <w:lang w:eastAsia="x-none"/>
        </w:rPr>
        <w:t>;</w:t>
      </w:r>
    </w:p>
    <w:p w14:paraId="5BBE84D9" w14:textId="6C6621DB" w:rsidR="006208C0" w:rsidRPr="000020F0" w:rsidRDefault="007E3C10" w:rsidP="00BD1D20">
      <w:pPr>
        <w:numPr>
          <w:ilvl w:val="0"/>
          <w:numId w:val="92"/>
        </w:numPr>
        <w:spacing w:line="276" w:lineRule="auto"/>
        <w:contextualSpacing/>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lang w:eastAsia="x-none"/>
        </w:rPr>
        <w:t>v</w:t>
      </w:r>
      <w:r w:rsidR="00DE6DC7" w:rsidRPr="000020F0">
        <w:rPr>
          <w:rFonts w:asciiTheme="majorHAnsi" w:eastAsia="Arial Unicode MS" w:hAnsiTheme="majorHAnsi" w:cstheme="majorHAnsi"/>
          <w:sz w:val="22"/>
          <w:szCs w:val="22"/>
          <w:lang w:eastAsia="x-none"/>
        </w:rPr>
        <w:t xml:space="preserve"> </w:t>
      </w:r>
      <w:r w:rsidR="006208C0" w:rsidRPr="000020F0">
        <w:rPr>
          <w:rFonts w:asciiTheme="majorHAnsi" w:eastAsia="Arial Unicode MS" w:hAnsiTheme="majorHAnsi" w:cstheme="majorHAnsi"/>
          <w:sz w:val="22"/>
          <w:szCs w:val="22"/>
          <w:lang w:eastAsia="x-none"/>
        </w:rPr>
        <w:t>določenih primerih se neposredni davki in subvencije lahko uporabijo tudi za popravek zunanjih vplivov.</w:t>
      </w:r>
    </w:p>
    <w:p w14:paraId="36FB63AE" w14:textId="77777777" w:rsidR="006208C0" w:rsidRPr="000020F0" w:rsidRDefault="006208C0" w:rsidP="00BD1D20">
      <w:pPr>
        <w:tabs>
          <w:tab w:val="left" w:pos="8520"/>
          <w:tab w:val="left" w:pos="8662"/>
          <w:tab w:val="left" w:pos="9088"/>
          <w:tab w:val="left" w:pos="9656"/>
        </w:tabs>
        <w:autoSpaceDE w:val="0"/>
        <w:autoSpaceDN w:val="0"/>
        <w:adjustRightInd w:val="0"/>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V tem primeru to pomeni, da je iz vrednosti investicije izključen DDV, kar je upoštevano v tabeli izračuna ekonomske stopnje donosnosti, ki je navedena v nadaljevanju.</w:t>
      </w:r>
    </w:p>
    <w:p w14:paraId="652BE4CC" w14:textId="77777777" w:rsidR="00437799"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1" w:name="_Toc230882268"/>
      <w:r w:rsidRPr="000020F0">
        <w:rPr>
          <w:rFonts w:asciiTheme="majorHAnsi" w:eastAsiaTheme="majorEastAsia" w:hAnsiTheme="majorHAnsi" w:cstheme="majorHAnsi"/>
          <w:color w:val="244061" w:themeColor="accent1" w:themeShade="80"/>
        </w:rPr>
        <w:t xml:space="preserve">Faza II – popravki zaradi </w:t>
      </w:r>
      <w:proofErr w:type="spellStart"/>
      <w:r w:rsidRPr="000020F0">
        <w:rPr>
          <w:rFonts w:asciiTheme="majorHAnsi" w:eastAsiaTheme="majorEastAsia" w:hAnsiTheme="majorHAnsi" w:cstheme="majorHAnsi"/>
          <w:color w:val="244061" w:themeColor="accent1" w:themeShade="80"/>
        </w:rPr>
        <w:t>eksternalij</w:t>
      </w:r>
      <w:bookmarkEnd w:id="411"/>
      <w:proofErr w:type="spellEnd"/>
    </w:p>
    <w:p w14:paraId="5FF5571A" w14:textId="77777777" w:rsidR="00C07114" w:rsidRPr="000020F0" w:rsidRDefault="00C07114" w:rsidP="00BD1D20">
      <w:pPr>
        <w:autoSpaceDE w:val="0"/>
        <w:autoSpaceDN w:val="0"/>
        <w:adjustRightInd w:val="0"/>
        <w:spacing w:after="120"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Namen te faze je določiti koristi ali stroške zaradi zunanjih dejavnikov, ki niso bili upoštevani v finančni analizi. Na primer stroški in koristi, ki izhajajo iz omogočitve boljšega življenja prebivalcev in obiskovalcev naše občine. Praviloma je te zunanje koristi in stroške težko ovrednotiti, četudi jih je mogoče določiti. </w:t>
      </w:r>
    </w:p>
    <w:p w14:paraId="621B56FC" w14:textId="77777777" w:rsidR="00C07114" w:rsidRPr="000020F0" w:rsidRDefault="00C07114" w:rsidP="00BD1D20">
      <w:pPr>
        <w:autoSpaceDE w:val="0"/>
        <w:autoSpaceDN w:val="0"/>
        <w:adjustRightInd w:val="0"/>
        <w:spacing w:after="120"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Kot splošno pravilo velja, da je treba vse družbene koristi in stroške, ki se prelivajo od projekta k ostalim subjektom brez nadomestila, v CBA upoštevati kot dodatek k njegovim finančnim stroškom. Zunanjim vplivom je treba določiti denarne vrednosti, če je to le mogoče. Če ni, jih je treba opisati z nedenarnimi pokazatelji.</w:t>
      </w:r>
    </w:p>
    <w:p w14:paraId="4DE4F9E2" w14:textId="77777777" w:rsidR="00C07114" w:rsidRPr="000020F0" w:rsidRDefault="00C07114" w:rsidP="00BD1D20">
      <w:pPr>
        <w:autoSpaceDE w:val="0"/>
        <w:autoSpaceDN w:val="0"/>
        <w:adjustRightInd w:val="0"/>
        <w:spacing w:after="120"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lastRenderedPageBreak/>
        <w:t xml:space="preserve">V našem primeru je določitev eksternih koristi in stroškov za obravnavano investicijo težavna, saj je zelo malo oprijemljivih podatkov, na podlagi katerih bi lahko verodostojno ocenili </w:t>
      </w:r>
      <w:proofErr w:type="spellStart"/>
      <w:r w:rsidRPr="000020F0">
        <w:rPr>
          <w:rFonts w:asciiTheme="majorHAnsi" w:eastAsia="Arial Unicode MS" w:hAnsiTheme="majorHAnsi" w:cstheme="majorHAnsi"/>
          <w:sz w:val="22"/>
          <w:szCs w:val="22"/>
        </w:rPr>
        <w:t>eksternalije</w:t>
      </w:r>
      <w:proofErr w:type="spellEnd"/>
      <w:r w:rsidRPr="000020F0">
        <w:rPr>
          <w:rFonts w:asciiTheme="majorHAnsi" w:eastAsia="Arial Unicode MS" w:hAnsiTheme="majorHAnsi" w:cstheme="majorHAnsi"/>
          <w:sz w:val="22"/>
          <w:szCs w:val="22"/>
        </w:rPr>
        <w:t>.</w:t>
      </w:r>
    </w:p>
    <w:p w14:paraId="64532200" w14:textId="1D49BE6C" w:rsidR="00C07114" w:rsidRPr="000020F0" w:rsidRDefault="00C07114" w:rsidP="00BD1D20">
      <w:pPr>
        <w:autoSpaceDE w:val="0"/>
        <w:autoSpaceDN w:val="0"/>
        <w:adjustRightInd w:val="0"/>
        <w:spacing w:after="120" w:line="276" w:lineRule="auto"/>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rPr>
        <w:t xml:space="preserve">Koristi, ki se jih upošteva v ekonomski analizi in jih prinaša projekt so torej </w:t>
      </w:r>
      <w:r w:rsidRPr="000020F0">
        <w:rPr>
          <w:rFonts w:asciiTheme="majorHAnsi" w:eastAsia="Arial Unicode MS" w:hAnsiTheme="majorHAnsi" w:cstheme="majorHAnsi"/>
          <w:sz w:val="22"/>
          <w:szCs w:val="22"/>
          <w:lang w:eastAsia="x-none"/>
        </w:rPr>
        <w:t>koris</w:t>
      </w:r>
      <w:r w:rsidR="00A56EF7" w:rsidRPr="000020F0">
        <w:rPr>
          <w:rFonts w:asciiTheme="majorHAnsi" w:eastAsia="Arial Unicode MS" w:hAnsiTheme="majorHAnsi" w:cstheme="majorHAnsi"/>
          <w:sz w:val="22"/>
          <w:szCs w:val="22"/>
          <w:lang w:eastAsia="x-none"/>
        </w:rPr>
        <w:t xml:space="preserve">ti za investitorja in družbo – </w:t>
      </w:r>
      <w:r w:rsidRPr="000020F0">
        <w:rPr>
          <w:rFonts w:asciiTheme="majorHAnsi" w:eastAsia="Arial Unicode MS" w:hAnsiTheme="majorHAnsi" w:cstheme="majorHAnsi"/>
          <w:sz w:val="22"/>
          <w:szCs w:val="22"/>
          <w:lang w:eastAsia="x-none"/>
        </w:rPr>
        <w:t>pogoji za boljše življenje.</w:t>
      </w:r>
    </w:p>
    <w:p w14:paraId="644C3E1A" w14:textId="77777777" w:rsidR="00F55912" w:rsidRPr="000020F0" w:rsidRDefault="00482A34"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2" w:name="_Toc230882269"/>
      <w:r w:rsidRPr="000020F0">
        <w:rPr>
          <w:rFonts w:asciiTheme="majorHAnsi" w:eastAsiaTheme="majorEastAsia" w:hAnsiTheme="majorHAnsi" w:cstheme="majorHAnsi"/>
          <w:color w:val="244061" w:themeColor="accent1" w:themeShade="80"/>
        </w:rPr>
        <w:t xml:space="preserve">Pretvorba </w:t>
      </w:r>
      <w:r w:rsidR="00A10B70" w:rsidRPr="000020F0">
        <w:rPr>
          <w:rFonts w:asciiTheme="majorHAnsi" w:eastAsiaTheme="majorEastAsia" w:hAnsiTheme="majorHAnsi" w:cstheme="majorHAnsi"/>
          <w:color w:val="244061" w:themeColor="accent1" w:themeShade="80"/>
        </w:rPr>
        <w:t>tržnih cen v obračunske cene</w:t>
      </w:r>
      <w:bookmarkEnd w:id="412"/>
      <w:r w:rsidR="00F55912" w:rsidRPr="000020F0">
        <w:rPr>
          <w:rFonts w:asciiTheme="majorHAnsi" w:eastAsiaTheme="majorEastAsia" w:hAnsiTheme="majorHAnsi" w:cstheme="majorHAnsi"/>
          <w:color w:val="244061" w:themeColor="accent1" w:themeShade="80"/>
        </w:rPr>
        <w:t xml:space="preserve"> </w:t>
      </w:r>
    </w:p>
    <w:p w14:paraId="5BF75F0F" w14:textId="7B6745FB" w:rsidR="00690F37" w:rsidRPr="000020F0" w:rsidRDefault="00690F37" w:rsidP="00BD1D20">
      <w:pPr>
        <w:spacing w:before="120" w:after="120"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Cilj pretvorbe tržnih cen v obračunske cene je določitev davčnih popravkov. Predpostavlja se, da trgov</w:t>
      </w:r>
      <w:r w:rsidR="00B53531" w:rsidRPr="000020F0">
        <w:rPr>
          <w:rFonts w:asciiTheme="majorHAnsi" w:eastAsia="Arial Unicode MS" w:hAnsiTheme="majorHAnsi" w:cstheme="majorHAnsi"/>
          <w:sz w:val="22"/>
          <w:szCs w:val="22"/>
        </w:rPr>
        <w:t>in</w:t>
      </w:r>
      <w:r w:rsidRPr="000020F0">
        <w:rPr>
          <w:rFonts w:asciiTheme="majorHAnsi" w:eastAsia="Arial Unicode MS" w:hAnsiTheme="majorHAnsi" w:cstheme="majorHAnsi"/>
          <w:sz w:val="22"/>
          <w:szCs w:val="22"/>
        </w:rPr>
        <w:t>ska menjava poteka samo znotraj EU, tako da se zunaj-trgovinske menjave in s tem vplive uvoz</w:t>
      </w:r>
      <w:r w:rsidR="00255284" w:rsidRPr="000020F0">
        <w:rPr>
          <w:rFonts w:asciiTheme="majorHAnsi" w:eastAsia="Arial Unicode MS" w:hAnsiTheme="majorHAnsi" w:cstheme="majorHAnsi"/>
          <w:sz w:val="22"/>
          <w:szCs w:val="22"/>
        </w:rPr>
        <w:t>n</w:t>
      </w:r>
      <w:r w:rsidRPr="000020F0">
        <w:rPr>
          <w:rFonts w:asciiTheme="majorHAnsi" w:eastAsia="Arial Unicode MS" w:hAnsiTheme="majorHAnsi" w:cstheme="majorHAnsi"/>
          <w:sz w:val="22"/>
          <w:szCs w:val="22"/>
        </w:rPr>
        <w:t xml:space="preserve">ih in izvoznih dajatev ne upošteva. </w:t>
      </w:r>
    </w:p>
    <w:p w14:paraId="3C06A6B4" w14:textId="77777777" w:rsidR="00690F37" w:rsidRPr="000020F0" w:rsidRDefault="00690F37" w:rsidP="00BD1D20">
      <w:pPr>
        <w:spacing w:before="120" w:after="120" w:line="276" w:lineRule="auto"/>
        <w:jc w:val="both"/>
        <w:rPr>
          <w:rFonts w:asciiTheme="majorHAnsi" w:eastAsia="Arial Unicode MS" w:hAnsiTheme="majorHAnsi" w:cstheme="majorHAnsi"/>
          <w:sz w:val="22"/>
          <w:szCs w:val="22"/>
        </w:rPr>
      </w:pPr>
      <w:proofErr w:type="spellStart"/>
      <w:r w:rsidRPr="000020F0">
        <w:rPr>
          <w:rFonts w:asciiTheme="majorHAnsi" w:eastAsia="Arial Unicode MS" w:hAnsiTheme="majorHAnsi" w:cstheme="majorHAnsi"/>
          <w:sz w:val="22"/>
          <w:szCs w:val="22"/>
        </w:rPr>
        <w:t>Konverzijski</w:t>
      </w:r>
      <w:proofErr w:type="spellEnd"/>
      <w:r w:rsidRPr="000020F0">
        <w:rPr>
          <w:rFonts w:asciiTheme="majorHAnsi" w:eastAsia="Arial Unicode MS" w:hAnsiTheme="majorHAnsi" w:cstheme="majorHAnsi"/>
          <w:sz w:val="22"/>
          <w:szCs w:val="22"/>
        </w:rPr>
        <w:t xml:space="preserve"> faktorji (</w:t>
      </w:r>
      <w:proofErr w:type="spellStart"/>
      <w:r w:rsidRPr="000020F0">
        <w:rPr>
          <w:rFonts w:asciiTheme="majorHAnsi" w:eastAsia="Arial Unicode MS" w:hAnsiTheme="majorHAnsi" w:cstheme="majorHAnsi"/>
          <w:sz w:val="22"/>
          <w:szCs w:val="22"/>
        </w:rPr>
        <w:t>kf</w:t>
      </w:r>
      <w:proofErr w:type="spellEnd"/>
      <w:r w:rsidRPr="000020F0">
        <w:rPr>
          <w:rFonts w:asciiTheme="majorHAnsi" w:eastAsia="Arial Unicode MS" w:hAnsiTheme="majorHAnsi" w:cstheme="majorHAnsi"/>
          <w:sz w:val="22"/>
          <w:szCs w:val="22"/>
        </w:rPr>
        <w:t>) so:</w:t>
      </w:r>
    </w:p>
    <w:p w14:paraId="45D963C7" w14:textId="744D8C92" w:rsidR="00690F37" w:rsidRPr="000020F0" w:rsidRDefault="00690F37" w:rsidP="00BD1D20">
      <w:pPr>
        <w:spacing w:before="120" w:after="120" w:line="276" w:lineRule="auto"/>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rPr>
        <w:t xml:space="preserve">Za predmetni projekt smo </w:t>
      </w:r>
      <w:r w:rsidR="00655FE7" w:rsidRPr="000020F0">
        <w:rPr>
          <w:rFonts w:asciiTheme="majorHAnsi" w:eastAsia="Arial Unicode MS" w:hAnsiTheme="majorHAnsi" w:cstheme="majorHAnsi"/>
          <w:sz w:val="22"/>
          <w:szCs w:val="22"/>
        </w:rPr>
        <w:t xml:space="preserve">iz previdnosti </w:t>
      </w:r>
      <w:r w:rsidRPr="000020F0">
        <w:rPr>
          <w:rFonts w:asciiTheme="majorHAnsi" w:eastAsia="Arial Unicode MS" w:hAnsiTheme="majorHAnsi" w:cstheme="majorHAnsi"/>
          <w:sz w:val="22"/>
          <w:szCs w:val="22"/>
        </w:rPr>
        <w:t xml:space="preserve">upoštevali </w:t>
      </w:r>
      <w:proofErr w:type="spellStart"/>
      <w:r w:rsidRPr="000020F0">
        <w:rPr>
          <w:rFonts w:asciiTheme="majorHAnsi" w:eastAsia="Arial Unicode MS" w:hAnsiTheme="majorHAnsi" w:cstheme="majorHAnsi"/>
          <w:sz w:val="22"/>
          <w:szCs w:val="22"/>
        </w:rPr>
        <w:t>konverzijski</w:t>
      </w:r>
      <w:proofErr w:type="spellEnd"/>
      <w:r w:rsidRPr="000020F0">
        <w:rPr>
          <w:rFonts w:asciiTheme="majorHAnsi" w:eastAsia="Arial Unicode MS" w:hAnsiTheme="majorHAnsi" w:cstheme="majorHAnsi"/>
          <w:sz w:val="22"/>
          <w:szCs w:val="22"/>
        </w:rPr>
        <w:t xml:space="preserve"> faktor </w:t>
      </w:r>
      <w:r w:rsidR="00655FE7" w:rsidRPr="000020F0">
        <w:rPr>
          <w:rFonts w:asciiTheme="majorHAnsi" w:eastAsia="Arial Unicode MS" w:hAnsiTheme="majorHAnsi" w:cstheme="majorHAnsi"/>
          <w:sz w:val="22"/>
          <w:szCs w:val="22"/>
        </w:rPr>
        <w:t>1,00</w:t>
      </w:r>
      <w:r w:rsidRPr="000020F0">
        <w:rPr>
          <w:rFonts w:asciiTheme="majorHAnsi" w:eastAsia="Arial Unicode MS" w:hAnsiTheme="majorHAnsi" w:cstheme="majorHAnsi"/>
          <w:sz w:val="22"/>
          <w:szCs w:val="22"/>
        </w:rPr>
        <w:t xml:space="preserve"> za investicijsko vrednost </w:t>
      </w:r>
      <w:r w:rsidR="00655FE7" w:rsidRPr="000020F0">
        <w:rPr>
          <w:rFonts w:asciiTheme="majorHAnsi" w:eastAsia="Arial Unicode MS" w:hAnsiTheme="majorHAnsi" w:cstheme="majorHAnsi"/>
          <w:sz w:val="22"/>
          <w:szCs w:val="22"/>
        </w:rPr>
        <w:t>in</w:t>
      </w:r>
      <w:r w:rsidRPr="000020F0">
        <w:rPr>
          <w:rFonts w:asciiTheme="majorHAnsi" w:eastAsia="Arial Unicode MS" w:hAnsiTheme="majorHAnsi" w:cstheme="majorHAnsi"/>
          <w:sz w:val="22"/>
          <w:szCs w:val="22"/>
        </w:rPr>
        <w:t xml:space="preserve"> za investicijsko vzdrževanje </w:t>
      </w:r>
      <w:r w:rsidR="00655FE7" w:rsidRPr="000020F0">
        <w:rPr>
          <w:rFonts w:asciiTheme="majorHAnsi" w:eastAsia="Arial Unicode MS" w:hAnsiTheme="majorHAnsi" w:cstheme="majorHAnsi"/>
          <w:sz w:val="22"/>
          <w:szCs w:val="22"/>
        </w:rPr>
        <w:t>ter</w:t>
      </w:r>
      <w:r w:rsidRPr="000020F0">
        <w:rPr>
          <w:rFonts w:asciiTheme="majorHAnsi" w:eastAsia="Arial Unicode MS" w:hAnsiTheme="majorHAnsi" w:cstheme="majorHAnsi"/>
          <w:sz w:val="22"/>
          <w:szCs w:val="22"/>
        </w:rPr>
        <w:t xml:space="preserve"> obratovalne stroške</w:t>
      </w:r>
      <w:r w:rsidR="00223BF7" w:rsidRPr="000020F0">
        <w:rPr>
          <w:rFonts w:asciiTheme="majorHAnsi" w:eastAsia="Arial Unicode MS" w:hAnsiTheme="majorHAnsi" w:cstheme="majorHAnsi"/>
          <w:sz w:val="22"/>
          <w:szCs w:val="22"/>
        </w:rPr>
        <w:t>.</w:t>
      </w:r>
    </w:p>
    <w:p w14:paraId="3FD5A53B" w14:textId="77777777" w:rsidR="00F55912" w:rsidRPr="000020F0" w:rsidRDefault="00C70F99"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3" w:name="_Toc230882270"/>
      <w:r w:rsidRPr="000020F0">
        <w:rPr>
          <w:rFonts w:asciiTheme="majorHAnsi" w:eastAsiaTheme="majorEastAsia" w:hAnsiTheme="majorHAnsi" w:cstheme="majorHAnsi"/>
          <w:color w:val="244061" w:themeColor="accent1" w:themeShade="80"/>
        </w:rPr>
        <w:t>Ekonomski tok investicije</w:t>
      </w:r>
      <w:bookmarkEnd w:id="413"/>
    </w:p>
    <w:p w14:paraId="02309D68" w14:textId="258CD18E" w:rsidR="00D16A51" w:rsidRPr="000020F0" w:rsidRDefault="00D16A51" w:rsidP="00BD1D20">
      <w:pPr>
        <w:autoSpaceDE w:val="0"/>
        <w:autoSpaceDN w:val="0"/>
        <w:adjustRightInd w:val="0"/>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Za izračun ekonomske učinkovitosti investicije je izračunana ekonomska interna stopnja donosa na investicijo (EIRR) in ekonomska neto sedanja vrednost (ENPV). Pri izračunih je upoštevana </w:t>
      </w:r>
      <w:r w:rsidR="00655FE7" w:rsidRPr="000020F0">
        <w:rPr>
          <w:rFonts w:asciiTheme="majorHAnsi" w:eastAsia="Arial Unicode MS" w:hAnsiTheme="majorHAnsi" w:cstheme="majorHAnsi"/>
          <w:sz w:val="22"/>
          <w:szCs w:val="22"/>
        </w:rPr>
        <w:t>4</w:t>
      </w:r>
      <w:r w:rsidRPr="000020F0">
        <w:rPr>
          <w:rFonts w:asciiTheme="majorHAnsi" w:eastAsia="Arial Unicode MS" w:hAnsiTheme="majorHAnsi" w:cstheme="majorHAnsi"/>
          <w:sz w:val="22"/>
          <w:szCs w:val="22"/>
        </w:rPr>
        <w:t xml:space="preserve">% diskontna stopnja. </w:t>
      </w:r>
    </w:p>
    <w:p w14:paraId="1E135183" w14:textId="77777777" w:rsidR="00D16A51" w:rsidRPr="000020F0" w:rsidRDefault="00D16A51" w:rsidP="00BD1D20">
      <w:pPr>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Izračun ekonomske neto sedanje vrednosti projekta upošteva: </w:t>
      </w:r>
    </w:p>
    <w:p w14:paraId="662AC0F1" w14:textId="417EDB32" w:rsidR="00D16A51" w:rsidRPr="000020F0" w:rsidRDefault="00D16A51"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 xml:space="preserve">letne koristi, diskontirane na začetek prvega leta obratovanja </w:t>
      </w:r>
      <w:r w:rsidR="000F4BA0" w:rsidRPr="000020F0">
        <w:rPr>
          <w:rFonts w:asciiTheme="majorHAnsi" w:eastAsia="Arial Unicode MS" w:hAnsiTheme="majorHAnsi" w:cstheme="majorHAnsi"/>
          <w:sz w:val="22"/>
          <w:szCs w:val="22"/>
          <w:lang w:eastAsia="x-none"/>
        </w:rPr>
        <w:t>investicije;</w:t>
      </w:r>
    </w:p>
    <w:p w14:paraId="1138D0CB" w14:textId="774B7CD4" w:rsidR="00D16A51" w:rsidRPr="000020F0" w:rsidRDefault="00D16A51"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stroške investicijskih vlaganj brez DDV, letne koristi in stroške obratovanja v ekonomski dobi rabe projekta, diskontiran</w:t>
      </w:r>
      <w:r w:rsidR="000F4BA0" w:rsidRPr="000020F0">
        <w:rPr>
          <w:rFonts w:asciiTheme="majorHAnsi" w:eastAsia="Arial Unicode MS" w:hAnsiTheme="majorHAnsi" w:cstheme="majorHAnsi"/>
          <w:sz w:val="22"/>
          <w:szCs w:val="22"/>
          <w:lang w:eastAsia="x-none"/>
        </w:rPr>
        <w:t>e</w:t>
      </w:r>
      <w:r w:rsidRPr="000020F0">
        <w:rPr>
          <w:rFonts w:asciiTheme="majorHAnsi" w:eastAsia="Arial Unicode MS" w:hAnsiTheme="majorHAnsi" w:cstheme="majorHAnsi"/>
          <w:sz w:val="22"/>
          <w:szCs w:val="22"/>
          <w:lang w:eastAsia="x-none"/>
        </w:rPr>
        <w:t xml:space="preserve"> na </w:t>
      </w:r>
      <w:r w:rsidR="000F4BA0" w:rsidRPr="000020F0">
        <w:rPr>
          <w:rFonts w:asciiTheme="majorHAnsi" w:eastAsia="Arial Unicode MS" w:hAnsiTheme="majorHAnsi" w:cstheme="majorHAnsi"/>
          <w:sz w:val="22"/>
          <w:szCs w:val="22"/>
          <w:lang w:eastAsia="x-none"/>
        </w:rPr>
        <w:t>začetek investicijskih vlaganj;</w:t>
      </w:r>
    </w:p>
    <w:p w14:paraId="4BAEBD28" w14:textId="2690FB73" w:rsidR="00D16A51" w:rsidRPr="000020F0" w:rsidRDefault="00D16A51"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pretvorbo tržnih cen v ob</w:t>
      </w:r>
      <w:r w:rsidR="000F4BA0" w:rsidRPr="000020F0">
        <w:rPr>
          <w:rFonts w:asciiTheme="majorHAnsi" w:eastAsia="Arial Unicode MS" w:hAnsiTheme="majorHAnsi" w:cstheme="majorHAnsi"/>
          <w:sz w:val="22"/>
          <w:szCs w:val="22"/>
          <w:lang w:eastAsia="x-none"/>
        </w:rPr>
        <w:t>računske cene, kjer je potrebno;</w:t>
      </w:r>
    </w:p>
    <w:p w14:paraId="099B9754" w14:textId="482B1B9B" w:rsidR="00D16A51" w:rsidRPr="000020F0" w:rsidRDefault="000F4BA0"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čas gradnje;</w:t>
      </w:r>
    </w:p>
    <w:p w14:paraId="3109254B" w14:textId="77777777" w:rsidR="00D16A51" w:rsidRPr="000020F0" w:rsidRDefault="00D16A51" w:rsidP="00BD1D20">
      <w:pPr>
        <w:numPr>
          <w:ilvl w:val="0"/>
          <w:numId w:val="92"/>
        </w:numPr>
        <w:spacing w:line="276" w:lineRule="auto"/>
        <w:contextualSpacing/>
        <w:jc w:val="both"/>
        <w:rPr>
          <w:rFonts w:asciiTheme="majorHAnsi" w:eastAsia="Arial Unicode MS" w:hAnsiTheme="majorHAnsi" w:cstheme="majorHAnsi"/>
          <w:sz w:val="22"/>
          <w:szCs w:val="22"/>
          <w:lang w:eastAsia="x-none"/>
        </w:rPr>
      </w:pPr>
      <w:r w:rsidRPr="000020F0">
        <w:rPr>
          <w:rFonts w:asciiTheme="majorHAnsi" w:eastAsia="Arial Unicode MS" w:hAnsiTheme="majorHAnsi" w:cstheme="majorHAnsi"/>
          <w:sz w:val="22"/>
          <w:szCs w:val="22"/>
          <w:lang w:eastAsia="x-none"/>
        </w:rPr>
        <w:t xml:space="preserve">življenjsko dobo investicije </w:t>
      </w:r>
      <w:r w:rsidR="00003571" w:rsidRPr="000020F0">
        <w:rPr>
          <w:rFonts w:asciiTheme="majorHAnsi" w:eastAsia="Arial Unicode MS" w:hAnsiTheme="majorHAnsi" w:cstheme="majorHAnsi"/>
          <w:sz w:val="22"/>
          <w:szCs w:val="22"/>
          <w:lang w:eastAsia="x-none"/>
        </w:rPr>
        <w:t>30</w:t>
      </w:r>
      <w:r w:rsidRPr="000020F0">
        <w:rPr>
          <w:rFonts w:asciiTheme="majorHAnsi" w:eastAsia="Arial Unicode MS" w:hAnsiTheme="majorHAnsi" w:cstheme="majorHAnsi"/>
          <w:sz w:val="22"/>
          <w:szCs w:val="22"/>
          <w:lang w:eastAsia="x-none"/>
        </w:rPr>
        <w:t xml:space="preserve"> let. </w:t>
      </w:r>
    </w:p>
    <w:p w14:paraId="46E8756E" w14:textId="77777777" w:rsidR="00D16A51" w:rsidRPr="000020F0" w:rsidRDefault="00D16A51" w:rsidP="00BD1D20">
      <w:pPr>
        <w:spacing w:line="276" w:lineRule="auto"/>
        <w:jc w:val="both"/>
        <w:rPr>
          <w:rFonts w:asciiTheme="majorHAnsi" w:eastAsia="Arial Unicode MS" w:hAnsiTheme="majorHAnsi" w:cstheme="majorHAnsi"/>
          <w:sz w:val="22"/>
          <w:szCs w:val="22"/>
        </w:rPr>
      </w:pPr>
    </w:p>
    <w:p w14:paraId="5EEDC5DD" w14:textId="6751E843" w:rsidR="00D16A51" w:rsidRPr="000020F0" w:rsidRDefault="00D16A51" w:rsidP="00BD1D20">
      <w:pPr>
        <w:spacing w:line="276" w:lineRule="auto"/>
        <w:jc w:val="both"/>
        <w:rPr>
          <w:rFonts w:asciiTheme="majorHAnsi" w:eastAsia="Arial Unicode MS" w:hAnsiTheme="majorHAnsi" w:cstheme="majorHAnsi"/>
          <w:sz w:val="22"/>
          <w:szCs w:val="22"/>
        </w:rPr>
      </w:pPr>
      <w:r w:rsidRPr="000020F0">
        <w:rPr>
          <w:rFonts w:asciiTheme="majorHAnsi" w:eastAsia="Arial Unicode MS" w:hAnsiTheme="majorHAnsi" w:cstheme="majorHAnsi"/>
          <w:sz w:val="22"/>
          <w:szCs w:val="22"/>
        </w:rPr>
        <w:t xml:space="preserve">V tabelah v nadaljevanju je podan prikaz ekonomskega toka obravnavane investicije v ekonomskem obdobju </w:t>
      </w:r>
      <w:r w:rsidR="00003571" w:rsidRPr="000020F0">
        <w:rPr>
          <w:rFonts w:asciiTheme="majorHAnsi" w:eastAsia="Arial Unicode MS" w:hAnsiTheme="majorHAnsi" w:cstheme="majorHAnsi"/>
          <w:sz w:val="22"/>
          <w:szCs w:val="22"/>
        </w:rPr>
        <w:t>30</w:t>
      </w:r>
      <w:r w:rsidRPr="000020F0">
        <w:rPr>
          <w:rFonts w:asciiTheme="majorHAnsi" w:eastAsia="Arial Unicode MS" w:hAnsiTheme="majorHAnsi" w:cstheme="majorHAnsi"/>
          <w:sz w:val="22"/>
          <w:szCs w:val="22"/>
        </w:rPr>
        <w:t xml:space="preserve"> let</w:t>
      </w:r>
      <w:r w:rsidR="000F4BA0" w:rsidRPr="000020F0">
        <w:rPr>
          <w:rFonts w:asciiTheme="majorHAnsi" w:eastAsia="Arial Unicode MS" w:hAnsiTheme="majorHAnsi" w:cstheme="majorHAnsi"/>
          <w:sz w:val="22"/>
          <w:szCs w:val="22"/>
        </w:rPr>
        <w:t>,</w:t>
      </w:r>
      <w:r w:rsidRPr="000020F0">
        <w:rPr>
          <w:rFonts w:asciiTheme="majorHAnsi" w:eastAsia="Arial Unicode MS" w:hAnsiTheme="majorHAnsi" w:cstheme="majorHAnsi"/>
          <w:sz w:val="22"/>
          <w:szCs w:val="22"/>
        </w:rPr>
        <w:t xml:space="preserve"> in to med leti </w:t>
      </w:r>
      <w:r w:rsidR="00223BF7" w:rsidRPr="000020F0">
        <w:rPr>
          <w:rFonts w:asciiTheme="majorHAnsi" w:eastAsia="Arial Unicode MS" w:hAnsiTheme="majorHAnsi" w:cstheme="majorHAnsi"/>
          <w:sz w:val="22"/>
          <w:szCs w:val="22"/>
        </w:rPr>
        <w:t>2025</w:t>
      </w:r>
      <w:r w:rsidRPr="000020F0">
        <w:rPr>
          <w:rFonts w:asciiTheme="majorHAnsi" w:eastAsia="Arial Unicode MS" w:hAnsiTheme="majorHAnsi" w:cstheme="majorHAnsi"/>
          <w:sz w:val="22"/>
          <w:szCs w:val="22"/>
        </w:rPr>
        <w:t xml:space="preserve"> in 20</w:t>
      </w:r>
      <w:r w:rsidR="00003571" w:rsidRPr="000020F0">
        <w:rPr>
          <w:rFonts w:asciiTheme="majorHAnsi" w:eastAsia="Arial Unicode MS" w:hAnsiTheme="majorHAnsi" w:cstheme="majorHAnsi"/>
          <w:sz w:val="22"/>
          <w:szCs w:val="22"/>
        </w:rPr>
        <w:t>5</w:t>
      </w:r>
      <w:r w:rsidR="00223BF7" w:rsidRPr="000020F0">
        <w:rPr>
          <w:rFonts w:asciiTheme="majorHAnsi" w:eastAsia="Arial Unicode MS" w:hAnsiTheme="majorHAnsi" w:cstheme="majorHAnsi"/>
          <w:sz w:val="22"/>
          <w:szCs w:val="22"/>
        </w:rPr>
        <w:t>4</w:t>
      </w:r>
      <w:r w:rsidRPr="000020F0">
        <w:rPr>
          <w:rFonts w:asciiTheme="majorHAnsi" w:eastAsia="Arial Unicode MS" w:hAnsiTheme="majorHAnsi" w:cstheme="majorHAnsi"/>
          <w:sz w:val="22"/>
          <w:szCs w:val="22"/>
        </w:rPr>
        <w:t xml:space="preserve">. V nadaljevanju je prikazan tudi diskontirani ekonomski tok investicije ob upoštevanju zgoraj navedenih predpostavk. Uporabljena je </w:t>
      </w:r>
      <w:r w:rsidR="00655FE7" w:rsidRPr="000020F0">
        <w:rPr>
          <w:rFonts w:asciiTheme="majorHAnsi" w:eastAsia="Arial Unicode MS" w:hAnsiTheme="majorHAnsi" w:cstheme="majorHAnsi"/>
          <w:sz w:val="22"/>
          <w:szCs w:val="22"/>
        </w:rPr>
        <w:t>4</w:t>
      </w:r>
      <w:r w:rsidRPr="000020F0">
        <w:rPr>
          <w:rFonts w:asciiTheme="majorHAnsi" w:eastAsia="Arial Unicode MS" w:hAnsiTheme="majorHAnsi" w:cstheme="majorHAnsi"/>
          <w:sz w:val="22"/>
          <w:szCs w:val="22"/>
        </w:rPr>
        <w:t>% diskontna stopnja.</w:t>
      </w:r>
    </w:p>
    <w:p w14:paraId="62CCA55F" w14:textId="77777777" w:rsidR="00F55912" w:rsidRPr="000020F0" w:rsidRDefault="00F55912" w:rsidP="00BD1D20">
      <w:pPr>
        <w:spacing w:after="120" w:line="276" w:lineRule="auto"/>
        <w:jc w:val="both"/>
        <w:rPr>
          <w:rFonts w:asciiTheme="majorHAnsi" w:eastAsia="Arial Unicode MS" w:hAnsiTheme="majorHAnsi" w:cstheme="majorHAnsi"/>
        </w:rPr>
      </w:pPr>
    </w:p>
    <w:p w14:paraId="5FF1118A" w14:textId="77777777" w:rsidR="00F55912" w:rsidRPr="000020F0" w:rsidRDefault="00F55912" w:rsidP="00BD1D20">
      <w:pPr>
        <w:spacing w:after="120" w:line="276" w:lineRule="auto"/>
        <w:rPr>
          <w:rFonts w:asciiTheme="majorHAnsi" w:hAnsiTheme="majorHAnsi" w:cstheme="majorHAnsi"/>
          <w:highlight w:val="yellow"/>
        </w:rPr>
        <w:sectPr w:rsidR="00F55912" w:rsidRPr="000020F0" w:rsidSect="00480057">
          <w:headerReference w:type="default" r:id="rId98"/>
          <w:headerReference w:type="first" r:id="rId99"/>
          <w:pgSz w:w="11906" w:h="16838"/>
          <w:pgMar w:top="1134" w:right="1417" w:bottom="1417" w:left="1418" w:header="708" w:footer="708" w:gutter="0"/>
          <w:cols w:space="708"/>
          <w:titlePg/>
          <w:docGrid w:linePitch="360"/>
        </w:sectPr>
      </w:pPr>
    </w:p>
    <w:p w14:paraId="3E3AC7C7" w14:textId="104196B8" w:rsidR="00F55912" w:rsidRPr="000020F0" w:rsidRDefault="00F55912" w:rsidP="00BD1D20">
      <w:pPr>
        <w:pStyle w:val="Napis"/>
        <w:keepNext/>
        <w:spacing w:after="120" w:line="276" w:lineRule="auto"/>
        <w:rPr>
          <w:rFonts w:asciiTheme="majorHAnsi" w:hAnsiTheme="majorHAnsi" w:cstheme="majorHAnsi"/>
          <w:b w:val="0"/>
          <w:color w:val="auto"/>
          <w:sz w:val="22"/>
          <w:szCs w:val="22"/>
        </w:rPr>
      </w:pPr>
      <w:bookmarkStart w:id="414" w:name="_Toc230882311"/>
      <w:r w:rsidRPr="000020F0">
        <w:rPr>
          <w:rFonts w:asciiTheme="majorHAnsi" w:hAnsiTheme="majorHAnsi" w:cstheme="majorHAnsi"/>
          <w:color w:val="auto"/>
          <w:sz w:val="22"/>
          <w:szCs w:val="22"/>
        </w:rPr>
        <w:lastRenderedPageBreak/>
        <w:t xml:space="preserve">Tabela </w:t>
      </w:r>
      <w:r w:rsidR="00050C93"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00050C93"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31</w:t>
      </w:r>
      <w:r w:rsidR="00050C93"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color w:val="auto"/>
          <w:sz w:val="22"/>
          <w:szCs w:val="22"/>
        </w:rPr>
        <w:t xml:space="preserve"> Analiza stroškov in koristi za celotni projekt v </w:t>
      </w:r>
      <w:r w:rsidR="003304EB" w:rsidRPr="000020F0">
        <w:rPr>
          <w:rFonts w:asciiTheme="majorHAnsi" w:hAnsiTheme="majorHAnsi" w:cstheme="majorHAnsi"/>
          <w:b w:val="0"/>
          <w:color w:val="auto"/>
          <w:sz w:val="22"/>
          <w:szCs w:val="22"/>
        </w:rPr>
        <w:t>30</w:t>
      </w:r>
      <w:r w:rsidRPr="000020F0">
        <w:rPr>
          <w:rFonts w:asciiTheme="majorHAnsi" w:hAnsiTheme="majorHAnsi" w:cstheme="majorHAnsi"/>
          <w:b w:val="0"/>
          <w:color w:val="auto"/>
          <w:sz w:val="22"/>
          <w:szCs w:val="22"/>
        </w:rPr>
        <w:t>-letni ekonomski dobi</w:t>
      </w:r>
      <w:bookmarkEnd w:id="414"/>
    </w:p>
    <w:p w14:paraId="253E84FC" w14:textId="5487EAD2" w:rsidR="006E4989" w:rsidRPr="000020F0" w:rsidRDefault="00EC76B4" w:rsidP="006E4989">
      <w:r w:rsidRPr="000020F0">
        <w:rPr>
          <w:noProof/>
        </w:rPr>
        <w:drawing>
          <wp:inline distT="0" distB="0" distL="0" distR="0" wp14:anchorId="02C4E6A9" wp14:editId="3587D12B">
            <wp:extent cx="8585200" cy="1790110"/>
            <wp:effectExtent l="0" t="0" r="6350" b="635"/>
            <wp:docPr id="2319622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96111" cy="1792385"/>
                    </a:xfrm>
                    <a:prstGeom prst="rect">
                      <a:avLst/>
                    </a:prstGeom>
                    <a:noFill/>
                    <a:ln>
                      <a:noFill/>
                    </a:ln>
                  </pic:spPr>
                </pic:pic>
              </a:graphicData>
            </a:graphic>
          </wp:inline>
        </w:drawing>
      </w:r>
    </w:p>
    <w:p w14:paraId="700F05AA" w14:textId="3AB0592D" w:rsidR="005B3550" w:rsidRPr="000020F0" w:rsidRDefault="005B3550" w:rsidP="00BD1D20">
      <w:pPr>
        <w:spacing w:line="276" w:lineRule="auto"/>
        <w:rPr>
          <w:rFonts w:asciiTheme="majorHAnsi" w:hAnsiTheme="majorHAnsi" w:cstheme="majorHAnsi"/>
          <w:sz w:val="4"/>
          <w:szCs w:val="4"/>
        </w:rPr>
      </w:pPr>
    </w:p>
    <w:p w14:paraId="0B594BF0" w14:textId="0DE12FAE" w:rsidR="00F55912" w:rsidRPr="000020F0" w:rsidRDefault="00EC76B4" w:rsidP="00BD1D20">
      <w:pPr>
        <w:spacing w:line="276" w:lineRule="auto"/>
        <w:rPr>
          <w:rFonts w:asciiTheme="majorHAnsi" w:hAnsiTheme="majorHAnsi" w:cstheme="majorHAnsi"/>
        </w:rPr>
        <w:sectPr w:rsidR="00F55912" w:rsidRPr="000020F0" w:rsidSect="00480057">
          <w:headerReference w:type="default" r:id="rId101"/>
          <w:headerReference w:type="first" r:id="rId102"/>
          <w:pgSz w:w="16838" w:h="11906" w:orient="landscape"/>
          <w:pgMar w:top="1134" w:right="1134" w:bottom="1417" w:left="1417" w:header="708" w:footer="708" w:gutter="0"/>
          <w:cols w:space="708"/>
          <w:titlePg/>
          <w:docGrid w:linePitch="360"/>
        </w:sectPr>
      </w:pPr>
      <w:r w:rsidRPr="000020F0">
        <w:rPr>
          <w:noProof/>
        </w:rPr>
        <w:drawing>
          <wp:inline distT="0" distB="0" distL="0" distR="0" wp14:anchorId="0896B488" wp14:editId="3D253885">
            <wp:extent cx="8585200" cy="1803932"/>
            <wp:effectExtent l="0" t="0" r="6350" b="6350"/>
            <wp:docPr id="12786844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591984" cy="1805357"/>
                    </a:xfrm>
                    <a:prstGeom prst="rect">
                      <a:avLst/>
                    </a:prstGeom>
                    <a:noFill/>
                    <a:ln>
                      <a:noFill/>
                    </a:ln>
                  </pic:spPr>
                </pic:pic>
              </a:graphicData>
            </a:graphic>
          </wp:inline>
        </w:drawing>
      </w:r>
      <w:r w:rsidR="00994CD4" w:rsidRPr="000020F0">
        <w:rPr>
          <w:rFonts w:asciiTheme="majorHAnsi" w:hAnsiTheme="majorHAnsi" w:cstheme="majorHAnsi"/>
        </w:rPr>
        <w:t xml:space="preserve"> </w:t>
      </w:r>
      <w:r w:rsidR="00994CD4" w:rsidRPr="000020F0">
        <w:rPr>
          <w:noProof/>
        </w:rPr>
        <w:drawing>
          <wp:inline distT="0" distB="0" distL="0" distR="0" wp14:anchorId="567EDBE8" wp14:editId="03F16B5A">
            <wp:extent cx="8604250" cy="1951268"/>
            <wp:effectExtent l="0" t="0" r="6350" b="0"/>
            <wp:docPr id="1404940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615246" cy="1953762"/>
                    </a:xfrm>
                    <a:prstGeom prst="rect">
                      <a:avLst/>
                    </a:prstGeom>
                    <a:noFill/>
                    <a:ln>
                      <a:noFill/>
                    </a:ln>
                  </pic:spPr>
                </pic:pic>
              </a:graphicData>
            </a:graphic>
          </wp:inline>
        </w:drawing>
      </w:r>
    </w:p>
    <w:p w14:paraId="7BC2EF5B" w14:textId="77777777" w:rsidR="00F55912" w:rsidRPr="000020F0" w:rsidRDefault="00F559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415" w:name="_Toc230882271"/>
      <w:r w:rsidRPr="000020F0">
        <w:rPr>
          <w:rFonts w:asciiTheme="majorHAnsi" w:eastAsiaTheme="majorEastAsia" w:hAnsiTheme="majorHAnsi" w:cstheme="majorHAnsi"/>
          <w:color w:val="244061" w:themeColor="accent1" w:themeShade="80"/>
        </w:rPr>
        <w:lastRenderedPageBreak/>
        <w:t>Ekonomski kazalniki</w:t>
      </w:r>
      <w:bookmarkEnd w:id="415"/>
    </w:p>
    <w:p w14:paraId="0065669B" w14:textId="77777777" w:rsidR="00F55912"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6" w:name="_Toc230882272"/>
      <w:r w:rsidRPr="000020F0">
        <w:rPr>
          <w:rFonts w:asciiTheme="majorHAnsi" w:eastAsiaTheme="majorEastAsia" w:hAnsiTheme="majorHAnsi" w:cstheme="majorHAnsi"/>
          <w:color w:val="244061" w:themeColor="accent1" w:themeShade="80"/>
        </w:rPr>
        <w:t>Ekonomska neto sedanja vrednost celotnega projekta</w:t>
      </w:r>
      <w:bookmarkEnd w:id="416"/>
    </w:p>
    <w:p w14:paraId="4D1DF531"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Za analizo ekonomske neto sedanje vrednosti se priporoča uporaba letnega denarnega toka, pri čemer denarni tok predstavlja razliko med denarnimi pritoki in odtoki (vključno z vsemi izmerljivimi koristmi in stroški), povzročenimi s projektom.</w:t>
      </w:r>
    </w:p>
    <w:p w14:paraId="11542B14"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Formula izračuna ekonomske neto sedanje vrednosti:</w:t>
      </w:r>
    </w:p>
    <w:p w14:paraId="65054AB2"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object w:dxaOrig="6942" w:dyaOrig="1257" w14:anchorId="7CE57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i1025" type="#_x0000_t75" style="width:339.25pt;height:64.5pt;visibility:visible" o:ole="">
            <v:imagedata r:id="rId105" o:title=""/>
          </v:shape>
          <o:OLEObject Type="Embed" ProgID="PBrush" ShapeID="Picture 24" DrawAspect="Content" ObjectID="_1841920236" r:id="rId106"/>
        </w:object>
      </w:r>
    </w:p>
    <w:p w14:paraId="170F83DB"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ENPV ali ENSV predstavlja ekonomsko neto vrednost v časovnem obdobju celotnega projekta, ki ostane investitorju ter širši družbi. Je razlika med vsoto sedanjih vrednosti denarnega prihodka za vsako posamezno leto (letni denarni tok) in začetnih investicijskih stroškov.</w:t>
      </w:r>
    </w:p>
    <w:p w14:paraId="49421F55"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Posamezna investicija je ekonomsko upravičena, ko je ENPV ali ENSV večja od nič. ENPV ali ENSV je pozitivna v primeru, ko bodo pričakovani diskontirani stroški investicije nižji od diskontiranih prihodkov in koristi investicije. Kadar je ENPV ali ENSV nič, zadostujejo neto denarni tokovi oz. koristi za pokritje investicijskih vlaganj ter vseh ostalih nastalih stroškov.</w:t>
      </w:r>
    </w:p>
    <w:p w14:paraId="08B8D141" w14:textId="0D55B4E5" w:rsidR="00367A2B" w:rsidRPr="000020F0" w:rsidRDefault="005B3550" w:rsidP="00BD1D20">
      <w:pPr>
        <w:spacing w:after="120" w:line="276" w:lineRule="auto"/>
        <w:jc w:val="both"/>
        <w:rPr>
          <w:rFonts w:asciiTheme="majorHAnsi" w:hAnsiTheme="majorHAnsi" w:cstheme="majorHAnsi"/>
          <w:sz w:val="22"/>
          <w:szCs w:val="22"/>
          <w:highlight w:val="yellow"/>
        </w:rPr>
      </w:pPr>
      <w:r w:rsidRPr="000020F0">
        <w:rPr>
          <w:rFonts w:asciiTheme="majorHAnsi" w:hAnsiTheme="majorHAnsi" w:cstheme="majorHAnsi"/>
          <w:sz w:val="22"/>
          <w:szCs w:val="22"/>
        </w:rPr>
        <w:t xml:space="preserve">V našem primeru je izračunana ekonomska neto sedanja vrednost večja od 0 in znaša </w:t>
      </w:r>
      <w:r w:rsidR="004F50B3" w:rsidRPr="000020F0">
        <w:rPr>
          <w:rFonts w:asciiTheme="majorHAnsi" w:hAnsiTheme="majorHAnsi" w:cstheme="majorHAnsi"/>
          <w:sz w:val="22"/>
          <w:szCs w:val="22"/>
        </w:rPr>
        <w:t>8.612.385</w:t>
      </w:r>
      <w:r w:rsidR="003304EB" w:rsidRPr="000020F0">
        <w:rPr>
          <w:rFonts w:asciiTheme="majorHAnsi" w:hAnsiTheme="majorHAnsi" w:cstheme="majorHAnsi"/>
          <w:sz w:val="22"/>
          <w:szCs w:val="22"/>
        </w:rPr>
        <w:t xml:space="preserve"> </w:t>
      </w:r>
      <w:r w:rsidR="00506CDC" w:rsidRPr="000020F0">
        <w:rPr>
          <w:rFonts w:asciiTheme="majorHAnsi" w:hAnsiTheme="majorHAnsi" w:cstheme="majorHAnsi"/>
          <w:sz w:val="22"/>
          <w:szCs w:val="22"/>
        </w:rPr>
        <w:t>EUR, kar pomeni, da je celotni projekt iz ekonomskega vidika upravičljiv.</w:t>
      </w:r>
    </w:p>
    <w:p w14:paraId="35406821" w14:textId="77777777" w:rsidR="00F55912" w:rsidRPr="000020F0" w:rsidRDefault="00F55912"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7" w:name="_Toc230882273"/>
      <w:r w:rsidRPr="000020F0">
        <w:rPr>
          <w:rFonts w:asciiTheme="majorHAnsi" w:eastAsiaTheme="majorEastAsia" w:hAnsiTheme="majorHAnsi" w:cstheme="majorHAnsi"/>
          <w:color w:val="244061" w:themeColor="accent1" w:themeShade="80"/>
        </w:rPr>
        <w:t>Ekonomska stopnja donosnosti celotnega projekta</w:t>
      </w:r>
      <w:bookmarkEnd w:id="417"/>
    </w:p>
    <w:p w14:paraId="02E798B4" w14:textId="77777777" w:rsidR="008371D5" w:rsidRPr="000020F0" w:rsidRDefault="008371D5" w:rsidP="00BD1D20">
      <w:pPr>
        <w:spacing w:after="120" w:line="276" w:lineRule="auto"/>
        <w:rPr>
          <w:rFonts w:asciiTheme="majorHAnsi" w:hAnsiTheme="majorHAnsi" w:cstheme="majorHAnsi"/>
          <w:sz w:val="22"/>
          <w:szCs w:val="22"/>
        </w:rPr>
      </w:pPr>
      <w:r w:rsidRPr="000020F0">
        <w:rPr>
          <w:rFonts w:asciiTheme="majorHAnsi" w:hAnsiTheme="majorHAnsi" w:cstheme="majorHAnsi"/>
          <w:sz w:val="22"/>
          <w:szCs w:val="22"/>
        </w:rPr>
        <w:t>Parameter, s katerim ugotavljamo najvišjo dopustno obrestno mero, pri kateri je še smotrno izvesti določeno naložbo, je parameter ERR ali ESD, ki nam prikazuje ocenjeno vrednost v odstotkih (%).</w:t>
      </w:r>
    </w:p>
    <w:p w14:paraId="09D9D549" w14:textId="77777777" w:rsidR="008371D5" w:rsidRPr="000020F0" w:rsidRDefault="008371D5" w:rsidP="00BD1D20">
      <w:pPr>
        <w:spacing w:after="120" w:line="276" w:lineRule="auto"/>
        <w:rPr>
          <w:rFonts w:asciiTheme="majorHAnsi" w:hAnsiTheme="majorHAnsi" w:cstheme="majorHAnsi"/>
          <w:sz w:val="22"/>
          <w:szCs w:val="22"/>
        </w:rPr>
      </w:pPr>
      <w:r w:rsidRPr="000020F0">
        <w:rPr>
          <w:rFonts w:asciiTheme="majorHAnsi" w:hAnsiTheme="majorHAnsi" w:cstheme="majorHAnsi"/>
          <w:sz w:val="22"/>
          <w:szCs w:val="22"/>
        </w:rPr>
        <w:t>Formula izračuna ekonomske stopnje donosnosti:</w:t>
      </w:r>
    </w:p>
    <w:p w14:paraId="04D8053A" w14:textId="77777777" w:rsidR="008371D5" w:rsidRPr="000020F0" w:rsidRDefault="008371D5" w:rsidP="00BD1D20">
      <w:pPr>
        <w:spacing w:after="120" w:line="276" w:lineRule="auto"/>
        <w:rPr>
          <w:rFonts w:asciiTheme="majorHAnsi" w:hAnsiTheme="majorHAnsi" w:cstheme="majorHAnsi"/>
          <w:sz w:val="22"/>
          <w:szCs w:val="22"/>
        </w:rPr>
      </w:pPr>
      <w:r w:rsidRPr="000020F0">
        <w:rPr>
          <w:rFonts w:asciiTheme="majorHAnsi" w:hAnsiTheme="majorHAnsi" w:cstheme="majorHAnsi"/>
          <w:noProof/>
          <w:sz w:val="22"/>
          <w:szCs w:val="22"/>
        </w:rPr>
        <w:drawing>
          <wp:inline distT="0" distB="0" distL="0" distR="0" wp14:anchorId="0A04C7C6" wp14:editId="02854FEF">
            <wp:extent cx="2495550" cy="819150"/>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95550" cy="819150"/>
                    </a:xfrm>
                    <a:prstGeom prst="rect">
                      <a:avLst/>
                    </a:prstGeom>
                    <a:noFill/>
                    <a:ln>
                      <a:noFill/>
                    </a:ln>
                  </pic:spPr>
                </pic:pic>
              </a:graphicData>
            </a:graphic>
          </wp:inline>
        </w:drawing>
      </w:r>
    </w:p>
    <w:p w14:paraId="6E4D32E9" w14:textId="4CECB47E"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ERR ali ESD je določena kot tista obrestna mera, kjer je ENPV ali ENSV investicije enaka nič. Prikazuje maksimalne obresti, pri katerih je investicija ekonomsko upravičena. Ekonomsko donosnejša investicija ima višjo ERR ali ESD. Naložba je ekonomsko upravičena, če je ERR ali ESD večja kot obrestna mera oz. diskontna stopnja (</w:t>
      </w:r>
      <w:r w:rsidR="00712A43" w:rsidRPr="000020F0">
        <w:rPr>
          <w:rFonts w:asciiTheme="majorHAnsi" w:hAnsiTheme="majorHAnsi" w:cstheme="majorHAnsi"/>
          <w:sz w:val="22"/>
          <w:szCs w:val="22"/>
        </w:rPr>
        <w:t>4</w:t>
      </w:r>
      <w:r w:rsidRPr="000020F0">
        <w:rPr>
          <w:rFonts w:asciiTheme="majorHAnsi" w:hAnsiTheme="majorHAnsi" w:cstheme="majorHAnsi"/>
          <w:sz w:val="22"/>
          <w:szCs w:val="22"/>
        </w:rPr>
        <w:t xml:space="preserve"> %).</w:t>
      </w:r>
    </w:p>
    <w:p w14:paraId="22A71613"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Poudariti je potrebno, da ocenjevalni parameter ERR ali ESD pri odločitvi o izvedbi investicije ni odločujoči parameter, na podlagi katerega bi zavrnili ali sprejeli odločitev o izvedbi le-te. ERR ali ESD predstavlja neke vrste pomožni instrument v procesu ekonomske evalvacije projekta.</w:t>
      </w:r>
    </w:p>
    <w:p w14:paraId="7F06AC64" w14:textId="757B6961" w:rsidR="00CD2C8E" w:rsidRPr="000020F0" w:rsidRDefault="00CD2C8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lastRenderedPageBreak/>
        <w:t>V našem primeru je izračunana ekonomska stopnja donosnosti večja od družbene diskontn</w:t>
      </w:r>
      <w:r w:rsidR="005027DF" w:rsidRPr="000020F0">
        <w:rPr>
          <w:rFonts w:asciiTheme="majorHAnsi" w:hAnsiTheme="majorHAnsi" w:cstheme="majorHAnsi"/>
          <w:sz w:val="22"/>
          <w:szCs w:val="22"/>
        </w:rPr>
        <w:t>e stopnje (</w:t>
      </w:r>
      <w:r w:rsidR="00172372" w:rsidRPr="000020F0">
        <w:rPr>
          <w:rFonts w:asciiTheme="majorHAnsi" w:hAnsiTheme="majorHAnsi" w:cstheme="majorHAnsi"/>
          <w:sz w:val="22"/>
          <w:szCs w:val="22"/>
        </w:rPr>
        <w:t>4</w:t>
      </w:r>
      <w:r w:rsidR="005027DF" w:rsidRPr="000020F0">
        <w:rPr>
          <w:rFonts w:asciiTheme="majorHAnsi" w:hAnsiTheme="majorHAnsi" w:cstheme="majorHAnsi"/>
          <w:sz w:val="22"/>
          <w:szCs w:val="22"/>
        </w:rPr>
        <w:t xml:space="preserve">,00 %) in znaša </w:t>
      </w:r>
      <w:r w:rsidR="001043D5" w:rsidRPr="000020F0">
        <w:rPr>
          <w:rFonts w:asciiTheme="majorHAnsi" w:hAnsiTheme="majorHAnsi" w:cstheme="majorHAnsi"/>
          <w:sz w:val="22"/>
          <w:szCs w:val="22"/>
        </w:rPr>
        <w:t>1</w:t>
      </w:r>
      <w:r w:rsidR="00266B3F" w:rsidRPr="000020F0">
        <w:rPr>
          <w:rFonts w:asciiTheme="majorHAnsi" w:hAnsiTheme="majorHAnsi" w:cstheme="majorHAnsi"/>
          <w:sz w:val="22"/>
          <w:szCs w:val="22"/>
        </w:rPr>
        <w:t>5</w:t>
      </w:r>
      <w:r w:rsidR="001043D5" w:rsidRPr="000020F0">
        <w:rPr>
          <w:rFonts w:asciiTheme="majorHAnsi" w:hAnsiTheme="majorHAnsi" w:cstheme="majorHAnsi"/>
          <w:sz w:val="22"/>
          <w:szCs w:val="22"/>
        </w:rPr>
        <w:t>,</w:t>
      </w:r>
      <w:r w:rsidR="00266B3F" w:rsidRPr="000020F0">
        <w:rPr>
          <w:rFonts w:asciiTheme="majorHAnsi" w:hAnsiTheme="majorHAnsi" w:cstheme="majorHAnsi"/>
          <w:sz w:val="22"/>
          <w:szCs w:val="22"/>
        </w:rPr>
        <w:t>33</w:t>
      </w:r>
      <w:r w:rsidRPr="000020F0">
        <w:rPr>
          <w:rFonts w:asciiTheme="majorHAnsi" w:hAnsiTheme="majorHAnsi" w:cstheme="majorHAnsi"/>
          <w:sz w:val="22"/>
          <w:szCs w:val="22"/>
        </w:rPr>
        <w:t>%, kar pomeni, da je celotni projekt iz ekonomskega vidika upravičljiv.</w:t>
      </w:r>
    </w:p>
    <w:p w14:paraId="3E108232" w14:textId="77777777" w:rsidR="00367A2B" w:rsidRPr="000020F0" w:rsidRDefault="00367A2B" w:rsidP="00BD1D20">
      <w:pPr>
        <w:spacing w:line="276" w:lineRule="auto"/>
        <w:rPr>
          <w:rFonts w:asciiTheme="majorHAnsi" w:hAnsiTheme="majorHAnsi" w:cstheme="majorHAnsi"/>
          <w:sz w:val="22"/>
          <w:szCs w:val="22"/>
        </w:rPr>
      </w:pPr>
    </w:p>
    <w:p w14:paraId="1A5F9A66" w14:textId="77777777" w:rsidR="008371D5" w:rsidRPr="000020F0" w:rsidRDefault="008371D5" w:rsidP="00BD1D20">
      <w:pPr>
        <w:pStyle w:val="Naslov2"/>
        <w:numPr>
          <w:ilvl w:val="2"/>
          <w:numId w:val="2"/>
        </w:numPr>
        <w:spacing w:before="240" w:after="240"/>
        <w:rPr>
          <w:rFonts w:asciiTheme="majorHAnsi" w:eastAsiaTheme="majorEastAsia" w:hAnsiTheme="majorHAnsi" w:cstheme="majorHAnsi"/>
          <w:color w:val="244061" w:themeColor="accent1" w:themeShade="80"/>
        </w:rPr>
      </w:pPr>
      <w:bookmarkStart w:id="418" w:name="_Toc230882274"/>
      <w:r w:rsidRPr="000020F0">
        <w:rPr>
          <w:rFonts w:asciiTheme="majorHAnsi" w:eastAsiaTheme="majorEastAsia" w:hAnsiTheme="majorHAnsi" w:cstheme="majorHAnsi"/>
          <w:color w:val="244061" w:themeColor="accent1" w:themeShade="80"/>
        </w:rPr>
        <w:t>Količnik oz. razmerje med skupnimi koristmi in skupnimi stroški celotnega projekta</w:t>
      </w:r>
      <w:bookmarkEnd w:id="418"/>
    </w:p>
    <w:p w14:paraId="60B2F38D" w14:textId="7CF04E8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Kot tre</w:t>
      </w:r>
      <w:r w:rsidR="000F4BA0" w:rsidRPr="000020F0">
        <w:rPr>
          <w:rFonts w:asciiTheme="majorHAnsi" w:hAnsiTheme="majorHAnsi" w:cstheme="majorHAnsi"/>
          <w:sz w:val="22"/>
          <w:szCs w:val="22"/>
        </w:rPr>
        <w:t>tji pomemben ekonomski kazalnik</w:t>
      </w:r>
      <w:r w:rsidRPr="000020F0">
        <w:rPr>
          <w:rFonts w:asciiTheme="majorHAnsi" w:hAnsiTheme="majorHAnsi" w:cstheme="majorHAnsi"/>
          <w:sz w:val="22"/>
          <w:szCs w:val="22"/>
        </w:rPr>
        <w:t xml:space="preserve"> pa je razmerje med celotnimi koristmi projekta in celotnimi stroški projekta.</w:t>
      </w:r>
    </w:p>
    <w:p w14:paraId="4C36406A"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Formula izračuna razmerja med skupnimi koristmi in skupnimi stroški projekta:</w:t>
      </w:r>
    </w:p>
    <w:p w14:paraId="5851F454" w14:textId="77777777" w:rsidR="008371D5" w:rsidRPr="000020F0" w:rsidRDefault="008371D5" w:rsidP="00BD1D20">
      <w:pPr>
        <w:pBdr>
          <w:top w:val="single" w:sz="4" w:space="1" w:color="auto"/>
          <w:left w:val="single" w:sz="4" w:space="4" w:color="auto"/>
          <w:bottom w:val="single" w:sz="4" w:space="1" w:color="auto"/>
          <w:right w:val="single" w:sz="4" w:space="4" w:color="auto"/>
        </w:pBdr>
        <w:spacing w:after="120" w:line="276" w:lineRule="auto"/>
        <w:ind w:right="6236"/>
        <w:jc w:val="both"/>
        <w:rPr>
          <w:rFonts w:asciiTheme="majorHAnsi" w:hAnsiTheme="majorHAnsi" w:cstheme="majorHAnsi"/>
          <w:sz w:val="32"/>
          <w:szCs w:val="32"/>
          <w:lang w:eastAsia="zh-TW"/>
        </w:rPr>
      </w:pPr>
      <w:r w:rsidRPr="000020F0">
        <w:rPr>
          <w:rFonts w:asciiTheme="majorHAnsi" w:hAnsiTheme="majorHAnsi" w:cstheme="majorHAnsi"/>
          <w:sz w:val="32"/>
          <w:szCs w:val="32"/>
          <w:lang w:eastAsia="zh-TW"/>
        </w:rPr>
        <w:t>B / C     ali     K / S</w:t>
      </w:r>
    </w:p>
    <w:p w14:paraId="5B1721D7"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Razmerje med koristmi in stroški (B/C) mora biti večje od 1, da je projekt zaželen iz ekonomskega vidika.</w:t>
      </w:r>
    </w:p>
    <w:p w14:paraId="217A2174" w14:textId="77777777" w:rsidR="008371D5" w:rsidRPr="000020F0" w:rsidRDefault="008371D5" w:rsidP="00BD1D20">
      <w:pPr>
        <w:spacing w:after="120" w:line="276" w:lineRule="auto"/>
        <w:jc w:val="both"/>
        <w:rPr>
          <w:rFonts w:asciiTheme="majorHAnsi" w:hAnsiTheme="majorHAnsi" w:cstheme="majorHAnsi"/>
          <w:sz w:val="22"/>
          <w:szCs w:val="22"/>
        </w:rPr>
      </w:pPr>
      <w:proofErr w:type="spellStart"/>
      <w:r w:rsidRPr="000020F0">
        <w:rPr>
          <w:rFonts w:asciiTheme="majorHAnsi" w:hAnsiTheme="majorHAnsi" w:cstheme="majorHAnsi"/>
          <w:sz w:val="22"/>
          <w:szCs w:val="22"/>
        </w:rPr>
        <w:t>ISD</w:t>
      </w:r>
      <w:r w:rsidRPr="000020F0">
        <w:rPr>
          <w:rFonts w:asciiTheme="majorHAnsi" w:hAnsiTheme="majorHAnsi" w:cstheme="majorHAnsi"/>
          <w:sz w:val="22"/>
          <w:szCs w:val="22"/>
          <w:vertAlign w:val="subscript"/>
        </w:rPr>
        <w:t>e</w:t>
      </w:r>
      <w:proofErr w:type="spellEnd"/>
      <w:r w:rsidRPr="000020F0">
        <w:rPr>
          <w:rFonts w:asciiTheme="majorHAnsi" w:hAnsiTheme="majorHAnsi" w:cstheme="majorHAnsi"/>
          <w:sz w:val="22"/>
          <w:szCs w:val="22"/>
        </w:rPr>
        <w:t xml:space="preserve"> in razmerje K/S nista odvisna od velikosti projekta. Pri izračunu teh kazalnikov se lahko pojavijo nekatere težave. Glede na vsebino denarnega toka je v posebnih primerih lahko </w:t>
      </w:r>
      <w:proofErr w:type="spellStart"/>
      <w:r w:rsidRPr="000020F0">
        <w:rPr>
          <w:rFonts w:asciiTheme="majorHAnsi" w:hAnsiTheme="majorHAnsi" w:cstheme="majorHAnsi"/>
          <w:sz w:val="22"/>
          <w:szCs w:val="22"/>
        </w:rPr>
        <w:t>ISD</w:t>
      </w:r>
      <w:r w:rsidRPr="000020F0">
        <w:rPr>
          <w:rFonts w:asciiTheme="majorHAnsi" w:hAnsiTheme="majorHAnsi" w:cstheme="majorHAnsi"/>
          <w:sz w:val="22"/>
          <w:szCs w:val="22"/>
          <w:vertAlign w:val="subscript"/>
        </w:rPr>
        <w:t>e</w:t>
      </w:r>
      <w:proofErr w:type="spellEnd"/>
      <w:r w:rsidRPr="000020F0">
        <w:rPr>
          <w:rFonts w:asciiTheme="majorHAnsi" w:hAnsiTheme="majorHAnsi" w:cstheme="majorHAnsi"/>
          <w:sz w:val="22"/>
          <w:szCs w:val="22"/>
        </w:rPr>
        <w:t xml:space="preserve"> več ali pa niso opredeljene. Vrednost razmerja K/S je lahko odvisna od tega, ali je določena postavka upoštevana kot korist ali pa kot znižanje stroškov.</w:t>
      </w:r>
    </w:p>
    <w:p w14:paraId="65622BA4" w14:textId="38DAE0E0"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V našem primeru je izračunano razmerje med skupnimi koristmi in skupnimi stroški večja od 1 in znaša </w:t>
      </w:r>
      <w:r w:rsidR="001043D5" w:rsidRPr="000020F0">
        <w:rPr>
          <w:rFonts w:asciiTheme="majorHAnsi" w:hAnsiTheme="majorHAnsi" w:cstheme="majorHAnsi"/>
          <w:sz w:val="22"/>
          <w:szCs w:val="22"/>
        </w:rPr>
        <w:t>2,</w:t>
      </w:r>
      <w:r w:rsidR="00D00F9F" w:rsidRPr="000020F0">
        <w:rPr>
          <w:rFonts w:asciiTheme="majorHAnsi" w:hAnsiTheme="majorHAnsi" w:cstheme="majorHAnsi"/>
          <w:sz w:val="22"/>
          <w:szCs w:val="22"/>
        </w:rPr>
        <w:t>14</w:t>
      </w:r>
      <w:r w:rsidRPr="000020F0">
        <w:rPr>
          <w:rFonts w:asciiTheme="majorHAnsi" w:hAnsiTheme="majorHAnsi" w:cstheme="majorHAnsi"/>
          <w:sz w:val="22"/>
          <w:szCs w:val="22"/>
        </w:rPr>
        <w:t>, kar pomeni, da je celotni projekt iz ekonomskega vidika upravičljiv.</w:t>
      </w:r>
    </w:p>
    <w:p w14:paraId="02311DE1" w14:textId="77777777" w:rsidR="00F55912" w:rsidRPr="000020F0" w:rsidRDefault="00F55912"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419" w:name="_Ref230594407"/>
      <w:bookmarkStart w:id="420" w:name="_Toc230882275"/>
      <w:r w:rsidRPr="000020F0">
        <w:rPr>
          <w:rFonts w:asciiTheme="majorHAnsi" w:eastAsiaTheme="majorEastAsia" w:hAnsiTheme="majorHAnsi" w:cstheme="majorHAnsi"/>
          <w:color w:val="244061" w:themeColor="accent1" w:themeShade="80"/>
        </w:rPr>
        <w:t>Povzetek ekonomske analize</w:t>
      </w:r>
      <w:bookmarkEnd w:id="419"/>
      <w:bookmarkEnd w:id="420"/>
    </w:p>
    <w:p w14:paraId="3153F869" w14:textId="77777777" w:rsidR="00BB25C6" w:rsidRPr="000020F0" w:rsidRDefault="008371D5" w:rsidP="00BD1D20">
      <w:pPr>
        <w:spacing w:after="120" w:line="276" w:lineRule="auto"/>
        <w:jc w:val="both"/>
        <w:rPr>
          <w:rFonts w:asciiTheme="majorHAnsi" w:hAnsiTheme="majorHAnsi" w:cstheme="majorHAnsi"/>
          <w:sz w:val="22"/>
          <w:szCs w:val="22"/>
        </w:rPr>
      </w:pPr>
      <w:bookmarkStart w:id="421" w:name="_Toc447095061"/>
      <w:r w:rsidRPr="000020F0">
        <w:rPr>
          <w:rFonts w:asciiTheme="majorHAnsi" w:hAnsiTheme="majorHAnsi" w:cstheme="majorHAnsi"/>
          <w:sz w:val="22"/>
          <w:szCs w:val="22"/>
        </w:rPr>
        <w:t xml:space="preserve">Ekonomska analiza zajema prikaz vseh prihodkovnih in odhodkovnih postavk po denarnem toku (izjema je amortizacija in ostale računovodske bilance, ki ne predstavljajo denarnega toka) kot finančna analiza, vendar so postavke nekoliko popravljene (izpuščen DDV, tržne cene se preoblikujejo v obračunske cene, itd.). Poleg finančnih postavk pa ekonomska analiza obsega tudi nekatere koristi in stroške, ki jih je potrebno najprej denarno oz. monetarno ovrednotiti. </w:t>
      </w:r>
    </w:p>
    <w:p w14:paraId="7D6DAC69" w14:textId="57059996" w:rsidR="00DA321E" w:rsidRPr="000020F0" w:rsidRDefault="00DA321E"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Z investicijsko namero bomo sledili tudi družbenim koristim, ki jih ne mo</w:t>
      </w:r>
      <w:r w:rsidR="000F4BA0" w:rsidRPr="000020F0">
        <w:rPr>
          <w:rFonts w:asciiTheme="majorHAnsi" w:hAnsiTheme="majorHAnsi" w:cstheme="majorHAnsi"/>
          <w:sz w:val="22"/>
          <w:szCs w:val="22"/>
        </w:rPr>
        <w:t>remo izraziti v denarnih enotah. T</w:t>
      </w:r>
      <w:r w:rsidRPr="000020F0">
        <w:rPr>
          <w:rFonts w:asciiTheme="majorHAnsi" w:hAnsiTheme="majorHAnsi" w:cstheme="majorHAnsi"/>
          <w:sz w:val="22"/>
          <w:szCs w:val="22"/>
        </w:rPr>
        <w:t xml:space="preserve">e so: </w:t>
      </w:r>
    </w:p>
    <w:p w14:paraId="737C27EF" w14:textId="33EDF806" w:rsidR="00DA321E" w:rsidRPr="000020F0" w:rsidRDefault="00DA321E" w:rsidP="00BD1D20">
      <w:pPr>
        <w:numPr>
          <w:ilvl w:val="0"/>
          <w:numId w:val="92"/>
        </w:numPr>
        <w:spacing w:line="276" w:lineRule="auto"/>
        <w:contextualSpacing/>
        <w:jc w:val="both"/>
        <w:rPr>
          <w:rFonts w:asciiTheme="majorHAnsi" w:eastAsiaTheme="minorHAnsi" w:hAnsiTheme="majorHAnsi" w:cstheme="majorHAnsi"/>
          <w:sz w:val="22"/>
          <w:szCs w:val="22"/>
          <w:lang w:eastAsia="en-US"/>
        </w:rPr>
      </w:pPr>
      <w:r w:rsidRPr="000020F0">
        <w:rPr>
          <w:rFonts w:asciiTheme="majorHAnsi" w:eastAsiaTheme="minorHAnsi" w:hAnsiTheme="majorHAnsi" w:cstheme="majorHAnsi"/>
          <w:sz w:val="22"/>
          <w:szCs w:val="22"/>
          <w:lang w:eastAsia="en-US"/>
        </w:rPr>
        <w:t>Koristi, ki jih izvedba predmetne</w:t>
      </w:r>
      <w:r w:rsidR="000F4BA0" w:rsidRPr="000020F0">
        <w:rPr>
          <w:rFonts w:asciiTheme="majorHAnsi" w:eastAsiaTheme="minorHAnsi" w:hAnsiTheme="majorHAnsi" w:cstheme="majorHAnsi"/>
          <w:sz w:val="22"/>
          <w:szCs w:val="22"/>
          <w:lang w:eastAsia="en-US"/>
        </w:rPr>
        <w:t>ga projekta prinaša na družbeno</w:t>
      </w:r>
      <w:r w:rsidRPr="000020F0">
        <w:rPr>
          <w:rFonts w:asciiTheme="majorHAnsi" w:eastAsiaTheme="minorHAnsi" w:hAnsiTheme="majorHAnsi" w:cstheme="majorHAnsi"/>
          <w:sz w:val="22"/>
          <w:szCs w:val="22"/>
          <w:lang w:eastAsia="en-US"/>
        </w:rPr>
        <w:t xml:space="preserve">-socialnem področju: </w:t>
      </w:r>
    </w:p>
    <w:p w14:paraId="7D14FC53" w14:textId="011D3580" w:rsidR="00DA321E" w:rsidRPr="000020F0" w:rsidRDefault="000F4BA0" w:rsidP="00BD1D20">
      <w:pPr>
        <w:pStyle w:val="Odstavekseznama"/>
        <w:numPr>
          <w:ilvl w:val="0"/>
          <w:numId w:val="93"/>
        </w:numPr>
        <w:spacing w:after="120"/>
        <w:ind w:hanging="356"/>
        <w:contextualSpacing w:val="0"/>
        <w:jc w:val="both"/>
        <w:rPr>
          <w:rFonts w:asciiTheme="majorHAnsi" w:eastAsiaTheme="minorHAnsi" w:hAnsiTheme="majorHAnsi" w:cstheme="majorHAnsi"/>
          <w:lang w:eastAsia="en-US"/>
        </w:rPr>
      </w:pPr>
      <w:r w:rsidRPr="000020F0">
        <w:rPr>
          <w:rFonts w:asciiTheme="majorHAnsi" w:eastAsiaTheme="minorHAnsi" w:hAnsiTheme="majorHAnsi" w:cstheme="majorHAnsi"/>
          <w:lang w:eastAsia="en-US"/>
        </w:rPr>
        <w:t>p</w:t>
      </w:r>
      <w:r w:rsidR="00DA321E" w:rsidRPr="000020F0">
        <w:rPr>
          <w:rFonts w:asciiTheme="majorHAnsi" w:eastAsiaTheme="minorHAnsi" w:hAnsiTheme="majorHAnsi" w:cstheme="majorHAnsi"/>
          <w:lang w:eastAsia="en-US"/>
        </w:rPr>
        <w:t>ovečanje kakovosti življenja prebivalcev, kar neposredno vpliva na večjo rast prebivalstva z vidika poselitve in m</w:t>
      </w:r>
      <w:r w:rsidRPr="000020F0">
        <w:rPr>
          <w:rFonts w:asciiTheme="majorHAnsi" w:eastAsiaTheme="minorHAnsi" w:hAnsiTheme="majorHAnsi" w:cstheme="majorHAnsi"/>
          <w:lang w:eastAsia="en-US"/>
        </w:rPr>
        <w:t>ožnost razvoja ter zaposlovanja;</w:t>
      </w:r>
    </w:p>
    <w:p w14:paraId="2920E9C6" w14:textId="128DCFC1" w:rsidR="00DA321E" w:rsidRPr="000020F0" w:rsidRDefault="000F4BA0" w:rsidP="00BD1D20">
      <w:pPr>
        <w:pStyle w:val="Odstavekseznama"/>
        <w:numPr>
          <w:ilvl w:val="0"/>
          <w:numId w:val="93"/>
        </w:numPr>
        <w:spacing w:after="120"/>
        <w:ind w:hanging="356"/>
        <w:contextualSpacing w:val="0"/>
        <w:jc w:val="both"/>
        <w:rPr>
          <w:rFonts w:asciiTheme="majorHAnsi" w:eastAsiaTheme="minorHAnsi" w:hAnsiTheme="majorHAnsi" w:cstheme="majorHAnsi"/>
          <w:lang w:eastAsia="en-US"/>
        </w:rPr>
      </w:pPr>
      <w:r w:rsidRPr="000020F0">
        <w:rPr>
          <w:rFonts w:asciiTheme="majorHAnsi" w:eastAsiaTheme="minorHAnsi" w:hAnsiTheme="majorHAnsi" w:cstheme="majorHAnsi"/>
          <w:lang w:eastAsia="en-US"/>
        </w:rPr>
        <w:t>d</w:t>
      </w:r>
      <w:r w:rsidR="00DA321E" w:rsidRPr="000020F0">
        <w:rPr>
          <w:rFonts w:asciiTheme="majorHAnsi" w:eastAsiaTheme="minorHAnsi" w:hAnsiTheme="majorHAnsi" w:cstheme="majorHAnsi"/>
          <w:lang w:eastAsia="en-US"/>
        </w:rPr>
        <w:t>vig kvalitete življenja občanov</w:t>
      </w:r>
      <w:r w:rsidRPr="000020F0">
        <w:rPr>
          <w:rFonts w:asciiTheme="majorHAnsi" w:eastAsiaTheme="minorHAnsi" w:hAnsiTheme="majorHAnsi" w:cstheme="majorHAnsi"/>
          <w:lang w:eastAsia="en-US"/>
        </w:rPr>
        <w:t>;</w:t>
      </w:r>
    </w:p>
    <w:p w14:paraId="6EB520E0" w14:textId="437F7215" w:rsidR="00DA321E" w:rsidRPr="000020F0" w:rsidRDefault="000F4BA0" w:rsidP="00BD1D20">
      <w:pPr>
        <w:pStyle w:val="Odstavekseznama"/>
        <w:numPr>
          <w:ilvl w:val="0"/>
          <w:numId w:val="93"/>
        </w:numPr>
        <w:spacing w:after="120"/>
        <w:ind w:hanging="356"/>
        <w:contextualSpacing w:val="0"/>
        <w:jc w:val="both"/>
        <w:rPr>
          <w:rFonts w:asciiTheme="majorHAnsi" w:eastAsiaTheme="minorHAnsi" w:hAnsiTheme="majorHAnsi" w:cstheme="majorHAnsi"/>
          <w:lang w:eastAsia="en-US"/>
        </w:rPr>
      </w:pPr>
      <w:r w:rsidRPr="000020F0">
        <w:rPr>
          <w:rFonts w:asciiTheme="majorHAnsi" w:eastAsiaTheme="minorHAnsi" w:hAnsiTheme="majorHAnsi" w:cstheme="majorHAnsi"/>
          <w:lang w:eastAsia="en-US"/>
        </w:rPr>
        <w:t>z</w:t>
      </w:r>
      <w:r w:rsidR="00DA321E" w:rsidRPr="000020F0">
        <w:rPr>
          <w:rFonts w:asciiTheme="majorHAnsi" w:eastAsiaTheme="minorHAnsi" w:hAnsiTheme="majorHAnsi" w:cstheme="majorHAnsi"/>
          <w:lang w:eastAsia="en-US"/>
        </w:rPr>
        <w:t>manjšanje ogroženosti prebivalcev</w:t>
      </w:r>
      <w:r w:rsidRPr="000020F0">
        <w:rPr>
          <w:rFonts w:asciiTheme="majorHAnsi" w:eastAsiaTheme="minorHAnsi" w:hAnsiTheme="majorHAnsi" w:cstheme="majorHAnsi"/>
          <w:lang w:eastAsia="en-US"/>
        </w:rPr>
        <w:t>.</w:t>
      </w:r>
    </w:p>
    <w:p w14:paraId="35BB2A4F" w14:textId="77777777" w:rsidR="00DA321E" w:rsidRPr="000020F0" w:rsidRDefault="00DA321E" w:rsidP="00BD1D20">
      <w:pPr>
        <w:numPr>
          <w:ilvl w:val="0"/>
          <w:numId w:val="92"/>
        </w:numPr>
        <w:spacing w:line="276" w:lineRule="auto"/>
        <w:contextualSpacing/>
        <w:jc w:val="both"/>
        <w:rPr>
          <w:rFonts w:asciiTheme="majorHAnsi" w:eastAsiaTheme="minorHAnsi" w:hAnsiTheme="majorHAnsi" w:cstheme="majorHAnsi"/>
          <w:sz w:val="22"/>
          <w:szCs w:val="22"/>
          <w:lang w:eastAsia="en-US"/>
        </w:rPr>
      </w:pPr>
      <w:r w:rsidRPr="000020F0">
        <w:rPr>
          <w:rFonts w:asciiTheme="majorHAnsi" w:eastAsia="Arial Unicode MS" w:hAnsiTheme="majorHAnsi" w:cstheme="majorHAnsi"/>
          <w:sz w:val="22"/>
          <w:szCs w:val="22"/>
          <w:lang w:eastAsia="x-none"/>
        </w:rPr>
        <w:t>Koristi</w:t>
      </w:r>
      <w:r w:rsidRPr="000020F0">
        <w:rPr>
          <w:rFonts w:asciiTheme="majorHAnsi" w:eastAsiaTheme="minorHAnsi" w:hAnsiTheme="majorHAnsi" w:cstheme="majorHAnsi"/>
          <w:sz w:val="22"/>
          <w:szCs w:val="22"/>
          <w:lang w:eastAsia="en-US"/>
        </w:rPr>
        <w:t xml:space="preserve">, ki jih izvedba predmetnega projekta prinaša na razvojno gospodarskem področju: </w:t>
      </w:r>
    </w:p>
    <w:p w14:paraId="6852F921" w14:textId="1634AFC3" w:rsidR="00DA321E" w:rsidRPr="000020F0" w:rsidRDefault="00CA671C" w:rsidP="00BD1D20">
      <w:pPr>
        <w:pStyle w:val="Odstavekseznama"/>
        <w:numPr>
          <w:ilvl w:val="0"/>
          <w:numId w:val="93"/>
        </w:numPr>
        <w:spacing w:after="120"/>
        <w:ind w:hanging="356"/>
        <w:contextualSpacing w:val="0"/>
        <w:jc w:val="both"/>
        <w:rPr>
          <w:rFonts w:asciiTheme="majorHAnsi" w:eastAsiaTheme="minorHAnsi" w:hAnsiTheme="majorHAnsi" w:cstheme="majorHAnsi"/>
          <w:lang w:eastAsia="en-US"/>
        </w:rPr>
      </w:pPr>
      <w:r w:rsidRPr="000020F0">
        <w:rPr>
          <w:rFonts w:asciiTheme="majorHAnsi" w:eastAsiaTheme="minorHAnsi" w:hAnsiTheme="majorHAnsi" w:cstheme="majorHAnsi"/>
          <w:lang w:eastAsia="en-US"/>
        </w:rPr>
        <w:t>z</w:t>
      </w:r>
      <w:r w:rsidR="00DA321E" w:rsidRPr="000020F0">
        <w:rPr>
          <w:rFonts w:asciiTheme="majorHAnsi" w:eastAsiaTheme="minorHAnsi" w:hAnsiTheme="majorHAnsi" w:cstheme="majorHAnsi"/>
          <w:lang w:eastAsia="en-US"/>
        </w:rPr>
        <w:t xml:space="preserve"> implementacijo projekta se pričakuje zaščita celotnega območja investicije.</w:t>
      </w:r>
    </w:p>
    <w:p w14:paraId="522C5E6C" w14:textId="77777777" w:rsidR="00DA321E" w:rsidRPr="000020F0" w:rsidRDefault="00DA321E" w:rsidP="00BD1D20">
      <w:pPr>
        <w:numPr>
          <w:ilvl w:val="0"/>
          <w:numId w:val="92"/>
        </w:numPr>
        <w:spacing w:line="276" w:lineRule="auto"/>
        <w:contextualSpacing/>
        <w:jc w:val="both"/>
        <w:rPr>
          <w:rFonts w:asciiTheme="majorHAnsi" w:eastAsiaTheme="minorHAnsi" w:hAnsiTheme="majorHAnsi" w:cstheme="majorHAnsi"/>
          <w:sz w:val="22"/>
          <w:szCs w:val="22"/>
          <w:lang w:eastAsia="en-US"/>
        </w:rPr>
      </w:pPr>
      <w:r w:rsidRPr="000020F0">
        <w:rPr>
          <w:rFonts w:asciiTheme="majorHAnsi" w:eastAsia="Arial Unicode MS" w:hAnsiTheme="majorHAnsi" w:cstheme="majorHAnsi"/>
          <w:sz w:val="22"/>
          <w:szCs w:val="22"/>
          <w:lang w:eastAsia="x-none"/>
        </w:rPr>
        <w:t>Koristi</w:t>
      </w:r>
      <w:r w:rsidRPr="000020F0">
        <w:rPr>
          <w:rFonts w:asciiTheme="majorHAnsi" w:eastAsiaTheme="minorHAnsi" w:hAnsiTheme="majorHAnsi" w:cstheme="majorHAnsi"/>
          <w:sz w:val="22"/>
          <w:szCs w:val="22"/>
          <w:lang w:eastAsia="en-US"/>
        </w:rPr>
        <w:t xml:space="preserve">, ki jih izvedba predmetnega projekta prinaša na okoljevarstvenem področju: </w:t>
      </w:r>
    </w:p>
    <w:p w14:paraId="0B2F439B" w14:textId="2360A733" w:rsidR="00DA321E" w:rsidRPr="000020F0" w:rsidRDefault="00CA671C" w:rsidP="00BD1D20">
      <w:pPr>
        <w:pStyle w:val="Odstavekseznama"/>
        <w:numPr>
          <w:ilvl w:val="0"/>
          <w:numId w:val="93"/>
        </w:numPr>
        <w:spacing w:after="120"/>
        <w:ind w:hanging="356"/>
        <w:contextualSpacing w:val="0"/>
        <w:jc w:val="both"/>
        <w:rPr>
          <w:rFonts w:asciiTheme="majorHAnsi" w:eastAsiaTheme="minorHAnsi" w:hAnsiTheme="majorHAnsi" w:cstheme="majorHAnsi"/>
          <w:lang w:eastAsia="en-US"/>
        </w:rPr>
      </w:pPr>
      <w:r w:rsidRPr="000020F0">
        <w:rPr>
          <w:rFonts w:asciiTheme="majorHAnsi" w:eastAsiaTheme="minorHAnsi" w:hAnsiTheme="majorHAnsi" w:cstheme="majorHAnsi"/>
          <w:lang w:eastAsia="en-US"/>
        </w:rPr>
        <w:t>k</w:t>
      </w:r>
      <w:r w:rsidR="00DA321E" w:rsidRPr="000020F0">
        <w:rPr>
          <w:rFonts w:asciiTheme="majorHAnsi" w:eastAsiaTheme="minorHAnsi" w:hAnsiTheme="majorHAnsi" w:cstheme="majorHAnsi"/>
          <w:lang w:eastAsia="en-US"/>
        </w:rPr>
        <w:t>oristi iz naslova izvedbe ukrepov v zmanjšanju negativnih vplivov na okolje.</w:t>
      </w:r>
    </w:p>
    <w:p w14:paraId="2F415A24"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Prav tako najpomembnejši izračuni ekonomskih kazalnikov prikazujejo, ali je projekt upravičen do pridobitve </w:t>
      </w:r>
      <w:proofErr w:type="spellStart"/>
      <w:r w:rsidRPr="000020F0">
        <w:rPr>
          <w:rFonts w:asciiTheme="majorHAnsi" w:hAnsiTheme="majorHAnsi" w:cstheme="majorHAnsi"/>
          <w:sz w:val="22"/>
          <w:szCs w:val="22"/>
        </w:rPr>
        <w:t>sofinancerskih</w:t>
      </w:r>
      <w:proofErr w:type="spellEnd"/>
      <w:r w:rsidRPr="000020F0">
        <w:rPr>
          <w:rFonts w:asciiTheme="majorHAnsi" w:hAnsiTheme="majorHAnsi" w:cstheme="majorHAnsi"/>
          <w:sz w:val="22"/>
          <w:szCs w:val="22"/>
        </w:rPr>
        <w:t xml:space="preserve"> sredstev ter v kakšnem obsegu.</w:t>
      </w:r>
    </w:p>
    <w:p w14:paraId="792BDFD5" w14:textId="77777777" w:rsidR="008371D5" w:rsidRPr="000020F0" w:rsidRDefault="008371D5"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lastRenderedPageBreak/>
        <w:t>Tabela v nadaljevanju prikazuje povzetek preračunanih najpomembnejših ekonomskih kazalnikov celotnega projekta.</w:t>
      </w:r>
    </w:p>
    <w:p w14:paraId="2DFFD9B4" w14:textId="449B46BE" w:rsidR="00F55912" w:rsidRPr="000020F0" w:rsidRDefault="00524677" w:rsidP="00BD1D20">
      <w:pPr>
        <w:pStyle w:val="Napis"/>
        <w:keepNext/>
        <w:spacing w:after="120" w:line="276" w:lineRule="auto"/>
        <w:rPr>
          <w:rFonts w:asciiTheme="majorHAnsi" w:hAnsiTheme="majorHAnsi" w:cstheme="majorHAnsi"/>
          <w:b w:val="0"/>
          <w:color w:val="auto"/>
          <w:sz w:val="22"/>
          <w:szCs w:val="22"/>
        </w:rPr>
      </w:pPr>
      <w:bookmarkStart w:id="422" w:name="_Toc230882312"/>
      <w:r w:rsidRPr="000020F0">
        <w:rPr>
          <w:rFonts w:asciiTheme="majorHAnsi" w:hAnsiTheme="majorHAnsi" w:cstheme="majorHAnsi"/>
          <w:color w:val="auto"/>
          <w:sz w:val="22"/>
          <w:szCs w:val="22"/>
        </w:rPr>
        <w:t xml:space="preserve">Tabela </w:t>
      </w:r>
      <w:r w:rsidR="00050C93"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00050C93"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32</w:t>
      </w:r>
      <w:r w:rsidR="00050C93"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color w:val="auto"/>
          <w:sz w:val="22"/>
          <w:szCs w:val="22"/>
        </w:rPr>
        <w:t xml:space="preserve"> </w:t>
      </w:r>
      <w:r w:rsidR="00F55912" w:rsidRPr="000020F0">
        <w:rPr>
          <w:rFonts w:asciiTheme="majorHAnsi" w:hAnsiTheme="majorHAnsi" w:cstheme="majorHAnsi"/>
          <w:b w:val="0"/>
          <w:color w:val="auto"/>
          <w:sz w:val="22"/>
          <w:szCs w:val="22"/>
        </w:rPr>
        <w:t xml:space="preserve">Prikaz najpomembnejših ekonomskih kazalnikov </w:t>
      </w:r>
      <w:bookmarkEnd w:id="421"/>
      <w:r w:rsidR="00F55912" w:rsidRPr="000020F0">
        <w:rPr>
          <w:rFonts w:asciiTheme="majorHAnsi" w:hAnsiTheme="majorHAnsi" w:cstheme="majorHAnsi"/>
          <w:b w:val="0"/>
          <w:color w:val="auto"/>
          <w:sz w:val="22"/>
          <w:szCs w:val="22"/>
        </w:rPr>
        <w:t>celotnega projekta</w:t>
      </w:r>
      <w:bookmarkEnd w:id="422"/>
    </w:p>
    <w:tbl>
      <w:tblPr>
        <w:tblW w:w="8217" w:type="dxa"/>
        <w:tblCellMar>
          <w:left w:w="70" w:type="dxa"/>
          <w:right w:w="70" w:type="dxa"/>
        </w:tblCellMar>
        <w:tblLook w:val="04A0" w:firstRow="1" w:lastRow="0" w:firstColumn="1" w:lastColumn="0" w:noHBand="0" w:noVBand="1"/>
      </w:tblPr>
      <w:tblGrid>
        <w:gridCol w:w="6658"/>
        <w:gridCol w:w="1559"/>
      </w:tblGrid>
      <w:tr w:rsidR="001043D5" w:rsidRPr="000020F0" w14:paraId="3F20EE24" w14:textId="77777777" w:rsidTr="001043D5">
        <w:trPr>
          <w:trHeight w:val="285"/>
        </w:trPr>
        <w:tc>
          <w:tcPr>
            <w:tcW w:w="665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723AB5ED" w14:textId="77777777" w:rsidR="001043D5" w:rsidRPr="000020F0" w:rsidRDefault="001043D5" w:rsidP="001043D5">
            <w:pPr>
              <w:spacing w:before="60" w:after="60"/>
              <w:rPr>
                <w:rFonts w:ascii="Arial" w:hAnsi="Arial" w:cs="Arial"/>
                <w:b/>
                <w:bCs/>
                <w:color w:val="000000"/>
                <w:sz w:val="22"/>
                <w:szCs w:val="22"/>
              </w:rPr>
            </w:pPr>
            <w:r w:rsidRPr="000020F0">
              <w:rPr>
                <w:rFonts w:ascii="Arial" w:hAnsi="Arial" w:cs="Arial"/>
                <w:b/>
                <w:bCs/>
                <w:color w:val="000000"/>
                <w:sz w:val="22"/>
                <w:szCs w:val="22"/>
              </w:rPr>
              <w:t>EKONOMSKI KAZALNIKI</w:t>
            </w:r>
          </w:p>
        </w:tc>
        <w:tc>
          <w:tcPr>
            <w:tcW w:w="15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16231E5" w14:textId="77777777" w:rsidR="001043D5" w:rsidRPr="000020F0" w:rsidRDefault="001043D5" w:rsidP="001043D5">
            <w:pPr>
              <w:spacing w:before="60" w:after="60"/>
              <w:rPr>
                <w:rFonts w:ascii="Arial" w:hAnsi="Arial" w:cs="Arial"/>
                <w:i/>
                <w:iCs/>
                <w:color w:val="000000"/>
                <w:sz w:val="22"/>
                <w:szCs w:val="22"/>
              </w:rPr>
            </w:pPr>
            <w:r w:rsidRPr="000020F0">
              <w:rPr>
                <w:rFonts w:ascii="Arial" w:hAnsi="Arial" w:cs="Arial"/>
                <w:i/>
                <w:iCs/>
                <w:color w:val="000000"/>
                <w:sz w:val="22"/>
                <w:szCs w:val="22"/>
              </w:rPr>
              <w:t> </w:t>
            </w:r>
          </w:p>
        </w:tc>
      </w:tr>
      <w:tr w:rsidR="001D40B3" w:rsidRPr="000020F0" w14:paraId="6ED6F910" w14:textId="77777777" w:rsidTr="0092316D">
        <w:trPr>
          <w:trHeight w:val="285"/>
        </w:trPr>
        <w:tc>
          <w:tcPr>
            <w:tcW w:w="6658" w:type="dxa"/>
            <w:tcBorders>
              <w:top w:val="nil"/>
              <w:left w:val="single" w:sz="4" w:space="0" w:color="auto"/>
              <w:bottom w:val="single" w:sz="4" w:space="0" w:color="auto"/>
              <w:right w:val="single" w:sz="4" w:space="0" w:color="auto"/>
            </w:tcBorders>
            <w:noWrap/>
            <w:vAlign w:val="bottom"/>
            <w:hideMark/>
          </w:tcPr>
          <w:p w14:paraId="6D5CADA6" w14:textId="77777777" w:rsidR="001D40B3" w:rsidRPr="000020F0" w:rsidRDefault="001D40B3" w:rsidP="001D40B3">
            <w:pPr>
              <w:spacing w:before="60" w:after="60"/>
              <w:rPr>
                <w:rFonts w:ascii="Arial" w:hAnsi="Arial" w:cs="Arial"/>
                <w:color w:val="000000"/>
                <w:sz w:val="22"/>
                <w:szCs w:val="22"/>
              </w:rPr>
            </w:pPr>
            <w:r w:rsidRPr="000020F0">
              <w:rPr>
                <w:rFonts w:ascii="Arial" w:hAnsi="Arial" w:cs="Arial"/>
                <w:color w:val="000000"/>
                <w:sz w:val="22"/>
                <w:szCs w:val="22"/>
              </w:rPr>
              <w:t>Neto sedanja vrednost (ENSV)</w:t>
            </w:r>
          </w:p>
        </w:tc>
        <w:tc>
          <w:tcPr>
            <w:tcW w:w="1559" w:type="dxa"/>
            <w:tcBorders>
              <w:top w:val="nil"/>
              <w:left w:val="nil"/>
              <w:bottom w:val="single" w:sz="4" w:space="0" w:color="auto"/>
              <w:right w:val="single" w:sz="4" w:space="0" w:color="auto"/>
            </w:tcBorders>
            <w:noWrap/>
            <w:hideMark/>
          </w:tcPr>
          <w:p w14:paraId="177E9997" w14:textId="160E443D" w:rsidR="001D40B3" w:rsidRPr="000020F0" w:rsidRDefault="001D40B3" w:rsidP="001D40B3">
            <w:pPr>
              <w:spacing w:before="60" w:after="60"/>
              <w:jc w:val="right"/>
              <w:rPr>
                <w:rFonts w:ascii="Arial" w:hAnsi="Arial" w:cs="Arial"/>
                <w:i/>
                <w:iCs/>
                <w:color w:val="000000"/>
                <w:sz w:val="22"/>
                <w:szCs w:val="22"/>
              </w:rPr>
            </w:pPr>
            <w:r w:rsidRPr="000020F0">
              <w:rPr>
                <w:rFonts w:ascii="Arial" w:hAnsi="Arial" w:cs="Arial"/>
                <w:sz w:val="22"/>
                <w:szCs w:val="22"/>
              </w:rPr>
              <w:t>3.438.311</w:t>
            </w:r>
          </w:p>
        </w:tc>
      </w:tr>
      <w:tr w:rsidR="001D40B3" w:rsidRPr="000020F0" w14:paraId="6852FCD7" w14:textId="77777777" w:rsidTr="0092316D">
        <w:trPr>
          <w:trHeight w:val="285"/>
        </w:trPr>
        <w:tc>
          <w:tcPr>
            <w:tcW w:w="6658" w:type="dxa"/>
            <w:tcBorders>
              <w:top w:val="nil"/>
              <w:left w:val="single" w:sz="4" w:space="0" w:color="auto"/>
              <w:bottom w:val="single" w:sz="4" w:space="0" w:color="auto"/>
              <w:right w:val="single" w:sz="4" w:space="0" w:color="auto"/>
            </w:tcBorders>
            <w:noWrap/>
            <w:vAlign w:val="bottom"/>
            <w:hideMark/>
          </w:tcPr>
          <w:p w14:paraId="481DD864" w14:textId="77777777" w:rsidR="001D40B3" w:rsidRPr="000020F0" w:rsidRDefault="001D40B3" w:rsidP="001D40B3">
            <w:pPr>
              <w:spacing w:before="60" w:after="60"/>
              <w:rPr>
                <w:rFonts w:ascii="Arial" w:hAnsi="Arial" w:cs="Arial"/>
                <w:color w:val="000000"/>
                <w:sz w:val="22"/>
                <w:szCs w:val="22"/>
              </w:rPr>
            </w:pPr>
            <w:r w:rsidRPr="000020F0">
              <w:rPr>
                <w:rFonts w:ascii="Arial" w:hAnsi="Arial" w:cs="Arial"/>
                <w:color w:val="000000"/>
                <w:sz w:val="22"/>
                <w:szCs w:val="22"/>
              </w:rPr>
              <w:t>Ekonomska stopnja donosa (ESD)</w:t>
            </w:r>
          </w:p>
        </w:tc>
        <w:tc>
          <w:tcPr>
            <w:tcW w:w="1559" w:type="dxa"/>
            <w:tcBorders>
              <w:top w:val="nil"/>
              <w:left w:val="nil"/>
              <w:bottom w:val="single" w:sz="4" w:space="0" w:color="auto"/>
              <w:right w:val="single" w:sz="4" w:space="0" w:color="auto"/>
            </w:tcBorders>
            <w:noWrap/>
            <w:hideMark/>
          </w:tcPr>
          <w:p w14:paraId="3C035EA7" w14:textId="4922F2D2" w:rsidR="001D40B3" w:rsidRPr="000020F0" w:rsidRDefault="001D40B3" w:rsidP="001D40B3">
            <w:pPr>
              <w:spacing w:before="60" w:after="60"/>
              <w:jc w:val="right"/>
              <w:rPr>
                <w:rFonts w:ascii="Arial" w:hAnsi="Arial" w:cs="Arial"/>
                <w:i/>
                <w:iCs/>
                <w:color w:val="000000"/>
                <w:sz w:val="22"/>
                <w:szCs w:val="22"/>
              </w:rPr>
            </w:pPr>
            <w:r w:rsidRPr="000020F0">
              <w:rPr>
                <w:rFonts w:ascii="Arial" w:hAnsi="Arial" w:cs="Arial"/>
                <w:sz w:val="22"/>
                <w:szCs w:val="22"/>
              </w:rPr>
              <w:t>15,33%</w:t>
            </w:r>
          </w:p>
        </w:tc>
      </w:tr>
      <w:tr w:rsidR="001D40B3" w:rsidRPr="000020F0" w14:paraId="089381FC" w14:textId="77777777" w:rsidTr="0092316D">
        <w:trPr>
          <w:trHeight w:val="285"/>
        </w:trPr>
        <w:tc>
          <w:tcPr>
            <w:tcW w:w="6658" w:type="dxa"/>
            <w:tcBorders>
              <w:top w:val="nil"/>
              <w:left w:val="single" w:sz="4" w:space="0" w:color="auto"/>
              <w:bottom w:val="single" w:sz="4" w:space="0" w:color="auto"/>
              <w:right w:val="single" w:sz="4" w:space="0" w:color="auto"/>
            </w:tcBorders>
            <w:noWrap/>
            <w:vAlign w:val="bottom"/>
            <w:hideMark/>
          </w:tcPr>
          <w:p w14:paraId="52BAAB95" w14:textId="77777777" w:rsidR="001D40B3" w:rsidRPr="000020F0" w:rsidRDefault="001D40B3" w:rsidP="001D40B3">
            <w:pPr>
              <w:spacing w:before="60" w:after="60"/>
              <w:rPr>
                <w:rFonts w:ascii="Arial" w:hAnsi="Arial" w:cs="Arial"/>
                <w:color w:val="000000"/>
                <w:sz w:val="22"/>
                <w:szCs w:val="22"/>
              </w:rPr>
            </w:pPr>
            <w:r w:rsidRPr="000020F0">
              <w:rPr>
                <w:rFonts w:ascii="Arial" w:hAnsi="Arial" w:cs="Arial"/>
                <w:color w:val="000000"/>
                <w:sz w:val="22"/>
                <w:szCs w:val="22"/>
              </w:rPr>
              <w:t>Relativna neto sedanja vrednost (</w:t>
            </w:r>
            <w:proofErr w:type="spellStart"/>
            <w:r w:rsidRPr="000020F0">
              <w:rPr>
                <w:rFonts w:ascii="Arial" w:hAnsi="Arial" w:cs="Arial"/>
                <w:color w:val="000000"/>
                <w:sz w:val="22"/>
                <w:szCs w:val="22"/>
              </w:rPr>
              <w:t>ErNSV</w:t>
            </w:r>
            <w:proofErr w:type="spellEnd"/>
            <w:r w:rsidRPr="000020F0">
              <w:rPr>
                <w:rFonts w:ascii="Arial" w:hAnsi="Arial" w:cs="Arial"/>
                <w:color w:val="000000"/>
                <w:sz w:val="22"/>
                <w:szCs w:val="22"/>
              </w:rPr>
              <w:t>)</w:t>
            </w:r>
          </w:p>
        </w:tc>
        <w:tc>
          <w:tcPr>
            <w:tcW w:w="1559" w:type="dxa"/>
            <w:tcBorders>
              <w:top w:val="nil"/>
              <w:left w:val="nil"/>
              <w:bottom w:val="single" w:sz="4" w:space="0" w:color="auto"/>
              <w:right w:val="single" w:sz="4" w:space="0" w:color="auto"/>
            </w:tcBorders>
            <w:noWrap/>
            <w:hideMark/>
          </w:tcPr>
          <w:p w14:paraId="5E55470C" w14:textId="56B0A14E" w:rsidR="001D40B3" w:rsidRPr="000020F0" w:rsidRDefault="001D40B3" w:rsidP="001D40B3">
            <w:pPr>
              <w:spacing w:before="60" w:after="60"/>
              <w:jc w:val="right"/>
              <w:rPr>
                <w:rFonts w:ascii="Arial" w:hAnsi="Arial" w:cs="Arial"/>
                <w:i/>
                <w:iCs/>
                <w:color w:val="000000"/>
                <w:sz w:val="22"/>
                <w:szCs w:val="22"/>
              </w:rPr>
            </w:pPr>
            <w:r w:rsidRPr="000020F0">
              <w:rPr>
                <w:rFonts w:ascii="Arial" w:hAnsi="Arial" w:cs="Arial"/>
                <w:sz w:val="22"/>
                <w:szCs w:val="22"/>
              </w:rPr>
              <w:t>1,43</w:t>
            </w:r>
          </w:p>
        </w:tc>
      </w:tr>
      <w:tr w:rsidR="001D40B3" w:rsidRPr="000020F0" w14:paraId="454D7704" w14:textId="77777777" w:rsidTr="0092316D">
        <w:trPr>
          <w:trHeight w:val="285"/>
        </w:trPr>
        <w:tc>
          <w:tcPr>
            <w:tcW w:w="6658" w:type="dxa"/>
            <w:tcBorders>
              <w:top w:val="nil"/>
              <w:left w:val="single" w:sz="4" w:space="0" w:color="auto"/>
              <w:bottom w:val="single" w:sz="4" w:space="0" w:color="auto"/>
              <w:right w:val="single" w:sz="4" w:space="0" w:color="auto"/>
            </w:tcBorders>
            <w:noWrap/>
            <w:vAlign w:val="bottom"/>
            <w:hideMark/>
          </w:tcPr>
          <w:p w14:paraId="1DEE663C" w14:textId="77777777" w:rsidR="001D40B3" w:rsidRPr="000020F0" w:rsidRDefault="001D40B3" w:rsidP="001D40B3">
            <w:pPr>
              <w:spacing w:before="60" w:after="60"/>
              <w:rPr>
                <w:rFonts w:ascii="Arial" w:hAnsi="Arial" w:cs="Arial"/>
                <w:color w:val="000000"/>
                <w:sz w:val="22"/>
                <w:szCs w:val="22"/>
              </w:rPr>
            </w:pPr>
            <w:r w:rsidRPr="000020F0">
              <w:rPr>
                <w:rFonts w:ascii="Arial" w:hAnsi="Arial" w:cs="Arial"/>
                <w:color w:val="000000"/>
                <w:sz w:val="22"/>
                <w:szCs w:val="22"/>
              </w:rPr>
              <w:t>Razmerje med koristmi in stroški (B/</w:t>
            </w:r>
            <w:proofErr w:type="spellStart"/>
            <w:r w:rsidRPr="000020F0">
              <w:rPr>
                <w:rFonts w:ascii="Arial" w:hAnsi="Arial" w:cs="Arial"/>
                <w:color w:val="000000"/>
                <w:sz w:val="22"/>
                <w:szCs w:val="22"/>
              </w:rPr>
              <w:t>C</w:t>
            </w:r>
            <w:r w:rsidRPr="000020F0">
              <w:rPr>
                <w:rFonts w:ascii="Arial" w:hAnsi="Arial" w:cs="Arial"/>
                <w:color w:val="000000"/>
                <w:sz w:val="22"/>
                <w:szCs w:val="22"/>
                <w:vertAlign w:val="subscript"/>
              </w:rPr>
              <w:t>ratio</w:t>
            </w:r>
            <w:proofErr w:type="spellEnd"/>
            <w:r w:rsidRPr="000020F0">
              <w:rPr>
                <w:rFonts w:ascii="Arial" w:hAnsi="Arial" w:cs="Arial"/>
                <w:color w:val="000000"/>
                <w:sz w:val="22"/>
                <w:szCs w:val="22"/>
              </w:rPr>
              <w:t>)</w:t>
            </w:r>
          </w:p>
        </w:tc>
        <w:tc>
          <w:tcPr>
            <w:tcW w:w="1559" w:type="dxa"/>
            <w:tcBorders>
              <w:top w:val="nil"/>
              <w:left w:val="nil"/>
              <w:bottom w:val="single" w:sz="4" w:space="0" w:color="auto"/>
              <w:right w:val="single" w:sz="4" w:space="0" w:color="auto"/>
            </w:tcBorders>
            <w:noWrap/>
            <w:hideMark/>
          </w:tcPr>
          <w:p w14:paraId="5DD4BC6D" w14:textId="2E63F6C1" w:rsidR="001D40B3" w:rsidRPr="000020F0" w:rsidRDefault="001D40B3" w:rsidP="001D40B3">
            <w:pPr>
              <w:spacing w:before="60" w:after="60"/>
              <w:jc w:val="right"/>
              <w:rPr>
                <w:rFonts w:ascii="Arial" w:hAnsi="Arial" w:cs="Arial"/>
                <w:i/>
                <w:iCs/>
                <w:color w:val="000000"/>
                <w:sz w:val="22"/>
                <w:szCs w:val="22"/>
              </w:rPr>
            </w:pPr>
            <w:r w:rsidRPr="000020F0">
              <w:rPr>
                <w:rFonts w:ascii="Arial" w:hAnsi="Arial" w:cs="Arial"/>
                <w:sz w:val="22"/>
                <w:szCs w:val="22"/>
              </w:rPr>
              <w:t>2,14</w:t>
            </w:r>
          </w:p>
        </w:tc>
      </w:tr>
      <w:tr w:rsidR="001D40B3" w:rsidRPr="000020F0" w14:paraId="73D9A8D2" w14:textId="77777777" w:rsidTr="0092316D">
        <w:trPr>
          <w:trHeight w:val="285"/>
        </w:trPr>
        <w:tc>
          <w:tcPr>
            <w:tcW w:w="6658" w:type="dxa"/>
            <w:tcBorders>
              <w:top w:val="nil"/>
              <w:left w:val="single" w:sz="4" w:space="0" w:color="auto"/>
              <w:bottom w:val="single" w:sz="4" w:space="0" w:color="auto"/>
              <w:right w:val="single" w:sz="4" w:space="0" w:color="auto"/>
            </w:tcBorders>
            <w:noWrap/>
            <w:vAlign w:val="bottom"/>
            <w:hideMark/>
          </w:tcPr>
          <w:p w14:paraId="47DBB0FD" w14:textId="77777777" w:rsidR="001D40B3" w:rsidRPr="000020F0" w:rsidRDefault="001D40B3" w:rsidP="001D40B3">
            <w:pPr>
              <w:spacing w:before="60" w:after="60"/>
              <w:rPr>
                <w:rFonts w:ascii="Arial" w:hAnsi="Arial" w:cs="Arial"/>
                <w:color w:val="000000"/>
                <w:sz w:val="22"/>
                <w:szCs w:val="22"/>
              </w:rPr>
            </w:pPr>
            <w:r w:rsidRPr="000020F0">
              <w:rPr>
                <w:rFonts w:ascii="Arial" w:hAnsi="Arial" w:cs="Arial"/>
                <w:color w:val="000000"/>
                <w:sz w:val="22"/>
                <w:szCs w:val="22"/>
              </w:rPr>
              <w:t>Doba vračanja</w:t>
            </w:r>
          </w:p>
        </w:tc>
        <w:tc>
          <w:tcPr>
            <w:tcW w:w="1559" w:type="dxa"/>
            <w:tcBorders>
              <w:top w:val="nil"/>
              <w:left w:val="nil"/>
              <w:bottom w:val="single" w:sz="4" w:space="0" w:color="auto"/>
              <w:right w:val="single" w:sz="4" w:space="0" w:color="auto"/>
            </w:tcBorders>
            <w:noWrap/>
            <w:hideMark/>
          </w:tcPr>
          <w:p w14:paraId="5221C043" w14:textId="6C82DE2B" w:rsidR="001D40B3" w:rsidRPr="000020F0" w:rsidRDefault="001D40B3" w:rsidP="001D40B3">
            <w:pPr>
              <w:spacing w:before="60" w:after="60"/>
              <w:jc w:val="right"/>
              <w:rPr>
                <w:rFonts w:ascii="Arial" w:hAnsi="Arial" w:cs="Arial"/>
                <w:i/>
                <w:iCs/>
                <w:color w:val="000000"/>
                <w:sz w:val="22"/>
                <w:szCs w:val="22"/>
              </w:rPr>
            </w:pPr>
            <w:r w:rsidRPr="000020F0">
              <w:rPr>
                <w:rFonts w:ascii="Arial" w:hAnsi="Arial" w:cs="Arial"/>
                <w:sz w:val="22"/>
                <w:szCs w:val="22"/>
              </w:rPr>
              <w:t>5,93</w:t>
            </w:r>
          </w:p>
        </w:tc>
      </w:tr>
    </w:tbl>
    <w:p w14:paraId="4493317A" w14:textId="77777777" w:rsidR="00BB0811" w:rsidRPr="000020F0" w:rsidRDefault="00BB0811"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423" w:name="_Ref230594415"/>
      <w:bookmarkStart w:id="424" w:name="_Toc230882276"/>
      <w:r w:rsidRPr="000020F0">
        <w:rPr>
          <w:rFonts w:asciiTheme="majorHAnsi" w:eastAsiaTheme="majorEastAsia" w:hAnsiTheme="majorHAnsi" w:cstheme="majorHAnsi"/>
          <w:color w:val="244061" w:themeColor="accent1" w:themeShade="80"/>
        </w:rPr>
        <w:t xml:space="preserve">Koristi, ki jih ni mogoče </w:t>
      </w:r>
      <w:r w:rsidR="001B02AA" w:rsidRPr="000020F0">
        <w:rPr>
          <w:rFonts w:asciiTheme="majorHAnsi" w:eastAsiaTheme="majorEastAsia" w:hAnsiTheme="majorHAnsi" w:cstheme="majorHAnsi"/>
          <w:color w:val="244061" w:themeColor="accent1" w:themeShade="80"/>
        </w:rPr>
        <w:t>ovrednotiti</w:t>
      </w:r>
      <w:bookmarkEnd w:id="423"/>
      <w:bookmarkEnd w:id="424"/>
    </w:p>
    <w:p w14:paraId="234DB4AC"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 xml:space="preserve">Ekonomska upravičenost projekta temelji na ugotovitvi, da koristi za prebivalce, obiskovalce in širšo družbo bistveno presegajo stroške izvedbe. Projekt naslavlja ključne razvojne in </w:t>
      </w:r>
      <w:proofErr w:type="spellStart"/>
      <w:r w:rsidRPr="000020F0">
        <w:rPr>
          <w:rFonts w:ascii="Arial" w:hAnsi="Arial" w:cs="Arial"/>
          <w:sz w:val="22"/>
          <w:szCs w:val="22"/>
        </w:rPr>
        <w:t>okoljske</w:t>
      </w:r>
      <w:proofErr w:type="spellEnd"/>
      <w:r w:rsidRPr="000020F0">
        <w:rPr>
          <w:rFonts w:ascii="Arial" w:hAnsi="Arial" w:cs="Arial"/>
          <w:sz w:val="22"/>
          <w:szCs w:val="22"/>
        </w:rPr>
        <w:t xml:space="preserve"> izzive v središču Občine Ig ter neposredno zasleduje namen in cilje javnega razpisa JR EKP UTM 2025.</w:t>
      </w:r>
    </w:p>
    <w:p w14:paraId="7718FDA7" w14:textId="77777777" w:rsidR="00CF10D3" w:rsidRPr="000020F0" w:rsidRDefault="00CF10D3" w:rsidP="00CF10D3">
      <w:pPr>
        <w:spacing w:line="276" w:lineRule="auto"/>
        <w:jc w:val="both"/>
        <w:rPr>
          <w:rFonts w:ascii="Arial" w:hAnsi="Arial" w:cs="Arial"/>
          <w:sz w:val="22"/>
          <w:szCs w:val="22"/>
        </w:rPr>
      </w:pPr>
    </w:p>
    <w:p w14:paraId="14C7E156"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r w:rsidRPr="000020F0">
        <w:rPr>
          <w:rFonts w:ascii="Arial" w:hAnsi="Arial" w:cs="Arial"/>
          <w:i/>
          <w:iCs/>
          <w:u w:val="single"/>
        </w:rPr>
        <w:t>Prispevek k trajnostni mobilnosti in zmanjšanju stroškov prometa</w:t>
      </w:r>
    </w:p>
    <w:p w14:paraId="531C68D9"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Z ureditvijo varnih peš in kolesarskih poti, izboljšanjem pogojev za uporabo javnega potniškega prometa in vzpostavitvijo skupnih prometnih prostorov se bo zmanjšala odvisnost prebivalcev od osebnih vozil. Posledično se pričakuje:</w:t>
      </w:r>
    </w:p>
    <w:p w14:paraId="03EF270D" w14:textId="77777777" w:rsidR="00CF10D3" w:rsidRPr="000020F0" w:rsidRDefault="00CF10D3" w:rsidP="00CF10D3">
      <w:pPr>
        <w:numPr>
          <w:ilvl w:val="0"/>
          <w:numId w:val="148"/>
        </w:numPr>
        <w:spacing w:line="276" w:lineRule="auto"/>
        <w:jc w:val="both"/>
        <w:rPr>
          <w:rFonts w:ascii="Arial" w:hAnsi="Arial" w:cs="Arial"/>
          <w:sz w:val="22"/>
          <w:szCs w:val="22"/>
        </w:rPr>
      </w:pPr>
      <w:r w:rsidRPr="000020F0">
        <w:rPr>
          <w:rFonts w:ascii="Arial" w:hAnsi="Arial" w:cs="Arial"/>
          <w:sz w:val="22"/>
          <w:szCs w:val="22"/>
        </w:rPr>
        <w:t>zmanjšanje stroškov gospodinjstev za gorivo in vzdrževanje osebnih vozil,</w:t>
      </w:r>
    </w:p>
    <w:p w14:paraId="08B9C583" w14:textId="77777777" w:rsidR="00CF10D3" w:rsidRPr="000020F0" w:rsidRDefault="00CF10D3" w:rsidP="00CF10D3">
      <w:pPr>
        <w:numPr>
          <w:ilvl w:val="0"/>
          <w:numId w:val="148"/>
        </w:numPr>
        <w:spacing w:line="276" w:lineRule="auto"/>
        <w:jc w:val="both"/>
        <w:rPr>
          <w:rFonts w:ascii="Arial" w:hAnsi="Arial" w:cs="Arial"/>
          <w:sz w:val="22"/>
          <w:szCs w:val="22"/>
        </w:rPr>
      </w:pPr>
      <w:r w:rsidRPr="000020F0">
        <w:rPr>
          <w:rFonts w:ascii="Arial" w:hAnsi="Arial" w:cs="Arial"/>
          <w:sz w:val="22"/>
          <w:szCs w:val="22"/>
        </w:rPr>
        <w:t>izboljšanje dostopnosti do javnih storitev, šole in turističnih točk brez uporabe avtomobila,</w:t>
      </w:r>
    </w:p>
    <w:p w14:paraId="59DAF75F" w14:textId="77777777" w:rsidR="00CF10D3" w:rsidRPr="000020F0" w:rsidRDefault="00CF10D3" w:rsidP="00CF10D3">
      <w:pPr>
        <w:numPr>
          <w:ilvl w:val="0"/>
          <w:numId w:val="148"/>
        </w:numPr>
        <w:spacing w:line="276" w:lineRule="auto"/>
        <w:jc w:val="both"/>
        <w:rPr>
          <w:rFonts w:ascii="Arial" w:hAnsi="Arial" w:cs="Arial"/>
          <w:sz w:val="22"/>
          <w:szCs w:val="22"/>
        </w:rPr>
      </w:pPr>
      <w:r w:rsidRPr="000020F0">
        <w:rPr>
          <w:rFonts w:ascii="Arial" w:hAnsi="Arial" w:cs="Arial"/>
          <w:sz w:val="22"/>
          <w:szCs w:val="22"/>
        </w:rPr>
        <w:t>povečanje prometne varnosti ter manj stroškov povezanih s prometnimi nesrečami.</w:t>
      </w:r>
    </w:p>
    <w:p w14:paraId="4050EDF9" w14:textId="77777777" w:rsidR="00CF10D3" w:rsidRPr="000020F0" w:rsidRDefault="00CF10D3" w:rsidP="00CF10D3">
      <w:pPr>
        <w:spacing w:line="276" w:lineRule="auto"/>
        <w:jc w:val="both"/>
        <w:rPr>
          <w:rFonts w:ascii="Arial" w:hAnsi="Arial" w:cs="Arial"/>
          <w:sz w:val="22"/>
          <w:szCs w:val="22"/>
        </w:rPr>
      </w:pPr>
    </w:p>
    <w:p w14:paraId="7BC649F6"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proofErr w:type="spellStart"/>
      <w:r w:rsidRPr="000020F0">
        <w:rPr>
          <w:rFonts w:ascii="Arial" w:hAnsi="Arial" w:cs="Arial"/>
          <w:i/>
          <w:iCs/>
          <w:u w:val="single"/>
        </w:rPr>
        <w:t>Okoljske</w:t>
      </w:r>
      <w:proofErr w:type="spellEnd"/>
      <w:r w:rsidRPr="000020F0">
        <w:rPr>
          <w:rFonts w:ascii="Arial" w:hAnsi="Arial" w:cs="Arial"/>
          <w:i/>
          <w:iCs/>
          <w:u w:val="single"/>
        </w:rPr>
        <w:t xml:space="preserve"> koristi</w:t>
      </w:r>
    </w:p>
    <w:p w14:paraId="011060C6"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Projekt bo imel merljive pozitivne učinke na okolje:</w:t>
      </w:r>
    </w:p>
    <w:p w14:paraId="6C5D4FE3" w14:textId="77777777" w:rsidR="00CF10D3" w:rsidRPr="000020F0" w:rsidRDefault="00CF10D3" w:rsidP="00CF10D3">
      <w:pPr>
        <w:numPr>
          <w:ilvl w:val="0"/>
          <w:numId w:val="149"/>
        </w:numPr>
        <w:spacing w:line="276" w:lineRule="auto"/>
        <w:jc w:val="both"/>
        <w:rPr>
          <w:rFonts w:ascii="Arial" w:hAnsi="Arial" w:cs="Arial"/>
          <w:sz w:val="22"/>
          <w:szCs w:val="22"/>
        </w:rPr>
      </w:pPr>
      <w:r w:rsidRPr="000020F0">
        <w:rPr>
          <w:rFonts w:ascii="Arial" w:hAnsi="Arial" w:cs="Arial"/>
          <w:sz w:val="22"/>
          <w:szCs w:val="22"/>
        </w:rPr>
        <w:t>zmanjšanje emisij toplogrednih plinov in prašnih delcev v središču kraja,</w:t>
      </w:r>
    </w:p>
    <w:p w14:paraId="52CEAE00" w14:textId="77777777" w:rsidR="00CF10D3" w:rsidRPr="000020F0" w:rsidRDefault="00CF10D3" w:rsidP="00CF10D3">
      <w:pPr>
        <w:numPr>
          <w:ilvl w:val="0"/>
          <w:numId w:val="149"/>
        </w:numPr>
        <w:spacing w:line="276" w:lineRule="auto"/>
        <w:jc w:val="both"/>
        <w:rPr>
          <w:rFonts w:ascii="Arial" w:hAnsi="Arial" w:cs="Arial"/>
          <w:sz w:val="22"/>
          <w:szCs w:val="22"/>
        </w:rPr>
      </w:pPr>
      <w:r w:rsidRPr="000020F0">
        <w:rPr>
          <w:rFonts w:ascii="Arial" w:hAnsi="Arial" w:cs="Arial"/>
          <w:sz w:val="22"/>
          <w:szCs w:val="22"/>
        </w:rPr>
        <w:t>izboljšanje kakovosti zraka in zmanjšanje hrupa,</w:t>
      </w:r>
    </w:p>
    <w:p w14:paraId="5DF62903" w14:textId="77777777" w:rsidR="00CF10D3" w:rsidRPr="000020F0" w:rsidRDefault="00CF10D3" w:rsidP="00CF10D3">
      <w:pPr>
        <w:numPr>
          <w:ilvl w:val="0"/>
          <w:numId w:val="149"/>
        </w:numPr>
        <w:spacing w:line="276" w:lineRule="auto"/>
        <w:jc w:val="both"/>
        <w:rPr>
          <w:rFonts w:ascii="Arial" w:hAnsi="Arial" w:cs="Arial"/>
          <w:sz w:val="22"/>
          <w:szCs w:val="22"/>
        </w:rPr>
      </w:pPr>
      <w:r w:rsidRPr="000020F0">
        <w:rPr>
          <w:rFonts w:ascii="Arial" w:hAnsi="Arial" w:cs="Arial"/>
          <w:sz w:val="22"/>
          <w:szCs w:val="22"/>
        </w:rPr>
        <w:t>zmanjšanje stroškov povezanih z zdravstvenimi obremenitvami zaradi onesnaženega zraka,</w:t>
      </w:r>
    </w:p>
    <w:p w14:paraId="47905153" w14:textId="77777777" w:rsidR="00CF10D3" w:rsidRPr="000020F0" w:rsidRDefault="00CF10D3" w:rsidP="00CF10D3">
      <w:pPr>
        <w:numPr>
          <w:ilvl w:val="0"/>
          <w:numId w:val="149"/>
        </w:numPr>
        <w:spacing w:line="276" w:lineRule="auto"/>
        <w:jc w:val="both"/>
        <w:rPr>
          <w:rFonts w:ascii="Arial" w:hAnsi="Arial" w:cs="Arial"/>
          <w:sz w:val="22"/>
          <w:szCs w:val="22"/>
        </w:rPr>
      </w:pPr>
      <w:r w:rsidRPr="000020F0">
        <w:rPr>
          <w:rFonts w:ascii="Arial" w:hAnsi="Arial" w:cs="Arial"/>
          <w:sz w:val="22"/>
          <w:szCs w:val="22"/>
        </w:rPr>
        <w:t>dolgoročno zmanjšanje stroškov vzdrževanja kanalizacije z zadrževanjem in ponovno uporabo padavinskih voda.</w:t>
      </w:r>
    </w:p>
    <w:p w14:paraId="068CB2F3" w14:textId="77777777" w:rsidR="00CF10D3" w:rsidRPr="000020F0" w:rsidRDefault="00CF10D3" w:rsidP="00CF10D3">
      <w:pPr>
        <w:spacing w:line="276" w:lineRule="auto"/>
        <w:jc w:val="both"/>
        <w:rPr>
          <w:rFonts w:ascii="Arial" w:hAnsi="Arial" w:cs="Arial"/>
          <w:sz w:val="22"/>
          <w:szCs w:val="22"/>
        </w:rPr>
      </w:pPr>
    </w:p>
    <w:p w14:paraId="5EB9C6ED"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r w:rsidRPr="000020F0">
        <w:rPr>
          <w:rFonts w:ascii="Arial" w:hAnsi="Arial" w:cs="Arial"/>
          <w:i/>
          <w:iCs/>
          <w:u w:val="single"/>
        </w:rPr>
        <w:t>Socialne koristi in dvig kakovosti življenja</w:t>
      </w:r>
    </w:p>
    <w:p w14:paraId="18116A36"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Projekt bo izboljšal življenjske pogoje za prebivalce in obiskovalce:</w:t>
      </w:r>
    </w:p>
    <w:p w14:paraId="6F24539C" w14:textId="77777777" w:rsidR="00CF10D3" w:rsidRPr="000020F0" w:rsidRDefault="00CF10D3" w:rsidP="00CF10D3">
      <w:pPr>
        <w:numPr>
          <w:ilvl w:val="0"/>
          <w:numId w:val="150"/>
        </w:numPr>
        <w:spacing w:line="276" w:lineRule="auto"/>
        <w:jc w:val="both"/>
        <w:rPr>
          <w:rFonts w:ascii="Arial" w:hAnsi="Arial" w:cs="Arial"/>
          <w:sz w:val="22"/>
          <w:szCs w:val="22"/>
        </w:rPr>
      </w:pPr>
      <w:r w:rsidRPr="000020F0">
        <w:rPr>
          <w:rFonts w:ascii="Arial" w:hAnsi="Arial" w:cs="Arial"/>
          <w:sz w:val="22"/>
          <w:szCs w:val="22"/>
        </w:rPr>
        <w:t>povečana varnost otrok na poti v šolo in drugih ranljivih skupin,</w:t>
      </w:r>
    </w:p>
    <w:p w14:paraId="5FA87823" w14:textId="77777777" w:rsidR="00CF10D3" w:rsidRPr="000020F0" w:rsidRDefault="00CF10D3" w:rsidP="00CF10D3">
      <w:pPr>
        <w:numPr>
          <w:ilvl w:val="0"/>
          <w:numId w:val="150"/>
        </w:numPr>
        <w:spacing w:line="276" w:lineRule="auto"/>
        <w:jc w:val="both"/>
        <w:rPr>
          <w:rFonts w:ascii="Arial" w:hAnsi="Arial" w:cs="Arial"/>
          <w:sz w:val="22"/>
          <w:szCs w:val="22"/>
        </w:rPr>
      </w:pPr>
      <w:r w:rsidRPr="000020F0">
        <w:rPr>
          <w:rFonts w:ascii="Arial" w:hAnsi="Arial" w:cs="Arial"/>
          <w:sz w:val="22"/>
          <w:szCs w:val="22"/>
        </w:rPr>
        <w:t>ustvarjanje prostorov za druženje, rekreacijo in kulturne aktivnosti,</w:t>
      </w:r>
    </w:p>
    <w:p w14:paraId="5D15C947" w14:textId="77777777" w:rsidR="00CF10D3" w:rsidRPr="000020F0" w:rsidRDefault="00CF10D3" w:rsidP="00CF10D3">
      <w:pPr>
        <w:numPr>
          <w:ilvl w:val="0"/>
          <w:numId w:val="150"/>
        </w:numPr>
        <w:spacing w:line="276" w:lineRule="auto"/>
        <w:jc w:val="both"/>
        <w:rPr>
          <w:rFonts w:ascii="Arial" w:hAnsi="Arial" w:cs="Arial"/>
          <w:sz w:val="22"/>
          <w:szCs w:val="22"/>
        </w:rPr>
      </w:pPr>
      <w:r w:rsidRPr="000020F0">
        <w:rPr>
          <w:rFonts w:ascii="Arial" w:hAnsi="Arial" w:cs="Arial"/>
          <w:sz w:val="22"/>
          <w:szCs w:val="22"/>
        </w:rPr>
        <w:t>večja privlačnost prostora za obiskovalce in turiste, kar pomeni dodatne prihodke lokalnega gospodarstva (turizem, gostinstvo, trgovina).</w:t>
      </w:r>
    </w:p>
    <w:p w14:paraId="27D79E95" w14:textId="77777777" w:rsidR="00CF10D3" w:rsidRPr="000020F0" w:rsidRDefault="00CF10D3" w:rsidP="00CF10D3">
      <w:pPr>
        <w:spacing w:line="276" w:lineRule="auto"/>
        <w:jc w:val="both"/>
        <w:rPr>
          <w:rFonts w:ascii="Arial" w:hAnsi="Arial" w:cs="Arial"/>
          <w:sz w:val="22"/>
          <w:szCs w:val="22"/>
        </w:rPr>
      </w:pPr>
    </w:p>
    <w:p w14:paraId="15EB824A"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r w:rsidRPr="000020F0">
        <w:rPr>
          <w:rFonts w:ascii="Arial" w:hAnsi="Arial" w:cs="Arial"/>
          <w:i/>
          <w:iCs/>
          <w:u w:val="single"/>
        </w:rPr>
        <w:t>Gospodarski učinki</w:t>
      </w:r>
    </w:p>
    <w:p w14:paraId="06F2014A"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Izvedba projekta bo imela neposredne in posredne gospodarske učinke:</w:t>
      </w:r>
    </w:p>
    <w:p w14:paraId="0D283466" w14:textId="77777777" w:rsidR="00CF10D3" w:rsidRPr="000020F0" w:rsidRDefault="00CF10D3" w:rsidP="00CF10D3">
      <w:pPr>
        <w:numPr>
          <w:ilvl w:val="0"/>
          <w:numId w:val="151"/>
        </w:numPr>
        <w:spacing w:line="276" w:lineRule="auto"/>
        <w:jc w:val="both"/>
        <w:rPr>
          <w:rFonts w:ascii="Arial" w:hAnsi="Arial" w:cs="Arial"/>
          <w:sz w:val="22"/>
          <w:szCs w:val="22"/>
        </w:rPr>
      </w:pPr>
      <w:r w:rsidRPr="000020F0">
        <w:rPr>
          <w:rFonts w:ascii="Arial" w:hAnsi="Arial" w:cs="Arial"/>
          <w:sz w:val="22"/>
          <w:szCs w:val="22"/>
        </w:rPr>
        <w:t>angažma gradbenih podjetij, projektantov in dobaviteljev pri izvedbi del,</w:t>
      </w:r>
    </w:p>
    <w:p w14:paraId="5A6EEF97" w14:textId="77777777" w:rsidR="00CF10D3" w:rsidRPr="000020F0" w:rsidRDefault="00CF10D3" w:rsidP="00CF10D3">
      <w:pPr>
        <w:numPr>
          <w:ilvl w:val="0"/>
          <w:numId w:val="151"/>
        </w:numPr>
        <w:spacing w:line="276" w:lineRule="auto"/>
        <w:jc w:val="both"/>
        <w:rPr>
          <w:rFonts w:ascii="Arial" w:hAnsi="Arial" w:cs="Arial"/>
          <w:sz w:val="22"/>
          <w:szCs w:val="22"/>
        </w:rPr>
      </w:pPr>
      <w:r w:rsidRPr="000020F0">
        <w:rPr>
          <w:rFonts w:ascii="Arial" w:hAnsi="Arial" w:cs="Arial"/>
          <w:sz w:val="22"/>
          <w:szCs w:val="22"/>
        </w:rPr>
        <w:t>dvig vrednosti nepremičnin v središču naselja zaradi izboljšanega javnega prostora,</w:t>
      </w:r>
    </w:p>
    <w:p w14:paraId="6CEA5915" w14:textId="77777777" w:rsidR="00CF10D3" w:rsidRPr="000020F0" w:rsidRDefault="00CF10D3" w:rsidP="00CF10D3">
      <w:pPr>
        <w:numPr>
          <w:ilvl w:val="0"/>
          <w:numId w:val="151"/>
        </w:numPr>
        <w:spacing w:line="276" w:lineRule="auto"/>
        <w:jc w:val="both"/>
        <w:rPr>
          <w:rFonts w:ascii="Arial" w:hAnsi="Arial" w:cs="Arial"/>
          <w:sz w:val="22"/>
          <w:szCs w:val="22"/>
        </w:rPr>
      </w:pPr>
      <w:r w:rsidRPr="000020F0">
        <w:rPr>
          <w:rFonts w:ascii="Arial" w:hAnsi="Arial" w:cs="Arial"/>
          <w:sz w:val="22"/>
          <w:szCs w:val="22"/>
        </w:rPr>
        <w:lastRenderedPageBreak/>
        <w:t>povečanje konkurenčnosti kraja kot privlačne lokacije za bivanje in obisk,</w:t>
      </w:r>
    </w:p>
    <w:p w14:paraId="756863AD" w14:textId="77777777" w:rsidR="00CF10D3" w:rsidRPr="000020F0" w:rsidRDefault="00CF10D3" w:rsidP="00CF10D3">
      <w:pPr>
        <w:numPr>
          <w:ilvl w:val="0"/>
          <w:numId w:val="151"/>
        </w:numPr>
        <w:spacing w:line="276" w:lineRule="auto"/>
        <w:jc w:val="both"/>
        <w:rPr>
          <w:rFonts w:ascii="Arial" w:hAnsi="Arial" w:cs="Arial"/>
          <w:sz w:val="22"/>
          <w:szCs w:val="22"/>
        </w:rPr>
      </w:pPr>
      <w:r w:rsidRPr="000020F0">
        <w:rPr>
          <w:rFonts w:ascii="Arial" w:hAnsi="Arial" w:cs="Arial"/>
          <w:sz w:val="22"/>
          <w:szCs w:val="22"/>
        </w:rPr>
        <w:t xml:space="preserve">razvoj lokalne turistične ponudbe v povezavi z </w:t>
      </w:r>
      <w:proofErr w:type="spellStart"/>
      <w:r w:rsidRPr="000020F0">
        <w:rPr>
          <w:rFonts w:ascii="Arial" w:hAnsi="Arial" w:cs="Arial"/>
          <w:sz w:val="22"/>
          <w:szCs w:val="22"/>
        </w:rPr>
        <w:t>interpretacijskim</w:t>
      </w:r>
      <w:proofErr w:type="spellEnd"/>
      <w:r w:rsidRPr="000020F0">
        <w:rPr>
          <w:rFonts w:ascii="Arial" w:hAnsi="Arial" w:cs="Arial"/>
          <w:sz w:val="22"/>
          <w:szCs w:val="22"/>
        </w:rPr>
        <w:t xml:space="preserve"> centrom </w:t>
      </w:r>
      <w:proofErr w:type="spellStart"/>
      <w:r w:rsidRPr="000020F0">
        <w:rPr>
          <w:rFonts w:ascii="Arial" w:hAnsi="Arial" w:cs="Arial"/>
          <w:sz w:val="22"/>
          <w:szCs w:val="22"/>
        </w:rPr>
        <w:t>Morostig</w:t>
      </w:r>
      <w:proofErr w:type="spellEnd"/>
      <w:r w:rsidRPr="000020F0">
        <w:rPr>
          <w:rFonts w:ascii="Arial" w:hAnsi="Arial" w:cs="Arial"/>
          <w:sz w:val="22"/>
          <w:szCs w:val="22"/>
        </w:rPr>
        <w:t xml:space="preserve"> in naravnim okoljem Ljubljanskega barja.</w:t>
      </w:r>
    </w:p>
    <w:p w14:paraId="40C4D72A" w14:textId="77777777" w:rsidR="00CF10D3" w:rsidRPr="000020F0" w:rsidRDefault="00CF10D3" w:rsidP="00CF10D3">
      <w:pPr>
        <w:spacing w:line="276" w:lineRule="auto"/>
        <w:jc w:val="both"/>
        <w:rPr>
          <w:rFonts w:ascii="Arial" w:hAnsi="Arial" w:cs="Arial"/>
          <w:sz w:val="22"/>
          <w:szCs w:val="22"/>
        </w:rPr>
      </w:pPr>
    </w:p>
    <w:p w14:paraId="5A7F2EB6"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r w:rsidRPr="000020F0">
        <w:rPr>
          <w:rFonts w:ascii="Arial" w:hAnsi="Arial" w:cs="Arial"/>
          <w:i/>
          <w:iCs/>
          <w:u w:val="single"/>
        </w:rPr>
        <w:t>Usklajenost z razpisnimi cilji</w:t>
      </w:r>
    </w:p>
    <w:p w14:paraId="5C2FEEC2" w14:textId="77777777" w:rsidR="00CF10D3" w:rsidRPr="000020F0" w:rsidRDefault="00CF10D3" w:rsidP="00CF10D3">
      <w:pPr>
        <w:spacing w:line="276" w:lineRule="auto"/>
        <w:jc w:val="both"/>
        <w:rPr>
          <w:rFonts w:ascii="Arial" w:hAnsi="Arial" w:cs="Arial"/>
          <w:sz w:val="22"/>
          <w:szCs w:val="22"/>
        </w:rPr>
      </w:pPr>
      <w:r w:rsidRPr="000020F0">
        <w:rPr>
          <w:rFonts w:ascii="Arial" w:hAnsi="Arial" w:cs="Arial"/>
          <w:sz w:val="22"/>
          <w:szCs w:val="22"/>
        </w:rPr>
        <w:t>Projekt neposredno sledi namenu razpisa JR EKP UTM 2025, saj:</w:t>
      </w:r>
    </w:p>
    <w:p w14:paraId="35E75EDF" w14:textId="77777777" w:rsidR="00CF10D3" w:rsidRPr="000020F0" w:rsidRDefault="00CF10D3" w:rsidP="00CF10D3">
      <w:pPr>
        <w:numPr>
          <w:ilvl w:val="0"/>
          <w:numId w:val="152"/>
        </w:numPr>
        <w:spacing w:line="276" w:lineRule="auto"/>
        <w:jc w:val="both"/>
        <w:rPr>
          <w:rFonts w:ascii="Arial" w:hAnsi="Arial" w:cs="Arial"/>
          <w:sz w:val="22"/>
          <w:szCs w:val="22"/>
        </w:rPr>
      </w:pPr>
      <w:r w:rsidRPr="000020F0">
        <w:rPr>
          <w:rFonts w:ascii="Arial" w:hAnsi="Arial" w:cs="Arial"/>
          <w:sz w:val="22"/>
          <w:szCs w:val="22"/>
        </w:rPr>
        <w:t>zmanjšuje emisije toplogrednih plinov in izboljšuje kakovost zraka in bivanja,</w:t>
      </w:r>
    </w:p>
    <w:p w14:paraId="082F550D" w14:textId="77777777" w:rsidR="00CF10D3" w:rsidRPr="000020F0" w:rsidRDefault="00CF10D3" w:rsidP="00CF10D3">
      <w:pPr>
        <w:numPr>
          <w:ilvl w:val="0"/>
          <w:numId w:val="152"/>
        </w:numPr>
        <w:spacing w:line="276" w:lineRule="auto"/>
        <w:jc w:val="both"/>
        <w:rPr>
          <w:rFonts w:ascii="Arial" w:hAnsi="Arial" w:cs="Arial"/>
          <w:sz w:val="22"/>
          <w:szCs w:val="22"/>
        </w:rPr>
      </w:pPr>
      <w:r w:rsidRPr="000020F0">
        <w:rPr>
          <w:rFonts w:ascii="Arial" w:hAnsi="Arial" w:cs="Arial"/>
          <w:sz w:val="22"/>
          <w:szCs w:val="22"/>
        </w:rPr>
        <w:t>spodbuja aktivne oblike mobilnosti (hoja, kolesarjenje) in uporabo javnega potniškega prometa,</w:t>
      </w:r>
    </w:p>
    <w:p w14:paraId="1ADE8481" w14:textId="77777777" w:rsidR="00CF10D3" w:rsidRPr="000020F0" w:rsidRDefault="00CF10D3" w:rsidP="00CF10D3">
      <w:pPr>
        <w:numPr>
          <w:ilvl w:val="0"/>
          <w:numId w:val="152"/>
        </w:numPr>
        <w:spacing w:line="276" w:lineRule="auto"/>
        <w:jc w:val="both"/>
        <w:rPr>
          <w:rFonts w:ascii="Arial" w:hAnsi="Arial" w:cs="Arial"/>
          <w:sz w:val="22"/>
          <w:szCs w:val="22"/>
        </w:rPr>
      </w:pPr>
      <w:r w:rsidRPr="000020F0">
        <w:rPr>
          <w:rFonts w:ascii="Arial" w:hAnsi="Arial" w:cs="Arial"/>
          <w:sz w:val="22"/>
          <w:szCs w:val="22"/>
        </w:rPr>
        <w:t>razvija zeleno in modro infrastrukturo kot podporni element trajnostnega prometa,</w:t>
      </w:r>
    </w:p>
    <w:p w14:paraId="658E05DA" w14:textId="77777777" w:rsidR="00CF10D3" w:rsidRPr="000020F0" w:rsidRDefault="00CF10D3" w:rsidP="00CF10D3">
      <w:pPr>
        <w:numPr>
          <w:ilvl w:val="0"/>
          <w:numId w:val="152"/>
        </w:numPr>
        <w:spacing w:line="276" w:lineRule="auto"/>
        <w:jc w:val="both"/>
        <w:rPr>
          <w:rFonts w:ascii="Arial" w:hAnsi="Arial" w:cs="Arial"/>
          <w:sz w:val="22"/>
          <w:szCs w:val="22"/>
        </w:rPr>
      </w:pPr>
      <w:r w:rsidRPr="000020F0">
        <w:rPr>
          <w:rFonts w:ascii="Arial" w:hAnsi="Arial" w:cs="Arial"/>
          <w:sz w:val="22"/>
          <w:szCs w:val="22"/>
        </w:rPr>
        <w:t>sledi načelom krožnega gospodarstva in trajnostne gradnje,</w:t>
      </w:r>
    </w:p>
    <w:p w14:paraId="148376DB" w14:textId="77777777" w:rsidR="00CF10D3" w:rsidRPr="000020F0" w:rsidRDefault="00CF10D3" w:rsidP="00CF10D3">
      <w:pPr>
        <w:numPr>
          <w:ilvl w:val="0"/>
          <w:numId w:val="152"/>
        </w:numPr>
        <w:spacing w:line="276" w:lineRule="auto"/>
        <w:jc w:val="both"/>
        <w:rPr>
          <w:rFonts w:ascii="Arial" w:hAnsi="Arial" w:cs="Arial"/>
          <w:sz w:val="22"/>
          <w:szCs w:val="22"/>
        </w:rPr>
      </w:pPr>
      <w:r w:rsidRPr="000020F0">
        <w:rPr>
          <w:rFonts w:ascii="Arial" w:hAnsi="Arial" w:cs="Arial"/>
          <w:sz w:val="22"/>
          <w:szCs w:val="22"/>
        </w:rPr>
        <w:t>povečuje prometno varnost in vključuje vse družbene skupine.</w:t>
      </w:r>
    </w:p>
    <w:p w14:paraId="1273704D" w14:textId="77777777" w:rsidR="00CF10D3" w:rsidRPr="000020F0" w:rsidRDefault="00CF10D3" w:rsidP="00CF10D3">
      <w:pPr>
        <w:spacing w:line="276" w:lineRule="auto"/>
        <w:jc w:val="both"/>
        <w:rPr>
          <w:rFonts w:ascii="Arial" w:hAnsi="Arial" w:cs="Arial"/>
          <w:sz w:val="22"/>
          <w:szCs w:val="22"/>
        </w:rPr>
      </w:pPr>
    </w:p>
    <w:p w14:paraId="71A7EB0C" w14:textId="77777777" w:rsidR="00CF10D3" w:rsidRPr="000020F0" w:rsidRDefault="00CF10D3" w:rsidP="002169F1">
      <w:pPr>
        <w:pStyle w:val="Odstavekseznama"/>
        <w:numPr>
          <w:ilvl w:val="0"/>
          <w:numId w:val="219"/>
        </w:numPr>
        <w:spacing w:after="0"/>
        <w:ind w:left="426"/>
        <w:jc w:val="both"/>
        <w:rPr>
          <w:rFonts w:ascii="Arial" w:hAnsi="Arial" w:cs="Arial"/>
          <w:i/>
          <w:iCs/>
          <w:u w:val="single"/>
        </w:rPr>
      </w:pPr>
      <w:r w:rsidRPr="000020F0">
        <w:rPr>
          <w:rFonts w:ascii="Arial" w:hAnsi="Arial" w:cs="Arial"/>
          <w:i/>
          <w:iCs/>
          <w:u w:val="single"/>
        </w:rPr>
        <w:t>Stroškovna učinkovitost</w:t>
      </w:r>
    </w:p>
    <w:p w14:paraId="65574896" w14:textId="77777777" w:rsidR="00CF10D3" w:rsidRPr="000020F0" w:rsidRDefault="00CF10D3" w:rsidP="00CF10D3">
      <w:pPr>
        <w:spacing w:after="120" w:line="276" w:lineRule="auto"/>
        <w:rPr>
          <w:rFonts w:ascii="Arial" w:hAnsi="Arial" w:cs="Arial"/>
          <w:sz w:val="22"/>
          <w:szCs w:val="22"/>
        </w:rPr>
      </w:pPr>
      <w:r w:rsidRPr="000020F0">
        <w:rPr>
          <w:rFonts w:ascii="Arial" w:hAnsi="Arial" w:cs="Arial"/>
          <w:sz w:val="22"/>
          <w:szCs w:val="22"/>
        </w:rPr>
        <w:t>S pridobitvijo sofinanciranja iz evropskih sredstev bo občina bistveno zmanjšala obremenitev občinskega proračuna. Pričakovane koristi – nižji stroški prometa, manj zdravstvenih obremenitev, višja kakovost bivanja, večja turistična privlačnost – dolgoročno presežejo stroške investicije, zato je projekt ekonomsko utemeljen in učinkovit.</w:t>
      </w:r>
    </w:p>
    <w:p w14:paraId="2EB4DA03" w14:textId="77777777" w:rsidR="00357FA2" w:rsidRPr="000020F0" w:rsidRDefault="00BB0811" w:rsidP="00BD1D20">
      <w:pPr>
        <w:spacing w:after="120" w:line="276" w:lineRule="auto"/>
        <w:jc w:val="both"/>
        <w:rPr>
          <w:rFonts w:asciiTheme="majorHAnsi" w:eastAsiaTheme="majorEastAsia" w:hAnsiTheme="majorHAnsi" w:cstheme="majorHAnsi"/>
          <w:b/>
          <w:bCs/>
          <w:color w:val="365F91" w:themeColor="accent1" w:themeShade="BF"/>
          <w:sz w:val="28"/>
          <w:szCs w:val="28"/>
          <w:highlight w:val="yellow"/>
        </w:rPr>
      </w:pPr>
      <w:r w:rsidRPr="000020F0">
        <w:rPr>
          <w:rFonts w:asciiTheme="majorHAnsi" w:hAnsiTheme="majorHAnsi" w:cstheme="majorHAnsi"/>
          <w:b/>
          <w:sz w:val="22"/>
          <w:szCs w:val="22"/>
        </w:rPr>
        <w:t>Iz vseh zgoraj navedenih pozitivnih rezultatov izvedbe investicije smo torej mnenja, da je predlagana investicija ekonomsko in družbeno upravičena.</w:t>
      </w:r>
      <w:r w:rsidR="00357FA2" w:rsidRPr="000020F0">
        <w:rPr>
          <w:rFonts w:asciiTheme="majorHAnsi" w:hAnsiTheme="majorHAnsi" w:cstheme="majorHAnsi"/>
          <w:highlight w:val="yellow"/>
        </w:rPr>
        <w:br w:type="page"/>
      </w:r>
    </w:p>
    <w:p w14:paraId="6B1C836C" w14:textId="77777777" w:rsidR="006B2762" w:rsidRPr="000020F0" w:rsidRDefault="00357FA2" w:rsidP="00BD1D20">
      <w:pPr>
        <w:pStyle w:val="Naslov1"/>
        <w:numPr>
          <w:ilvl w:val="0"/>
          <w:numId w:val="3"/>
        </w:numPr>
        <w:rPr>
          <w:rFonts w:cstheme="majorHAnsi"/>
        </w:rPr>
      </w:pPr>
      <w:bookmarkStart w:id="425" w:name="_Toc230882277"/>
      <w:r w:rsidRPr="000020F0">
        <w:rPr>
          <w:rFonts w:cstheme="majorHAnsi"/>
        </w:rPr>
        <w:lastRenderedPageBreak/>
        <w:t>ANALIZA TVEGANJ IN ANALIZA OBČUTLJIVOSTI</w:t>
      </w:r>
      <w:bookmarkEnd w:id="425"/>
    </w:p>
    <w:p w14:paraId="3FEABA60" w14:textId="77777777" w:rsidR="000F39AE" w:rsidRPr="000020F0" w:rsidRDefault="000F39AE"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426" w:name="_Toc230882278"/>
      <w:r w:rsidRPr="000020F0">
        <w:rPr>
          <w:rFonts w:asciiTheme="majorHAnsi" w:eastAsiaTheme="majorEastAsia" w:hAnsiTheme="majorHAnsi" w:cstheme="majorHAnsi"/>
          <w:color w:val="244061" w:themeColor="accent1" w:themeShade="80"/>
        </w:rPr>
        <w:t>Analiza tveganj</w:t>
      </w:r>
      <w:bookmarkEnd w:id="426"/>
    </w:p>
    <w:p w14:paraId="2AFCBD55" w14:textId="353243A1" w:rsidR="00D04FFD" w:rsidRPr="000020F0" w:rsidRDefault="00D04FFD"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Analiza tveganja je ocenjevanje verjetnosti, da s projektom ne bo pričakovanih dosežkov. Če je mogoče to verjetnost številčno izraziti</w:t>
      </w:r>
      <w:r w:rsidR="000655A0" w:rsidRPr="000020F0">
        <w:rPr>
          <w:rFonts w:asciiTheme="majorHAnsi" w:hAnsiTheme="majorHAnsi" w:cstheme="majorHAnsi"/>
          <w:sz w:val="22"/>
          <w:szCs w:val="22"/>
        </w:rPr>
        <w:t>,</w:t>
      </w:r>
      <w:r w:rsidRPr="000020F0">
        <w:rPr>
          <w:rFonts w:asciiTheme="majorHAnsi" w:hAnsiTheme="majorHAnsi" w:cstheme="majorHAnsi"/>
          <w:sz w:val="22"/>
          <w:szCs w:val="22"/>
        </w:rPr>
        <w:t xml:space="preserve"> se </w:t>
      </w:r>
      <w:r w:rsidR="000655A0" w:rsidRPr="000020F0">
        <w:rPr>
          <w:rFonts w:asciiTheme="majorHAnsi" w:hAnsiTheme="majorHAnsi" w:cstheme="majorHAnsi"/>
          <w:sz w:val="22"/>
          <w:szCs w:val="22"/>
        </w:rPr>
        <w:t xml:space="preserve">le-ta </w:t>
      </w:r>
      <w:r w:rsidRPr="000020F0">
        <w:rPr>
          <w:rFonts w:asciiTheme="majorHAnsi" w:hAnsiTheme="majorHAnsi" w:cstheme="majorHAnsi"/>
          <w:sz w:val="22"/>
          <w:szCs w:val="22"/>
        </w:rPr>
        <w:t xml:space="preserve">imenuje stopnja tveganja. Analiza zajema ovrednotenje projektnih (tveganje razvoja projekta, tveganje izvedbe in obratovanja projekta) in splošnih tveganj (politična, narodno-gospodarska, družbeno-kulturna in druga tveganja). </w:t>
      </w:r>
    </w:p>
    <w:p w14:paraId="3CF83228" w14:textId="77777777" w:rsidR="00D04FFD" w:rsidRPr="000020F0" w:rsidRDefault="00D04FFD"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Druga tveganja ne bodo bistveno spremenila poteka projekta, gre pa zlasti za nepredvidene dogodke med samo izvedbo projekta, ki bi lahko zakasnili ali podražili celotni projekt. </w:t>
      </w:r>
    </w:p>
    <w:p w14:paraId="18A8FEED" w14:textId="77777777" w:rsidR="00D04FFD" w:rsidRPr="000020F0" w:rsidRDefault="00D04FFD"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Ti dogodki bi imeli tako nizek vpliv na celoten projekt, prav tako je verjetnost teh dogodkov razmeroma malo verjetna, čeprav mogoča. </w:t>
      </w:r>
      <w:r w:rsidRPr="000020F0">
        <w:rPr>
          <w:rFonts w:asciiTheme="majorHAnsi" w:eastAsia="Arial Unicode MS" w:hAnsiTheme="majorHAnsi" w:cstheme="majorHAnsi"/>
          <w:sz w:val="22"/>
          <w:szCs w:val="22"/>
        </w:rPr>
        <w:t xml:space="preserve">V nadaljevanju prikazujemo 3 kritične skupine tveganj in sicer: tveganja razvoja projekta in splošna tveganja, tveganja izvedbe projekta ter tveganja, ki lahko nastanejo v fazi obratovanja projekta, vključno s prikazom njihovega vpliva ter možnost nastanka. </w:t>
      </w:r>
    </w:p>
    <w:p w14:paraId="26488E22" w14:textId="32CF95D5" w:rsidR="00D04FFD" w:rsidRPr="000020F0" w:rsidRDefault="00D04FFD" w:rsidP="00BD1D20">
      <w:pPr>
        <w:spacing w:after="120" w:line="276" w:lineRule="auto"/>
        <w:jc w:val="both"/>
        <w:rPr>
          <w:rFonts w:asciiTheme="majorHAnsi" w:hAnsiTheme="majorHAnsi" w:cstheme="majorHAnsi"/>
          <w:sz w:val="22"/>
          <w:szCs w:val="22"/>
        </w:rPr>
      </w:pPr>
      <w:r w:rsidRPr="000020F0">
        <w:rPr>
          <w:rFonts w:asciiTheme="majorHAnsi" w:eastAsia="Arial Unicode MS" w:hAnsiTheme="majorHAnsi" w:cstheme="majorHAnsi"/>
          <w:sz w:val="22"/>
          <w:szCs w:val="22"/>
        </w:rPr>
        <w:t>Natančnejši prikaz tveganj je predstavljen v spodnji tabeli »</w:t>
      </w:r>
      <w:r w:rsidRPr="000020F0">
        <w:rPr>
          <w:rFonts w:asciiTheme="majorHAnsi" w:hAnsiTheme="majorHAnsi" w:cstheme="majorHAnsi"/>
          <w:sz w:val="22"/>
          <w:szCs w:val="22"/>
        </w:rPr>
        <w:t>Analiza tveganj za obravnavan celotni projekt«.</w:t>
      </w:r>
    </w:p>
    <w:p w14:paraId="4881857E" w14:textId="77777777" w:rsidR="000F39AE" w:rsidRPr="000020F0" w:rsidRDefault="000F39AE" w:rsidP="00BD1D20">
      <w:pPr>
        <w:spacing w:after="120" w:line="276" w:lineRule="auto"/>
        <w:rPr>
          <w:rFonts w:asciiTheme="majorHAnsi" w:eastAsia="Arial Unicode MS" w:hAnsiTheme="majorHAnsi" w:cstheme="majorHAnsi"/>
          <w:u w:val="single"/>
        </w:rPr>
      </w:pPr>
      <w:r w:rsidRPr="000020F0">
        <w:rPr>
          <w:rFonts w:asciiTheme="majorHAnsi" w:eastAsia="Arial Unicode MS" w:hAnsiTheme="majorHAnsi" w:cstheme="majorHAnsi"/>
          <w:u w:val="single"/>
        </w:rPr>
        <w:t>Legenda:</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9"/>
        <w:gridCol w:w="2276"/>
        <w:gridCol w:w="2263"/>
        <w:gridCol w:w="2253"/>
      </w:tblGrid>
      <w:tr w:rsidR="00A73121" w:rsidRPr="000020F0" w14:paraId="71379DBC" w14:textId="77777777" w:rsidTr="000F39AE">
        <w:trPr>
          <w:trHeight w:val="348"/>
        </w:trPr>
        <w:tc>
          <w:tcPr>
            <w:tcW w:w="2373" w:type="dxa"/>
            <w:vMerge w:val="restart"/>
            <w:shd w:val="clear" w:color="auto" w:fill="B8CCE4" w:themeFill="accent1" w:themeFillTint="66"/>
            <w:vAlign w:val="center"/>
          </w:tcPr>
          <w:p w14:paraId="2BEB1621" w14:textId="77777777" w:rsidR="000F39AE" w:rsidRPr="000020F0" w:rsidRDefault="000F39AE" w:rsidP="00BD1D20">
            <w:pPr>
              <w:spacing w:line="276" w:lineRule="auto"/>
              <w:jc w:val="center"/>
              <w:rPr>
                <w:rFonts w:asciiTheme="majorHAnsi" w:eastAsia="Arial Unicode MS" w:hAnsiTheme="majorHAnsi" w:cstheme="majorHAnsi"/>
                <w:u w:val="single"/>
              </w:rPr>
            </w:pPr>
            <w:r w:rsidRPr="000020F0">
              <w:rPr>
                <w:rFonts w:asciiTheme="majorHAnsi" w:hAnsiTheme="majorHAnsi" w:cstheme="majorHAnsi"/>
              </w:rPr>
              <w:t>*Stopnja tveganja:</w:t>
            </w:r>
          </w:p>
        </w:tc>
        <w:tc>
          <w:tcPr>
            <w:tcW w:w="2374" w:type="dxa"/>
          </w:tcPr>
          <w:p w14:paraId="74BCC448"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1 = majhna verjetnost</w:t>
            </w:r>
          </w:p>
        </w:tc>
        <w:tc>
          <w:tcPr>
            <w:tcW w:w="2374" w:type="dxa"/>
            <w:vMerge w:val="restart"/>
            <w:shd w:val="clear" w:color="auto" w:fill="B8CCE4" w:themeFill="accent1" w:themeFillTint="66"/>
            <w:vAlign w:val="center"/>
          </w:tcPr>
          <w:p w14:paraId="08C2E543" w14:textId="77777777" w:rsidR="000F39AE" w:rsidRPr="000020F0" w:rsidRDefault="000F39AE" w:rsidP="00BD1D20">
            <w:pPr>
              <w:spacing w:line="276" w:lineRule="auto"/>
              <w:jc w:val="center"/>
              <w:rPr>
                <w:rFonts w:asciiTheme="majorHAnsi" w:eastAsia="Arial Unicode MS" w:hAnsiTheme="majorHAnsi" w:cstheme="majorHAnsi"/>
                <w:u w:val="single"/>
              </w:rPr>
            </w:pPr>
            <w:r w:rsidRPr="000020F0">
              <w:rPr>
                <w:rFonts w:asciiTheme="majorHAnsi" w:hAnsiTheme="majorHAnsi" w:cstheme="majorHAnsi"/>
              </w:rPr>
              <w:t>**Ocena vpliva:</w:t>
            </w:r>
          </w:p>
        </w:tc>
        <w:tc>
          <w:tcPr>
            <w:tcW w:w="2374" w:type="dxa"/>
          </w:tcPr>
          <w:p w14:paraId="37E1EC6B"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0 = ni vpliva</w:t>
            </w:r>
          </w:p>
        </w:tc>
      </w:tr>
      <w:tr w:rsidR="00A73121" w:rsidRPr="000020F0" w14:paraId="607CDFCE" w14:textId="77777777" w:rsidTr="000F39AE">
        <w:trPr>
          <w:trHeight w:val="349"/>
        </w:trPr>
        <w:tc>
          <w:tcPr>
            <w:tcW w:w="2373" w:type="dxa"/>
            <w:vMerge/>
            <w:shd w:val="clear" w:color="auto" w:fill="B8CCE4" w:themeFill="accent1" w:themeFillTint="66"/>
          </w:tcPr>
          <w:p w14:paraId="7DAB1F78"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28E32745"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3 = srednja verjetnost</w:t>
            </w:r>
          </w:p>
        </w:tc>
        <w:tc>
          <w:tcPr>
            <w:tcW w:w="2374" w:type="dxa"/>
            <w:vMerge/>
            <w:shd w:val="clear" w:color="auto" w:fill="B8CCE4" w:themeFill="accent1" w:themeFillTint="66"/>
          </w:tcPr>
          <w:p w14:paraId="2D665277"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4976753F" w14:textId="77777777" w:rsidR="000F39AE" w:rsidRPr="000020F0" w:rsidRDefault="000F39AE" w:rsidP="00BD1D20">
            <w:pPr>
              <w:spacing w:line="276" w:lineRule="auto"/>
              <w:rPr>
                <w:rFonts w:asciiTheme="majorHAnsi" w:hAnsiTheme="majorHAnsi" w:cstheme="majorHAnsi"/>
              </w:rPr>
            </w:pPr>
            <w:r w:rsidRPr="000020F0">
              <w:rPr>
                <w:rFonts w:asciiTheme="majorHAnsi" w:hAnsiTheme="majorHAnsi" w:cstheme="majorHAnsi"/>
              </w:rPr>
              <w:t>1 = majhen vpliv</w:t>
            </w:r>
          </w:p>
        </w:tc>
      </w:tr>
      <w:tr w:rsidR="00A73121" w:rsidRPr="000020F0" w14:paraId="53FB3320" w14:textId="77777777" w:rsidTr="000F39AE">
        <w:trPr>
          <w:trHeight w:val="348"/>
        </w:trPr>
        <w:tc>
          <w:tcPr>
            <w:tcW w:w="2373" w:type="dxa"/>
            <w:vMerge/>
            <w:shd w:val="clear" w:color="auto" w:fill="B8CCE4" w:themeFill="accent1" w:themeFillTint="66"/>
          </w:tcPr>
          <w:p w14:paraId="31A2CD96"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4DB5AE9C"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5 = velika verjetnost</w:t>
            </w:r>
          </w:p>
        </w:tc>
        <w:tc>
          <w:tcPr>
            <w:tcW w:w="2374" w:type="dxa"/>
            <w:vMerge/>
            <w:shd w:val="clear" w:color="auto" w:fill="B8CCE4" w:themeFill="accent1" w:themeFillTint="66"/>
          </w:tcPr>
          <w:p w14:paraId="4DF87C93"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50CFEE71"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3 = srednji vpliv</w:t>
            </w:r>
          </w:p>
        </w:tc>
      </w:tr>
      <w:tr w:rsidR="000F39AE" w:rsidRPr="000020F0" w14:paraId="5B65ACC6" w14:textId="77777777" w:rsidTr="005E1D49">
        <w:trPr>
          <w:trHeight w:val="349"/>
        </w:trPr>
        <w:tc>
          <w:tcPr>
            <w:tcW w:w="2373" w:type="dxa"/>
          </w:tcPr>
          <w:p w14:paraId="66E536CD"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0274510F"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vMerge/>
            <w:shd w:val="clear" w:color="auto" w:fill="B8CCE4" w:themeFill="accent1" w:themeFillTint="66"/>
          </w:tcPr>
          <w:p w14:paraId="43566638" w14:textId="77777777" w:rsidR="000F39AE" w:rsidRPr="000020F0" w:rsidRDefault="000F39AE" w:rsidP="00BD1D20">
            <w:pPr>
              <w:spacing w:line="276" w:lineRule="auto"/>
              <w:rPr>
                <w:rFonts w:asciiTheme="majorHAnsi" w:eastAsia="Arial Unicode MS" w:hAnsiTheme="majorHAnsi" w:cstheme="majorHAnsi"/>
                <w:u w:val="single"/>
              </w:rPr>
            </w:pPr>
          </w:p>
        </w:tc>
        <w:tc>
          <w:tcPr>
            <w:tcW w:w="2374" w:type="dxa"/>
          </w:tcPr>
          <w:p w14:paraId="649C4DE8" w14:textId="77777777" w:rsidR="000F39AE" w:rsidRPr="000020F0" w:rsidRDefault="000F39AE" w:rsidP="00BD1D20">
            <w:pPr>
              <w:spacing w:line="276" w:lineRule="auto"/>
              <w:rPr>
                <w:rFonts w:asciiTheme="majorHAnsi" w:eastAsia="Arial Unicode MS" w:hAnsiTheme="majorHAnsi" w:cstheme="majorHAnsi"/>
                <w:u w:val="single"/>
              </w:rPr>
            </w:pPr>
            <w:r w:rsidRPr="000020F0">
              <w:rPr>
                <w:rFonts w:asciiTheme="majorHAnsi" w:hAnsiTheme="majorHAnsi" w:cstheme="majorHAnsi"/>
              </w:rPr>
              <w:t>5 = velik vpliv</w:t>
            </w:r>
          </w:p>
        </w:tc>
      </w:tr>
    </w:tbl>
    <w:p w14:paraId="66A20C8E" w14:textId="77777777" w:rsidR="000F39AE" w:rsidRPr="000020F0" w:rsidRDefault="000F39AE" w:rsidP="00BD1D20">
      <w:pPr>
        <w:spacing w:line="276" w:lineRule="auto"/>
        <w:rPr>
          <w:rFonts w:asciiTheme="majorHAnsi" w:hAnsiTheme="majorHAnsi" w:cstheme="majorHAnsi"/>
          <w:highlight w:val="yellow"/>
        </w:rPr>
      </w:pPr>
    </w:p>
    <w:p w14:paraId="71C8A19D" w14:textId="77777777" w:rsidR="000F39AE" w:rsidRPr="000020F0" w:rsidRDefault="000F39AE" w:rsidP="00BD1D20">
      <w:pPr>
        <w:spacing w:line="276" w:lineRule="auto"/>
        <w:rPr>
          <w:rFonts w:asciiTheme="majorHAnsi" w:hAnsiTheme="majorHAnsi" w:cstheme="majorHAnsi"/>
          <w:highlight w:val="yellow"/>
        </w:rPr>
        <w:sectPr w:rsidR="000F39AE" w:rsidRPr="000020F0" w:rsidSect="00480057">
          <w:headerReference w:type="default" r:id="rId108"/>
          <w:headerReference w:type="first" r:id="rId109"/>
          <w:pgSz w:w="11906" w:h="16838"/>
          <w:pgMar w:top="1134" w:right="1417" w:bottom="1417" w:left="1418" w:header="708" w:footer="708" w:gutter="0"/>
          <w:cols w:space="708"/>
          <w:titlePg/>
          <w:docGrid w:linePitch="360"/>
        </w:sectPr>
      </w:pPr>
    </w:p>
    <w:p w14:paraId="38ECF1CE" w14:textId="0AB6B3E4" w:rsidR="000F39AE" w:rsidRPr="000020F0" w:rsidRDefault="000F39AE" w:rsidP="00BD1D20">
      <w:pPr>
        <w:pStyle w:val="Napis"/>
        <w:keepNext/>
        <w:spacing w:after="120" w:line="276" w:lineRule="auto"/>
        <w:rPr>
          <w:rFonts w:asciiTheme="majorHAnsi" w:hAnsiTheme="majorHAnsi" w:cstheme="majorHAnsi"/>
          <w:b w:val="0"/>
          <w:color w:val="auto"/>
          <w:sz w:val="22"/>
          <w:szCs w:val="22"/>
        </w:rPr>
      </w:pPr>
      <w:bookmarkStart w:id="427" w:name="_Toc230882313"/>
      <w:r w:rsidRPr="000020F0">
        <w:rPr>
          <w:rFonts w:asciiTheme="majorHAnsi" w:hAnsiTheme="majorHAnsi" w:cstheme="majorHAnsi"/>
          <w:color w:val="auto"/>
          <w:sz w:val="22"/>
          <w:szCs w:val="22"/>
        </w:rPr>
        <w:lastRenderedPageBreak/>
        <w:t xml:space="preserve">Tabela </w:t>
      </w:r>
      <w:r w:rsidR="00050C93" w:rsidRPr="000020F0">
        <w:rPr>
          <w:rFonts w:asciiTheme="majorHAnsi" w:hAnsiTheme="majorHAnsi" w:cstheme="majorHAnsi"/>
          <w:color w:val="auto"/>
          <w:sz w:val="22"/>
          <w:szCs w:val="22"/>
        </w:rPr>
        <w:fldChar w:fldCharType="begin"/>
      </w:r>
      <w:r w:rsidRPr="000020F0">
        <w:rPr>
          <w:rFonts w:asciiTheme="majorHAnsi" w:hAnsiTheme="majorHAnsi" w:cstheme="majorHAnsi"/>
          <w:color w:val="auto"/>
          <w:sz w:val="22"/>
          <w:szCs w:val="22"/>
        </w:rPr>
        <w:instrText xml:space="preserve"> SEQ Tabela \* ARABIC </w:instrText>
      </w:r>
      <w:r w:rsidR="00050C93" w:rsidRPr="000020F0">
        <w:rPr>
          <w:rFonts w:asciiTheme="majorHAnsi" w:hAnsiTheme="majorHAnsi" w:cstheme="majorHAnsi"/>
          <w:color w:val="auto"/>
          <w:sz w:val="22"/>
          <w:szCs w:val="22"/>
        </w:rPr>
        <w:fldChar w:fldCharType="separate"/>
      </w:r>
      <w:r w:rsidR="00BB0C0C">
        <w:rPr>
          <w:rFonts w:asciiTheme="majorHAnsi" w:hAnsiTheme="majorHAnsi" w:cstheme="majorHAnsi"/>
          <w:noProof/>
          <w:color w:val="auto"/>
          <w:sz w:val="22"/>
          <w:szCs w:val="22"/>
        </w:rPr>
        <w:t>33</w:t>
      </w:r>
      <w:r w:rsidR="00050C93" w:rsidRPr="000020F0">
        <w:rPr>
          <w:rFonts w:asciiTheme="majorHAnsi" w:hAnsiTheme="majorHAnsi" w:cstheme="majorHAnsi"/>
          <w:color w:val="auto"/>
          <w:sz w:val="22"/>
          <w:szCs w:val="22"/>
        </w:rPr>
        <w:fldChar w:fldCharType="end"/>
      </w:r>
      <w:r w:rsidRPr="000020F0">
        <w:rPr>
          <w:rFonts w:asciiTheme="majorHAnsi" w:hAnsiTheme="majorHAnsi" w:cstheme="majorHAnsi"/>
          <w:color w:val="auto"/>
          <w:sz w:val="22"/>
          <w:szCs w:val="22"/>
        </w:rPr>
        <w:t>:</w:t>
      </w:r>
      <w:r w:rsidRPr="000020F0">
        <w:rPr>
          <w:rFonts w:asciiTheme="majorHAnsi" w:hAnsiTheme="majorHAnsi" w:cstheme="majorHAnsi"/>
          <w:b w:val="0"/>
          <w:color w:val="auto"/>
          <w:sz w:val="22"/>
          <w:szCs w:val="22"/>
        </w:rPr>
        <w:t xml:space="preserve"> Analiza tveganj za obravnavan celotni projekt</w:t>
      </w:r>
      <w:bookmarkEnd w:id="427"/>
    </w:p>
    <w:p w14:paraId="750549B8" w14:textId="77777777" w:rsidR="00D04FFD" w:rsidRPr="000020F0" w:rsidRDefault="00D04FFD" w:rsidP="00BD1D20">
      <w:pPr>
        <w:spacing w:line="276" w:lineRule="auto"/>
        <w:rPr>
          <w:rFonts w:asciiTheme="majorHAnsi" w:hAnsiTheme="majorHAnsi" w:cstheme="majorHAnsi"/>
          <w:highlight w:val="yellow"/>
        </w:rPr>
      </w:pP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346"/>
        <w:gridCol w:w="1533"/>
        <w:gridCol w:w="4350"/>
        <w:gridCol w:w="4467"/>
      </w:tblGrid>
      <w:tr w:rsidR="00F002C9" w:rsidRPr="000020F0" w14:paraId="6737CE6D" w14:textId="77777777" w:rsidTr="001D40B3">
        <w:tc>
          <w:tcPr>
            <w:tcW w:w="811" w:type="pct"/>
            <w:shd w:val="clear" w:color="auto" w:fill="BFBFBF"/>
            <w:vAlign w:val="center"/>
          </w:tcPr>
          <w:p w14:paraId="66EA0889"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Tveganja</w:t>
            </w:r>
          </w:p>
        </w:tc>
        <w:tc>
          <w:tcPr>
            <w:tcW w:w="482" w:type="pct"/>
            <w:shd w:val="clear" w:color="auto" w:fill="BFBFBF"/>
            <w:vAlign w:val="center"/>
          </w:tcPr>
          <w:p w14:paraId="3B5650CD"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Stopnja tveganj (verjetnost dogodka)*</w:t>
            </w:r>
          </w:p>
        </w:tc>
        <w:tc>
          <w:tcPr>
            <w:tcW w:w="549" w:type="pct"/>
            <w:shd w:val="clear" w:color="auto" w:fill="BFBFBF"/>
            <w:vAlign w:val="center"/>
          </w:tcPr>
          <w:p w14:paraId="7966AAED"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Ocena vpliva**</w:t>
            </w:r>
          </w:p>
        </w:tc>
        <w:tc>
          <w:tcPr>
            <w:tcW w:w="1558" w:type="pct"/>
            <w:shd w:val="clear" w:color="auto" w:fill="BFBFBF"/>
            <w:vAlign w:val="center"/>
          </w:tcPr>
          <w:p w14:paraId="72B839DC"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Posledice tveganj</w:t>
            </w:r>
          </w:p>
        </w:tc>
        <w:tc>
          <w:tcPr>
            <w:tcW w:w="1600" w:type="pct"/>
            <w:shd w:val="clear" w:color="auto" w:fill="BFBFBF"/>
            <w:vAlign w:val="center"/>
          </w:tcPr>
          <w:p w14:paraId="20909F31"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Ukrepi za zmanjšanje tveganj</w:t>
            </w:r>
          </w:p>
        </w:tc>
      </w:tr>
      <w:tr w:rsidR="00F002C9" w:rsidRPr="000020F0" w14:paraId="3A75C167" w14:textId="77777777" w:rsidTr="001D40B3">
        <w:trPr>
          <w:trHeight w:val="369"/>
        </w:trPr>
        <w:tc>
          <w:tcPr>
            <w:tcW w:w="5000" w:type="pct"/>
            <w:gridSpan w:val="5"/>
            <w:shd w:val="clear" w:color="auto" w:fill="E5B8B7"/>
            <w:vAlign w:val="center"/>
          </w:tcPr>
          <w:p w14:paraId="62F70B34" w14:textId="77777777" w:rsidR="00F002C9" w:rsidRPr="000020F0" w:rsidRDefault="00F002C9" w:rsidP="00BD1D20">
            <w:pPr>
              <w:numPr>
                <w:ilvl w:val="0"/>
                <w:numId w:val="18"/>
              </w:numPr>
              <w:overflowPunct w:val="0"/>
              <w:autoSpaceDE w:val="0"/>
              <w:autoSpaceDN w:val="0"/>
              <w:adjustRightInd w:val="0"/>
              <w:spacing w:line="276" w:lineRule="auto"/>
              <w:ind w:left="284" w:hanging="284"/>
              <w:contextualSpacing/>
              <w:jc w:val="both"/>
              <w:textAlignment w:val="baseline"/>
              <w:rPr>
                <w:rFonts w:asciiTheme="majorHAnsi" w:eastAsia="Arial Unicode MS" w:hAnsiTheme="majorHAnsi" w:cstheme="majorHAnsi"/>
                <w:sz w:val="20"/>
                <w:szCs w:val="20"/>
                <w:lang w:eastAsia="zh-TW"/>
              </w:rPr>
            </w:pPr>
            <w:r w:rsidRPr="000020F0">
              <w:rPr>
                <w:rFonts w:asciiTheme="majorHAnsi" w:eastAsia="Arial Unicode MS" w:hAnsiTheme="majorHAnsi" w:cstheme="majorHAnsi"/>
                <w:b/>
                <w:sz w:val="20"/>
                <w:szCs w:val="20"/>
                <w:lang w:eastAsia="zh-TW"/>
              </w:rPr>
              <w:t>TVEGANJA RAZVOJA PROJEKTA IN SPLOŠNA TVEGANJA</w:t>
            </w:r>
          </w:p>
        </w:tc>
      </w:tr>
      <w:tr w:rsidR="00F002C9" w:rsidRPr="000020F0" w14:paraId="55EE28E1" w14:textId="77777777" w:rsidTr="001D40B3">
        <w:tc>
          <w:tcPr>
            <w:tcW w:w="811" w:type="pct"/>
            <w:vAlign w:val="center"/>
          </w:tcPr>
          <w:p w14:paraId="52895B64"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Tveganje zaradi imenovanja neizkušenega in strokovno neusposobljenega odgovornega vodje za izvedbo investicijskega projekta. </w:t>
            </w:r>
          </w:p>
        </w:tc>
        <w:tc>
          <w:tcPr>
            <w:tcW w:w="482" w:type="pct"/>
            <w:vAlign w:val="center"/>
          </w:tcPr>
          <w:p w14:paraId="7A83F666"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3390968D"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4CEC5D7D"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22CB5C14"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5</w:t>
            </w:r>
          </w:p>
        </w:tc>
        <w:tc>
          <w:tcPr>
            <w:tcW w:w="1558" w:type="pct"/>
            <w:vAlign w:val="center"/>
          </w:tcPr>
          <w:p w14:paraId="6E9832AB" w14:textId="0CE31905"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Projekt ne bo uspešn</w:t>
            </w:r>
            <w:r w:rsidR="00C4520E" w:rsidRPr="000020F0">
              <w:rPr>
                <w:rFonts w:asciiTheme="majorHAnsi" w:eastAsia="Arial Unicode MS" w:hAnsiTheme="majorHAnsi" w:cstheme="majorHAnsi"/>
                <w:bCs/>
                <w:kern w:val="28"/>
                <w:sz w:val="20"/>
                <w:szCs w:val="20"/>
              </w:rPr>
              <w:t>o voden in pravočasno zaključen.</w:t>
            </w:r>
          </w:p>
          <w:p w14:paraId="5FDCCE4B" w14:textId="3A6FFD0C"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w:t>
            </w:r>
            <w:r w:rsidR="00C4520E" w:rsidRPr="000020F0">
              <w:rPr>
                <w:rFonts w:asciiTheme="majorHAnsi" w:eastAsia="Arial Unicode MS" w:hAnsiTheme="majorHAnsi" w:cstheme="majorHAnsi"/>
                <w:bCs/>
                <w:kern w:val="28"/>
                <w:sz w:val="20"/>
                <w:szCs w:val="20"/>
              </w:rPr>
              <w:t>prejemanje napačnih odločitev.</w:t>
            </w:r>
          </w:p>
          <w:p w14:paraId="34E2FCF9" w14:textId="00D05240"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N</w:t>
            </w:r>
            <w:r w:rsidR="00C4520E" w:rsidRPr="000020F0">
              <w:rPr>
                <w:rFonts w:asciiTheme="majorHAnsi" w:eastAsia="Arial Unicode MS" w:hAnsiTheme="majorHAnsi" w:cstheme="majorHAnsi"/>
                <w:bCs/>
                <w:kern w:val="28"/>
                <w:sz w:val="20"/>
                <w:szCs w:val="20"/>
              </w:rPr>
              <w:t>ejasno delegirane naloge.</w:t>
            </w:r>
          </w:p>
          <w:p w14:paraId="030F9B4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Nejasno opredeljene odgovornosti in pristojnosti udeležencev na projektu.</w:t>
            </w:r>
          </w:p>
        </w:tc>
        <w:tc>
          <w:tcPr>
            <w:tcW w:w="1600" w:type="pct"/>
            <w:vAlign w:val="center"/>
          </w:tcPr>
          <w:p w14:paraId="08C3A1F9" w14:textId="6718FF0F"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Imenovanje izkušenega in strokovno usposobljenega odgovornega vodje za i</w:t>
            </w:r>
            <w:r w:rsidR="00C4520E" w:rsidRPr="000020F0">
              <w:rPr>
                <w:rFonts w:asciiTheme="majorHAnsi" w:eastAsia="Arial Unicode MS" w:hAnsiTheme="majorHAnsi" w:cstheme="majorHAnsi"/>
                <w:bCs/>
                <w:kern w:val="28"/>
                <w:sz w:val="20"/>
                <w:szCs w:val="20"/>
              </w:rPr>
              <w:t>zvedbo investicijskega projekta.</w:t>
            </w:r>
          </w:p>
          <w:p w14:paraId="54297805"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Zagotovitev zunanjih in notranjih svetovalcev.</w:t>
            </w:r>
          </w:p>
        </w:tc>
      </w:tr>
      <w:tr w:rsidR="00F002C9" w:rsidRPr="000020F0" w14:paraId="6C342108" w14:textId="77777777" w:rsidTr="001D40B3">
        <w:tc>
          <w:tcPr>
            <w:tcW w:w="811" w:type="pct"/>
            <w:vAlign w:val="center"/>
          </w:tcPr>
          <w:p w14:paraId="2CA31ED3"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zaradi preobremenjenosti odgovornega vodje za izvedbo investicijskega projekta in članov projektne skupine z drugimi nalogami.</w:t>
            </w:r>
          </w:p>
        </w:tc>
        <w:tc>
          <w:tcPr>
            <w:tcW w:w="482" w:type="pct"/>
            <w:vAlign w:val="center"/>
          </w:tcPr>
          <w:p w14:paraId="08E24B63"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6C72DA6C"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0D3249B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5D41A081"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5</w:t>
            </w:r>
          </w:p>
        </w:tc>
        <w:tc>
          <w:tcPr>
            <w:tcW w:w="1558" w:type="pct"/>
            <w:vAlign w:val="center"/>
          </w:tcPr>
          <w:p w14:paraId="39B75E37" w14:textId="565337EA" w:rsidR="00F002C9" w:rsidRPr="000020F0" w:rsidRDefault="00F002C9" w:rsidP="00BD1D20">
            <w:pPr>
              <w:numPr>
                <w:ilvl w:val="0"/>
                <w:numId w:val="16"/>
              </w:numPr>
              <w:tabs>
                <w:tab w:val="num" w:pos="252"/>
              </w:tabs>
              <w:overflowPunct w:val="0"/>
              <w:autoSpaceDE w:val="0"/>
              <w:autoSpaceDN w:val="0"/>
              <w:adjustRightInd w:val="0"/>
              <w:spacing w:line="276" w:lineRule="auto"/>
              <w:ind w:left="249" w:hanging="249"/>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Projekt ne bo uspešno voden in izveden ter </w:t>
            </w:r>
            <w:r w:rsidR="00C4520E" w:rsidRPr="000020F0">
              <w:rPr>
                <w:rFonts w:asciiTheme="majorHAnsi" w:eastAsia="Arial Unicode MS" w:hAnsiTheme="majorHAnsi" w:cstheme="majorHAnsi"/>
                <w:bCs/>
                <w:kern w:val="28"/>
                <w:sz w:val="20"/>
                <w:szCs w:val="20"/>
              </w:rPr>
              <w:t>pravočasno zaključen.</w:t>
            </w:r>
          </w:p>
          <w:p w14:paraId="4AA6264B" w14:textId="77777777" w:rsidR="00F002C9" w:rsidRPr="000020F0" w:rsidRDefault="00F002C9" w:rsidP="00BD1D20">
            <w:pPr>
              <w:numPr>
                <w:ilvl w:val="0"/>
                <w:numId w:val="16"/>
              </w:numPr>
              <w:tabs>
                <w:tab w:val="num" w:pos="252"/>
              </w:tabs>
              <w:overflowPunct w:val="0"/>
              <w:autoSpaceDE w:val="0"/>
              <w:autoSpaceDN w:val="0"/>
              <w:adjustRightInd w:val="0"/>
              <w:spacing w:line="276" w:lineRule="auto"/>
              <w:ind w:left="249" w:hanging="249"/>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Projekt ne bo primerno spremljan in posledično se bodo nastali problemi reševali na daljše časovno obdobje.</w:t>
            </w:r>
          </w:p>
        </w:tc>
        <w:tc>
          <w:tcPr>
            <w:tcW w:w="1600" w:type="pct"/>
            <w:vAlign w:val="center"/>
          </w:tcPr>
          <w:p w14:paraId="6317DB91" w14:textId="09B705E1" w:rsidR="00F002C9" w:rsidRPr="000020F0" w:rsidRDefault="00F002C9" w:rsidP="00BD1D20">
            <w:pPr>
              <w:numPr>
                <w:ilvl w:val="0"/>
                <w:numId w:val="16"/>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Imenovanje izkušenega in usposobljenega strokovnega vodje, ki ni p</w:t>
            </w:r>
            <w:r w:rsidR="00C4520E" w:rsidRPr="000020F0">
              <w:rPr>
                <w:rFonts w:asciiTheme="majorHAnsi" w:eastAsia="Arial Unicode MS" w:hAnsiTheme="majorHAnsi" w:cstheme="majorHAnsi"/>
                <w:bCs/>
                <w:kern w:val="28"/>
                <w:sz w:val="20"/>
                <w:szCs w:val="20"/>
              </w:rPr>
              <w:t>reobremenjen z drugimi nalogami.</w:t>
            </w:r>
          </w:p>
          <w:p w14:paraId="254F3F17" w14:textId="77777777" w:rsidR="00F002C9" w:rsidRPr="000020F0" w:rsidRDefault="00F002C9" w:rsidP="00BD1D20">
            <w:pPr>
              <w:numPr>
                <w:ilvl w:val="0"/>
                <w:numId w:val="16"/>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Imenovanje ustreznih članov projektne skupine, ki niso preobremenjeni z drugimi nalogami.</w:t>
            </w:r>
          </w:p>
        </w:tc>
      </w:tr>
      <w:tr w:rsidR="00F002C9" w:rsidRPr="000020F0" w14:paraId="31FB4C22" w14:textId="77777777" w:rsidTr="001D40B3">
        <w:tc>
          <w:tcPr>
            <w:tcW w:w="811" w:type="pct"/>
            <w:vAlign w:val="center"/>
          </w:tcPr>
          <w:p w14:paraId="26E41B48" w14:textId="3012AFCC"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Tveganje zaradi neskladnosti projekta s strategijo </w:t>
            </w:r>
            <w:r w:rsidR="00557BD9" w:rsidRPr="000020F0">
              <w:rPr>
                <w:rFonts w:asciiTheme="majorHAnsi" w:eastAsia="Arial Unicode MS" w:hAnsiTheme="majorHAnsi" w:cstheme="majorHAnsi"/>
                <w:bCs/>
                <w:kern w:val="28"/>
                <w:sz w:val="20"/>
                <w:szCs w:val="20"/>
              </w:rPr>
              <w:t>O</w:t>
            </w:r>
            <w:r w:rsidRPr="000020F0">
              <w:rPr>
                <w:rFonts w:asciiTheme="majorHAnsi" w:eastAsia="Arial Unicode MS" w:hAnsiTheme="majorHAnsi" w:cstheme="majorHAnsi"/>
                <w:bCs/>
                <w:kern w:val="28"/>
                <w:sz w:val="20"/>
                <w:szCs w:val="20"/>
              </w:rPr>
              <w:t xml:space="preserve">bčine </w:t>
            </w:r>
            <w:r w:rsidR="001C283B" w:rsidRPr="000020F0">
              <w:rPr>
                <w:rFonts w:asciiTheme="majorHAnsi" w:eastAsia="Arial Unicode MS" w:hAnsiTheme="majorHAnsi" w:cstheme="majorHAnsi"/>
                <w:bCs/>
                <w:kern w:val="28"/>
                <w:sz w:val="20"/>
                <w:szCs w:val="20"/>
              </w:rPr>
              <w:t>Ig</w:t>
            </w:r>
            <w:r w:rsidRPr="000020F0">
              <w:rPr>
                <w:rFonts w:asciiTheme="majorHAnsi" w:eastAsia="Arial Unicode MS" w:hAnsiTheme="majorHAnsi" w:cstheme="majorHAnsi"/>
                <w:bCs/>
                <w:kern w:val="28"/>
                <w:sz w:val="20"/>
                <w:szCs w:val="20"/>
              </w:rPr>
              <w:t>.</w:t>
            </w:r>
          </w:p>
        </w:tc>
        <w:tc>
          <w:tcPr>
            <w:tcW w:w="482" w:type="pct"/>
            <w:vAlign w:val="center"/>
          </w:tcPr>
          <w:p w14:paraId="17F757E0"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06F2E121"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2EB35DAC"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321D492E"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1</w:t>
            </w:r>
          </w:p>
        </w:tc>
        <w:tc>
          <w:tcPr>
            <w:tcW w:w="1558" w:type="pct"/>
            <w:vAlign w:val="center"/>
          </w:tcPr>
          <w:p w14:paraId="288D3E4F" w14:textId="734FE6C0" w:rsidR="00F002C9" w:rsidRPr="000020F0" w:rsidRDefault="00F002C9" w:rsidP="00BD1D20">
            <w:pPr>
              <w:numPr>
                <w:ilvl w:val="0"/>
                <w:numId w:val="16"/>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Neus</w:t>
            </w:r>
            <w:r w:rsidR="00C4520E" w:rsidRPr="000020F0">
              <w:rPr>
                <w:rFonts w:asciiTheme="majorHAnsi" w:eastAsia="Arial Unicode MS" w:hAnsiTheme="majorHAnsi" w:cstheme="majorHAnsi"/>
                <w:bCs/>
                <w:kern w:val="28"/>
                <w:sz w:val="20"/>
                <w:szCs w:val="20"/>
              </w:rPr>
              <w:t>klajenost projekta s strategijo.</w:t>
            </w:r>
          </w:p>
          <w:p w14:paraId="4D9C12F2" w14:textId="77777777" w:rsidR="00F002C9" w:rsidRPr="000020F0" w:rsidRDefault="00F002C9" w:rsidP="00BD1D20">
            <w:pPr>
              <w:numPr>
                <w:ilvl w:val="0"/>
                <w:numId w:val="16"/>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Podaljšanje roka izvedbe zaradi potrebnih prilagoditev dokumentacije.</w:t>
            </w:r>
          </w:p>
        </w:tc>
        <w:tc>
          <w:tcPr>
            <w:tcW w:w="1600" w:type="pct"/>
            <w:vAlign w:val="center"/>
          </w:tcPr>
          <w:p w14:paraId="778FBB3B" w14:textId="4ED4E9F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Sodelovanje </w:t>
            </w:r>
            <w:r w:rsidR="00557BD9" w:rsidRPr="000020F0">
              <w:rPr>
                <w:rFonts w:asciiTheme="majorHAnsi" w:eastAsia="Arial Unicode MS" w:hAnsiTheme="majorHAnsi" w:cstheme="majorHAnsi"/>
                <w:bCs/>
                <w:kern w:val="28"/>
                <w:sz w:val="20"/>
                <w:szCs w:val="20"/>
              </w:rPr>
              <w:t xml:space="preserve">Občine </w:t>
            </w:r>
            <w:r w:rsidR="001C283B" w:rsidRPr="000020F0">
              <w:rPr>
                <w:rFonts w:asciiTheme="majorHAnsi" w:eastAsia="Arial Unicode MS" w:hAnsiTheme="majorHAnsi" w:cstheme="majorHAnsi"/>
                <w:bCs/>
                <w:kern w:val="28"/>
                <w:sz w:val="20"/>
                <w:szCs w:val="20"/>
              </w:rPr>
              <w:t>Ig</w:t>
            </w:r>
            <w:r w:rsidRPr="000020F0">
              <w:rPr>
                <w:rFonts w:asciiTheme="majorHAnsi" w:eastAsia="Arial Unicode MS" w:hAnsiTheme="majorHAnsi" w:cstheme="majorHAnsi"/>
                <w:bCs/>
                <w:kern w:val="28"/>
                <w:sz w:val="20"/>
                <w:szCs w:val="20"/>
              </w:rPr>
              <w:t xml:space="preserve"> z izvajalcem projekta ter obveščanje oz. informiranje o vseh veljavnih in sprejeti</w:t>
            </w:r>
            <w:r w:rsidR="00C4520E" w:rsidRPr="000020F0">
              <w:rPr>
                <w:rFonts w:asciiTheme="majorHAnsi" w:eastAsia="Arial Unicode MS" w:hAnsiTheme="majorHAnsi" w:cstheme="majorHAnsi"/>
                <w:bCs/>
                <w:kern w:val="28"/>
                <w:sz w:val="20"/>
                <w:szCs w:val="20"/>
              </w:rPr>
              <w:t>h strategijah in merilih občine.</w:t>
            </w:r>
          </w:p>
          <w:p w14:paraId="600EC729"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Upoštevanje sprejetih strategij in meril v fazi projektiranja ter kasneje v fazi izvedbe.</w:t>
            </w:r>
          </w:p>
        </w:tc>
      </w:tr>
      <w:tr w:rsidR="00F002C9" w:rsidRPr="000020F0" w14:paraId="192684B0" w14:textId="77777777" w:rsidTr="001D40B3">
        <w:trPr>
          <w:trHeight w:val="463"/>
        </w:trPr>
        <w:tc>
          <w:tcPr>
            <w:tcW w:w="811" w:type="pct"/>
            <w:vAlign w:val="center"/>
          </w:tcPr>
          <w:p w14:paraId="10A47ED5"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zaradi spremembe zakonodaje.</w:t>
            </w:r>
          </w:p>
        </w:tc>
        <w:tc>
          <w:tcPr>
            <w:tcW w:w="482" w:type="pct"/>
            <w:vAlign w:val="center"/>
          </w:tcPr>
          <w:p w14:paraId="11A279FD"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212E92C3"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12C110FE"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1</w:t>
            </w:r>
          </w:p>
          <w:p w14:paraId="13B5A51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1</w:t>
            </w:r>
          </w:p>
        </w:tc>
        <w:tc>
          <w:tcPr>
            <w:tcW w:w="1558" w:type="pct"/>
            <w:vAlign w:val="center"/>
          </w:tcPr>
          <w:p w14:paraId="3A8A008C" w14:textId="09CE4EEC"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Neusklajenost</w:t>
            </w:r>
            <w:r w:rsidR="00C4520E" w:rsidRPr="000020F0">
              <w:rPr>
                <w:rFonts w:asciiTheme="majorHAnsi" w:eastAsia="Arial Unicode MS" w:hAnsiTheme="majorHAnsi" w:cstheme="majorHAnsi"/>
                <w:bCs/>
                <w:kern w:val="28"/>
                <w:sz w:val="20"/>
                <w:szCs w:val="20"/>
              </w:rPr>
              <w:t xml:space="preserve"> projekta z veljavno zakonodajo.</w:t>
            </w:r>
          </w:p>
          <w:p w14:paraId="5B43DB5E"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Podaljšanje roka izvedbe projekta zaradi potrebnih prilagoditev dokumentacije.</w:t>
            </w:r>
          </w:p>
        </w:tc>
        <w:tc>
          <w:tcPr>
            <w:tcW w:w="1600" w:type="pct"/>
            <w:vAlign w:val="center"/>
          </w:tcPr>
          <w:p w14:paraId="55437D3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Spremljanje zakonodaje v vseh fazah izvedbe projekta.</w:t>
            </w:r>
          </w:p>
        </w:tc>
      </w:tr>
      <w:tr w:rsidR="00F002C9" w:rsidRPr="000020F0" w14:paraId="151E3A2C" w14:textId="77777777" w:rsidTr="001D40B3">
        <w:trPr>
          <w:trHeight w:val="619"/>
        </w:trPr>
        <w:tc>
          <w:tcPr>
            <w:tcW w:w="811" w:type="pct"/>
            <w:vAlign w:val="center"/>
          </w:tcPr>
          <w:p w14:paraId="75BD1D24"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lastRenderedPageBreak/>
              <w:t>Tveganje zaradi nestabilnih političnih dejavnikov.</w:t>
            </w:r>
          </w:p>
        </w:tc>
        <w:tc>
          <w:tcPr>
            <w:tcW w:w="482" w:type="pct"/>
            <w:vAlign w:val="center"/>
          </w:tcPr>
          <w:p w14:paraId="7313D9AC"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5B929564"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5</w:t>
            </w:r>
          </w:p>
          <w:p w14:paraId="217A0B8D"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6219DB1D"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1</w:t>
            </w:r>
          </w:p>
        </w:tc>
        <w:tc>
          <w:tcPr>
            <w:tcW w:w="1558" w:type="pct"/>
            <w:vAlign w:val="center"/>
          </w:tcPr>
          <w:p w14:paraId="14F7DEE6"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Zastoj (ustavitev) projekta.</w:t>
            </w:r>
          </w:p>
        </w:tc>
        <w:tc>
          <w:tcPr>
            <w:tcW w:w="1600" w:type="pct"/>
            <w:vAlign w:val="center"/>
          </w:tcPr>
          <w:p w14:paraId="042EDE99"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Preveritev strateških odločitev države.</w:t>
            </w:r>
          </w:p>
        </w:tc>
      </w:tr>
      <w:tr w:rsidR="00F002C9" w:rsidRPr="000020F0" w14:paraId="16F07B9B" w14:textId="77777777" w:rsidTr="001D40B3">
        <w:tc>
          <w:tcPr>
            <w:tcW w:w="811" w:type="pct"/>
            <w:vAlign w:val="center"/>
          </w:tcPr>
          <w:p w14:paraId="43AA725D"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zaradi odklonilnega javnega mnenja do realizacije projekta</w:t>
            </w:r>
          </w:p>
        </w:tc>
        <w:tc>
          <w:tcPr>
            <w:tcW w:w="482" w:type="pct"/>
            <w:vAlign w:val="center"/>
          </w:tcPr>
          <w:p w14:paraId="7CF24574"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755F7404"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69F2A779"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1</w:t>
            </w:r>
          </w:p>
          <w:p w14:paraId="1D0FCE1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1</w:t>
            </w:r>
          </w:p>
        </w:tc>
        <w:tc>
          <w:tcPr>
            <w:tcW w:w="1558" w:type="pct"/>
            <w:vAlign w:val="center"/>
          </w:tcPr>
          <w:p w14:paraId="0260EE05"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Podaljšanje roka izvedbe projekta.</w:t>
            </w:r>
          </w:p>
        </w:tc>
        <w:tc>
          <w:tcPr>
            <w:tcW w:w="1600" w:type="pct"/>
            <w:vAlign w:val="center"/>
          </w:tcPr>
          <w:p w14:paraId="5B97DDC0" w14:textId="4963855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Up</w:t>
            </w:r>
            <w:r w:rsidR="00C4520E" w:rsidRPr="000020F0">
              <w:rPr>
                <w:rFonts w:asciiTheme="majorHAnsi" w:eastAsia="Arial Unicode MS" w:hAnsiTheme="majorHAnsi" w:cstheme="majorHAnsi"/>
                <w:bCs/>
                <w:kern w:val="28"/>
                <w:sz w:val="20"/>
                <w:szCs w:val="20"/>
              </w:rPr>
              <w:t>oštevanje zahtev oz. priporočil.</w:t>
            </w:r>
          </w:p>
          <w:p w14:paraId="6C2307D6"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Pozitivno informiranje javnosti glede projekta. </w:t>
            </w:r>
          </w:p>
        </w:tc>
      </w:tr>
      <w:tr w:rsidR="00F002C9" w:rsidRPr="000020F0" w14:paraId="684B7D08" w14:textId="77777777" w:rsidTr="001D40B3">
        <w:tc>
          <w:tcPr>
            <w:tcW w:w="811" w:type="pct"/>
            <w:shd w:val="clear" w:color="auto" w:fill="D9D9D9"/>
            <w:vAlign w:val="center"/>
          </w:tcPr>
          <w:p w14:paraId="22C29B4A"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Tveganja</w:t>
            </w:r>
          </w:p>
        </w:tc>
        <w:tc>
          <w:tcPr>
            <w:tcW w:w="482" w:type="pct"/>
            <w:shd w:val="clear" w:color="auto" w:fill="D9D9D9"/>
            <w:vAlign w:val="center"/>
          </w:tcPr>
          <w:p w14:paraId="1ECC1F48"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Stopnja tveganj (verjetnost dogodka)*</w:t>
            </w:r>
          </w:p>
        </w:tc>
        <w:tc>
          <w:tcPr>
            <w:tcW w:w="549" w:type="pct"/>
            <w:shd w:val="clear" w:color="auto" w:fill="D9D9D9"/>
            <w:vAlign w:val="center"/>
          </w:tcPr>
          <w:p w14:paraId="17D8C5E1" w14:textId="77777777" w:rsidR="00F002C9" w:rsidRPr="000020F0" w:rsidRDefault="00F002C9" w:rsidP="00BD1D20">
            <w:pPr>
              <w:tabs>
                <w:tab w:val="num" w:pos="252"/>
              </w:tabs>
              <w:overflowPunct w:val="0"/>
              <w:autoSpaceDE w:val="0"/>
              <w:autoSpaceDN w:val="0"/>
              <w:adjustRightInd w:val="0"/>
              <w:spacing w:line="276" w:lineRule="auto"/>
              <w:ind w:left="252" w:hanging="180"/>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Ocena vpliva**</w:t>
            </w:r>
          </w:p>
        </w:tc>
        <w:tc>
          <w:tcPr>
            <w:tcW w:w="1558" w:type="pct"/>
            <w:shd w:val="clear" w:color="auto" w:fill="D9D9D9"/>
            <w:vAlign w:val="center"/>
          </w:tcPr>
          <w:p w14:paraId="722C0F78" w14:textId="77777777" w:rsidR="00F002C9" w:rsidRPr="000020F0" w:rsidRDefault="00F002C9" w:rsidP="00BD1D20">
            <w:pPr>
              <w:tabs>
                <w:tab w:val="num" w:pos="252"/>
              </w:tabs>
              <w:overflowPunct w:val="0"/>
              <w:autoSpaceDE w:val="0"/>
              <w:autoSpaceDN w:val="0"/>
              <w:adjustRightInd w:val="0"/>
              <w:spacing w:line="276" w:lineRule="auto"/>
              <w:ind w:left="252" w:hanging="252"/>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Posledice tveganj</w:t>
            </w:r>
          </w:p>
        </w:tc>
        <w:tc>
          <w:tcPr>
            <w:tcW w:w="1600" w:type="pct"/>
            <w:shd w:val="clear" w:color="auto" w:fill="D9D9D9"/>
            <w:vAlign w:val="center"/>
          </w:tcPr>
          <w:p w14:paraId="1F5A5A6B" w14:textId="77777777" w:rsidR="00F002C9" w:rsidRPr="000020F0" w:rsidRDefault="00F002C9" w:rsidP="00BD1D20">
            <w:pPr>
              <w:tabs>
                <w:tab w:val="num" w:pos="252"/>
              </w:tabs>
              <w:overflowPunct w:val="0"/>
              <w:autoSpaceDE w:val="0"/>
              <w:autoSpaceDN w:val="0"/>
              <w:adjustRightInd w:val="0"/>
              <w:spacing w:line="276" w:lineRule="auto"/>
              <w:ind w:left="252" w:hanging="252"/>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Ukrepi za zmanjšanje tveganj</w:t>
            </w:r>
          </w:p>
        </w:tc>
      </w:tr>
      <w:tr w:rsidR="00F002C9" w:rsidRPr="000020F0" w14:paraId="68D5F852" w14:textId="77777777" w:rsidTr="001D40B3">
        <w:tc>
          <w:tcPr>
            <w:tcW w:w="5000" w:type="pct"/>
            <w:gridSpan w:val="5"/>
            <w:shd w:val="clear" w:color="auto" w:fill="E5B8B7"/>
          </w:tcPr>
          <w:p w14:paraId="330884A8" w14:textId="77777777" w:rsidR="00F002C9" w:rsidRPr="000020F0" w:rsidRDefault="00F002C9" w:rsidP="00BD1D20">
            <w:pPr>
              <w:numPr>
                <w:ilvl w:val="0"/>
                <w:numId w:val="18"/>
              </w:numPr>
              <w:overflowPunct w:val="0"/>
              <w:autoSpaceDE w:val="0"/>
              <w:autoSpaceDN w:val="0"/>
              <w:adjustRightInd w:val="0"/>
              <w:spacing w:before="40" w:line="276" w:lineRule="auto"/>
              <w:ind w:left="284" w:hanging="284"/>
              <w:contextualSpacing/>
              <w:jc w:val="both"/>
              <w:textAlignment w:val="baseline"/>
              <w:rPr>
                <w:rFonts w:asciiTheme="majorHAnsi" w:eastAsia="Arial Unicode MS" w:hAnsiTheme="majorHAnsi" w:cstheme="majorHAnsi"/>
                <w:b/>
                <w:sz w:val="20"/>
                <w:szCs w:val="20"/>
                <w:lang w:eastAsia="zh-TW"/>
              </w:rPr>
            </w:pPr>
            <w:r w:rsidRPr="000020F0">
              <w:rPr>
                <w:rFonts w:asciiTheme="majorHAnsi" w:eastAsia="Arial Unicode MS" w:hAnsiTheme="majorHAnsi" w:cstheme="majorHAnsi"/>
                <w:b/>
                <w:sz w:val="20"/>
                <w:szCs w:val="20"/>
                <w:lang w:eastAsia="zh-TW"/>
              </w:rPr>
              <w:t>TVEGANJE IZVEDBE PROJEKTA</w:t>
            </w:r>
          </w:p>
        </w:tc>
      </w:tr>
      <w:tr w:rsidR="00F002C9" w:rsidRPr="000020F0" w14:paraId="2F9E7214" w14:textId="77777777" w:rsidTr="001D40B3">
        <w:trPr>
          <w:trHeight w:val="316"/>
        </w:trPr>
        <w:tc>
          <w:tcPr>
            <w:tcW w:w="811" w:type="pct"/>
            <w:vAlign w:val="center"/>
          </w:tcPr>
          <w:p w14:paraId="73A45314"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v postopkih oddaje del.</w:t>
            </w:r>
          </w:p>
        </w:tc>
        <w:tc>
          <w:tcPr>
            <w:tcW w:w="482" w:type="pct"/>
            <w:vAlign w:val="center"/>
          </w:tcPr>
          <w:p w14:paraId="021418AF"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3</w:t>
            </w:r>
          </w:p>
        </w:tc>
        <w:tc>
          <w:tcPr>
            <w:tcW w:w="549" w:type="pct"/>
            <w:vAlign w:val="center"/>
          </w:tcPr>
          <w:p w14:paraId="5803B323"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20FC1D16"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02F49788"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1</w:t>
            </w:r>
          </w:p>
        </w:tc>
        <w:tc>
          <w:tcPr>
            <w:tcW w:w="1558" w:type="pct"/>
            <w:vAlign w:val="center"/>
          </w:tcPr>
          <w:p w14:paraId="7C65FB45" w14:textId="5FCF2C23"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Pon</w:t>
            </w:r>
            <w:r w:rsidR="00C4520E" w:rsidRPr="000020F0">
              <w:rPr>
                <w:rFonts w:asciiTheme="majorHAnsi" w:eastAsia="Arial Unicode MS" w:hAnsiTheme="majorHAnsi" w:cstheme="majorHAnsi"/>
                <w:bCs/>
                <w:kern w:val="28"/>
                <w:sz w:val="20"/>
                <w:szCs w:val="20"/>
              </w:rPr>
              <w:t>ovitev postopka javnega razpisa.</w:t>
            </w:r>
          </w:p>
          <w:p w14:paraId="6F656F1E"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Zamuda pri oddaji del.</w:t>
            </w:r>
          </w:p>
        </w:tc>
        <w:tc>
          <w:tcPr>
            <w:tcW w:w="1600" w:type="pct"/>
            <w:vAlign w:val="center"/>
          </w:tcPr>
          <w:p w14:paraId="2164B5C8" w14:textId="55F2B863"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Posebna pozornost namenjena postopku oddaje del (jasna opredelitev obsega del, itd.)</w:t>
            </w:r>
            <w:r w:rsidR="00C4520E" w:rsidRPr="000020F0">
              <w:rPr>
                <w:rFonts w:asciiTheme="majorHAnsi" w:eastAsia="Arial Unicode MS" w:hAnsiTheme="majorHAnsi" w:cstheme="majorHAnsi"/>
                <w:bCs/>
                <w:kern w:val="28"/>
                <w:sz w:val="20"/>
                <w:szCs w:val="20"/>
              </w:rPr>
              <w:t>.</w:t>
            </w:r>
          </w:p>
        </w:tc>
      </w:tr>
      <w:tr w:rsidR="00F002C9" w:rsidRPr="000020F0" w14:paraId="435F5FB4" w14:textId="77777777" w:rsidTr="001D40B3">
        <w:trPr>
          <w:trHeight w:val="1688"/>
        </w:trPr>
        <w:tc>
          <w:tcPr>
            <w:tcW w:w="811" w:type="pct"/>
            <w:vAlign w:val="center"/>
          </w:tcPr>
          <w:p w14:paraId="6C8B3A7C"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zaradi izbora nestrokovnih in neizkušenih zunanjih izvajalcev.</w:t>
            </w:r>
          </w:p>
        </w:tc>
        <w:tc>
          <w:tcPr>
            <w:tcW w:w="482" w:type="pct"/>
            <w:vAlign w:val="center"/>
          </w:tcPr>
          <w:p w14:paraId="344FA35B"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3</w:t>
            </w:r>
          </w:p>
        </w:tc>
        <w:tc>
          <w:tcPr>
            <w:tcW w:w="549" w:type="pct"/>
            <w:vAlign w:val="center"/>
          </w:tcPr>
          <w:p w14:paraId="6E3A9AB8"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5</w:t>
            </w:r>
          </w:p>
          <w:p w14:paraId="594E7BAE"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3</w:t>
            </w:r>
          </w:p>
          <w:p w14:paraId="32EB9F59"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5</w:t>
            </w:r>
          </w:p>
        </w:tc>
        <w:tc>
          <w:tcPr>
            <w:tcW w:w="1558" w:type="pct"/>
            <w:vAlign w:val="center"/>
          </w:tcPr>
          <w:p w14:paraId="144CEAB5" w14:textId="3560AACC"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Podaljševanje rokov izvedbe in potreba po zagotovitvi dodatnih denarni</w:t>
            </w:r>
            <w:r w:rsidR="00C4520E" w:rsidRPr="000020F0">
              <w:rPr>
                <w:rFonts w:asciiTheme="majorHAnsi" w:eastAsia="Arial Unicode MS" w:hAnsiTheme="majorHAnsi" w:cstheme="majorHAnsi"/>
                <w:bCs/>
                <w:kern w:val="28"/>
                <w:sz w:val="20"/>
                <w:szCs w:val="20"/>
              </w:rPr>
              <w:t>h sredstev (rebalans proračuna).</w:t>
            </w:r>
          </w:p>
          <w:p w14:paraId="65D4DF45" w14:textId="30E9F85F"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Zamude pri pr</w:t>
            </w:r>
            <w:r w:rsidR="00C4520E" w:rsidRPr="000020F0">
              <w:rPr>
                <w:rFonts w:asciiTheme="majorHAnsi" w:eastAsia="Arial Unicode MS" w:hAnsiTheme="majorHAnsi" w:cstheme="majorHAnsi"/>
                <w:bCs/>
                <w:kern w:val="28"/>
                <w:sz w:val="20"/>
                <w:szCs w:val="20"/>
              </w:rPr>
              <w:t>idobitvi ustrezne dokumentacije.</w:t>
            </w:r>
          </w:p>
          <w:p w14:paraId="328638C7" w14:textId="41BD2BA3"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Zaplet</w:t>
            </w:r>
            <w:r w:rsidR="00C4520E" w:rsidRPr="000020F0">
              <w:rPr>
                <w:rFonts w:asciiTheme="majorHAnsi" w:eastAsia="Arial Unicode MS" w:hAnsiTheme="majorHAnsi" w:cstheme="majorHAnsi"/>
                <w:bCs/>
                <w:kern w:val="28"/>
                <w:sz w:val="20"/>
                <w:szCs w:val="20"/>
              </w:rPr>
              <w:t>i pri potrjevanju dokumentacije.</w:t>
            </w:r>
          </w:p>
          <w:p w14:paraId="623CF48C"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Spreminjanje in dopolnjevanje dokumentacije.</w:t>
            </w:r>
          </w:p>
        </w:tc>
        <w:tc>
          <w:tcPr>
            <w:tcW w:w="1600" w:type="pct"/>
            <w:vAlign w:val="center"/>
          </w:tcPr>
          <w:p w14:paraId="577E78EC" w14:textId="2790BC83"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Priprava kvalitetne razpisne dokumentacije</w:t>
            </w:r>
            <w:r w:rsidR="00C4520E" w:rsidRPr="000020F0">
              <w:rPr>
                <w:rFonts w:asciiTheme="majorHAnsi" w:eastAsia="Arial Unicode MS" w:hAnsiTheme="majorHAnsi" w:cstheme="majorHAnsi"/>
                <w:bCs/>
                <w:kern w:val="28"/>
                <w:sz w:val="20"/>
                <w:szCs w:val="20"/>
              </w:rPr>
              <w:t xml:space="preserve"> v skladu z veljavno zakonodajo.</w:t>
            </w:r>
          </w:p>
          <w:p w14:paraId="29F1DC50" w14:textId="588E7EA4"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Jasno definiranje pogojev, ki jih mora ponudnik – izvajalec izpolniti predvsem glede referenc, kadrovske zasedbe, ter določitev ustrezni</w:t>
            </w:r>
            <w:r w:rsidR="00C4520E" w:rsidRPr="000020F0">
              <w:rPr>
                <w:rFonts w:asciiTheme="majorHAnsi" w:eastAsia="Arial Unicode MS" w:hAnsiTheme="majorHAnsi" w:cstheme="majorHAnsi"/>
                <w:bCs/>
                <w:kern w:val="28"/>
                <w:sz w:val="20"/>
                <w:szCs w:val="20"/>
              </w:rPr>
              <w:t>h meril za izbor ponudnika.</w:t>
            </w:r>
          </w:p>
          <w:p w14:paraId="3E9DB617"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Zagotavljanje stalnega nadzora nad delom izvajalcev za pravočasno ukrepanje.</w:t>
            </w:r>
          </w:p>
        </w:tc>
      </w:tr>
      <w:tr w:rsidR="00F002C9" w:rsidRPr="000020F0" w14:paraId="6B817073" w14:textId="77777777" w:rsidTr="001D40B3">
        <w:trPr>
          <w:trHeight w:val="1688"/>
        </w:trPr>
        <w:tc>
          <w:tcPr>
            <w:tcW w:w="811" w:type="pct"/>
            <w:vAlign w:val="center"/>
          </w:tcPr>
          <w:p w14:paraId="3CE763F1"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Tveganje zaradi </w:t>
            </w:r>
            <w:proofErr w:type="spellStart"/>
            <w:r w:rsidRPr="000020F0">
              <w:rPr>
                <w:rFonts w:asciiTheme="majorHAnsi" w:eastAsia="Arial Unicode MS" w:hAnsiTheme="majorHAnsi" w:cstheme="majorHAnsi"/>
                <w:bCs/>
                <w:kern w:val="28"/>
                <w:sz w:val="20"/>
                <w:szCs w:val="20"/>
              </w:rPr>
              <w:t>nerazpolaganja</w:t>
            </w:r>
            <w:proofErr w:type="spellEnd"/>
            <w:r w:rsidRPr="000020F0">
              <w:rPr>
                <w:rFonts w:asciiTheme="majorHAnsi" w:eastAsia="Arial Unicode MS" w:hAnsiTheme="majorHAnsi" w:cstheme="majorHAnsi"/>
                <w:bCs/>
                <w:kern w:val="28"/>
                <w:sz w:val="20"/>
                <w:szCs w:val="20"/>
              </w:rPr>
              <w:t xml:space="preserve"> z zadostnimi finančnimi sredstvi (glede na pridobljene ponudbe).</w:t>
            </w:r>
          </w:p>
        </w:tc>
        <w:tc>
          <w:tcPr>
            <w:tcW w:w="482" w:type="pct"/>
            <w:vAlign w:val="center"/>
          </w:tcPr>
          <w:p w14:paraId="13F1EF71"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3</w:t>
            </w:r>
          </w:p>
        </w:tc>
        <w:tc>
          <w:tcPr>
            <w:tcW w:w="549" w:type="pct"/>
            <w:vAlign w:val="center"/>
          </w:tcPr>
          <w:p w14:paraId="437B8231"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5</w:t>
            </w:r>
          </w:p>
          <w:p w14:paraId="743E57DB"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Stroški: 5</w:t>
            </w:r>
          </w:p>
          <w:p w14:paraId="16BD6665"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Kakovost: 3</w:t>
            </w:r>
          </w:p>
        </w:tc>
        <w:tc>
          <w:tcPr>
            <w:tcW w:w="1558" w:type="pct"/>
            <w:vAlign w:val="center"/>
          </w:tcPr>
          <w:p w14:paraId="7B0DF1A7" w14:textId="5D745C05"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Projekt ne bo </w:t>
            </w:r>
            <w:r w:rsidR="00C4520E" w:rsidRPr="000020F0">
              <w:rPr>
                <w:rFonts w:asciiTheme="majorHAnsi" w:eastAsia="Arial Unicode MS" w:hAnsiTheme="majorHAnsi" w:cstheme="majorHAnsi"/>
                <w:bCs/>
                <w:kern w:val="28"/>
                <w:sz w:val="20"/>
                <w:szCs w:val="20"/>
              </w:rPr>
              <w:t>zaključen v predvidenem roku.</w:t>
            </w:r>
          </w:p>
          <w:p w14:paraId="60FC8003" w14:textId="71802D9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Potreba po zagotovitvi dodatnih denarni</w:t>
            </w:r>
            <w:r w:rsidR="00C4520E" w:rsidRPr="000020F0">
              <w:rPr>
                <w:rFonts w:asciiTheme="majorHAnsi" w:eastAsia="Arial Unicode MS" w:hAnsiTheme="majorHAnsi" w:cstheme="majorHAnsi"/>
                <w:bCs/>
                <w:kern w:val="28"/>
                <w:sz w:val="20"/>
                <w:szCs w:val="20"/>
              </w:rPr>
              <w:t>h sredstev (rebalans proračuna).</w:t>
            </w:r>
          </w:p>
          <w:p w14:paraId="51C7E61B"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Pri prekoračitvi predvidenega zneska za izvedbo investicije za več kot 20%, potreba po </w:t>
            </w:r>
            <w:proofErr w:type="spellStart"/>
            <w:r w:rsidRPr="000020F0">
              <w:rPr>
                <w:rFonts w:asciiTheme="majorHAnsi" w:eastAsia="Arial Unicode MS" w:hAnsiTheme="majorHAnsi" w:cstheme="majorHAnsi"/>
                <w:bCs/>
                <w:kern w:val="28"/>
                <w:sz w:val="20"/>
                <w:szCs w:val="20"/>
              </w:rPr>
              <w:t>novelaciji</w:t>
            </w:r>
            <w:proofErr w:type="spellEnd"/>
            <w:r w:rsidRPr="000020F0">
              <w:rPr>
                <w:rFonts w:asciiTheme="majorHAnsi" w:eastAsia="Arial Unicode MS" w:hAnsiTheme="majorHAnsi" w:cstheme="majorHAnsi"/>
                <w:bCs/>
                <w:kern w:val="28"/>
                <w:sz w:val="20"/>
                <w:szCs w:val="20"/>
              </w:rPr>
              <w:t xml:space="preserve"> investicijske dokumentacije. </w:t>
            </w:r>
          </w:p>
        </w:tc>
        <w:tc>
          <w:tcPr>
            <w:tcW w:w="1600" w:type="pct"/>
            <w:vAlign w:val="center"/>
          </w:tcPr>
          <w:p w14:paraId="7CD36CAD" w14:textId="7CD44932"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Priprava kvalitetne projektne dokumentacije</w:t>
            </w:r>
            <w:r w:rsidR="00C4520E" w:rsidRPr="000020F0">
              <w:rPr>
                <w:rFonts w:asciiTheme="majorHAnsi" w:eastAsia="Arial Unicode MS" w:hAnsiTheme="majorHAnsi" w:cstheme="majorHAnsi"/>
                <w:bCs/>
                <w:kern w:val="28"/>
                <w:sz w:val="20"/>
                <w:szCs w:val="20"/>
              </w:rPr>
              <w:t xml:space="preserve"> v skladu z veljavno zakonodajo.</w:t>
            </w:r>
          </w:p>
          <w:p w14:paraId="55FD2501"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Priprava natančnih popisov del, ki so sestavni del razpisne dokumentacije, za čim natančnejšo oceno predvidenih stroškov. </w:t>
            </w:r>
          </w:p>
        </w:tc>
      </w:tr>
      <w:tr w:rsidR="00F002C9" w:rsidRPr="000020F0" w14:paraId="7A15AFCB" w14:textId="77777777" w:rsidTr="001D40B3">
        <w:tc>
          <w:tcPr>
            <w:tcW w:w="5000" w:type="pct"/>
            <w:gridSpan w:val="5"/>
            <w:shd w:val="clear" w:color="auto" w:fill="E5B8B7"/>
          </w:tcPr>
          <w:p w14:paraId="5FC3EADB" w14:textId="77777777" w:rsidR="00F002C9" w:rsidRPr="000020F0" w:rsidRDefault="00F002C9" w:rsidP="00BD1D20">
            <w:pPr>
              <w:numPr>
                <w:ilvl w:val="0"/>
                <w:numId w:val="18"/>
              </w:numPr>
              <w:overflowPunct w:val="0"/>
              <w:autoSpaceDE w:val="0"/>
              <w:autoSpaceDN w:val="0"/>
              <w:adjustRightInd w:val="0"/>
              <w:spacing w:before="40" w:line="276" w:lineRule="auto"/>
              <w:ind w:left="284" w:hanging="284"/>
              <w:contextualSpacing/>
              <w:textAlignment w:val="baseline"/>
              <w:rPr>
                <w:rFonts w:asciiTheme="majorHAnsi" w:eastAsia="Arial Unicode MS" w:hAnsiTheme="majorHAnsi" w:cstheme="majorHAnsi"/>
                <w:b/>
                <w:sz w:val="20"/>
                <w:szCs w:val="20"/>
                <w:lang w:eastAsia="zh-TW"/>
              </w:rPr>
            </w:pPr>
            <w:r w:rsidRPr="000020F0">
              <w:rPr>
                <w:rFonts w:asciiTheme="majorHAnsi" w:eastAsia="Arial Unicode MS" w:hAnsiTheme="majorHAnsi" w:cstheme="majorHAnsi"/>
                <w:b/>
                <w:sz w:val="20"/>
                <w:szCs w:val="20"/>
                <w:lang w:eastAsia="zh-TW"/>
              </w:rPr>
              <w:t>TVEGANJE OBRATOVANJA PROJEKTA</w:t>
            </w:r>
          </w:p>
        </w:tc>
      </w:tr>
      <w:tr w:rsidR="00F002C9" w:rsidRPr="000020F0" w14:paraId="7C4643C9" w14:textId="77777777" w:rsidTr="001D40B3">
        <w:tc>
          <w:tcPr>
            <w:tcW w:w="811" w:type="pct"/>
            <w:vAlign w:val="center"/>
          </w:tcPr>
          <w:p w14:paraId="2D05EF97" w14:textId="77777777" w:rsidR="00F002C9" w:rsidRPr="000020F0" w:rsidRDefault="00F002C9" w:rsidP="00BD1D20">
            <w:pPr>
              <w:overflowPunct w:val="0"/>
              <w:autoSpaceDE w:val="0"/>
              <w:autoSpaceDN w:val="0"/>
              <w:adjustRightInd w:val="0"/>
              <w:spacing w:line="276" w:lineRule="auto"/>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Tveganje zaradi nedoseganja okolje-varstvenih standardov.</w:t>
            </w:r>
          </w:p>
        </w:tc>
        <w:tc>
          <w:tcPr>
            <w:tcW w:w="482" w:type="pct"/>
            <w:vAlign w:val="center"/>
          </w:tcPr>
          <w:p w14:paraId="57C53C9C" w14:textId="77777777" w:rsidR="00F002C9" w:rsidRPr="000020F0" w:rsidRDefault="00F002C9" w:rsidP="00BD1D20">
            <w:pPr>
              <w:overflowPunct w:val="0"/>
              <w:autoSpaceDE w:val="0"/>
              <w:autoSpaceDN w:val="0"/>
              <w:adjustRightInd w:val="0"/>
              <w:spacing w:line="276" w:lineRule="auto"/>
              <w:jc w:val="center"/>
              <w:textAlignment w:val="baseline"/>
              <w:rPr>
                <w:rFonts w:asciiTheme="majorHAnsi" w:eastAsia="Arial Unicode MS" w:hAnsiTheme="majorHAnsi" w:cstheme="majorHAnsi"/>
                <w:b/>
                <w:bCs/>
                <w:kern w:val="28"/>
                <w:sz w:val="20"/>
                <w:szCs w:val="20"/>
              </w:rPr>
            </w:pPr>
            <w:r w:rsidRPr="000020F0">
              <w:rPr>
                <w:rFonts w:asciiTheme="majorHAnsi" w:eastAsia="Arial Unicode MS" w:hAnsiTheme="majorHAnsi" w:cstheme="majorHAnsi"/>
                <w:b/>
                <w:bCs/>
                <w:kern w:val="28"/>
                <w:sz w:val="20"/>
                <w:szCs w:val="20"/>
              </w:rPr>
              <w:t>1</w:t>
            </w:r>
          </w:p>
        </w:tc>
        <w:tc>
          <w:tcPr>
            <w:tcW w:w="549" w:type="pct"/>
            <w:vAlign w:val="center"/>
          </w:tcPr>
          <w:p w14:paraId="44B314D2"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Čas: 3</w:t>
            </w:r>
          </w:p>
          <w:p w14:paraId="2532A890"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Stroški: 1 </w:t>
            </w:r>
          </w:p>
          <w:p w14:paraId="237961D9"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 xml:space="preserve">Kakovost: 3 </w:t>
            </w:r>
          </w:p>
        </w:tc>
        <w:tc>
          <w:tcPr>
            <w:tcW w:w="1558" w:type="pct"/>
          </w:tcPr>
          <w:p w14:paraId="02AB8AE4" w14:textId="3D58667D" w:rsidR="00F002C9" w:rsidRPr="000020F0" w:rsidRDefault="00C4520E"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Poslabšanje kakovosti okolja.</w:t>
            </w:r>
          </w:p>
          <w:p w14:paraId="09FC0421" w14:textId="7E7A1BE0" w:rsidR="00F002C9" w:rsidRPr="000020F0" w:rsidRDefault="00C4520E"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Povečanje obremenitev okolja.</w:t>
            </w:r>
          </w:p>
          <w:p w14:paraId="24371B6B" w14:textId="77777777" w:rsidR="00F002C9" w:rsidRPr="000020F0" w:rsidRDefault="00F002C9" w:rsidP="00BD1D20">
            <w:pPr>
              <w:numPr>
                <w:ilvl w:val="0"/>
                <w:numId w:val="15"/>
              </w:numPr>
              <w:tabs>
                <w:tab w:val="num" w:pos="252"/>
              </w:tabs>
              <w:overflowPunct w:val="0"/>
              <w:autoSpaceDE w:val="0"/>
              <w:autoSpaceDN w:val="0"/>
              <w:adjustRightInd w:val="0"/>
              <w:spacing w:line="276" w:lineRule="auto"/>
              <w:ind w:left="252" w:hanging="180"/>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Povečanje stroškov izvedbe projekta.</w:t>
            </w:r>
          </w:p>
        </w:tc>
        <w:tc>
          <w:tcPr>
            <w:tcW w:w="1600" w:type="pct"/>
          </w:tcPr>
          <w:p w14:paraId="71238F88" w14:textId="77777777" w:rsidR="00F002C9" w:rsidRPr="000020F0" w:rsidRDefault="00F002C9" w:rsidP="00BD1D20">
            <w:pPr>
              <w:numPr>
                <w:ilvl w:val="0"/>
                <w:numId w:val="17"/>
              </w:numPr>
              <w:tabs>
                <w:tab w:val="num" w:pos="252"/>
              </w:tabs>
              <w:overflowPunct w:val="0"/>
              <w:autoSpaceDE w:val="0"/>
              <w:autoSpaceDN w:val="0"/>
              <w:adjustRightInd w:val="0"/>
              <w:spacing w:line="276" w:lineRule="auto"/>
              <w:ind w:left="252" w:hanging="252"/>
              <w:textAlignment w:val="baseline"/>
              <w:rPr>
                <w:rFonts w:asciiTheme="majorHAnsi" w:eastAsia="Arial Unicode MS" w:hAnsiTheme="majorHAnsi" w:cstheme="majorHAnsi"/>
                <w:bCs/>
                <w:kern w:val="28"/>
                <w:sz w:val="20"/>
                <w:szCs w:val="20"/>
              </w:rPr>
            </w:pPr>
            <w:r w:rsidRPr="000020F0">
              <w:rPr>
                <w:rFonts w:asciiTheme="majorHAnsi" w:eastAsia="Arial Unicode MS" w:hAnsiTheme="majorHAnsi" w:cstheme="majorHAnsi"/>
                <w:bCs/>
                <w:kern w:val="28"/>
                <w:sz w:val="20"/>
                <w:szCs w:val="20"/>
              </w:rPr>
              <w:t>Upoštevanje standardov kakovosti okolja v vseh fazah izvajanja investicije kakor tudi v fazi obratovanja.</w:t>
            </w:r>
          </w:p>
        </w:tc>
      </w:tr>
    </w:tbl>
    <w:p w14:paraId="2EA3637E" w14:textId="77777777" w:rsidR="008B4BCE" w:rsidRPr="000020F0" w:rsidRDefault="008B4BCE" w:rsidP="00BD1D20">
      <w:pPr>
        <w:spacing w:line="276" w:lineRule="auto"/>
        <w:rPr>
          <w:rFonts w:asciiTheme="majorHAnsi" w:hAnsiTheme="majorHAnsi" w:cstheme="majorHAnsi"/>
          <w:highlight w:val="yellow"/>
        </w:rPr>
        <w:sectPr w:rsidR="008B4BCE" w:rsidRPr="000020F0" w:rsidSect="00480057">
          <w:headerReference w:type="default" r:id="rId110"/>
          <w:headerReference w:type="first" r:id="rId111"/>
          <w:pgSz w:w="16838" w:h="11906" w:orient="landscape"/>
          <w:pgMar w:top="1134" w:right="1134" w:bottom="1417" w:left="1417" w:header="708" w:footer="708" w:gutter="0"/>
          <w:cols w:space="708"/>
          <w:titlePg/>
          <w:docGrid w:linePitch="360"/>
        </w:sectPr>
      </w:pPr>
    </w:p>
    <w:p w14:paraId="4D2C9AC9" w14:textId="77777777" w:rsidR="000F39AE" w:rsidRPr="000020F0" w:rsidRDefault="000F39AE" w:rsidP="00BD1D20">
      <w:pPr>
        <w:pStyle w:val="Naslov2"/>
        <w:numPr>
          <w:ilvl w:val="1"/>
          <w:numId w:val="1"/>
        </w:numPr>
        <w:spacing w:before="240" w:after="240"/>
        <w:ind w:left="578" w:hanging="578"/>
        <w:rPr>
          <w:rFonts w:asciiTheme="majorHAnsi" w:eastAsiaTheme="majorEastAsia" w:hAnsiTheme="majorHAnsi" w:cstheme="majorHAnsi"/>
          <w:color w:val="244061" w:themeColor="accent1" w:themeShade="80"/>
        </w:rPr>
      </w:pPr>
      <w:bookmarkStart w:id="428" w:name="_Toc230882279"/>
      <w:r w:rsidRPr="000020F0">
        <w:rPr>
          <w:rFonts w:asciiTheme="majorHAnsi" w:eastAsiaTheme="majorEastAsia" w:hAnsiTheme="majorHAnsi" w:cstheme="majorHAnsi"/>
          <w:color w:val="244061" w:themeColor="accent1" w:themeShade="80"/>
        </w:rPr>
        <w:lastRenderedPageBreak/>
        <w:t>Analiza občutljivosti</w:t>
      </w:r>
      <w:bookmarkEnd w:id="428"/>
    </w:p>
    <w:p w14:paraId="433AEBD5" w14:textId="77777777" w:rsidR="00781242" w:rsidRPr="000020F0" w:rsidRDefault="00781242" w:rsidP="00BD1D20">
      <w:pPr>
        <w:spacing w:after="120" w:line="276" w:lineRule="auto"/>
        <w:rPr>
          <w:rFonts w:asciiTheme="majorHAnsi" w:hAnsiTheme="majorHAnsi" w:cstheme="majorHAnsi"/>
          <w:sz w:val="22"/>
          <w:szCs w:val="22"/>
        </w:rPr>
      </w:pPr>
      <w:r w:rsidRPr="000020F0">
        <w:rPr>
          <w:rFonts w:asciiTheme="majorHAnsi" w:hAnsiTheme="majorHAnsi" w:cstheme="majorHAnsi"/>
          <w:sz w:val="22"/>
          <w:szCs w:val="22"/>
        </w:rPr>
        <w:t>Analiza občutljivosti je narejena v treh korakih:</w:t>
      </w:r>
    </w:p>
    <w:p w14:paraId="467629EA" w14:textId="40EC3A4C" w:rsidR="00781242" w:rsidRPr="000020F0" w:rsidRDefault="00781242" w:rsidP="00BD1D20">
      <w:pPr>
        <w:tabs>
          <w:tab w:val="left" w:pos="567"/>
        </w:tabs>
        <w:spacing w:after="120" w:line="276" w:lineRule="auto"/>
        <w:ind w:right="400"/>
        <w:jc w:val="both"/>
        <w:rPr>
          <w:rFonts w:asciiTheme="majorHAnsi" w:eastAsia="Symbol" w:hAnsiTheme="majorHAnsi" w:cstheme="majorHAnsi"/>
          <w:sz w:val="22"/>
          <w:szCs w:val="22"/>
        </w:rPr>
      </w:pPr>
      <w:r w:rsidRPr="000020F0">
        <w:rPr>
          <w:rFonts w:asciiTheme="majorHAnsi" w:hAnsiTheme="majorHAnsi" w:cstheme="majorHAnsi"/>
          <w:b/>
          <w:sz w:val="22"/>
          <w:szCs w:val="22"/>
          <w:u w:val="single"/>
        </w:rPr>
        <w:t xml:space="preserve">Opredelitev spremenljivk, ki se uporabijo pri izračunu </w:t>
      </w:r>
      <w:proofErr w:type="spellStart"/>
      <w:r w:rsidRPr="000020F0">
        <w:rPr>
          <w:rFonts w:asciiTheme="majorHAnsi" w:hAnsiTheme="majorHAnsi" w:cstheme="majorHAnsi"/>
          <w:b/>
          <w:sz w:val="22"/>
          <w:szCs w:val="22"/>
          <w:u w:val="single"/>
        </w:rPr>
        <w:t>outputov</w:t>
      </w:r>
      <w:proofErr w:type="spellEnd"/>
      <w:r w:rsidRPr="000020F0">
        <w:rPr>
          <w:rFonts w:asciiTheme="majorHAnsi" w:hAnsiTheme="majorHAnsi" w:cstheme="majorHAnsi"/>
          <w:b/>
          <w:sz w:val="22"/>
          <w:szCs w:val="22"/>
          <w:u w:val="single"/>
        </w:rPr>
        <w:t xml:space="preserve"> in </w:t>
      </w:r>
      <w:proofErr w:type="spellStart"/>
      <w:r w:rsidRPr="000020F0">
        <w:rPr>
          <w:rFonts w:asciiTheme="majorHAnsi" w:hAnsiTheme="majorHAnsi" w:cstheme="majorHAnsi"/>
          <w:b/>
          <w:sz w:val="22"/>
          <w:szCs w:val="22"/>
          <w:u w:val="single"/>
        </w:rPr>
        <w:t>inputov</w:t>
      </w:r>
      <w:proofErr w:type="spellEnd"/>
      <w:r w:rsidRPr="000020F0">
        <w:rPr>
          <w:rFonts w:asciiTheme="majorHAnsi" w:hAnsiTheme="majorHAnsi" w:cstheme="majorHAnsi"/>
          <w:b/>
          <w:sz w:val="22"/>
          <w:szCs w:val="22"/>
          <w:u w:val="single"/>
        </w:rPr>
        <w:t xml:space="preserve"> v finančni in ekonomski analizi</w:t>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 xml:space="preserve">Izračun se nanaša na spremenljivke oz. faktorje, </w:t>
      </w:r>
      <w:r w:rsidR="0056275C" w:rsidRPr="000020F0">
        <w:rPr>
          <w:rFonts w:asciiTheme="majorHAnsi" w:hAnsiTheme="majorHAnsi" w:cstheme="majorHAnsi"/>
          <w:sz w:val="22"/>
          <w:szCs w:val="22"/>
        </w:rPr>
        <w:t>ki jih</w:t>
      </w:r>
      <w:r w:rsidRPr="000020F0">
        <w:rPr>
          <w:rFonts w:asciiTheme="majorHAnsi" w:hAnsiTheme="majorHAnsi" w:cstheme="majorHAnsi"/>
          <w:sz w:val="22"/>
          <w:szCs w:val="22"/>
        </w:rPr>
        <w:t xml:space="preserve"> spreminjamo na</w:t>
      </w:r>
      <w:r w:rsidRPr="000020F0">
        <w:rPr>
          <w:rFonts w:asciiTheme="majorHAnsi" w:hAnsiTheme="majorHAnsi" w:cstheme="majorHAnsi"/>
          <w:b/>
          <w:sz w:val="22"/>
          <w:szCs w:val="22"/>
        </w:rPr>
        <w:t xml:space="preserve"> </w:t>
      </w:r>
      <w:r w:rsidRPr="000020F0">
        <w:rPr>
          <w:rFonts w:asciiTheme="majorHAnsi" w:hAnsiTheme="majorHAnsi" w:cstheme="majorHAnsi"/>
          <w:sz w:val="22"/>
          <w:szCs w:val="22"/>
        </w:rPr>
        <w:t>intervalu +/- 1%. Za projekt so bile preučene naslednje spremenljivke:</w:t>
      </w:r>
    </w:p>
    <w:p w14:paraId="3E32C030" w14:textId="77777777" w:rsidR="00781242" w:rsidRPr="000020F0" w:rsidRDefault="00781242" w:rsidP="00BD1D20">
      <w:pPr>
        <w:numPr>
          <w:ilvl w:val="2"/>
          <w:numId w:val="104"/>
        </w:numPr>
        <w:tabs>
          <w:tab w:val="left" w:pos="1134"/>
        </w:tabs>
        <w:spacing w:after="120" w:line="276" w:lineRule="auto"/>
        <w:ind w:left="1134"/>
        <w:jc w:val="both"/>
        <w:rPr>
          <w:rFonts w:asciiTheme="majorHAnsi" w:eastAsia="Symbol" w:hAnsiTheme="majorHAnsi" w:cstheme="majorHAnsi"/>
          <w:sz w:val="22"/>
          <w:szCs w:val="22"/>
        </w:rPr>
      </w:pPr>
      <w:r w:rsidRPr="000020F0">
        <w:rPr>
          <w:rFonts w:asciiTheme="majorHAnsi" w:hAnsiTheme="majorHAnsi" w:cstheme="majorHAnsi"/>
          <w:sz w:val="22"/>
          <w:szCs w:val="22"/>
        </w:rPr>
        <w:t>sprememba investicijske vrednosti,</w:t>
      </w:r>
    </w:p>
    <w:p w14:paraId="3C03C489" w14:textId="77777777" w:rsidR="00781242" w:rsidRPr="000020F0" w:rsidRDefault="00781242" w:rsidP="00BD1D20">
      <w:pPr>
        <w:numPr>
          <w:ilvl w:val="2"/>
          <w:numId w:val="104"/>
        </w:numPr>
        <w:tabs>
          <w:tab w:val="left" w:pos="1134"/>
        </w:tabs>
        <w:spacing w:after="120" w:line="276" w:lineRule="auto"/>
        <w:ind w:left="1134"/>
        <w:jc w:val="both"/>
        <w:rPr>
          <w:rFonts w:asciiTheme="majorHAnsi" w:eastAsia="Symbol" w:hAnsiTheme="majorHAnsi" w:cstheme="majorHAnsi"/>
          <w:sz w:val="22"/>
          <w:szCs w:val="22"/>
        </w:rPr>
      </w:pPr>
      <w:r w:rsidRPr="000020F0">
        <w:rPr>
          <w:rFonts w:asciiTheme="majorHAnsi" w:hAnsiTheme="majorHAnsi" w:cstheme="majorHAnsi"/>
          <w:sz w:val="22"/>
          <w:szCs w:val="22"/>
        </w:rPr>
        <w:t>sprememba obratovalnih stroškov,</w:t>
      </w:r>
    </w:p>
    <w:p w14:paraId="7797801A" w14:textId="77777777" w:rsidR="00781242" w:rsidRPr="000020F0" w:rsidRDefault="00781242" w:rsidP="00BD1D20">
      <w:pPr>
        <w:numPr>
          <w:ilvl w:val="2"/>
          <w:numId w:val="104"/>
        </w:numPr>
        <w:tabs>
          <w:tab w:val="left" w:pos="1134"/>
        </w:tabs>
        <w:spacing w:after="120" w:line="276" w:lineRule="auto"/>
        <w:ind w:left="1134"/>
        <w:jc w:val="both"/>
        <w:rPr>
          <w:rFonts w:asciiTheme="majorHAnsi" w:eastAsia="Symbol" w:hAnsiTheme="majorHAnsi" w:cstheme="majorHAnsi"/>
          <w:sz w:val="22"/>
          <w:szCs w:val="22"/>
        </w:rPr>
      </w:pPr>
      <w:r w:rsidRPr="000020F0">
        <w:rPr>
          <w:rFonts w:asciiTheme="majorHAnsi" w:hAnsiTheme="majorHAnsi" w:cstheme="majorHAnsi"/>
          <w:sz w:val="22"/>
          <w:szCs w:val="22"/>
        </w:rPr>
        <w:t>sprememba prihodkov.</w:t>
      </w:r>
    </w:p>
    <w:p w14:paraId="2FC079D0" w14:textId="7581BC6B" w:rsidR="00781242" w:rsidRPr="000020F0" w:rsidRDefault="00781242" w:rsidP="00BD1D20">
      <w:pPr>
        <w:spacing w:after="120" w:line="276" w:lineRule="auto"/>
        <w:rPr>
          <w:rFonts w:asciiTheme="majorHAnsi" w:hAnsiTheme="majorHAnsi" w:cstheme="majorHAnsi"/>
          <w:sz w:val="22"/>
          <w:szCs w:val="22"/>
        </w:rPr>
      </w:pPr>
      <w:r w:rsidRPr="000020F0">
        <w:rPr>
          <w:rFonts w:asciiTheme="majorHAnsi" w:hAnsiTheme="majorHAnsi" w:cstheme="majorHAnsi"/>
          <w:sz w:val="22"/>
          <w:szCs w:val="22"/>
        </w:rPr>
        <w:t>Vpliv teh sprememb je bil analiziran za interval med -1 % in +1 %.</w:t>
      </w:r>
    </w:p>
    <w:p w14:paraId="060DFD54" w14:textId="77777777" w:rsidR="00781242" w:rsidRPr="000020F0" w:rsidRDefault="00781242" w:rsidP="00BD1D20">
      <w:pPr>
        <w:spacing w:after="120" w:line="276" w:lineRule="auto"/>
        <w:rPr>
          <w:rFonts w:asciiTheme="majorHAnsi" w:eastAsia="Arial Unicode MS" w:hAnsiTheme="majorHAnsi" w:cstheme="majorHAnsi"/>
          <w:kern w:val="28"/>
          <w:sz w:val="22"/>
          <w:szCs w:val="22"/>
        </w:rPr>
      </w:pPr>
      <w:r w:rsidRPr="000020F0">
        <w:rPr>
          <w:rFonts w:asciiTheme="majorHAnsi" w:eastAsia="Arial Unicode MS" w:hAnsiTheme="majorHAnsi" w:cstheme="majorHAnsi"/>
          <w:kern w:val="28"/>
          <w:sz w:val="22"/>
          <w:szCs w:val="22"/>
        </w:rPr>
        <w:t>Kritična spremenljivka je tista, katere 1 % sprememba povzroči več kot 5 % spremembo neto sedanje vrednosti oz. ekonomske neto sedanje vrednosti.</w:t>
      </w:r>
    </w:p>
    <w:p w14:paraId="61BC2E0B" w14:textId="77777777" w:rsidR="00781242" w:rsidRPr="000020F0" w:rsidRDefault="00781242" w:rsidP="00BD1D20">
      <w:pPr>
        <w:spacing w:after="120" w:line="276" w:lineRule="auto"/>
        <w:rPr>
          <w:rFonts w:asciiTheme="majorHAnsi" w:eastAsia="Arial Unicode MS" w:hAnsiTheme="majorHAnsi" w:cstheme="majorHAnsi"/>
          <w:kern w:val="28"/>
          <w:sz w:val="22"/>
          <w:szCs w:val="22"/>
        </w:rPr>
      </w:pPr>
      <w:r w:rsidRPr="000020F0">
        <w:rPr>
          <w:rFonts w:asciiTheme="majorHAnsi" w:eastAsia="Arial Unicode MS" w:hAnsiTheme="majorHAnsi" w:cstheme="majorHAnsi"/>
          <w:kern w:val="28"/>
          <w:sz w:val="22"/>
          <w:szCs w:val="22"/>
        </w:rPr>
        <w:t>Kritična spremenljivka je tista, katere 1 % sprememba povzroči spremembo finančne stopnje donosa (IRR) oz. ekonomske stopnje donosa (ERR) za več kot 1 odstotno točko.</w:t>
      </w:r>
    </w:p>
    <w:p w14:paraId="1798CF86" w14:textId="351D42E8" w:rsidR="00781242" w:rsidRPr="000020F0" w:rsidRDefault="00781242" w:rsidP="00BD1D20">
      <w:pPr>
        <w:spacing w:line="276" w:lineRule="auto"/>
        <w:rPr>
          <w:rFonts w:asciiTheme="majorHAnsi" w:hAnsiTheme="majorHAnsi" w:cstheme="majorHAnsi"/>
          <w:sz w:val="22"/>
          <w:szCs w:val="22"/>
        </w:rPr>
      </w:pPr>
      <w:bookmarkStart w:id="429" w:name="_Toc230882314"/>
      <w:bookmarkStart w:id="430" w:name="_Toc474883094"/>
      <w:bookmarkStart w:id="431" w:name="_Toc6450800"/>
      <w:bookmarkStart w:id="432" w:name="_Toc20364765"/>
      <w:r w:rsidRPr="000020F0">
        <w:rPr>
          <w:rFonts w:asciiTheme="majorHAnsi" w:eastAsia="Arial Unicode MS" w:hAnsiTheme="majorHAnsi" w:cstheme="majorHAnsi"/>
          <w:b/>
          <w:bCs/>
          <w:sz w:val="22"/>
          <w:szCs w:val="22"/>
        </w:rPr>
        <w:t xml:space="preserve">Tabela </w:t>
      </w:r>
      <w:r w:rsidRPr="000020F0">
        <w:rPr>
          <w:rFonts w:asciiTheme="majorHAnsi" w:eastAsia="Arial Unicode MS" w:hAnsiTheme="majorHAnsi" w:cstheme="majorHAnsi"/>
          <w:b/>
          <w:bCs/>
          <w:sz w:val="22"/>
          <w:szCs w:val="22"/>
        </w:rPr>
        <w:fldChar w:fldCharType="begin"/>
      </w:r>
      <w:r w:rsidRPr="000020F0">
        <w:rPr>
          <w:rFonts w:asciiTheme="majorHAnsi" w:eastAsia="Arial Unicode MS" w:hAnsiTheme="majorHAnsi" w:cstheme="majorHAnsi"/>
          <w:b/>
          <w:bCs/>
          <w:sz w:val="22"/>
          <w:szCs w:val="22"/>
        </w:rPr>
        <w:instrText xml:space="preserve"> SEQ Tabela \* ARABIC </w:instrText>
      </w:r>
      <w:r w:rsidRPr="000020F0">
        <w:rPr>
          <w:rFonts w:asciiTheme="majorHAnsi" w:eastAsia="Arial Unicode MS" w:hAnsiTheme="majorHAnsi" w:cstheme="majorHAnsi"/>
          <w:b/>
          <w:bCs/>
          <w:sz w:val="22"/>
          <w:szCs w:val="22"/>
        </w:rPr>
        <w:fldChar w:fldCharType="separate"/>
      </w:r>
      <w:r w:rsidR="00BB0C0C">
        <w:rPr>
          <w:rFonts w:asciiTheme="majorHAnsi" w:eastAsia="Arial Unicode MS" w:hAnsiTheme="majorHAnsi" w:cstheme="majorHAnsi"/>
          <w:b/>
          <w:bCs/>
          <w:noProof/>
          <w:sz w:val="22"/>
          <w:szCs w:val="22"/>
        </w:rPr>
        <w:t>34</w:t>
      </w:r>
      <w:r w:rsidRPr="000020F0">
        <w:rPr>
          <w:rFonts w:asciiTheme="majorHAnsi" w:eastAsia="Arial Unicode MS" w:hAnsiTheme="majorHAnsi" w:cstheme="majorHAnsi"/>
          <w:b/>
          <w:bCs/>
          <w:sz w:val="22"/>
          <w:szCs w:val="22"/>
        </w:rPr>
        <w:fldChar w:fldCharType="end"/>
      </w:r>
      <w:r w:rsidRPr="000020F0">
        <w:rPr>
          <w:rFonts w:asciiTheme="majorHAnsi" w:eastAsia="Arial Unicode MS" w:hAnsiTheme="majorHAnsi" w:cstheme="majorHAnsi"/>
          <w:b/>
          <w:bCs/>
          <w:sz w:val="22"/>
          <w:szCs w:val="22"/>
        </w:rPr>
        <w:t xml:space="preserve">: </w:t>
      </w:r>
      <w:r w:rsidRPr="000020F0">
        <w:rPr>
          <w:rFonts w:asciiTheme="majorHAnsi" w:hAnsiTheme="majorHAnsi" w:cstheme="majorHAnsi"/>
          <w:sz w:val="22"/>
          <w:szCs w:val="22"/>
        </w:rPr>
        <w:t>Analiza občutljivosti</w:t>
      </w:r>
      <w:bookmarkEnd w:id="429"/>
      <w:r w:rsidRPr="000020F0">
        <w:rPr>
          <w:rFonts w:asciiTheme="majorHAnsi" w:hAnsiTheme="majorHAnsi" w:cstheme="majorHAnsi"/>
          <w:sz w:val="22"/>
          <w:szCs w:val="22"/>
        </w:rPr>
        <w:t xml:space="preserve"> </w:t>
      </w:r>
      <w:bookmarkEnd w:id="430"/>
      <w:bookmarkEnd w:id="431"/>
      <w:bookmarkEnd w:id="432"/>
    </w:p>
    <w:tbl>
      <w:tblPr>
        <w:tblW w:w="5000" w:type="pct"/>
        <w:tblCellMar>
          <w:left w:w="70" w:type="dxa"/>
          <w:right w:w="70" w:type="dxa"/>
        </w:tblCellMar>
        <w:tblLook w:val="04A0" w:firstRow="1" w:lastRow="0" w:firstColumn="1" w:lastColumn="0" w:noHBand="0" w:noVBand="1"/>
      </w:tblPr>
      <w:tblGrid>
        <w:gridCol w:w="1195"/>
        <w:gridCol w:w="1151"/>
        <w:gridCol w:w="1211"/>
        <w:gridCol w:w="1211"/>
        <w:gridCol w:w="1001"/>
        <w:gridCol w:w="1001"/>
        <w:gridCol w:w="1141"/>
        <w:gridCol w:w="1141"/>
      </w:tblGrid>
      <w:tr w:rsidR="00566643" w:rsidRPr="000020F0" w14:paraId="21B56FA3" w14:textId="77777777" w:rsidTr="00D36238">
        <w:trPr>
          <w:trHeight w:val="300"/>
        </w:trPr>
        <w:tc>
          <w:tcPr>
            <w:tcW w:w="660" w:type="pct"/>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411B5F82"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Kriterij</w:t>
            </w:r>
          </w:p>
        </w:tc>
        <w:tc>
          <w:tcPr>
            <w:tcW w:w="636" w:type="pct"/>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522BE733"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Brez spremembe</w:t>
            </w:r>
          </w:p>
        </w:tc>
        <w:tc>
          <w:tcPr>
            <w:tcW w:w="669" w:type="pct"/>
            <w:tcBorders>
              <w:top w:val="single" w:sz="8" w:space="0" w:color="auto"/>
              <w:left w:val="nil"/>
              <w:bottom w:val="single" w:sz="8" w:space="0" w:color="auto"/>
              <w:right w:val="single" w:sz="8" w:space="0" w:color="auto"/>
            </w:tcBorders>
            <w:shd w:val="clear" w:color="000000" w:fill="B8CCE4"/>
            <w:vAlign w:val="center"/>
            <w:hideMark/>
          </w:tcPr>
          <w:p w14:paraId="79517BB8"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c>
          <w:tcPr>
            <w:tcW w:w="669" w:type="pct"/>
            <w:tcBorders>
              <w:top w:val="single" w:sz="8" w:space="0" w:color="auto"/>
              <w:left w:val="nil"/>
              <w:bottom w:val="single" w:sz="8" w:space="0" w:color="auto"/>
              <w:right w:val="single" w:sz="8" w:space="0" w:color="auto"/>
            </w:tcBorders>
            <w:shd w:val="clear" w:color="000000" w:fill="B8CCE4"/>
            <w:vAlign w:val="center"/>
            <w:hideMark/>
          </w:tcPr>
          <w:p w14:paraId="46044D23"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c>
          <w:tcPr>
            <w:tcW w:w="553" w:type="pct"/>
            <w:tcBorders>
              <w:top w:val="single" w:sz="8" w:space="0" w:color="auto"/>
              <w:left w:val="nil"/>
              <w:bottom w:val="single" w:sz="8" w:space="0" w:color="auto"/>
              <w:right w:val="single" w:sz="8" w:space="0" w:color="auto"/>
            </w:tcBorders>
            <w:shd w:val="clear" w:color="000000" w:fill="B8CCE4"/>
            <w:vAlign w:val="center"/>
            <w:hideMark/>
          </w:tcPr>
          <w:p w14:paraId="2E1004F8"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c>
          <w:tcPr>
            <w:tcW w:w="553" w:type="pct"/>
            <w:tcBorders>
              <w:top w:val="single" w:sz="8" w:space="0" w:color="auto"/>
              <w:left w:val="nil"/>
              <w:bottom w:val="single" w:sz="8" w:space="0" w:color="auto"/>
              <w:right w:val="single" w:sz="8" w:space="0" w:color="auto"/>
            </w:tcBorders>
            <w:shd w:val="clear" w:color="000000" w:fill="B8CCE4"/>
            <w:vAlign w:val="center"/>
            <w:hideMark/>
          </w:tcPr>
          <w:p w14:paraId="379B5BFC"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c>
          <w:tcPr>
            <w:tcW w:w="630" w:type="pct"/>
            <w:tcBorders>
              <w:top w:val="single" w:sz="8" w:space="0" w:color="auto"/>
              <w:left w:val="nil"/>
              <w:bottom w:val="single" w:sz="8" w:space="0" w:color="auto"/>
              <w:right w:val="single" w:sz="8" w:space="0" w:color="auto"/>
            </w:tcBorders>
            <w:shd w:val="clear" w:color="000000" w:fill="B8CCE4"/>
            <w:vAlign w:val="center"/>
            <w:hideMark/>
          </w:tcPr>
          <w:p w14:paraId="5E24ADBC"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c>
          <w:tcPr>
            <w:tcW w:w="630" w:type="pct"/>
            <w:tcBorders>
              <w:top w:val="single" w:sz="8" w:space="0" w:color="auto"/>
              <w:left w:val="nil"/>
              <w:bottom w:val="single" w:sz="8" w:space="0" w:color="auto"/>
              <w:right w:val="single" w:sz="8" w:space="0" w:color="auto"/>
            </w:tcBorders>
            <w:shd w:val="clear" w:color="000000" w:fill="B8CCE4"/>
            <w:vAlign w:val="center"/>
            <w:hideMark/>
          </w:tcPr>
          <w:p w14:paraId="4029E14F"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-1%</w:t>
            </w:r>
          </w:p>
        </w:tc>
      </w:tr>
      <w:tr w:rsidR="00566643" w:rsidRPr="000020F0" w14:paraId="5F371E5E" w14:textId="77777777" w:rsidTr="00D36238">
        <w:trPr>
          <w:trHeight w:val="780"/>
        </w:trPr>
        <w:tc>
          <w:tcPr>
            <w:tcW w:w="660" w:type="pct"/>
            <w:vMerge/>
            <w:tcBorders>
              <w:top w:val="single" w:sz="8" w:space="0" w:color="auto"/>
              <w:left w:val="single" w:sz="8" w:space="0" w:color="auto"/>
              <w:bottom w:val="single" w:sz="8" w:space="0" w:color="000000"/>
              <w:right w:val="single" w:sz="8" w:space="0" w:color="auto"/>
            </w:tcBorders>
            <w:vAlign w:val="center"/>
            <w:hideMark/>
          </w:tcPr>
          <w:p w14:paraId="4888952F" w14:textId="77777777" w:rsidR="00566643" w:rsidRPr="000020F0" w:rsidRDefault="00566643">
            <w:pPr>
              <w:rPr>
                <w:rFonts w:ascii="Arial" w:hAnsi="Arial" w:cs="Arial"/>
                <w:b/>
                <w:bCs/>
                <w:color w:val="000000"/>
                <w:sz w:val="18"/>
                <w:szCs w:val="18"/>
              </w:rPr>
            </w:pPr>
          </w:p>
        </w:tc>
        <w:tc>
          <w:tcPr>
            <w:tcW w:w="636" w:type="pct"/>
            <w:vMerge/>
            <w:tcBorders>
              <w:top w:val="single" w:sz="8" w:space="0" w:color="auto"/>
              <w:left w:val="single" w:sz="8" w:space="0" w:color="auto"/>
              <w:bottom w:val="single" w:sz="8" w:space="0" w:color="000000"/>
              <w:right w:val="single" w:sz="8" w:space="0" w:color="auto"/>
            </w:tcBorders>
            <w:vAlign w:val="center"/>
            <w:hideMark/>
          </w:tcPr>
          <w:p w14:paraId="3AD0052A" w14:textId="77777777" w:rsidR="00566643" w:rsidRPr="000020F0" w:rsidRDefault="00566643">
            <w:pPr>
              <w:rPr>
                <w:rFonts w:ascii="Arial" w:hAnsi="Arial" w:cs="Arial"/>
                <w:b/>
                <w:bCs/>
                <w:color w:val="000000"/>
                <w:sz w:val="18"/>
                <w:szCs w:val="18"/>
              </w:rPr>
            </w:pPr>
          </w:p>
        </w:tc>
        <w:tc>
          <w:tcPr>
            <w:tcW w:w="669" w:type="pct"/>
            <w:tcBorders>
              <w:top w:val="nil"/>
              <w:left w:val="nil"/>
              <w:bottom w:val="single" w:sz="8" w:space="0" w:color="auto"/>
              <w:right w:val="single" w:sz="8" w:space="0" w:color="auto"/>
            </w:tcBorders>
            <w:shd w:val="clear" w:color="000000" w:fill="B8CCE4"/>
            <w:vAlign w:val="center"/>
            <w:hideMark/>
          </w:tcPr>
          <w:p w14:paraId="5962F4F9"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Investicijska vrednost</w:t>
            </w:r>
          </w:p>
        </w:tc>
        <w:tc>
          <w:tcPr>
            <w:tcW w:w="669" w:type="pct"/>
            <w:tcBorders>
              <w:top w:val="nil"/>
              <w:left w:val="nil"/>
              <w:bottom w:val="single" w:sz="8" w:space="0" w:color="auto"/>
              <w:right w:val="single" w:sz="8" w:space="0" w:color="auto"/>
            </w:tcBorders>
            <w:shd w:val="clear" w:color="000000" w:fill="B8CCE4"/>
            <w:vAlign w:val="center"/>
            <w:hideMark/>
          </w:tcPr>
          <w:p w14:paraId="445CD0B2"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Investicijska vrednost</w:t>
            </w:r>
          </w:p>
        </w:tc>
        <w:tc>
          <w:tcPr>
            <w:tcW w:w="553" w:type="pct"/>
            <w:tcBorders>
              <w:top w:val="nil"/>
              <w:left w:val="nil"/>
              <w:bottom w:val="single" w:sz="8" w:space="0" w:color="auto"/>
              <w:right w:val="single" w:sz="8" w:space="0" w:color="auto"/>
            </w:tcBorders>
            <w:shd w:val="clear" w:color="000000" w:fill="B8CCE4"/>
            <w:vAlign w:val="center"/>
            <w:hideMark/>
          </w:tcPr>
          <w:p w14:paraId="37BF0725"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Prihodki</w:t>
            </w:r>
          </w:p>
        </w:tc>
        <w:tc>
          <w:tcPr>
            <w:tcW w:w="553" w:type="pct"/>
            <w:tcBorders>
              <w:top w:val="nil"/>
              <w:left w:val="nil"/>
              <w:bottom w:val="single" w:sz="8" w:space="0" w:color="auto"/>
              <w:right w:val="single" w:sz="8" w:space="0" w:color="auto"/>
            </w:tcBorders>
            <w:shd w:val="clear" w:color="000000" w:fill="B8CCE4"/>
            <w:vAlign w:val="center"/>
            <w:hideMark/>
          </w:tcPr>
          <w:p w14:paraId="3681DF0C"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Prihodki</w:t>
            </w:r>
          </w:p>
        </w:tc>
        <w:tc>
          <w:tcPr>
            <w:tcW w:w="630" w:type="pct"/>
            <w:tcBorders>
              <w:top w:val="nil"/>
              <w:left w:val="nil"/>
              <w:bottom w:val="single" w:sz="8" w:space="0" w:color="auto"/>
              <w:right w:val="single" w:sz="8" w:space="0" w:color="auto"/>
            </w:tcBorders>
            <w:shd w:val="clear" w:color="000000" w:fill="B8CCE4"/>
            <w:vAlign w:val="center"/>
            <w:hideMark/>
          </w:tcPr>
          <w:p w14:paraId="2F56A993"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Obratovalni stroški</w:t>
            </w:r>
          </w:p>
        </w:tc>
        <w:tc>
          <w:tcPr>
            <w:tcW w:w="630" w:type="pct"/>
            <w:tcBorders>
              <w:top w:val="nil"/>
              <w:left w:val="nil"/>
              <w:bottom w:val="single" w:sz="8" w:space="0" w:color="auto"/>
              <w:right w:val="single" w:sz="8" w:space="0" w:color="auto"/>
            </w:tcBorders>
            <w:shd w:val="clear" w:color="000000" w:fill="B8CCE4"/>
            <w:vAlign w:val="center"/>
            <w:hideMark/>
          </w:tcPr>
          <w:p w14:paraId="2AB43A8E" w14:textId="77777777" w:rsidR="00566643" w:rsidRPr="000020F0" w:rsidRDefault="00566643">
            <w:pPr>
              <w:jc w:val="center"/>
              <w:rPr>
                <w:rFonts w:ascii="Arial" w:hAnsi="Arial" w:cs="Arial"/>
                <w:b/>
                <w:bCs/>
                <w:color w:val="000000"/>
                <w:sz w:val="18"/>
                <w:szCs w:val="18"/>
              </w:rPr>
            </w:pPr>
            <w:r w:rsidRPr="000020F0">
              <w:rPr>
                <w:rFonts w:ascii="Arial" w:hAnsi="Arial" w:cs="Arial"/>
                <w:b/>
                <w:bCs/>
                <w:color w:val="000000"/>
                <w:sz w:val="18"/>
                <w:szCs w:val="18"/>
              </w:rPr>
              <w:t>Obratovalni stroški</w:t>
            </w:r>
          </w:p>
        </w:tc>
      </w:tr>
      <w:tr w:rsidR="00D36238" w:rsidRPr="000020F0" w14:paraId="22C6B776" w14:textId="77777777" w:rsidTr="00D36238">
        <w:trPr>
          <w:trHeight w:val="300"/>
        </w:trPr>
        <w:tc>
          <w:tcPr>
            <w:tcW w:w="660" w:type="pct"/>
            <w:tcBorders>
              <w:top w:val="nil"/>
              <w:left w:val="single" w:sz="8" w:space="0" w:color="auto"/>
              <w:bottom w:val="single" w:sz="8" w:space="0" w:color="auto"/>
              <w:right w:val="single" w:sz="8" w:space="0" w:color="auto"/>
            </w:tcBorders>
            <w:shd w:val="clear" w:color="000000" w:fill="E5B8B7"/>
            <w:noWrap/>
            <w:vAlign w:val="center"/>
            <w:hideMark/>
          </w:tcPr>
          <w:p w14:paraId="6094F29C"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FIRR</w:t>
            </w:r>
          </w:p>
        </w:tc>
        <w:tc>
          <w:tcPr>
            <w:tcW w:w="636" w:type="pct"/>
            <w:tcBorders>
              <w:top w:val="nil"/>
              <w:left w:val="nil"/>
              <w:bottom w:val="single" w:sz="8" w:space="0" w:color="auto"/>
              <w:right w:val="single" w:sz="8" w:space="0" w:color="auto"/>
            </w:tcBorders>
            <w:shd w:val="clear" w:color="000000" w:fill="E5B8B7"/>
            <w:noWrap/>
            <w:vAlign w:val="center"/>
            <w:hideMark/>
          </w:tcPr>
          <w:p w14:paraId="4D2C2B2E" w14:textId="5FFDA608"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-9,64%</w:t>
            </w:r>
          </w:p>
        </w:tc>
        <w:tc>
          <w:tcPr>
            <w:tcW w:w="669" w:type="pct"/>
            <w:tcBorders>
              <w:top w:val="nil"/>
              <w:left w:val="nil"/>
              <w:bottom w:val="single" w:sz="8" w:space="0" w:color="auto"/>
              <w:right w:val="single" w:sz="8" w:space="0" w:color="auto"/>
            </w:tcBorders>
            <w:shd w:val="clear" w:color="000000" w:fill="E5B8B7"/>
            <w:noWrap/>
            <w:vAlign w:val="center"/>
            <w:hideMark/>
          </w:tcPr>
          <w:p w14:paraId="32815BC1" w14:textId="05E5A7D5"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-9,64%</w:t>
            </w:r>
          </w:p>
        </w:tc>
        <w:tc>
          <w:tcPr>
            <w:tcW w:w="669" w:type="pct"/>
            <w:tcBorders>
              <w:top w:val="nil"/>
              <w:left w:val="nil"/>
              <w:bottom w:val="single" w:sz="8" w:space="0" w:color="auto"/>
              <w:right w:val="single" w:sz="8" w:space="0" w:color="auto"/>
            </w:tcBorders>
            <w:shd w:val="clear" w:color="000000" w:fill="E5B8B7"/>
            <w:noWrap/>
            <w:vAlign w:val="center"/>
            <w:hideMark/>
          </w:tcPr>
          <w:p w14:paraId="27A9BF00" w14:textId="5F3BB632"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-9,63%</w:t>
            </w:r>
          </w:p>
        </w:tc>
        <w:tc>
          <w:tcPr>
            <w:tcW w:w="553" w:type="pct"/>
            <w:tcBorders>
              <w:top w:val="nil"/>
              <w:left w:val="nil"/>
              <w:bottom w:val="single" w:sz="8" w:space="0" w:color="auto"/>
              <w:right w:val="single" w:sz="8" w:space="0" w:color="auto"/>
            </w:tcBorders>
            <w:shd w:val="clear" w:color="000000" w:fill="E5B8B7"/>
            <w:noWrap/>
            <w:vAlign w:val="center"/>
            <w:hideMark/>
          </w:tcPr>
          <w:p w14:paraId="36112C35" w14:textId="1F24EEFB"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-9,55%</w:t>
            </w:r>
          </w:p>
        </w:tc>
        <w:tc>
          <w:tcPr>
            <w:tcW w:w="553" w:type="pct"/>
            <w:tcBorders>
              <w:top w:val="nil"/>
              <w:left w:val="nil"/>
              <w:bottom w:val="single" w:sz="8" w:space="0" w:color="auto"/>
              <w:right w:val="single" w:sz="8" w:space="0" w:color="auto"/>
            </w:tcBorders>
            <w:shd w:val="clear" w:color="000000" w:fill="E5B8B7"/>
            <w:noWrap/>
            <w:vAlign w:val="center"/>
            <w:hideMark/>
          </w:tcPr>
          <w:p w14:paraId="4BD9B27D" w14:textId="4126EEDB"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-9,72%</w:t>
            </w:r>
          </w:p>
        </w:tc>
        <w:tc>
          <w:tcPr>
            <w:tcW w:w="630" w:type="pct"/>
            <w:tcBorders>
              <w:top w:val="nil"/>
              <w:left w:val="nil"/>
              <w:bottom w:val="single" w:sz="8" w:space="0" w:color="auto"/>
              <w:right w:val="single" w:sz="8" w:space="0" w:color="auto"/>
            </w:tcBorders>
            <w:shd w:val="clear" w:color="000000" w:fill="E5B8B7"/>
            <w:noWrap/>
            <w:vAlign w:val="center"/>
            <w:hideMark/>
          </w:tcPr>
          <w:p w14:paraId="79A138F4" w14:textId="38D7DDAD"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-9,69%</w:t>
            </w:r>
          </w:p>
        </w:tc>
        <w:tc>
          <w:tcPr>
            <w:tcW w:w="630" w:type="pct"/>
            <w:tcBorders>
              <w:top w:val="nil"/>
              <w:left w:val="nil"/>
              <w:bottom w:val="single" w:sz="8" w:space="0" w:color="auto"/>
              <w:right w:val="single" w:sz="8" w:space="0" w:color="auto"/>
            </w:tcBorders>
            <w:shd w:val="clear" w:color="000000" w:fill="E5B8B7"/>
            <w:noWrap/>
            <w:vAlign w:val="center"/>
            <w:hideMark/>
          </w:tcPr>
          <w:p w14:paraId="3912D6C9" w14:textId="1BDF2945"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-9,58%</w:t>
            </w:r>
          </w:p>
        </w:tc>
      </w:tr>
      <w:tr w:rsidR="00D36238" w:rsidRPr="000020F0" w14:paraId="410AA1E7" w14:textId="77777777" w:rsidTr="00D36238">
        <w:trPr>
          <w:trHeight w:val="300"/>
        </w:trPr>
        <w:tc>
          <w:tcPr>
            <w:tcW w:w="660" w:type="pct"/>
            <w:tcBorders>
              <w:top w:val="nil"/>
              <w:left w:val="single" w:sz="8" w:space="0" w:color="auto"/>
              <w:bottom w:val="single" w:sz="8" w:space="0" w:color="auto"/>
              <w:right w:val="single" w:sz="8" w:space="0" w:color="auto"/>
            </w:tcBorders>
            <w:shd w:val="clear" w:color="000000" w:fill="E5B8B7"/>
            <w:noWrap/>
            <w:vAlign w:val="center"/>
            <w:hideMark/>
          </w:tcPr>
          <w:p w14:paraId="3C78E68F"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FNPV</w:t>
            </w:r>
          </w:p>
        </w:tc>
        <w:tc>
          <w:tcPr>
            <w:tcW w:w="636" w:type="pct"/>
            <w:tcBorders>
              <w:top w:val="nil"/>
              <w:left w:val="nil"/>
              <w:bottom w:val="single" w:sz="8" w:space="0" w:color="auto"/>
              <w:right w:val="single" w:sz="8" w:space="0" w:color="auto"/>
            </w:tcBorders>
            <w:shd w:val="clear" w:color="000000" w:fill="E5B8B7"/>
            <w:noWrap/>
            <w:vAlign w:val="center"/>
            <w:hideMark/>
          </w:tcPr>
          <w:p w14:paraId="0531DABD" w14:textId="17A3C2BE"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-3.218.649</w:t>
            </w:r>
          </w:p>
        </w:tc>
        <w:tc>
          <w:tcPr>
            <w:tcW w:w="669" w:type="pct"/>
            <w:tcBorders>
              <w:top w:val="nil"/>
              <w:left w:val="nil"/>
              <w:bottom w:val="single" w:sz="8" w:space="0" w:color="auto"/>
              <w:right w:val="single" w:sz="8" w:space="0" w:color="auto"/>
            </w:tcBorders>
            <w:shd w:val="clear" w:color="000000" w:fill="E5B8B7"/>
            <w:noWrap/>
            <w:vAlign w:val="center"/>
            <w:hideMark/>
          </w:tcPr>
          <w:p w14:paraId="64A12F84" w14:textId="490E524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-3.222.955</w:t>
            </w:r>
          </w:p>
        </w:tc>
        <w:tc>
          <w:tcPr>
            <w:tcW w:w="669" w:type="pct"/>
            <w:tcBorders>
              <w:top w:val="nil"/>
              <w:left w:val="nil"/>
              <w:bottom w:val="single" w:sz="8" w:space="0" w:color="auto"/>
              <w:right w:val="single" w:sz="8" w:space="0" w:color="auto"/>
            </w:tcBorders>
            <w:shd w:val="clear" w:color="000000" w:fill="E5B8B7"/>
            <w:noWrap/>
            <w:vAlign w:val="center"/>
            <w:hideMark/>
          </w:tcPr>
          <w:p w14:paraId="16A8D743" w14:textId="3C748114"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-3.214.344</w:t>
            </w:r>
          </w:p>
        </w:tc>
        <w:tc>
          <w:tcPr>
            <w:tcW w:w="553" w:type="pct"/>
            <w:tcBorders>
              <w:top w:val="nil"/>
              <w:left w:val="nil"/>
              <w:bottom w:val="single" w:sz="8" w:space="0" w:color="auto"/>
              <w:right w:val="single" w:sz="8" w:space="0" w:color="auto"/>
            </w:tcBorders>
            <w:shd w:val="clear" w:color="000000" w:fill="E5B8B7"/>
            <w:noWrap/>
            <w:vAlign w:val="center"/>
            <w:hideMark/>
          </w:tcPr>
          <w:p w14:paraId="6656E5ED" w14:textId="001305C6"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-3.213.651</w:t>
            </w:r>
          </w:p>
        </w:tc>
        <w:tc>
          <w:tcPr>
            <w:tcW w:w="553" w:type="pct"/>
            <w:tcBorders>
              <w:top w:val="nil"/>
              <w:left w:val="nil"/>
              <w:bottom w:val="single" w:sz="8" w:space="0" w:color="auto"/>
              <w:right w:val="single" w:sz="8" w:space="0" w:color="auto"/>
            </w:tcBorders>
            <w:shd w:val="clear" w:color="000000" w:fill="E5B8B7"/>
            <w:noWrap/>
            <w:vAlign w:val="center"/>
            <w:hideMark/>
          </w:tcPr>
          <w:p w14:paraId="2EBFA4F8" w14:textId="18E46FD4"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-3.223.647</w:t>
            </w:r>
          </w:p>
        </w:tc>
        <w:tc>
          <w:tcPr>
            <w:tcW w:w="630" w:type="pct"/>
            <w:tcBorders>
              <w:top w:val="nil"/>
              <w:left w:val="nil"/>
              <w:bottom w:val="single" w:sz="8" w:space="0" w:color="auto"/>
              <w:right w:val="single" w:sz="8" w:space="0" w:color="auto"/>
            </w:tcBorders>
            <w:shd w:val="clear" w:color="000000" w:fill="E5B8B7"/>
            <w:noWrap/>
            <w:vAlign w:val="center"/>
            <w:hideMark/>
          </w:tcPr>
          <w:p w14:paraId="092878D7" w14:textId="1670F1EE"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-3.225.247</w:t>
            </w:r>
          </w:p>
        </w:tc>
        <w:tc>
          <w:tcPr>
            <w:tcW w:w="630" w:type="pct"/>
            <w:tcBorders>
              <w:top w:val="nil"/>
              <w:left w:val="nil"/>
              <w:bottom w:val="single" w:sz="8" w:space="0" w:color="auto"/>
              <w:right w:val="single" w:sz="8" w:space="0" w:color="auto"/>
            </w:tcBorders>
            <w:shd w:val="clear" w:color="000000" w:fill="E5B8B7"/>
            <w:noWrap/>
            <w:vAlign w:val="center"/>
            <w:hideMark/>
          </w:tcPr>
          <w:p w14:paraId="70B0932A" w14:textId="7C60E5DE"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-3.212.052</w:t>
            </w:r>
          </w:p>
        </w:tc>
      </w:tr>
      <w:tr w:rsidR="00D36238" w:rsidRPr="000020F0" w14:paraId="53261F06" w14:textId="77777777" w:rsidTr="00D36238">
        <w:trPr>
          <w:trHeight w:val="300"/>
        </w:trPr>
        <w:tc>
          <w:tcPr>
            <w:tcW w:w="660" w:type="pct"/>
            <w:tcBorders>
              <w:top w:val="nil"/>
              <w:left w:val="single" w:sz="8" w:space="0" w:color="auto"/>
              <w:bottom w:val="single" w:sz="8" w:space="0" w:color="auto"/>
              <w:right w:val="single" w:sz="8" w:space="0" w:color="auto"/>
            </w:tcBorders>
            <w:shd w:val="clear" w:color="000000" w:fill="E5B8B7"/>
            <w:noWrap/>
            <w:vAlign w:val="center"/>
            <w:hideMark/>
          </w:tcPr>
          <w:p w14:paraId="4FF1E745"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EIRR</w:t>
            </w:r>
          </w:p>
        </w:tc>
        <w:tc>
          <w:tcPr>
            <w:tcW w:w="636" w:type="pct"/>
            <w:tcBorders>
              <w:top w:val="nil"/>
              <w:left w:val="nil"/>
              <w:bottom w:val="single" w:sz="8" w:space="0" w:color="auto"/>
              <w:right w:val="single" w:sz="8" w:space="0" w:color="auto"/>
            </w:tcBorders>
            <w:shd w:val="clear" w:color="000000" w:fill="E5B8B7"/>
            <w:noWrap/>
            <w:vAlign w:val="center"/>
            <w:hideMark/>
          </w:tcPr>
          <w:p w14:paraId="0E421F6E" w14:textId="66BFEC5A"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15,33%</w:t>
            </w:r>
          </w:p>
        </w:tc>
        <w:tc>
          <w:tcPr>
            <w:tcW w:w="669" w:type="pct"/>
            <w:tcBorders>
              <w:top w:val="nil"/>
              <w:left w:val="nil"/>
              <w:bottom w:val="single" w:sz="8" w:space="0" w:color="auto"/>
              <w:right w:val="single" w:sz="8" w:space="0" w:color="auto"/>
            </w:tcBorders>
            <w:shd w:val="clear" w:color="000000" w:fill="E5B8B7"/>
            <w:noWrap/>
            <w:vAlign w:val="center"/>
            <w:hideMark/>
          </w:tcPr>
          <w:p w14:paraId="19BC7EE1" w14:textId="519BDE53"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15,19%</w:t>
            </w:r>
          </w:p>
        </w:tc>
        <w:tc>
          <w:tcPr>
            <w:tcW w:w="669" w:type="pct"/>
            <w:tcBorders>
              <w:top w:val="nil"/>
              <w:left w:val="nil"/>
              <w:bottom w:val="single" w:sz="8" w:space="0" w:color="auto"/>
              <w:right w:val="single" w:sz="8" w:space="0" w:color="auto"/>
            </w:tcBorders>
            <w:shd w:val="clear" w:color="000000" w:fill="E5B8B7"/>
            <w:noWrap/>
            <w:vAlign w:val="center"/>
            <w:hideMark/>
          </w:tcPr>
          <w:p w14:paraId="6F5C2EE4" w14:textId="7D6B6A56"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15,48%</w:t>
            </w:r>
          </w:p>
        </w:tc>
        <w:tc>
          <w:tcPr>
            <w:tcW w:w="553" w:type="pct"/>
            <w:tcBorders>
              <w:top w:val="nil"/>
              <w:left w:val="nil"/>
              <w:bottom w:val="single" w:sz="8" w:space="0" w:color="auto"/>
              <w:right w:val="single" w:sz="8" w:space="0" w:color="auto"/>
            </w:tcBorders>
            <w:shd w:val="clear" w:color="000000" w:fill="E5B8B7"/>
            <w:noWrap/>
            <w:vAlign w:val="center"/>
            <w:hideMark/>
          </w:tcPr>
          <w:p w14:paraId="3E7FC0A9" w14:textId="28D80C44"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15,49%</w:t>
            </w:r>
          </w:p>
        </w:tc>
        <w:tc>
          <w:tcPr>
            <w:tcW w:w="553" w:type="pct"/>
            <w:tcBorders>
              <w:top w:val="nil"/>
              <w:left w:val="nil"/>
              <w:bottom w:val="single" w:sz="8" w:space="0" w:color="auto"/>
              <w:right w:val="single" w:sz="8" w:space="0" w:color="auto"/>
            </w:tcBorders>
            <w:shd w:val="clear" w:color="000000" w:fill="E5B8B7"/>
            <w:noWrap/>
            <w:vAlign w:val="center"/>
            <w:hideMark/>
          </w:tcPr>
          <w:p w14:paraId="460EF986" w14:textId="6060835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15,18%</w:t>
            </w:r>
          </w:p>
        </w:tc>
        <w:tc>
          <w:tcPr>
            <w:tcW w:w="630" w:type="pct"/>
            <w:tcBorders>
              <w:top w:val="nil"/>
              <w:left w:val="nil"/>
              <w:bottom w:val="single" w:sz="8" w:space="0" w:color="auto"/>
              <w:right w:val="single" w:sz="8" w:space="0" w:color="auto"/>
            </w:tcBorders>
            <w:shd w:val="clear" w:color="000000" w:fill="E5B8B7"/>
            <w:noWrap/>
            <w:vAlign w:val="center"/>
            <w:hideMark/>
          </w:tcPr>
          <w:p w14:paraId="47875342" w14:textId="23D57A4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15,32%</w:t>
            </w:r>
          </w:p>
        </w:tc>
        <w:tc>
          <w:tcPr>
            <w:tcW w:w="630" w:type="pct"/>
            <w:tcBorders>
              <w:top w:val="nil"/>
              <w:left w:val="nil"/>
              <w:bottom w:val="single" w:sz="8" w:space="0" w:color="auto"/>
              <w:right w:val="single" w:sz="8" w:space="0" w:color="auto"/>
            </w:tcBorders>
            <w:shd w:val="clear" w:color="000000" w:fill="E5B8B7"/>
            <w:noWrap/>
            <w:vAlign w:val="center"/>
            <w:hideMark/>
          </w:tcPr>
          <w:p w14:paraId="2D91F30E" w14:textId="5BF772B5"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15,35%</w:t>
            </w:r>
          </w:p>
        </w:tc>
      </w:tr>
      <w:tr w:rsidR="00D36238" w:rsidRPr="000020F0" w14:paraId="5B0A1709" w14:textId="77777777" w:rsidTr="00D36238">
        <w:trPr>
          <w:trHeight w:val="300"/>
        </w:trPr>
        <w:tc>
          <w:tcPr>
            <w:tcW w:w="660" w:type="pct"/>
            <w:tcBorders>
              <w:top w:val="nil"/>
              <w:left w:val="single" w:sz="8" w:space="0" w:color="auto"/>
              <w:bottom w:val="single" w:sz="8" w:space="0" w:color="auto"/>
              <w:right w:val="single" w:sz="8" w:space="0" w:color="auto"/>
            </w:tcBorders>
            <w:noWrap/>
            <w:vAlign w:val="center"/>
            <w:hideMark/>
          </w:tcPr>
          <w:p w14:paraId="78811932"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ENPV</w:t>
            </w:r>
          </w:p>
        </w:tc>
        <w:tc>
          <w:tcPr>
            <w:tcW w:w="636" w:type="pct"/>
            <w:tcBorders>
              <w:top w:val="nil"/>
              <w:left w:val="nil"/>
              <w:bottom w:val="single" w:sz="8" w:space="0" w:color="auto"/>
              <w:right w:val="single" w:sz="8" w:space="0" w:color="auto"/>
            </w:tcBorders>
            <w:noWrap/>
            <w:vAlign w:val="center"/>
            <w:hideMark/>
          </w:tcPr>
          <w:p w14:paraId="0BB08236" w14:textId="5B873F14"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3.438.311</w:t>
            </w:r>
          </w:p>
        </w:tc>
        <w:tc>
          <w:tcPr>
            <w:tcW w:w="669" w:type="pct"/>
            <w:tcBorders>
              <w:top w:val="nil"/>
              <w:left w:val="nil"/>
              <w:bottom w:val="single" w:sz="8" w:space="0" w:color="auto"/>
              <w:right w:val="single" w:sz="8" w:space="0" w:color="auto"/>
            </w:tcBorders>
            <w:noWrap/>
            <w:vAlign w:val="center"/>
            <w:hideMark/>
          </w:tcPr>
          <w:p w14:paraId="0D800C97" w14:textId="01DEA7E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3.414.302</w:t>
            </w:r>
          </w:p>
        </w:tc>
        <w:tc>
          <w:tcPr>
            <w:tcW w:w="669" w:type="pct"/>
            <w:tcBorders>
              <w:top w:val="nil"/>
              <w:left w:val="nil"/>
              <w:bottom w:val="single" w:sz="8" w:space="0" w:color="auto"/>
              <w:right w:val="single" w:sz="8" w:space="0" w:color="auto"/>
            </w:tcBorders>
            <w:noWrap/>
            <w:vAlign w:val="center"/>
            <w:hideMark/>
          </w:tcPr>
          <w:p w14:paraId="046FAE76" w14:textId="1FB7824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3.462.320</w:t>
            </w:r>
          </w:p>
        </w:tc>
        <w:tc>
          <w:tcPr>
            <w:tcW w:w="553" w:type="pct"/>
            <w:tcBorders>
              <w:top w:val="nil"/>
              <w:left w:val="nil"/>
              <w:bottom w:val="single" w:sz="8" w:space="0" w:color="auto"/>
              <w:right w:val="single" w:sz="8" w:space="0" w:color="auto"/>
            </w:tcBorders>
            <w:noWrap/>
            <w:vAlign w:val="center"/>
            <w:hideMark/>
          </w:tcPr>
          <w:p w14:paraId="4B84A1C9" w14:textId="770D2994"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3.502.804</w:t>
            </w:r>
          </w:p>
        </w:tc>
        <w:tc>
          <w:tcPr>
            <w:tcW w:w="553" w:type="pct"/>
            <w:tcBorders>
              <w:top w:val="nil"/>
              <w:left w:val="nil"/>
              <w:bottom w:val="single" w:sz="8" w:space="0" w:color="auto"/>
              <w:right w:val="single" w:sz="8" w:space="0" w:color="auto"/>
            </w:tcBorders>
            <w:noWrap/>
            <w:vAlign w:val="center"/>
            <w:hideMark/>
          </w:tcPr>
          <w:p w14:paraId="3A3F6959" w14:textId="74FFBFE8"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3.373.819</w:t>
            </w:r>
          </w:p>
        </w:tc>
        <w:tc>
          <w:tcPr>
            <w:tcW w:w="630" w:type="pct"/>
            <w:tcBorders>
              <w:top w:val="nil"/>
              <w:left w:val="nil"/>
              <w:bottom w:val="single" w:sz="8" w:space="0" w:color="auto"/>
              <w:right w:val="single" w:sz="8" w:space="0" w:color="auto"/>
            </w:tcBorders>
            <w:noWrap/>
            <w:vAlign w:val="center"/>
            <w:hideMark/>
          </w:tcPr>
          <w:p w14:paraId="2DB94031" w14:textId="400E359F"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3.433.435</w:t>
            </w:r>
          </w:p>
        </w:tc>
        <w:tc>
          <w:tcPr>
            <w:tcW w:w="630" w:type="pct"/>
            <w:tcBorders>
              <w:top w:val="nil"/>
              <w:left w:val="nil"/>
              <w:bottom w:val="single" w:sz="8" w:space="0" w:color="auto"/>
              <w:right w:val="single" w:sz="8" w:space="0" w:color="auto"/>
            </w:tcBorders>
            <w:noWrap/>
            <w:vAlign w:val="center"/>
            <w:hideMark/>
          </w:tcPr>
          <w:p w14:paraId="36E06EDE" w14:textId="395C9EED" w:rsidR="00D36238" w:rsidRPr="000020F0" w:rsidRDefault="00D36238" w:rsidP="00D36238">
            <w:pPr>
              <w:jc w:val="both"/>
              <w:rPr>
                <w:rFonts w:ascii="Arial" w:hAnsi="Arial" w:cs="Arial"/>
                <w:color w:val="000000"/>
                <w:sz w:val="18"/>
                <w:szCs w:val="18"/>
              </w:rPr>
            </w:pPr>
            <w:r w:rsidRPr="000020F0">
              <w:rPr>
                <w:rFonts w:ascii="Arial" w:hAnsi="Arial" w:cs="Arial"/>
                <w:color w:val="000000"/>
                <w:sz w:val="18"/>
                <w:szCs w:val="18"/>
              </w:rPr>
              <w:t>3.443.188</w:t>
            </w:r>
          </w:p>
        </w:tc>
      </w:tr>
      <w:tr w:rsidR="00566643" w:rsidRPr="000020F0" w14:paraId="7584B5DF" w14:textId="77777777" w:rsidTr="00D36238">
        <w:trPr>
          <w:trHeight w:val="102"/>
        </w:trPr>
        <w:tc>
          <w:tcPr>
            <w:tcW w:w="660" w:type="pct"/>
            <w:tcBorders>
              <w:top w:val="nil"/>
              <w:left w:val="nil"/>
              <w:bottom w:val="single" w:sz="4" w:space="0" w:color="auto"/>
              <w:right w:val="nil"/>
            </w:tcBorders>
            <w:noWrap/>
            <w:vAlign w:val="bottom"/>
            <w:hideMark/>
          </w:tcPr>
          <w:p w14:paraId="2D228CB0" w14:textId="77777777" w:rsidR="00566643" w:rsidRPr="000020F0" w:rsidRDefault="00566643">
            <w:pPr>
              <w:jc w:val="both"/>
              <w:rPr>
                <w:rFonts w:ascii="Arial" w:hAnsi="Arial" w:cs="Arial"/>
                <w:color w:val="000000"/>
                <w:sz w:val="18"/>
                <w:szCs w:val="18"/>
              </w:rPr>
            </w:pPr>
          </w:p>
        </w:tc>
        <w:tc>
          <w:tcPr>
            <w:tcW w:w="636" w:type="pct"/>
            <w:tcBorders>
              <w:top w:val="nil"/>
              <w:left w:val="nil"/>
              <w:bottom w:val="nil"/>
              <w:right w:val="nil"/>
            </w:tcBorders>
            <w:noWrap/>
            <w:vAlign w:val="bottom"/>
            <w:hideMark/>
          </w:tcPr>
          <w:p w14:paraId="217BFC4E" w14:textId="77777777" w:rsidR="00566643" w:rsidRPr="000020F0" w:rsidRDefault="00566643">
            <w:pPr>
              <w:rPr>
                <w:sz w:val="18"/>
                <w:szCs w:val="18"/>
              </w:rPr>
            </w:pPr>
          </w:p>
        </w:tc>
        <w:tc>
          <w:tcPr>
            <w:tcW w:w="669" w:type="pct"/>
            <w:tcBorders>
              <w:top w:val="nil"/>
              <w:left w:val="nil"/>
              <w:bottom w:val="nil"/>
              <w:right w:val="nil"/>
            </w:tcBorders>
            <w:noWrap/>
            <w:vAlign w:val="bottom"/>
            <w:hideMark/>
          </w:tcPr>
          <w:p w14:paraId="2C8AF0F0" w14:textId="77777777" w:rsidR="00566643" w:rsidRPr="000020F0" w:rsidRDefault="00566643">
            <w:pPr>
              <w:rPr>
                <w:sz w:val="18"/>
                <w:szCs w:val="18"/>
              </w:rPr>
            </w:pPr>
          </w:p>
        </w:tc>
        <w:tc>
          <w:tcPr>
            <w:tcW w:w="669" w:type="pct"/>
            <w:tcBorders>
              <w:top w:val="nil"/>
              <w:left w:val="nil"/>
              <w:bottom w:val="nil"/>
              <w:right w:val="nil"/>
            </w:tcBorders>
            <w:noWrap/>
            <w:vAlign w:val="bottom"/>
            <w:hideMark/>
          </w:tcPr>
          <w:p w14:paraId="6949EE4B" w14:textId="77777777" w:rsidR="00566643" w:rsidRPr="000020F0" w:rsidRDefault="00566643">
            <w:pPr>
              <w:rPr>
                <w:sz w:val="18"/>
                <w:szCs w:val="18"/>
              </w:rPr>
            </w:pPr>
          </w:p>
        </w:tc>
        <w:tc>
          <w:tcPr>
            <w:tcW w:w="553" w:type="pct"/>
            <w:tcBorders>
              <w:top w:val="nil"/>
              <w:left w:val="nil"/>
              <w:bottom w:val="nil"/>
              <w:right w:val="nil"/>
            </w:tcBorders>
            <w:noWrap/>
            <w:vAlign w:val="bottom"/>
            <w:hideMark/>
          </w:tcPr>
          <w:p w14:paraId="54479B8C" w14:textId="77777777" w:rsidR="00566643" w:rsidRPr="000020F0" w:rsidRDefault="00566643">
            <w:pPr>
              <w:rPr>
                <w:sz w:val="18"/>
                <w:szCs w:val="18"/>
              </w:rPr>
            </w:pPr>
          </w:p>
        </w:tc>
        <w:tc>
          <w:tcPr>
            <w:tcW w:w="553" w:type="pct"/>
            <w:tcBorders>
              <w:top w:val="nil"/>
              <w:left w:val="nil"/>
              <w:bottom w:val="nil"/>
              <w:right w:val="nil"/>
            </w:tcBorders>
            <w:noWrap/>
            <w:vAlign w:val="bottom"/>
            <w:hideMark/>
          </w:tcPr>
          <w:p w14:paraId="5A271DB4" w14:textId="77777777" w:rsidR="00566643" w:rsidRPr="000020F0" w:rsidRDefault="00566643">
            <w:pPr>
              <w:rPr>
                <w:sz w:val="18"/>
                <w:szCs w:val="18"/>
              </w:rPr>
            </w:pPr>
          </w:p>
        </w:tc>
        <w:tc>
          <w:tcPr>
            <w:tcW w:w="630" w:type="pct"/>
            <w:tcBorders>
              <w:top w:val="nil"/>
              <w:left w:val="nil"/>
              <w:bottom w:val="nil"/>
              <w:right w:val="nil"/>
            </w:tcBorders>
            <w:noWrap/>
            <w:vAlign w:val="bottom"/>
            <w:hideMark/>
          </w:tcPr>
          <w:p w14:paraId="29AB660C" w14:textId="77777777" w:rsidR="00566643" w:rsidRPr="000020F0" w:rsidRDefault="00566643">
            <w:pPr>
              <w:rPr>
                <w:sz w:val="18"/>
                <w:szCs w:val="18"/>
              </w:rPr>
            </w:pPr>
          </w:p>
        </w:tc>
        <w:tc>
          <w:tcPr>
            <w:tcW w:w="630" w:type="pct"/>
            <w:tcBorders>
              <w:top w:val="nil"/>
              <w:left w:val="nil"/>
              <w:bottom w:val="nil"/>
              <w:right w:val="nil"/>
            </w:tcBorders>
            <w:noWrap/>
            <w:vAlign w:val="bottom"/>
            <w:hideMark/>
          </w:tcPr>
          <w:p w14:paraId="2F76A42A" w14:textId="77777777" w:rsidR="00566643" w:rsidRPr="000020F0" w:rsidRDefault="00566643">
            <w:pPr>
              <w:rPr>
                <w:sz w:val="18"/>
                <w:szCs w:val="18"/>
              </w:rPr>
            </w:pPr>
          </w:p>
        </w:tc>
      </w:tr>
      <w:tr w:rsidR="00D36238" w:rsidRPr="000020F0" w14:paraId="6F1EA951" w14:textId="77777777" w:rsidTr="00D36238">
        <w:trPr>
          <w:trHeight w:val="300"/>
        </w:trPr>
        <w:tc>
          <w:tcPr>
            <w:tcW w:w="660" w:type="pct"/>
            <w:vMerge w:val="restart"/>
            <w:tcBorders>
              <w:top w:val="single" w:sz="4" w:space="0" w:color="auto"/>
              <w:left w:val="single" w:sz="4" w:space="0" w:color="auto"/>
              <w:bottom w:val="single" w:sz="4" w:space="0" w:color="auto"/>
              <w:right w:val="single" w:sz="4" w:space="0" w:color="auto"/>
            </w:tcBorders>
            <w:vAlign w:val="center"/>
            <w:hideMark/>
          </w:tcPr>
          <w:p w14:paraId="7F422B50" w14:textId="77777777" w:rsidR="00D36238" w:rsidRPr="000020F0" w:rsidRDefault="00D36238" w:rsidP="00D36238">
            <w:pPr>
              <w:jc w:val="center"/>
              <w:rPr>
                <w:rFonts w:ascii="Arial" w:hAnsi="Arial" w:cs="Arial"/>
                <w:b/>
                <w:bCs/>
                <w:color w:val="000000"/>
                <w:sz w:val="18"/>
                <w:szCs w:val="18"/>
              </w:rPr>
            </w:pPr>
            <w:r w:rsidRPr="000020F0">
              <w:rPr>
                <w:rFonts w:ascii="Arial" w:hAnsi="Arial" w:cs="Arial"/>
                <w:b/>
                <w:bCs/>
                <w:color w:val="000000"/>
                <w:sz w:val="18"/>
                <w:szCs w:val="18"/>
              </w:rPr>
              <w:t>Sprememba v % oz. odstotnih točk</w:t>
            </w:r>
          </w:p>
        </w:tc>
        <w:tc>
          <w:tcPr>
            <w:tcW w:w="636" w:type="pct"/>
            <w:tcBorders>
              <w:top w:val="single" w:sz="8" w:space="0" w:color="auto"/>
              <w:left w:val="single" w:sz="4" w:space="0" w:color="auto"/>
              <w:bottom w:val="single" w:sz="8" w:space="0" w:color="auto"/>
              <w:right w:val="single" w:sz="8" w:space="0" w:color="auto"/>
            </w:tcBorders>
            <w:shd w:val="clear" w:color="000000" w:fill="D9D9D9"/>
            <w:noWrap/>
            <w:vAlign w:val="center"/>
            <w:hideMark/>
          </w:tcPr>
          <w:p w14:paraId="28848D48" w14:textId="286A2E74"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F</w:t>
            </w:r>
            <w:r w:rsidR="008D168E" w:rsidRPr="000020F0">
              <w:rPr>
                <w:rFonts w:ascii="Arial" w:hAnsi="Arial" w:cs="Arial"/>
                <w:color w:val="000000"/>
                <w:sz w:val="18"/>
                <w:szCs w:val="18"/>
              </w:rPr>
              <w:t>IRR</w:t>
            </w:r>
          </w:p>
        </w:tc>
        <w:tc>
          <w:tcPr>
            <w:tcW w:w="669" w:type="pct"/>
            <w:tcBorders>
              <w:top w:val="single" w:sz="8" w:space="0" w:color="auto"/>
              <w:left w:val="nil"/>
              <w:bottom w:val="single" w:sz="8" w:space="0" w:color="auto"/>
              <w:right w:val="single" w:sz="8" w:space="0" w:color="auto"/>
            </w:tcBorders>
            <w:noWrap/>
            <w:vAlign w:val="center"/>
            <w:hideMark/>
          </w:tcPr>
          <w:p w14:paraId="002CC852" w14:textId="4513C257"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0,00</w:t>
            </w:r>
          </w:p>
        </w:tc>
        <w:tc>
          <w:tcPr>
            <w:tcW w:w="669" w:type="pct"/>
            <w:tcBorders>
              <w:top w:val="single" w:sz="8" w:space="0" w:color="auto"/>
              <w:left w:val="nil"/>
              <w:bottom w:val="single" w:sz="8" w:space="0" w:color="auto"/>
              <w:right w:val="single" w:sz="8" w:space="0" w:color="auto"/>
            </w:tcBorders>
            <w:noWrap/>
            <w:vAlign w:val="center"/>
            <w:hideMark/>
          </w:tcPr>
          <w:p w14:paraId="510D9800" w14:textId="5D871DFB"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0,00</w:t>
            </w:r>
          </w:p>
        </w:tc>
        <w:tc>
          <w:tcPr>
            <w:tcW w:w="553" w:type="pct"/>
            <w:tcBorders>
              <w:top w:val="single" w:sz="8" w:space="0" w:color="auto"/>
              <w:left w:val="nil"/>
              <w:bottom w:val="single" w:sz="8" w:space="0" w:color="auto"/>
              <w:right w:val="single" w:sz="8" w:space="0" w:color="auto"/>
            </w:tcBorders>
            <w:noWrap/>
            <w:vAlign w:val="center"/>
            <w:hideMark/>
          </w:tcPr>
          <w:p w14:paraId="118D2A45" w14:textId="4C40FB37"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0,08</w:t>
            </w:r>
          </w:p>
        </w:tc>
        <w:tc>
          <w:tcPr>
            <w:tcW w:w="553" w:type="pct"/>
            <w:tcBorders>
              <w:top w:val="single" w:sz="8" w:space="0" w:color="auto"/>
              <w:left w:val="nil"/>
              <w:bottom w:val="single" w:sz="8" w:space="0" w:color="auto"/>
              <w:right w:val="single" w:sz="8" w:space="0" w:color="auto"/>
            </w:tcBorders>
            <w:noWrap/>
            <w:vAlign w:val="center"/>
            <w:hideMark/>
          </w:tcPr>
          <w:p w14:paraId="6F9B5B00" w14:textId="2F51C672"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-0,08</w:t>
            </w:r>
          </w:p>
        </w:tc>
        <w:tc>
          <w:tcPr>
            <w:tcW w:w="630" w:type="pct"/>
            <w:tcBorders>
              <w:top w:val="single" w:sz="8" w:space="0" w:color="auto"/>
              <w:left w:val="nil"/>
              <w:bottom w:val="single" w:sz="8" w:space="0" w:color="auto"/>
              <w:right w:val="single" w:sz="8" w:space="0" w:color="auto"/>
            </w:tcBorders>
            <w:noWrap/>
            <w:vAlign w:val="center"/>
            <w:hideMark/>
          </w:tcPr>
          <w:p w14:paraId="35FF0936" w14:textId="26F556BC"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-0,06</w:t>
            </w:r>
          </w:p>
        </w:tc>
        <w:tc>
          <w:tcPr>
            <w:tcW w:w="630" w:type="pct"/>
            <w:tcBorders>
              <w:top w:val="single" w:sz="8" w:space="0" w:color="auto"/>
              <w:left w:val="nil"/>
              <w:bottom w:val="single" w:sz="8" w:space="0" w:color="auto"/>
              <w:right w:val="single" w:sz="8" w:space="0" w:color="auto"/>
            </w:tcBorders>
            <w:noWrap/>
            <w:vAlign w:val="center"/>
            <w:hideMark/>
          </w:tcPr>
          <w:p w14:paraId="141119FD" w14:textId="6F46D80B"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0,06</w:t>
            </w:r>
          </w:p>
        </w:tc>
      </w:tr>
      <w:tr w:rsidR="00D36238" w:rsidRPr="000020F0" w14:paraId="6FF9A84D" w14:textId="77777777" w:rsidTr="00D36238">
        <w:trPr>
          <w:trHeight w:val="300"/>
        </w:trPr>
        <w:tc>
          <w:tcPr>
            <w:tcW w:w="660" w:type="pct"/>
            <w:vMerge/>
            <w:tcBorders>
              <w:top w:val="single" w:sz="4" w:space="0" w:color="auto"/>
              <w:left w:val="single" w:sz="4" w:space="0" w:color="auto"/>
              <w:bottom w:val="single" w:sz="4" w:space="0" w:color="auto"/>
              <w:right w:val="single" w:sz="4" w:space="0" w:color="auto"/>
            </w:tcBorders>
            <w:vAlign w:val="center"/>
            <w:hideMark/>
          </w:tcPr>
          <w:p w14:paraId="0652814A" w14:textId="77777777" w:rsidR="00D36238" w:rsidRPr="000020F0" w:rsidRDefault="00D36238" w:rsidP="00D36238">
            <w:pPr>
              <w:rPr>
                <w:rFonts w:ascii="Arial" w:hAnsi="Arial" w:cs="Arial"/>
                <w:b/>
                <w:bCs/>
                <w:color w:val="000000"/>
                <w:sz w:val="18"/>
                <w:szCs w:val="18"/>
              </w:rPr>
            </w:pPr>
          </w:p>
        </w:tc>
        <w:tc>
          <w:tcPr>
            <w:tcW w:w="636" w:type="pct"/>
            <w:tcBorders>
              <w:top w:val="nil"/>
              <w:left w:val="single" w:sz="4" w:space="0" w:color="auto"/>
              <w:bottom w:val="single" w:sz="8" w:space="0" w:color="auto"/>
              <w:right w:val="single" w:sz="8" w:space="0" w:color="auto"/>
            </w:tcBorders>
            <w:shd w:val="clear" w:color="000000" w:fill="D9D9D9"/>
            <w:noWrap/>
            <w:vAlign w:val="center"/>
            <w:hideMark/>
          </w:tcPr>
          <w:p w14:paraId="2636A6E9"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FNPV</w:t>
            </w:r>
          </w:p>
        </w:tc>
        <w:tc>
          <w:tcPr>
            <w:tcW w:w="669" w:type="pct"/>
            <w:tcBorders>
              <w:top w:val="nil"/>
              <w:left w:val="nil"/>
              <w:bottom w:val="single" w:sz="8" w:space="0" w:color="auto"/>
              <w:right w:val="single" w:sz="8" w:space="0" w:color="auto"/>
            </w:tcBorders>
            <w:noWrap/>
            <w:vAlign w:val="center"/>
            <w:hideMark/>
          </w:tcPr>
          <w:p w14:paraId="19AE06DF" w14:textId="6C344989"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0,13</w:t>
            </w:r>
          </w:p>
        </w:tc>
        <w:tc>
          <w:tcPr>
            <w:tcW w:w="669" w:type="pct"/>
            <w:tcBorders>
              <w:top w:val="nil"/>
              <w:left w:val="nil"/>
              <w:bottom w:val="single" w:sz="8" w:space="0" w:color="auto"/>
              <w:right w:val="single" w:sz="8" w:space="0" w:color="auto"/>
            </w:tcBorders>
            <w:noWrap/>
            <w:vAlign w:val="center"/>
            <w:hideMark/>
          </w:tcPr>
          <w:p w14:paraId="444A64C4" w14:textId="75066D84"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-0,13</w:t>
            </w:r>
          </w:p>
        </w:tc>
        <w:tc>
          <w:tcPr>
            <w:tcW w:w="553" w:type="pct"/>
            <w:tcBorders>
              <w:top w:val="nil"/>
              <w:left w:val="nil"/>
              <w:bottom w:val="single" w:sz="8" w:space="0" w:color="auto"/>
              <w:right w:val="single" w:sz="8" w:space="0" w:color="auto"/>
            </w:tcBorders>
            <w:noWrap/>
            <w:vAlign w:val="center"/>
            <w:hideMark/>
          </w:tcPr>
          <w:p w14:paraId="75087F2D" w14:textId="45DFBC7C"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-0,16</w:t>
            </w:r>
          </w:p>
        </w:tc>
        <w:tc>
          <w:tcPr>
            <w:tcW w:w="553" w:type="pct"/>
            <w:tcBorders>
              <w:top w:val="nil"/>
              <w:left w:val="nil"/>
              <w:bottom w:val="single" w:sz="8" w:space="0" w:color="auto"/>
              <w:right w:val="single" w:sz="8" w:space="0" w:color="auto"/>
            </w:tcBorders>
            <w:noWrap/>
            <w:vAlign w:val="center"/>
            <w:hideMark/>
          </w:tcPr>
          <w:p w14:paraId="6203E897" w14:textId="6DEE8D70"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0,16</w:t>
            </w:r>
          </w:p>
        </w:tc>
        <w:tc>
          <w:tcPr>
            <w:tcW w:w="630" w:type="pct"/>
            <w:tcBorders>
              <w:top w:val="nil"/>
              <w:left w:val="nil"/>
              <w:bottom w:val="single" w:sz="8" w:space="0" w:color="auto"/>
              <w:right w:val="single" w:sz="8" w:space="0" w:color="auto"/>
            </w:tcBorders>
            <w:noWrap/>
            <w:vAlign w:val="center"/>
            <w:hideMark/>
          </w:tcPr>
          <w:p w14:paraId="4AFEE3D0" w14:textId="7E9861B8"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0,20</w:t>
            </w:r>
          </w:p>
        </w:tc>
        <w:tc>
          <w:tcPr>
            <w:tcW w:w="630" w:type="pct"/>
            <w:tcBorders>
              <w:top w:val="nil"/>
              <w:left w:val="nil"/>
              <w:bottom w:val="single" w:sz="8" w:space="0" w:color="auto"/>
              <w:right w:val="single" w:sz="8" w:space="0" w:color="auto"/>
            </w:tcBorders>
            <w:noWrap/>
            <w:vAlign w:val="center"/>
            <w:hideMark/>
          </w:tcPr>
          <w:p w14:paraId="2F767F2D" w14:textId="3F69D5F0"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-0,20</w:t>
            </w:r>
          </w:p>
        </w:tc>
      </w:tr>
      <w:tr w:rsidR="00D36238" w:rsidRPr="000020F0" w14:paraId="0B054D29" w14:textId="77777777" w:rsidTr="00D36238">
        <w:trPr>
          <w:trHeight w:val="300"/>
        </w:trPr>
        <w:tc>
          <w:tcPr>
            <w:tcW w:w="660" w:type="pct"/>
            <w:vMerge/>
            <w:tcBorders>
              <w:top w:val="single" w:sz="4" w:space="0" w:color="auto"/>
              <w:left w:val="single" w:sz="4" w:space="0" w:color="auto"/>
              <w:bottom w:val="single" w:sz="4" w:space="0" w:color="auto"/>
              <w:right w:val="single" w:sz="4" w:space="0" w:color="auto"/>
            </w:tcBorders>
            <w:vAlign w:val="center"/>
            <w:hideMark/>
          </w:tcPr>
          <w:p w14:paraId="57BA92B3" w14:textId="77777777" w:rsidR="00D36238" w:rsidRPr="000020F0" w:rsidRDefault="00D36238" w:rsidP="00D36238">
            <w:pPr>
              <w:rPr>
                <w:rFonts w:ascii="Arial" w:hAnsi="Arial" w:cs="Arial"/>
                <w:b/>
                <w:bCs/>
                <w:color w:val="000000"/>
                <w:sz w:val="18"/>
                <w:szCs w:val="18"/>
              </w:rPr>
            </w:pPr>
          </w:p>
        </w:tc>
        <w:tc>
          <w:tcPr>
            <w:tcW w:w="636" w:type="pct"/>
            <w:tcBorders>
              <w:top w:val="nil"/>
              <w:left w:val="single" w:sz="4" w:space="0" w:color="auto"/>
              <w:bottom w:val="single" w:sz="8" w:space="0" w:color="auto"/>
              <w:right w:val="single" w:sz="8" w:space="0" w:color="auto"/>
            </w:tcBorders>
            <w:shd w:val="clear" w:color="000000" w:fill="D9D9D9"/>
            <w:noWrap/>
            <w:vAlign w:val="center"/>
            <w:hideMark/>
          </w:tcPr>
          <w:p w14:paraId="2B9AB944"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EIRR</w:t>
            </w:r>
          </w:p>
        </w:tc>
        <w:tc>
          <w:tcPr>
            <w:tcW w:w="669" w:type="pct"/>
            <w:tcBorders>
              <w:top w:val="nil"/>
              <w:left w:val="nil"/>
              <w:bottom w:val="single" w:sz="8" w:space="0" w:color="auto"/>
              <w:right w:val="single" w:sz="8" w:space="0" w:color="auto"/>
            </w:tcBorders>
            <w:noWrap/>
            <w:vAlign w:val="center"/>
            <w:hideMark/>
          </w:tcPr>
          <w:p w14:paraId="69C2302E" w14:textId="13A19747"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-0,14</w:t>
            </w:r>
          </w:p>
        </w:tc>
        <w:tc>
          <w:tcPr>
            <w:tcW w:w="669" w:type="pct"/>
            <w:tcBorders>
              <w:top w:val="nil"/>
              <w:left w:val="nil"/>
              <w:bottom w:val="single" w:sz="8" w:space="0" w:color="auto"/>
              <w:right w:val="single" w:sz="8" w:space="0" w:color="auto"/>
            </w:tcBorders>
            <w:noWrap/>
            <w:vAlign w:val="center"/>
            <w:hideMark/>
          </w:tcPr>
          <w:p w14:paraId="59BF43AE" w14:textId="485AB84D"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0,14</w:t>
            </w:r>
          </w:p>
        </w:tc>
        <w:tc>
          <w:tcPr>
            <w:tcW w:w="553" w:type="pct"/>
            <w:tcBorders>
              <w:top w:val="nil"/>
              <w:left w:val="nil"/>
              <w:bottom w:val="single" w:sz="8" w:space="0" w:color="auto"/>
              <w:right w:val="single" w:sz="8" w:space="0" w:color="auto"/>
            </w:tcBorders>
            <w:noWrap/>
            <w:vAlign w:val="center"/>
            <w:hideMark/>
          </w:tcPr>
          <w:p w14:paraId="1994446D" w14:textId="208AA63B"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0,16</w:t>
            </w:r>
          </w:p>
        </w:tc>
        <w:tc>
          <w:tcPr>
            <w:tcW w:w="553" w:type="pct"/>
            <w:tcBorders>
              <w:top w:val="nil"/>
              <w:left w:val="nil"/>
              <w:bottom w:val="single" w:sz="8" w:space="0" w:color="auto"/>
              <w:right w:val="single" w:sz="8" w:space="0" w:color="auto"/>
            </w:tcBorders>
            <w:noWrap/>
            <w:vAlign w:val="center"/>
            <w:hideMark/>
          </w:tcPr>
          <w:p w14:paraId="6811D7BF" w14:textId="6B3EEDE7"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-0,16</w:t>
            </w:r>
          </w:p>
        </w:tc>
        <w:tc>
          <w:tcPr>
            <w:tcW w:w="630" w:type="pct"/>
            <w:tcBorders>
              <w:top w:val="nil"/>
              <w:left w:val="nil"/>
              <w:bottom w:val="single" w:sz="8" w:space="0" w:color="auto"/>
              <w:right w:val="single" w:sz="8" w:space="0" w:color="auto"/>
            </w:tcBorders>
            <w:noWrap/>
            <w:vAlign w:val="center"/>
            <w:hideMark/>
          </w:tcPr>
          <w:p w14:paraId="0F8EA58A" w14:textId="09AEA374"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-0,01</w:t>
            </w:r>
          </w:p>
        </w:tc>
        <w:tc>
          <w:tcPr>
            <w:tcW w:w="630" w:type="pct"/>
            <w:tcBorders>
              <w:top w:val="nil"/>
              <w:left w:val="nil"/>
              <w:bottom w:val="single" w:sz="8" w:space="0" w:color="auto"/>
              <w:right w:val="single" w:sz="8" w:space="0" w:color="auto"/>
            </w:tcBorders>
            <w:noWrap/>
            <w:vAlign w:val="center"/>
            <w:hideMark/>
          </w:tcPr>
          <w:p w14:paraId="6E7148DE" w14:textId="1373E640"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0,01</w:t>
            </w:r>
          </w:p>
        </w:tc>
      </w:tr>
      <w:tr w:rsidR="00D36238" w:rsidRPr="000020F0" w14:paraId="63150E05" w14:textId="77777777" w:rsidTr="00D36238">
        <w:trPr>
          <w:trHeight w:val="300"/>
        </w:trPr>
        <w:tc>
          <w:tcPr>
            <w:tcW w:w="660" w:type="pct"/>
            <w:vMerge/>
            <w:tcBorders>
              <w:top w:val="single" w:sz="4" w:space="0" w:color="auto"/>
              <w:left w:val="single" w:sz="4" w:space="0" w:color="auto"/>
              <w:bottom w:val="single" w:sz="4" w:space="0" w:color="auto"/>
              <w:right w:val="single" w:sz="4" w:space="0" w:color="auto"/>
            </w:tcBorders>
            <w:vAlign w:val="center"/>
            <w:hideMark/>
          </w:tcPr>
          <w:p w14:paraId="656DCF92" w14:textId="77777777" w:rsidR="00D36238" w:rsidRPr="000020F0" w:rsidRDefault="00D36238" w:rsidP="00D36238">
            <w:pPr>
              <w:rPr>
                <w:rFonts w:ascii="Arial" w:hAnsi="Arial" w:cs="Arial"/>
                <w:b/>
                <w:bCs/>
                <w:color w:val="000000"/>
                <w:sz w:val="18"/>
                <w:szCs w:val="18"/>
              </w:rPr>
            </w:pPr>
          </w:p>
        </w:tc>
        <w:tc>
          <w:tcPr>
            <w:tcW w:w="636" w:type="pct"/>
            <w:tcBorders>
              <w:top w:val="nil"/>
              <w:left w:val="single" w:sz="4" w:space="0" w:color="auto"/>
              <w:bottom w:val="single" w:sz="8" w:space="0" w:color="auto"/>
              <w:right w:val="single" w:sz="8" w:space="0" w:color="auto"/>
            </w:tcBorders>
            <w:shd w:val="clear" w:color="000000" w:fill="D9D9D9"/>
            <w:noWrap/>
            <w:vAlign w:val="center"/>
            <w:hideMark/>
          </w:tcPr>
          <w:p w14:paraId="40C0FE4A" w14:textId="77777777" w:rsidR="00D36238" w:rsidRPr="000020F0" w:rsidRDefault="00D36238" w:rsidP="00D36238">
            <w:pPr>
              <w:rPr>
                <w:rFonts w:ascii="Arial" w:hAnsi="Arial" w:cs="Arial"/>
                <w:color w:val="000000"/>
                <w:sz w:val="18"/>
                <w:szCs w:val="18"/>
              </w:rPr>
            </w:pPr>
            <w:r w:rsidRPr="000020F0">
              <w:rPr>
                <w:rFonts w:ascii="Arial" w:hAnsi="Arial" w:cs="Arial"/>
                <w:color w:val="000000"/>
                <w:sz w:val="18"/>
                <w:szCs w:val="18"/>
              </w:rPr>
              <w:t>ENPV</w:t>
            </w:r>
          </w:p>
        </w:tc>
        <w:tc>
          <w:tcPr>
            <w:tcW w:w="669" w:type="pct"/>
            <w:tcBorders>
              <w:top w:val="nil"/>
              <w:left w:val="nil"/>
              <w:bottom w:val="single" w:sz="8" w:space="0" w:color="auto"/>
              <w:right w:val="single" w:sz="8" w:space="0" w:color="auto"/>
            </w:tcBorders>
            <w:noWrap/>
            <w:vAlign w:val="center"/>
            <w:hideMark/>
          </w:tcPr>
          <w:p w14:paraId="46E82616" w14:textId="36079B55"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-0,70</w:t>
            </w:r>
          </w:p>
        </w:tc>
        <w:tc>
          <w:tcPr>
            <w:tcW w:w="669" w:type="pct"/>
            <w:tcBorders>
              <w:top w:val="nil"/>
              <w:left w:val="nil"/>
              <w:bottom w:val="single" w:sz="8" w:space="0" w:color="auto"/>
              <w:right w:val="single" w:sz="8" w:space="0" w:color="auto"/>
            </w:tcBorders>
            <w:noWrap/>
            <w:vAlign w:val="center"/>
            <w:hideMark/>
          </w:tcPr>
          <w:p w14:paraId="530A0597" w14:textId="6D47FF36"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0,70</w:t>
            </w:r>
          </w:p>
        </w:tc>
        <w:tc>
          <w:tcPr>
            <w:tcW w:w="553" w:type="pct"/>
            <w:tcBorders>
              <w:top w:val="nil"/>
              <w:left w:val="nil"/>
              <w:bottom w:val="single" w:sz="8" w:space="0" w:color="auto"/>
              <w:right w:val="single" w:sz="8" w:space="0" w:color="auto"/>
            </w:tcBorders>
            <w:noWrap/>
            <w:vAlign w:val="center"/>
            <w:hideMark/>
          </w:tcPr>
          <w:p w14:paraId="42854567" w14:textId="494BF923"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1,88</w:t>
            </w:r>
          </w:p>
        </w:tc>
        <w:tc>
          <w:tcPr>
            <w:tcW w:w="553" w:type="pct"/>
            <w:tcBorders>
              <w:top w:val="nil"/>
              <w:left w:val="nil"/>
              <w:bottom w:val="single" w:sz="8" w:space="0" w:color="auto"/>
              <w:right w:val="single" w:sz="8" w:space="0" w:color="auto"/>
            </w:tcBorders>
            <w:noWrap/>
            <w:vAlign w:val="center"/>
            <w:hideMark/>
          </w:tcPr>
          <w:p w14:paraId="0DC44834" w14:textId="0A13DA05"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-1,88</w:t>
            </w:r>
          </w:p>
        </w:tc>
        <w:tc>
          <w:tcPr>
            <w:tcW w:w="630" w:type="pct"/>
            <w:tcBorders>
              <w:top w:val="nil"/>
              <w:left w:val="nil"/>
              <w:bottom w:val="single" w:sz="8" w:space="0" w:color="auto"/>
              <w:right w:val="single" w:sz="8" w:space="0" w:color="auto"/>
            </w:tcBorders>
            <w:noWrap/>
            <w:vAlign w:val="center"/>
            <w:hideMark/>
          </w:tcPr>
          <w:p w14:paraId="3E12A6D1" w14:textId="28133A34"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-0,14</w:t>
            </w:r>
          </w:p>
        </w:tc>
        <w:tc>
          <w:tcPr>
            <w:tcW w:w="630" w:type="pct"/>
            <w:tcBorders>
              <w:top w:val="nil"/>
              <w:left w:val="nil"/>
              <w:bottom w:val="single" w:sz="8" w:space="0" w:color="auto"/>
              <w:right w:val="single" w:sz="8" w:space="0" w:color="auto"/>
            </w:tcBorders>
            <w:noWrap/>
            <w:vAlign w:val="center"/>
            <w:hideMark/>
          </w:tcPr>
          <w:p w14:paraId="6C96750B" w14:textId="6E13B653" w:rsidR="00D36238" w:rsidRPr="000020F0" w:rsidRDefault="00D36238" w:rsidP="00D36238">
            <w:pPr>
              <w:jc w:val="right"/>
              <w:rPr>
                <w:rFonts w:ascii="Arial" w:hAnsi="Arial" w:cs="Arial"/>
                <w:color w:val="000000"/>
                <w:sz w:val="18"/>
                <w:szCs w:val="18"/>
              </w:rPr>
            </w:pPr>
            <w:r w:rsidRPr="000020F0">
              <w:rPr>
                <w:rFonts w:ascii="Arial" w:hAnsi="Arial" w:cs="Arial"/>
                <w:color w:val="000000"/>
                <w:sz w:val="20"/>
                <w:szCs w:val="20"/>
              </w:rPr>
              <w:t>0,14</w:t>
            </w:r>
          </w:p>
        </w:tc>
      </w:tr>
    </w:tbl>
    <w:p w14:paraId="656AE4D8" w14:textId="77777777" w:rsidR="00566643" w:rsidRPr="000020F0" w:rsidRDefault="00566643" w:rsidP="00BD1D20">
      <w:pPr>
        <w:spacing w:line="276" w:lineRule="auto"/>
        <w:rPr>
          <w:rFonts w:asciiTheme="majorHAnsi" w:hAnsiTheme="majorHAnsi" w:cstheme="majorHAnsi"/>
          <w:sz w:val="22"/>
          <w:szCs w:val="22"/>
        </w:rPr>
      </w:pPr>
    </w:p>
    <w:p w14:paraId="38C9F2B3" w14:textId="02F4D75C" w:rsidR="0056275C" w:rsidRPr="000020F0" w:rsidRDefault="00781242" w:rsidP="00BD1D20">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Iz tabele je razvidno, da ima najvišji vpliv na finančno in ekonomsko neto sedanjo vrednost ter ekonomsko interno stopnjo donosnosti sprememba investicijske vrednosti, vendar je tako v primeru spremembe prihodkov za 1% ekonomske neto sedanje stopnje in ekonomske interne stopnje donosnosti še vedno pozitivna, zato jo ne smatramo kot kritično. Enako velja za spremembo stroškov investicije za 1%. Odstopanje je manjše od 5% in sta ekonomska neto sedanja stopnja in ekonomska interna stopnja donosnosti pozitivn</w:t>
      </w:r>
      <w:r w:rsidR="0056275C" w:rsidRPr="000020F0">
        <w:rPr>
          <w:rFonts w:asciiTheme="majorHAnsi" w:hAnsiTheme="majorHAnsi" w:cstheme="majorHAnsi"/>
          <w:sz w:val="22"/>
          <w:szCs w:val="22"/>
        </w:rPr>
        <w:t>i</w:t>
      </w:r>
      <w:r w:rsidRPr="000020F0">
        <w:rPr>
          <w:rFonts w:asciiTheme="majorHAnsi" w:hAnsiTheme="majorHAnsi" w:cstheme="majorHAnsi"/>
          <w:sz w:val="22"/>
          <w:szCs w:val="22"/>
        </w:rPr>
        <w:t>, zato j</w:t>
      </w:r>
      <w:r w:rsidR="0056275C" w:rsidRPr="000020F0">
        <w:rPr>
          <w:rFonts w:asciiTheme="majorHAnsi" w:hAnsiTheme="majorHAnsi" w:cstheme="majorHAnsi"/>
          <w:sz w:val="22"/>
          <w:szCs w:val="22"/>
        </w:rPr>
        <w:t>u</w:t>
      </w:r>
      <w:r w:rsidRPr="000020F0">
        <w:rPr>
          <w:rFonts w:asciiTheme="majorHAnsi" w:hAnsiTheme="majorHAnsi" w:cstheme="majorHAnsi"/>
          <w:sz w:val="22"/>
          <w:szCs w:val="22"/>
        </w:rPr>
        <w:t xml:space="preserve"> ne smatramo kot kritičn</w:t>
      </w:r>
      <w:r w:rsidR="0056275C" w:rsidRPr="000020F0">
        <w:rPr>
          <w:rFonts w:asciiTheme="majorHAnsi" w:hAnsiTheme="majorHAnsi" w:cstheme="majorHAnsi"/>
          <w:sz w:val="22"/>
          <w:szCs w:val="22"/>
        </w:rPr>
        <w:t>i</w:t>
      </w:r>
      <w:r w:rsidRPr="000020F0">
        <w:rPr>
          <w:rFonts w:asciiTheme="majorHAnsi" w:hAnsiTheme="majorHAnsi" w:cstheme="majorHAnsi"/>
          <w:sz w:val="22"/>
          <w:szCs w:val="22"/>
        </w:rPr>
        <w:t>.</w:t>
      </w:r>
    </w:p>
    <w:p w14:paraId="50D41412" w14:textId="45532D51" w:rsidR="00357FA2" w:rsidRPr="000020F0" w:rsidRDefault="00781242" w:rsidP="00BD1D20">
      <w:pPr>
        <w:spacing w:after="120" w:line="276" w:lineRule="auto"/>
        <w:jc w:val="both"/>
        <w:rPr>
          <w:rFonts w:asciiTheme="majorHAnsi" w:eastAsiaTheme="majorEastAsia" w:hAnsiTheme="majorHAnsi" w:cstheme="majorHAnsi"/>
          <w:b/>
          <w:bCs/>
          <w:color w:val="365F91" w:themeColor="accent1" w:themeShade="BF"/>
          <w:sz w:val="22"/>
          <w:szCs w:val="22"/>
          <w:highlight w:val="yellow"/>
        </w:rPr>
      </w:pPr>
      <w:r w:rsidRPr="000020F0">
        <w:rPr>
          <w:rFonts w:asciiTheme="majorHAnsi" w:eastAsia="Arial Unicode MS" w:hAnsiTheme="majorHAnsi" w:cstheme="majorHAnsi"/>
          <w:kern w:val="28"/>
          <w:sz w:val="22"/>
          <w:szCs w:val="22"/>
        </w:rPr>
        <w:t>Čeprav nobena izmed spremenljivk ni kritična, smo izdelali izračun mejnih vrednosti za ključno spremenljivko. Izračun mejnih vrednosti za ključne spremenljivke: ključne spremenljivke zahtevajo kalkulacijo spremenjenih vrednosti, torej maksimalnih variacij (v odstotkih) kl</w:t>
      </w:r>
      <w:r w:rsidR="00D83334" w:rsidRPr="000020F0">
        <w:rPr>
          <w:rFonts w:asciiTheme="majorHAnsi" w:eastAsia="Arial Unicode MS" w:hAnsiTheme="majorHAnsi" w:cstheme="majorHAnsi"/>
          <w:kern w:val="28"/>
          <w:sz w:val="22"/>
          <w:szCs w:val="22"/>
        </w:rPr>
        <w:t>jučnih spremenljivk, tik preden</w:t>
      </w:r>
      <w:r w:rsidRPr="000020F0">
        <w:rPr>
          <w:rFonts w:asciiTheme="majorHAnsi" w:eastAsia="Arial Unicode MS" w:hAnsiTheme="majorHAnsi" w:cstheme="majorHAnsi"/>
          <w:kern w:val="28"/>
          <w:sz w:val="22"/>
          <w:szCs w:val="22"/>
        </w:rPr>
        <w:t xml:space="preserve"> </w:t>
      </w:r>
      <w:r w:rsidR="00D83334" w:rsidRPr="000020F0">
        <w:rPr>
          <w:rFonts w:asciiTheme="majorHAnsi" w:eastAsia="Arial Unicode MS" w:hAnsiTheme="majorHAnsi" w:cstheme="majorHAnsi"/>
          <w:kern w:val="28"/>
          <w:sz w:val="22"/>
          <w:szCs w:val="22"/>
        </w:rPr>
        <w:t>ekonomska</w:t>
      </w:r>
      <w:r w:rsidRPr="000020F0">
        <w:rPr>
          <w:rFonts w:asciiTheme="majorHAnsi" w:eastAsia="Arial Unicode MS" w:hAnsiTheme="majorHAnsi" w:cstheme="majorHAnsi"/>
          <w:kern w:val="28"/>
          <w:sz w:val="22"/>
          <w:szCs w:val="22"/>
        </w:rPr>
        <w:t xml:space="preserve"> neto sedanja vrednost postane pozitivna. Ključna oz. najbolj značilna spremenljivka, za katero je bila izračunana mejna vrednost je sprememba </w:t>
      </w:r>
      <w:r w:rsidR="00D83334" w:rsidRPr="000020F0">
        <w:rPr>
          <w:rFonts w:asciiTheme="majorHAnsi" w:eastAsia="Arial Unicode MS" w:hAnsiTheme="majorHAnsi" w:cstheme="majorHAnsi"/>
          <w:kern w:val="28"/>
          <w:sz w:val="22"/>
          <w:szCs w:val="22"/>
        </w:rPr>
        <w:t>prihodkov</w:t>
      </w:r>
      <w:r w:rsidRPr="000020F0">
        <w:rPr>
          <w:rFonts w:asciiTheme="majorHAnsi" w:eastAsia="Arial Unicode MS" w:hAnsiTheme="majorHAnsi" w:cstheme="majorHAnsi"/>
          <w:kern w:val="28"/>
          <w:sz w:val="22"/>
          <w:szCs w:val="22"/>
        </w:rPr>
        <w:t xml:space="preserve">. Ko se </w:t>
      </w:r>
      <w:r w:rsidR="00566643" w:rsidRPr="000020F0">
        <w:rPr>
          <w:rFonts w:asciiTheme="majorHAnsi" w:eastAsia="Arial Unicode MS" w:hAnsiTheme="majorHAnsi" w:cstheme="majorHAnsi"/>
          <w:kern w:val="28"/>
          <w:sz w:val="22"/>
          <w:szCs w:val="22"/>
        </w:rPr>
        <w:t xml:space="preserve">koristi </w:t>
      </w:r>
      <w:r w:rsidR="00D83334" w:rsidRPr="000020F0">
        <w:rPr>
          <w:rFonts w:asciiTheme="majorHAnsi" w:eastAsia="Arial Unicode MS" w:hAnsiTheme="majorHAnsi" w:cstheme="majorHAnsi"/>
          <w:kern w:val="28"/>
          <w:sz w:val="22"/>
          <w:szCs w:val="22"/>
        </w:rPr>
        <w:t>zmanjšajo</w:t>
      </w:r>
      <w:r w:rsidRPr="000020F0">
        <w:rPr>
          <w:rFonts w:asciiTheme="majorHAnsi" w:eastAsia="Arial Unicode MS" w:hAnsiTheme="majorHAnsi" w:cstheme="majorHAnsi"/>
          <w:kern w:val="28"/>
          <w:sz w:val="22"/>
          <w:szCs w:val="22"/>
        </w:rPr>
        <w:t xml:space="preserve"> za </w:t>
      </w:r>
      <w:r w:rsidR="00566643" w:rsidRPr="000020F0">
        <w:rPr>
          <w:rFonts w:asciiTheme="majorHAnsi" w:eastAsia="Arial Unicode MS" w:hAnsiTheme="majorHAnsi" w:cstheme="majorHAnsi"/>
          <w:kern w:val="28"/>
          <w:sz w:val="22"/>
          <w:szCs w:val="22"/>
        </w:rPr>
        <w:t>1</w:t>
      </w:r>
      <w:r w:rsidR="00570802" w:rsidRPr="000020F0">
        <w:rPr>
          <w:rFonts w:asciiTheme="majorHAnsi" w:eastAsia="Arial Unicode MS" w:hAnsiTheme="majorHAnsi" w:cstheme="majorHAnsi"/>
          <w:kern w:val="28"/>
          <w:sz w:val="22"/>
          <w:szCs w:val="22"/>
        </w:rPr>
        <w:t>5</w:t>
      </w:r>
      <w:r w:rsidR="00566643" w:rsidRPr="000020F0">
        <w:rPr>
          <w:rFonts w:asciiTheme="majorHAnsi" w:eastAsia="Arial Unicode MS" w:hAnsiTheme="majorHAnsi" w:cstheme="majorHAnsi"/>
          <w:kern w:val="28"/>
          <w:sz w:val="22"/>
          <w:szCs w:val="22"/>
        </w:rPr>
        <w:t>,</w:t>
      </w:r>
      <w:r w:rsidR="00570802" w:rsidRPr="000020F0">
        <w:rPr>
          <w:rFonts w:asciiTheme="majorHAnsi" w:eastAsia="Arial Unicode MS" w:hAnsiTheme="majorHAnsi" w:cstheme="majorHAnsi"/>
          <w:kern w:val="28"/>
          <w:sz w:val="22"/>
          <w:szCs w:val="22"/>
        </w:rPr>
        <w:t>49</w:t>
      </w:r>
      <w:r w:rsidR="006F5576" w:rsidRPr="000020F0">
        <w:rPr>
          <w:rFonts w:asciiTheme="majorHAnsi" w:eastAsia="Arial Unicode MS" w:hAnsiTheme="majorHAnsi" w:cstheme="majorHAnsi"/>
          <w:kern w:val="28"/>
          <w:sz w:val="22"/>
          <w:szCs w:val="22"/>
        </w:rPr>
        <w:t>%</w:t>
      </w:r>
      <w:r w:rsidR="0056275C" w:rsidRPr="000020F0">
        <w:rPr>
          <w:rFonts w:asciiTheme="majorHAnsi" w:eastAsia="Arial Unicode MS" w:hAnsiTheme="majorHAnsi" w:cstheme="majorHAnsi"/>
          <w:kern w:val="28"/>
          <w:sz w:val="22"/>
          <w:szCs w:val="22"/>
        </w:rPr>
        <w:t>,</w:t>
      </w:r>
      <w:r w:rsidR="006F5576" w:rsidRPr="000020F0">
        <w:rPr>
          <w:rFonts w:asciiTheme="majorHAnsi" w:eastAsia="Arial Unicode MS" w:hAnsiTheme="majorHAnsi" w:cstheme="majorHAnsi"/>
          <w:kern w:val="28"/>
          <w:sz w:val="22"/>
          <w:szCs w:val="22"/>
        </w:rPr>
        <w:t xml:space="preserve"> bo ekonomska neto sedanja vrednost tik pred tem, da postane negativna.</w:t>
      </w:r>
    </w:p>
    <w:p w14:paraId="7312CD01" w14:textId="241A2444" w:rsidR="006B2762" w:rsidRPr="000020F0" w:rsidRDefault="009260A8" w:rsidP="00BD1D20">
      <w:pPr>
        <w:pStyle w:val="Naslov1"/>
        <w:numPr>
          <w:ilvl w:val="0"/>
          <w:numId w:val="3"/>
        </w:numPr>
        <w:rPr>
          <w:rFonts w:cstheme="majorHAnsi"/>
        </w:rPr>
      </w:pPr>
      <w:bookmarkStart w:id="433" w:name="_Toc230882280"/>
      <w:r w:rsidRPr="000020F0">
        <w:rPr>
          <w:rFonts w:cstheme="majorHAnsi"/>
        </w:rPr>
        <w:lastRenderedPageBreak/>
        <w:t>PREDSTAVITEV IN RAZLAGA REZULTATOV</w:t>
      </w:r>
      <w:bookmarkEnd w:id="433"/>
    </w:p>
    <w:p w14:paraId="334F90BB" w14:textId="77777777" w:rsidR="00055736" w:rsidRPr="000020F0" w:rsidRDefault="00055736" w:rsidP="00BD1D20">
      <w:pPr>
        <w:spacing w:after="120" w:line="276" w:lineRule="auto"/>
        <w:rPr>
          <w:rFonts w:asciiTheme="majorHAnsi" w:hAnsiTheme="majorHAnsi" w:cstheme="majorHAnsi"/>
          <w:sz w:val="22"/>
          <w:szCs w:val="22"/>
        </w:rPr>
      </w:pPr>
    </w:p>
    <w:p w14:paraId="16EA98DD" w14:textId="3DAFF160" w:rsidR="007D0B2A" w:rsidRPr="000020F0" w:rsidRDefault="001D6981" w:rsidP="007D0B2A">
      <w:pPr>
        <w:spacing w:after="120" w:line="276" w:lineRule="auto"/>
        <w:jc w:val="both"/>
        <w:rPr>
          <w:rFonts w:asciiTheme="majorHAnsi" w:hAnsiTheme="majorHAnsi" w:cstheme="majorHAnsi"/>
          <w:sz w:val="22"/>
          <w:szCs w:val="22"/>
        </w:rPr>
      </w:pPr>
      <w:proofErr w:type="spellStart"/>
      <w:r w:rsidRPr="000020F0">
        <w:rPr>
          <w:rFonts w:asciiTheme="majorHAnsi" w:eastAsia="Arial Unicode MS" w:hAnsiTheme="majorHAnsi" w:cstheme="majorHAnsi"/>
          <w:sz w:val="22"/>
          <w:szCs w:val="22"/>
          <w:lang w:eastAsia="zh-TW"/>
        </w:rPr>
        <w:t>Novelacija</w:t>
      </w:r>
      <w:proofErr w:type="spellEnd"/>
      <w:r w:rsidRPr="000020F0">
        <w:rPr>
          <w:rFonts w:asciiTheme="majorHAnsi" w:eastAsia="Arial Unicode MS" w:hAnsiTheme="majorHAnsi" w:cstheme="majorHAnsi"/>
          <w:sz w:val="22"/>
          <w:szCs w:val="22"/>
          <w:lang w:eastAsia="zh-TW"/>
        </w:rPr>
        <w:t xml:space="preserve"> investicijskega programa št. 1 </w:t>
      </w:r>
      <w:r w:rsidR="007D0B2A" w:rsidRPr="000020F0">
        <w:rPr>
          <w:rFonts w:asciiTheme="majorHAnsi" w:hAnsiTheme="majorHAnsi" w:cstheme="majorHAnsi"/>
          <w:sz w:val="22"/>
          <w:szCs w:val="22"/>
        </w:rPr>
        <w:t xml:space="preserve">za projekt </w:t>
      </w:r>
      <w:r w:rsidR="007D0B2A" w:rsidRPr="000020F0">
        <w:rPr>
          <w:rFonts w:asciiTheme="majorHAnsi" w:hAnsiTheme="majorHAnsi" w:cstheme="majorHAnsi"/>
          <w:b/>
          <w:bCs/>
          <w:sz w:val="22"/>
          <w:szCs w:val="22"/>
        </w:rPr>
        <w:t>Celovita ureditev centra Ig – ukrepi trajnostne mobilnosti</w:t>
      </w:r>
      <w:r w:rsidR="007D0B2A" w:rsidRPr="000020F0">
        <w:rPr>
          <w:rFonts w:asciiTheme="majorHAnsi" w:hAnsiTheme="majorHAnsi" w:cstheme="majorHAnsi"/>
          <w:sz w:val="22"/>
          <w:szCs w:val="22"/>
        </w:rPr>
        <w:t xml:space="preserve"> je bil pripravljen v skladu z Uredbo o enotni metodologiji za pripravo in obravnavo investicijske dokumentacije na področju javnih financ (UEM). Dokument zajema vse obvezne elemente in omogoča celovito presojo smiselnosti ter izvedljivosti naložbe.</w:t>
      </w:r>
    </w:p>
    <w:p w14:paraId="40F72470" w14:textId="5148CA89"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Občina Ig se sooča z zastarelo prometno infrastrukturo v središču naselja, prevelikim deležem motornega prometa, slabimi pogoji za pešce in kolesarje ter nezadostno prometno varnostjo. Namen investicije je povečanje prometne varnosti, spodbujanje trajnostnih oblik mobilnosti in dvig kakovosti javnega prostora.</w:t>
      </w:r>
    </w:p>
    <w:p w14:paraId="643DA178" w14:textId="2C1ED0F8"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Projekt predvideva celovito prenovo osrednjega dela Iga, vključno z ureditvijo cest, avtobusnega postajališča, sistema e-koles, kolesarnic in spremljajoče infrastrukture. Skupna vrednost investicije znaša 3,</w:t>
      </w:r>
      <w:r w:rsidR="00BB0C0C">
        <w:rPr>
          <w:rFonts w:asciiTheme="majorHAnsi" w:hAnsiTheme="majorHAnsi" w:cstheme="majorHAnsi"/>
          <w:sz w:val="22"/>
          <w:szCs w:val="22"/>
        </w:rPr>
        <w:t>39</w:t>
      </w:r>
      <w:r w:rsidRPr="000020F0">
        <w:rPr>
          <w:rFonts w:asciiTheme="majorHAnsi" w:hAnsiTheme="majorHAnsi" w:cstheme="majorHAnsi"/>
          <w:sz w:val="22"/>
          <w:szCs w:val="22"/>
        </w:rPr>
        <w:t xml:space="preserve"> mio EUR z DDV, od tega je približno </w:t>
      </w:r>
      <w:r w:rsidR="00E8706B">
        <w:rPr>
          <w:rFonts w:asciiTheme="majorHAnsi" w:hAnsiTheme="majorHAnsi" w:cstheme="majorHAnsi"/>
          <w:sz w:val="22"/>
          <w:szCs w:val="22"/>
        </w:rPr>
        <w:t>59</w:t>
      </w:r>
      <w:r w:rsidRPr="000020F0">
        <w:rPr>
          <w:rFonts w:asciiTheme="majorHAnsi" w:hAnsiTheme="majorHAnsi" w:cstheme="majorHAnsi"/>
          <w:sz w:val="22"/>
          <w:szCs w:val="22"/>
        </w:rPr>
        <w:t xml:space="preserve"> % predvidenih iz nepovratnih sredstev EU in države.</w:t>
      </w:r>
    </w:p>
    <w:p w14:paraId="2B686F0F" w14:textId="3861428C"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Ker gre za javno infrastrukturo, projekt nima klasičnih tržnih prihodkov. Pričakovani so le prihodki iz parkirnin in sistema </w:t>
      </w:r>
      <w:r w:rsidR="00416437" w:rsidRPr="000020F0">
        <w:rPr>
          <w:rFonts w:asciiTheme="majorHAnsi" w:hAnsiTheme="majorHAnsi" w:cstheme="majorHAnsi"/>
          <w:sz w:val="22"/>
          <w:szCs w:val="22"/>
        </w:rPr>
        <w:t xml:space="preserve">izposoje </w:t>
      </w:r>
      <w:r w:rsidRPr="000020F0">
        <w:rPr>
          <w:rFonts w:asciiTheme="majorHAnsi" w:hAnsiTheme="majorHAnsi" w:cstheme="majorHAnsi"/>
          <w:sz w:val="22"/>
          <w:szCs w:val="22"/>
        </w:rPr>
        <w:t>e-koles, ki bodo delno pokrili obratovalne stroške. Ključni namen projekta ni ustvarjanje dobička, temveč zagotavljanje javnih koristi.</w:t>
      </w:r>
    </w:p>
    <w:p w14:paraId="287C3B43" w14:textId="0A2776F1"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Investicija ima pozitivne </w:t>
      </w:r>
      <w:proofErr w:type="spellStart"/>
      <w:r w:rsidRPr="000020F0">
        <w:rPr>
          <w:rFonts w:asciiTheme="majorHAnsi" w:hAnsiTheme="majorHAnsi" w:cstheme="majorHAnsi"/>
          <w:sz w:val="22"/>
          <w:szCs w:val="22"/>
        </w:rPr>
        <w:t>okoljske</w:t>
      </w:r>
      <w:proofErr w:type="spellEnd"/>
      <w:r w:rsidRPr="000020F0">
        <w:rPr>
          <w:rFonts w:asciiTheme="majorHAnsi" w:hAnsiTheme="majorHAnsi" w:cstheme="majorHAnsi"/>
          <w:sz w:val="22"/>
          <w:szCs w:val="22"/>
        </w:rPr>
        <w:t xml:space="preserve"> učinke: zmanjšanje emisij toplogrednih plinov (–10,67 t CO</w:t>
      </w:r>
      <w:r w:rsidRPr="000020F0">
        <w:rPr>
          <w:rFonts w:ascii="Cambria Math" w:hAnsi="Cambria Math" w:cs="Cambria Math"/>
          <w:sz w:val="22"/>
          <w:szCs w:val="22"/>
        </w:rPr>
        <w:t>₂</w:t>
      </w:r>
      <w:r w:rsidRPr="000020F0">
        <w:rPr>
          <w:rFonts w:asciiTheme="majorHAnsi" w:hAnsiTheme="majorHAnsi" w:cstheme="majorHAnsi"/>
          <w:sz w:val="22"/>
          <w:szCs w:val="22"/>
        </w:rPr>
        <w:t>/leto), zmanj</w:t>
      </w:r>
      <w:r w:rsidRPr="000020F0">
        <w:rPr>
          <w:rFonts w:ascii="Arial" w:hAnsi="Arial" w:cs="Arial"/>
          <w:sz w:val="22"/>
          <w:szCs w:val="22"/>
        </w:rPr>
        <w:t>š</w:t>
      </w:r>
      <w:r w:rsidRPr="000020F0">
        <w:rPr>
          <w:rFonts w:asciiTheme="majorHAnsi" w:hAnsiTheme="majorHAnsi" w:cstheme="majorHAnsi"/>
          <w:sz w:val="22"/>
          <w:szCs w:val="22"/>
        </w:rPr>
        <w:t>anje hrupa, izbolj</w:t>
      </w:r>
      <w:r w:rsidRPr="000020F0">
        <w:rPr>
          <w:rFonts w:ascii="Arial" w:hAnsi="Arial" w:cs="Arial"/>
          <w:sz w:val="22"/>
          <w:szCs w:val="22"/>
        </w:rPr>
        <w:t>š</w:t>
      </w:r>
      <w:r w:rsidRPr="000020F0">
        <w:rPr>
          <w:rFonts w:asciiTheme="majorHAnsi" w:hAnsiTheme="majorHAnsi" w:cstheme="majorHAnsi"/>
          <w:sz w:val="22"/>
          <w:szCs w:val="22"/>
        </w:rPr>
        <w:t>anje kakovosti zraka in ve</w:t>
      </w:r>
      <w:r w:rsidRPr="000020F0">
        <w:rPr>
          <w:rFonts w:ascii="Arial" w:hAnsi="Arial" w:cs="Arial"/>
          <w:sz w:val="22"/>
          <w:szCs w:val="22"/>
        </w:rPr>
        <w:t>č</w:t>
      </w:r>
      <w:r w:rsidRPr="000020F0">
        <w:rPr>
          <w:rFonts w:asciiTheme="majorHAnsi" w:hAnsiTheme="majorHAnsi" w:cstheme="majorHAnsi"/>
          <w:sz w:val="22"/>
          <w:szCs w:val="22"/>
        </w:rPr>
        <w:t>jo odpornost na podnebne spremembe. Posegi so skladni s cilji varstva narave, saj se izvajajo v urbanem obmo</w:t>
      </w:r>
      <w:r w:rsidRPr="000020F0">
        <w:rPr>
          <w:rFonts w:ascii="Arial" w:hAnsi="Arial" w:cs="Arial"/>
          <w:sz w:val="22"/>
          <w:szCs w:val="22"/>
        </w:rPr>
        <w:t>č</w:t>
      </w:r>
      <w:r w:rsidRPr="000020F0">
        <w:rPr>
          <w:rFonts w:asciiTheme="majorHAnsi" w:hAnsiTheme="majorHAnsi" w:cstheme="majorHAnsi"/>
          <w:sz w:val="22"/>
          <w:szCs w:val="22"/>
        </w:rPr>
        <w:t>ju in ne povzro</w:t>
      </w:r>
      <w:r w:rsidRPr="000020F0">
        <w:rPr>
          <w:rFonts w:ascii="Arial" w:hAnsi="Arial" w:cs="Arial"/>
          <w:sz w:val="22"/>
          <w:szCs w:val="22"/>
        </w:rPr>
        <w:t>č</w:t>
      </w:r>
      <w:r w:rsidRPr="000020F0">
        <w:rPr>
          <w:rFonts w:asciiTheme="majorHAnsi" w:hAnsiTheme="majorHAnsi" w:cstheme="majorHAnsi"/>
          <w:sz w:val="22"/>
          <w:szCs w:val="22"/>
        </w:rPr>
        <w:t>ajo dodatnih negativnih vplivov.</w:t>
      </w:r>
    </w:p>
    <w:p w14:paraId="40FA3D3A" w14:textId="7D24DC61"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Projekt ne predvideva trajnega povečanja zaposlenih v občinski upravi. Posredni učinki se bodo kazali v večji gospodarski aktivnosti ter priložnostih v turizmu, gostinstvu in storitvah.</w:t>
      </w:r>
    </w:p>
    <w:p w14:paraId="5B0BA346" w14:textId="1BFD7798"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Izvedba projekta bo potekala med 2024 in 2029. Pripravljalna dokumentacija in prijava na razpise sta predvideni v letih 202</w:t>
      </w:r>
      <w:r w:rsidR="00425E54" w:rsidRPr="000020F0">
        <w:rPr>
          <w:rFonts w:asciiTheme="majorHAnsi" w:hAnsiTheme="majorHAnsi" w:cstheme="majorHAnsi"/>
          <w:sz w:val="22"/>
          <w:szCs w:val="22"/>
        </w:rPr>
        <w:t>5</w:t>
      </w:r>
      <w:r w:rsidRPr="000020F0">
        <w:rPr>
          <w:rFonts w:asciiTheme="majorHAnsi" w:hAnsiTheme="majorHAnsi" w:cstheme="majorHAnsi"/>
          <w:sz w:val="22"/>
          <w:szCs w:val="22"/>
        </w:rPr>
        <w:t>–202</w:t>
      </w:r>
      <w:r w:rsidR="00425E54" w:rsidRPr="000020F0">
        <w:rPr>
          <w:rFonts w:asciiTheme="majorHAnsi" w:hAnsiTheme="majorHAnsi" w:cstheme="majorHAnsi"/>
          <w:sz w:val="22"/>
          <w:szCs w:val="22"/>
        </w:rPr>
        <w:t>6</w:t>
      </w:r>
      <w:r w:rsidRPr="000020F0">
        <w:rPr>
          <w:rFonts w:asciiTheme="majorHAnsi" w:hAnsiTheme="majorHAnsi" w:cstheme="majorHAnsi"/>
          <w:sz w:val="22"/>
          <w:szCs w:val="22"/>
        </w:rPr>
        <w:t>, gradbena dela v obdobju 202</w:t>
      </w:r>
      <w:r w:rsidR="00570802" w:rsidRPr="000020F0">
        <w:rPr>
          <w:rFonts w:asciiTheme="majorHAnsi" w:hAnsiTheme="majorHAnsi" w:cstheme="majorHAnsi"/>
          <w:sz w:val="22"/>
          <w:szCs w:val="22"/>
        </w:rPr>
        <w:t>7</w:t>
      </w:r>
      <w:r w:rsidRPr="000020F0">
        <w:rPr>
          <w:rFonts w:asciiTheme="majorHAnsi" w:hAnsiTheme="majorHAnsi" w:cstheme="majorHAnsi"/>
          <w:sz w:val="22"/>
          <w:szCs w:val="22"/>
        </w:rPr>
        <w:t>–</w:t>
      </w:r>
      <w:r w:rsidR="00CE6BC3" w:rsidRPr="000020F0">
        <w:rPr>
          <w:rFonts w:asciiTheme="majorHAnsi" w:hAnsiTheme="majorHAnsi" w:cstheme="majorHAnsi"/>
          <w:sz w:val="22"/>
          <w:szCs w:val="22"/>
        </w:rPr>
        <w:t>2029</w:t>
      </w:r>
      <w:r w:rsidRPr="000020F0">
        <w:rPr>
          <w:rFonts w:asciiTheme="majorHAnsi" w:hAnsiTheme="majorHAnsi" w:cstheme="majorHAnsi"/>
          <w:sz w:val="22"/>
          <w:szCs w:val="22"/>
        </w:rPr>
        <w:t>, zaključek in predaja namenu pa v prvi polovici leta 2029.</w:t>
      </w:r>
    </w:p>
    <w:p w14:paraId="6883A006" w14:textId="5EA195C6"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Finančna konstrukcija vključuje kombinacijo nepovratnih sredstev EU in države ter lastnih sredstev občine. </w:t>
      </w:r>
    </w:p>
    <w:p w14:paraId="1C9F0017" w14:textId="3B0DD550"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Finančni kazalniki so negativni, kar je pričakovano pri javnih netržnih projektih. Ekonomski kazalniki pa potrjujejo upravičenost: ENPV = </w:t>
      </w:r>
      <w:r w:rsidR="00566643" w:rsidRPr="000020F0">
        <w:rPr>
          <w:rFonts w:asciiTheme="majorHAnsi" w:hAnsiTheme="majorHAnsi" w:cstheme="majorHAnsi"/>
          <w:sz w:val="22"/>
          <w:szCs w:val="22"/>
        </w:rPr>
        <w:t>3,</w:t>
      </w:r>
      <w:r w:rsidR="009A590A" w:rsidRPr="000020F0">
        <w:rPr>
          <w:rFonts w:asciiTheme="majorHAnsi" w:hAnsiTheme="majorHAnsi" w:cstheme="majorHAnsi"/>
          <w:sz w:val="22"/>
          <w:szCs w:val="22"/>
        </w:rPr>
        <w:t>44</w:t>
      </w:r>
      <w:r w:rsidRPr="000020F0">
        <w:rPr>
          <w:rFonts w:asciiTheme="majorHAnsi" w:hAnsiTheme="majorHAnsi" w:cstheme="majorHAnsi"/>
          <w:sz w:val="22"/>
          <w:szCs w:val="22"/>
        </w:rPr>
        <w:t xml:space="preserve"> mio EUR, ERR = 1</w:t>
      </w:r>
      <w:r w:rsidR="009A590A" w:rsidRPr="000020F0">
        <w:rPr>
          <w:rFonts w:asciiTheme="majorHAnsi" w:hAnsiTheme="majorHAnsi" w:cstheme="majorHAnsi"/>
          <w:sz w:val="22"/>
          <w:szCs w:val="22"/>
        </w:rPr>
        <w:t>5</w:t>
      </w:r>
      <w:r w:rsidR="00566643" w:rsidRPr="000020F0">
        <w:rPr>
          <w:rFonts w:asciiTheme="majorHAnsi" w:hAnsiTheme="majorHAnsi" w:cstheme="majorHAnsi"/>
          <w:sz w:val="22"/>
          <w:szCs w:val="22"/>
        </w:rPr>
        <w:t>,</w:t>
      </w:r>
      <w:r w:rsidR="009A590A" w:rsidRPr="000020F0">
        <w:rPr>
          <w:rFonts w:asciiTheme="majorHAnsi" w:hAnsiTheme="majorHAnsi" w:cstheme="majorHAnsi"/>
          <w:sz w:val="22"/>
          <w:szCs w:val="22"/>
        </w:rPr>
        <w:t>33</w:t>
      </w:r>
      <w:r w:rsidRPr="000020F0">
        <w:rPr>
          <w:rFonts w:asciiTheme="majorHAnsi" w:hAnsiTheme="majorHAnsi" w:cstheme="majorHAnsi"/>
          <w:sz w:val="22"/>
          <w:szCs w:val="22"/>
        </w:rPr>
        <w:t xml:space="preserve"> %, B/C = 2,</w:t>
      </w:r>
      <w:r w:rsidR="009A590A" w:rsidRPr="000020F0">
        <w:rPr>
          <w:rFonts w:asciiTheme="majorHAnsi" w:hAnsiTheme="majorHAnsi" w:cstheme="majorHAnsi"/>
          <w:sz w:val="22"/>
          <w:szCs w:val="22"/>
        </w:rPr>
        <w:t>14</w:t>
      </w:r>
      <w:r w:rsidRPr="000020F0">
        <w:rPr>
          <w:rFonts w:asciiTheme="majorHAnsi" w:hAnsiTheme="majorHAnsi" w:cstheme="majorHAnsi"/>
          <w:sz w:val="22"/>
          <w:szCs w:val="22"/>
        </w:rPr>
        <w:t>. Projekt prinaša pomembne družbene koristi, kot so prihranek časa, večja varnost, zmanjšanje nesreč, zdravstvene koristi zaradi aktivne mobilnosti in zmanjšanje emisij.</w:t>
      </w:r>
    </w:p>
    <w:p w14:paraId="68009A7B" w14:textId="029D9267" w:rsidR="007D0B2A" w:rsidRPr="000020F0" w:rsidRDefault="007D0B2A" w:rsidP="007D0B2A">
      <w:pPr>
        <w:spacing w:after="120" w:line="276" w:lineRule="auto"/>
        <w:jc w:val="both"/>
        <w:rPr>
          <w:rFonts w:asciiTheme="majorHAnsi" w:hAnsiTheme="majorHAnsi" w:cstheme="majorHAnsi"/>
          <w:sz w:val="22"/>
          <w:szCs w:val="22"/>
        </w:rPr>
      </w:pPr>
      <w:r w:rsidRPr="000020F0">
        <w:rPr>
          <w:rFonts w:asciiTheme="majorHAnsi" w:hAnsiTheme="majorHAnsi" w:cstheme="majorHAnsi"/>
          <w:sz w:val="22"/>
          <w:szCs w:val="22"/>
        </w:rPr>
        <w:t xml:space="preserve">Projekt Celovita ureditev centra Ig – ukrepi trajnostne mobilnosti je ekonomsko upravičen, trajnostno naravnan, </w:t>
      </w:r>
      <w:proofErr w:type="spellStart"/>
      <w:r w:rsidRPr="000020F0">
        <w:rPr>
          <w:rFonts w:asciiTheme="majorHAnsi" w:hAnsiTheme="majorHAnsi" w:cstheme="majorHAnsi"/>
          <w:sz w:val="22"/>
          <w:szCs w:val="22"/>
        </w:rPr>
        <w:t>okoljsko</w:t>
      </w:r>
      <w:proofErr w:type="spellEnd"/>
      <w:r w:rsidRPr="000020F0">
        <w:rPr>
          <w:rFonts w:asciiTheme="majorHAnsi" w:hAnsiTheme="majorHAnsi" w:cstheme="majorHAnsi"/>
          <w:sz w:val="22"/>
          <w:szCs w:val="22"/>
        </w:rPr>
        <w:t xml:space="preserve"> sprejemljiv in strateško skladen s cilji občine, države ter Evropske unije. </w:t>
      </w:r>
    </w:p>
    <w:p w14:paraId="0DAA0067" w14:textId="77777777" w:rsidR="00CA546F" w:rsidRPr="000020F0" w:rsidRDefault="00CA546F" w:rsidP="00BD1D20">
      <w:pPr>
        <w:spacing w:after="120" w:line="276" w:lineRule="auto"/>
        <w:jc w:val="both"/>
        <w:rPr>
          <w:rFonts w:asciiTheme="majorHAnsi" w:hAnsiTheme="majorHAnsi" w:cstheme="majorHAnsi"/>
          <w:sz w:val="22"/>
          <w:szCs w:val="22"/>
        </w:rPr>
      </w:pPr>
    </w:p>
    <w:sectPr w:rsidR="00CA546F" w:rsidRPr="000020F0" w:rsidSect="00480057">
      <w:headerReference w:type="default" r:id="rId112"/>
      <w:headerReference w:type="first" r:id="rId1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9635" w14:textId="77777777" w:rsidR="00B676C3" w:rsidRDefault="00B676C3" w:rsidP="00F646BC">
      <w:r>
        <w:separator/>
      </w:r>
    </w:p>
  </w:endnote>
  <w:endnote w:type="continuationSeparator" w:id="0">
    <w:p w14:paraId="403D83AE" w14:textId="77777777" w:rsidR="00B676C3" w:rsidRDefault="00B676C3" w:rsidP="00F646BC">
      <w:r>
        <w:continuationSeparator/>
      </w:r>
    </w:p>
  </w:endnote>
  <w:endnote w:type="continuationNotice" w:id="1">
    <w:p w14:paraId="548C4D9A" w14:textId="77777777" w:rsidR="00B676C3" w:rsidRDefault="00B67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Narrow">
    <w:altName w:val="Klee One"/>
    <w:panose1 w:val="00000000000000000000"/>
    <w:charset w:val="80"/>
    <w:family w:val="auto"/>
    <w:notTrueType/>
    <w:pitch w:val="default"/>
    <w:sig w:usb0="00000005" w:usb1="08070000" w:usb2="00000010" w:usb3="00000000" w:csb0="00020002" w:csb1="00000000"/>
  </w:font>
  <w:font w:name="Arial Unicode MS">
    <w:altName w:val="Yu Gothic"/>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FFScalaSans">
    <w:altName w:val="Calibri"/>
    <w:panose1 w:val="00000000000000000000"/>
    <w:charset w:val="00"/>
    <w:family w:val="modern"/>
    <w:notTrueType/>
    <w:pitch w:val="variable"/>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100390"/>
      <w:docPartObj>
        <w:docPartGallery w:val="Page Numbers (Bottom of Page)"/>
        <w:docPartUnique/>
      </w:docPartObj>
    </w:sdtPr>
    <w:sdtEndPr>
      <w:rPr>
        <w:noProof/>
      </w:rPr>
    </w:sdtEndPr>
    <w:sdtContent>
      <w:p w14:paraId="65144F2C" w14:textId="4D0E0199" w:rsidR="0001486F" w:rsidRDefault="0001486F" w:rsidP="0001486F">
        <w:pPr>
          <w:pStyle w:val="Noga"/>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Arial" w:hAnsi="Arial"/>
          <w:sz w:val="20"/>
          <w:szCs w:val="20"/>
        </w:rPr>
        <w:id w:val="415754250"/>
        <w:docPartObj>
          <w:docPartGallery w:val="Page Numbers (Bottom of Page)"/>
          <w:docPartUnique/>
        </w:docPartObj>
      </w:sdtPr>
      <w:sdtEndPr>
        <w:rPr>
          <w:rFonts w:ascii="Times New Roman" w:hAnsi="Times New Roman"/>
          <w:sz w:val="24"/>
          <w:szCs w:val="24"/>
        </w:rPr>
      </w:sdtEndPr>
      <w:sdtContent>
        <w:tr w:rsidR="000F4BA0" w14:paraId="0FA61BDE" w14:textId="77777777" w:rsidTr="008B6353">
          <w:trPr>
            <w:trHeight w:val="727"/>
          </w:trPr>
          <w:tc>
            <w:tcPr>
              <w:tcW w:w="4000" w:type="pct"/>
              <w:tcBorders>
                <w:right w:val="triple" w:sz="4" w:space="0" w:color="4F81BD"/>
              </w:tcBorders>
            </w:tcPr>
            <w:p w14:paraId="1E2B8483" w14:textId="38D70B75" w:rsidR="000F4BA0" w:rsidRPr="008B6353" w:rsidRDefault="000F4BA0" w:rsidP="00553848">
              <w:pPr>
                <w:tabs>
                  <w:tab w:val="left" w:pos="620"/>
                  <w:tab w:val="center" w:pos="4320"/>
                </w:tabs>
                <w:jc w:val="right"/>
                <w:rPr>
                  <w:rFonts w:ascii="Arial" w:hAnsi="Arial"/>
                  <w:sz w:val="20"/>
                  <w:szCs w:val="20"/>
                </w:rPr>
              </w:pPr>
            </w:p>
          </w:tc>
          <w:tc>
            <w:tcPr>
              <w:tcW w:w="1000" w:type="pct"/>
              <w:tcBorders>
                <w:left w:val="triple" w:sz="4" w:space="0" w:color="4F81BD"/>
              </w:tcBorders>
            </w:tcPr>
            <w:p w14:paraId="06874D1E" w14:textId="4BE8996B" w:rsidR="000F4BA0" w:rsidRPr="008B6353" w:rsidRDefault="000F4BA0" w:rsidP="00553848">
              <w:pPr>
                <w:tabs>
                  <w:tab w:val="left" w:pos="1490"/>
                </w:tabs>
                <w:rPr>
                  <w:rFonts w:ascii="Arial" w:hAnsi="Arial"/>
                  <w:sz w:val="28"/>
                  <w:szCs w:val="28"/>
                </w:rPr>
              </w:pPr>
              <w:r>
                <w:fldChar w:fldCharType="begin"/>
              </w:r>
              <w:r>
                <w:instrText xml:space="preserve"> PAGE    \* MERGEFORMAT </w:instrText>
              </w:r>
              <w:r>
                <w:fldChar w:fldCharType="separate"/>
              </w:r>
              <w:r w:rsidR="0015786B">
                <w:rPr>
                  <w:noProof/>
                </w:rPr>
                <w:t>6</w:t>
              </w:r>
              <w:r>
                <w:rPr>
                  <w:noProof/>
                </w:rPr>
                <w:fldChar w:fldCharType="end"/>
              </w:r>
            </w:p>
          </w:tc>
        </w:tr>
      </w:sdtContent>
    </w:sdt>
  </w:tbl>
  <w:p w14:paraId="7287CE51" w14:textId="77777777" w:rsidR="000F4BA0" w:rsidRDefault="000F4BA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165C" w14:textId="77777777" w:rsidR="00B676C3" w:rsidRDefault="00B676C3" w:rsidP="00F646BC">
      <w:r>
        <w:separator/>
      </w:r>
    </w:p>
  </w:footnote>
  <w:footnote w:type="continuationSeparator" w:id="0">
    <w:p w14:paraId="64D6B551" w14:textId="77777777" w:rsidR="00B676C3" w:rsidRDefault="00B676C3" w:rsidP="00F646BC">
      <w:r>
        <w:continuationSeparator/>
      </w:r>
    </w:p>
  </w:footnote>
  <w:footnote w:type="continuationNotice" w:id="1">
    <w:p w14:paraId="65E231DF" w14:textId="77777777" w:rsidR="00B676C3" w:rsidRDefault="00B676C3"/>
  </w:footnote>
  <w:footnote w:id="2">
    <w:p w14:paraId="536F2876" w14:textId="5AC70CA3" w:rsidR="009A707B" w:rsidRDefault="009A707B" w:rsidP="009A707B">
      <w:pPr>
        <w:pStyle w:val="Sprotnaopomba-besedilo"/>
      </w:pPr>
      <w:r>
        <w:rPr>
          <w:rStyle w:val="Sprotnaopomba-sklic"/>
        </w:rPr>
        <w:footnoteRef/>
      </w:r>
      <w:r>
        <w:t xml:space="preserve"> Merjeno s prikazovalnikom hitrosti na lokaciji </w:t>
      </w:r>
      <w:r w:rsidR="002107C6">
        <w:t>ob Govekarjevi cesti pred občinsko stavbo</w:t>
      </w:r>
      <w:r>
        <w:t>.</w:t>
      </w:r>
    </w:p>
  </w:footnote>
  <w:footnote w:id="3">
    <w:p w14:paraId="6A7008B0" w14:textId="0A482424" w:rsidR="009A707B" w:rsidRDefault="009A707B" w:rsidP="009A707B">
      <w:pPr>
        <w:pStyle w:val="Sprotnaopomba-besedilo"/>
      </w:pPr>
      <w:r>
        <w:rPr>
          <w:rStyle w:val="Sprotnaopomba-sklic"/>
        </w:rPr>
        <w:footnoteRef/>
      </w:r>
      <w:r>
        <w:t xml:space="preserve"> Merjeno s prikazovalnikom hitrosti na lokaciji </w:t>
      </w:r>
      <w:r w:rsidR="002107C6">
        <w:t>ob Govekarjevi cesti v bližini parkirišča pri pokopališču.</w:t>
      </w:r>
    </w:p>
  </w:footnote>
  <w:footnote w:id="4">
    <w:p w14:paraId="1D022B91" w14:textId="77777777" w:rsidR="000F4BA0" w:rsidRPr="000E29C4" w:rsidRDefault="000F4BA0" w:rsidP="000E29C4">
      <w:pPr>
        <w:pStyle w:val="Sprotnaopomba-besedilo"/>
        <w:jc w:val="both"/>
        <w:rPr>
          <w:rFonts w:eastAsia="Arial Unicode MS" w:cs="Arial"/>
          <w:sz w:val="16"/>
          <w:szCs w:val="16"/>
        </w:rPr>
      </w:pPr>
      <w:r w:rsidRPr="000E29C4">
        <w:rPr>
          <w:rStyle w:val="Sprotnaopomba-sklic"/>
          <w:rFonts w:eastAsia="Arial Unicode MS" w:cs="Arial"/>
          <w:sz w:val="16"/>
          <w:szCs w:val="16"/>
        </w:rPr>
        <w:footnoteRef/>
      </w:r>
      <w:r w:rsidRPr="000E29C4">
        <w:rPr>
          <w:rFonts w:eastAsia="Arial Unicode MS" w:cs="Arial"/>
          <w:sz w:val="16"/>
          <w:szCs w:val="16"/>
        </w:rPr>
        <w:t xml:space="preserve"> Ekonomsko obdobje projekta je določeno na podlagi 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w:t>
      </w:r>
      <w:r>
        <w:rPr>
          <w:rFonts w:ascii="Arial Unicode MS" w:eastAsia="Arial Unicode MS" w:hAnsi="Arial Unicode MS" w:cs="Arial Unicode MS"/>
          <w:sz w:val="16"/>
          <w:szCs w:val="16"/>
        </w:rPr>
        <w:t xml:space="preserve"> Z</w:t>
      </w:r>
      <w:r w:rsidRPr="000E29C4">
        <w:rPr>
          <w:rFonts w:eastAsia="Arial Unicode MS" w:cs="Arial"/>
          <w:sz w:val="16"/>
          <w:szCs w:val="16"/>
        </w:rPr>
        <w:t xml:space="preserve">a pomorstvo in ribištvo ter o splošnih določbah o Evropskem skladu za regionalni razvoj, Evropskem socialnem skladu, Kohezijskem skladu in Evropskem skladu za pomorstvo in ribištvo. </w:t>
      </w:r>
    </w:p>
  </w:footnote>
  <w:footnote w:id="5">
    <w:p w14:paraId="774E0D86" w14:textId="77777777" w:rsidR="000F4BA0" w:rsidRPr="004E415E" w:rsidRDefault="000F4BA0" w:rsidP="00F55912">
      <w:pPr>
        <w:pStyle w:val="Sprotnaopomba-besedilo"/>
        <w:jc w:val="both"/>
        <w:rPr>
          <w:rFonts w:eastAsia="Arial Unicode MS" w:cs="Arial"/>
          <w:sz w:val="18"/>
          <w:szCs w:val="18"/>
        </w:rPr>
      </w:pPr>
      <w:r w:rsidRPr="005F597B">
        <w:rPr>
          <w:rStyle w:val="Sprotnaopomba-sklic"/>
          <w:rFonts w:eastAsia="Arial Unicode MS" w:cs="Arial"/>
          <w:sz w:val="16"/>
          <w:szCs w:val="16"/>
        </w:rPr>
        <w:footnoteRef/>
      </w:r>
      <w:r w:rsidRPr="005F597B">
        <w:rPr>
          <w:rFonts w:eastAsia="Arial Unicode MS" w:cs="Arial"/>
          <w:sz w:val="16"/>
          <w:szCs w:val="16"/>
        </w:rPr>
        <w:t xml:space="preserve"> Diskontna stopnja je določena v skladu z 1. odstavkom  8. členom Uredbe o enotni metodologiji za pripravo in obravnavo investicijske dokumentacije na področju javnih financ (Uradni list RS, št. 60/06, 54/10 in 27/16).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24CA" w14:textId="77777777" w:rsidR="006945A7" w:rsidRPr="00755E7C" w:rsidRDefault="006945A7" w:rsidP="00755E7C">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FA19" w14:textId="77777777" w:rsidR="000F4BA0" w:rsidRPr="00C02AE0" w:rsidRDefault="000F4BA0" w:rsidP="00C02AE0">
    <w:pPr>
      <w:pStyle w:val="Glav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3B6C" w14:textId="77777777" w:rsidR="000F4BA0" w:rsidRPr="00C02AE0" w:rsidRDefault="000F4BA0" w:rsidP="00C02AE0">
    <w:pPr>
      <w:pStyle w:val="Glav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10DC" w14:textId="77777777" w:rsidR="000F4BA0" w:rsidRPr="00C02AE0" w:rsidRDefault="000F4BA0" w:rsidP="00C02AE0">
    <w:pPr>
      <w:pStyle w:val="Glav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7BF" w14:textId="77777777" w:rsidR="000F4BA0" w:rsidRPr="00C02AE0" w:rsidRDefault="000F4BA0" w:rsidP="00C02AE0">
    <w:pPr>
      <w:pStyle w:val="Glav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E0C8" w14:textId="77777777" w:rsidR="000F4BA0" w:rsidRPr="00233DD9" w:rsidRDefault="000F4BA0" w:rsidP="00233DD9">
    <w:pPr>
      <w:pStyle w:val="Glava"/>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6E6E" w14:textId="77777777" w:rsidR="000F4BA0" w:rsidRPr="00C02AE0" w:rsidRDefault="000F4BA0" w:rsidP="00C02AE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10E6" w14:textId="77777777" w:rsidR="006945A7" w:rsidRPr="00755E7C" w:rsidRDefault="006945A7" w:rsidP="00755E7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3AA8" w14:textId="77777777" w:rsidR="000F4BA0" w:rsidRPr="00930979" w:rsidRDefault="000F4BA0" w:rsidP="00930979">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5708" w14:textId="77777777" w:rsidR="000F4BA0" w:rsidRPr="00C02AE0" w:rsidRDefault="000F4BA0" w:rsidP="00C02AE0">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4EF0" w14:textId="77777777" w:rsidR="000F4BA0" w:rsidRPr="0029624D" w:rsidRDefault="000F4BA0" w:rsidP="0029624D">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A8E1" w14:textId="77777777" w:rsidR="000F4BA0" w:rsidRPr="00916434" w:rsidRDefault="000F4BA0" w:rsidP="0091643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C981" w14:textId="77777777" w:rsidR="000F4BA0" w:rsidRPr="00C02AE0" w:rsidRDefault="000F4BA0" w:rsidP="00C02AE0">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FAFC" w14:textId="77777777" w:rsidR="000F4BA0" w:rsidRPr="0096483C" w:rsidRDefault="000F4BA0" w:rsidP="0096483C">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4020" w14:textId="77777777" w:rsidR="000F4BA0" w:rsidRPr="00916434" w:rsidRDefault="000F4BA0" w:rsidP="0091643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E4C70E"/>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rPr>
        <w:rFonts w:eastAsia="Calibr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none"/>
      <w:suff w:val="nothing"/>
      <w:lvlText w:val=""/>
      <w:lvlJc w:val="left"/>
      <w:pPr>
        <w:tabs>
          <w:tab w:val="num" w:pos="0"/>
        </w:tabs>
        <w:ind w:left="0" w:firstLine="0"/>
      </w:pPr>
      <w:rPr>
        <w:rFonts w:eastAsia="SimSun" w:cs="Arial"/>
        <w:b/>
        <w:bCs/>
        <w:color w:val="FF3333"/>
        <w:kern w:val="1"/>
        <w:sz w:val="22"/>
        <w:szCs w:val="24"/>
        <w:lang w:val="sl-SI" w:eastAsia="hi-IN" w:bidi="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00000005"/>
    <w:name w:val="WW8Num5"/>
    <w:lvl w:ilvl="0">
      <w:start w:val="1"/>
      <w:numFmt w:val="bullet"/>
      <w:pStyle w:val="natevanjevrstineoznake"/>
      <w:lvlText w:val=""/>
      <w:lvlJc w:val="left"/>
      <w:pPr>
        <w:tabs>
          <w:tab w:val="num" w:pos="1647"/>
        </w:tabs>
        <w:ind w:left="0" w:firstLine="0"/>
      </w:pPr>
      <w:rPr>
        <w:rFonts w:ascii="Symbol" w:hAnsi="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15:restartNumberingAfterBreak="0">
    <w:nsid w:val="0000008A"/>
    <w:multiLevelType w:val="hybridMultilevel"/>
    <w:tmpl w:val="634C574C"/>
    <w:lvl w:ilvl="0" w:tplc="FFFFFFFF">
      <w:start w:val="1"/>
      <w:numFmt w:val="decimal"/>
      <w:lvlText w:val="1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771162"/>
    <w:multiLevelType w:val="multilevel"/>
    <w:tmpl w:val="042C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C36329"/>
    <w:multiLevelType w:val="hybridMultilevel"/>
    <w:tmpl w:val="D13A445E"/>
    <w:lvl w:ilvl="0" w:tplc="C426789C">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27270C8"/>
    <w:multiLevelType w:val="multilevel"/>
    <w:tmpl w:val="EF5A09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A93511"/>
    <w:multiLevelType w:val="multilevel"/>
    <w:tmpl w:val="02C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82DA5"/>
    <w:multiLevelType w:val="hybridMultilevel"/>
    <w:tmpl w:val="AEFEBFF6"/>
    <w:lvl w:ilvl="0" w:tplc="922ABF18">
      <w:start w:val="1"/>
      <w:numFmt w:val="bullet"/>
      <w:lvlText w:val=""/>
      <w:lvlJc w:val="left"/>
      <w:pPr>
        <w:ind w:left="757" w:hanging="360"/>
      </w:pPr>
      <w:rPr>
        <w:rFonts w:ascii="Symbol" w:hAnsi="Symbol" w:hint="default"/>
        <w:color w:val="auto"/>
      </w:rPr>
    </w:lvl>
    <w:lvl w:ilvl="1" w:tplc="04240003">
      <w:start w:val="1"/>
      <w:numFmt w:val="bullet"/>
      <w:lvlText w:val="o"/>
      <w:lvlJc w:val="left"/>
      <w:pPr>
        <w:ind w:left="3508" w:hanging="360"/>
      </w:pPr>
      <w:rPr>
        <w:rFonts w:ascii="Courier New" w:hAnsi="Courier New" w:hint="default"/>
      </w:rPr>
    </w:lvl>
    <w:lvl w:ilvl="2" w:tplc="04240005" w:tentative="1">
      <w:start w:val="1"/>
      <w:numFmt w:val="bullet"/>
      <w:lvlText w:val=""/>
      <w:lvlJc w:val="left"/>
      <w:pPr>
        <w:ind w:left="4228" w:hanging="360"/>
      </w:pPr>
      <w:rPr>
        <w:rFonts w:ascii="Wingdings" w:hAnsi="Wingdings" w:hint="default"/>
      </w:rPr>
    </w:lvl>
    <w:lvl w:ilvl="3" w:tplc="04240001" w:tentative="1">
      <w:start w:val="1"/>
      <w:numFmt w:val="bullet"/>
      <w:lvlText w:val=""/>
      <w:lvlJc w:val="left"/>
      <w:pPr>
        <w:ind w:left="4948" w:hanging="360"/>
      </w:pPr>
      <w:rPr>
        <w:rFonts w:ascii="Symbol" w:hAnsi="Symbol" w:hint="default"/>
      </w:rPr>
    </w:lvl>
    <w:lvl w:ilvl="4" w:tplc="04240003" w:tentative="1">
      <w:start w:val="1"/>
      <w:numFmt w:val="bullet"/>
      <w:lvlText w:val="o"/>
      <w:lvlJc w:val="left"/>
      <w:pPr>
        <w:ind w:left="5668" w:hanging="360"/>
      </w:pPr>
      <w:rPr>
        <w:rFonts w:ascii="Courier New" w:hAnsi="Courier New" w:hint="default"/>
      </w:rPr>
    </w:lvl>
    <w:lvl w:ilvl="5" w:tplc="04240005" w:tentative="1">
      <w:start w:val="1"/>
      <w:numFmt w:val="bullet"/>
      <w:lvlText w:val=""/>
      <w:lvlJc w:val="left"/>
      <w:pPr>
        <w:ind w:left="6388" w:hanging="360"/>
      </w:pPr>
      <w:rPr>
        <w:rFonts w:ascii="Wingdings" w:hAnsi="Wingdings" w:hint="default"/>
      </w:rPr>
    </w:lvl>
    <w:lvl w:ilvl="6" w:tplc="04240001" w:tentative="1">
      <w:start w:val="1"/>
      <w:numFmt w:val="bullet"/>
      <w:lvlText w:val=""/>
      <w:lvlJc w:val="left"/>
      <w:pPr>
        <w:ind w:left="7108" w:hanging="360"/>
      </w:pPr>
      <w:rPr>
        <w:rFonts w:ascii="Symbol" w:hAnsi="Symbol" w:hint="default"/>
      </w:rPr>
    </w:lvl>
    <w:lvl w:ilvl="7" w:tplc="04240003" w:tentative="1">
      <w:start w:val="1"/>
      <w:numFmt w:val="bullet"/>
      <w:lvlText w:val="o"/>
      <w:lvlJc w:val="left"/>
      <w:pPr>
        <w:ind w:left="7828" w:hanging="360"/>
      </w:pPr>
      <w:rPr>
        <w:rFonts w:ascii="Courier New" w:hAnsi="Courier New" w:hint="default"/>
      </w:rPr>
    </w:lvl>
    <w:lvl w:ilvl="8" w:tplc="04240005" w:tentative="1">
      <w:start w:val="1"/>
      <w:numFmt w:val="bullet"/>
      <w:lvlText w:val=""/>
      <w:lvlJc w:val="left"/>
      <w:pPr>
        <w:ind w:left="8548" w:hanging="360"/>
      </w:pPr>
      <w:rPr>
        <w:rFonts w:ascii="Wingdings" w:hAnsi="Wingdings" w:hint="default"/>
      </w:rPr>
    </w:lvl>
  </w:abstractNum>
  <w:abstractNum w:abstractNumId="10" w15:restartNumberingAfterBreak="0">
    <w:nsid w:val="034400C9"/>
    <w:multiLevelType w:val="multilevel"/>
    <w:tmpl w:val="9AF6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9A63AA"/>
    <w:multiLevelType w:val="hybridMultilevel"/>
    <w:tmpl w:val="91F4D7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D23B6F"/>
    <w:multiLevelType w:val="multilevel"/>
    <w:tmpl w:val="C02A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20239"/>
    <w:multiLevelType w:val="multilevel"/>
    <w:tmpl w:val="77822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bCs/>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45F5D93"/>
    <w:multiLevelType w:val="hybridMultilevel"/>
    <w:tmpl w:val="131221BA"/>
    <w:lvl w:ilvl="0" w:tplc="2F8A4838">
      <w:start w:val="1"/>
      <w:numFmt w:val="bullet"/>
      <w:lvlText w:val=""/>
      <w:lvlJc w:val="left"/>
      <w:pPr>
        <w:ind w:left="1640" w:hanging="360"/>
      </w:pPr>
      <w:rPr>
        <w:rFonts w:ascii="Symbol" w:hAnsi="Symbol"/>
      </w:rPr>
    </w:lvl>
    <w:lvl w:ilvl="1" w:tplc="E7E83062">
      <w:start w:val="1"/>
      <w:numFmt w:val="bullet"/>
      <w:lvlText w:val=""/>
      <w:lvlJc w:val="left"/>
      <w:pPr>
        <w:ind w:left="1640" w:hanging="360"/>
      </w:pPr>
      <w:rPr>
        <w:rFonts w:ascii="Symbol" w:hAnsi="Symbol"/>
      </w:rPr>
    </w:lvl>
    <w:lvl w:ilvl="2" w:tplc="91644646">
      <w:start w:val="1"/>
      <w:numFmt w:val="bullet"/>
      <w:lvlText w:val=""/>
      <w:lvlJc w:val="left"/>
      <w:pPr>
        <w:ind w:left="1640" w:hanging="360"/>
      </w:pPr>
      <w:rPr>
        <w:rFonts w:ascii="Symbol" w:hAnsi="Symbol"/>
      </w:rPr>
    </w:lvl>
    <w:lvl w:ilvl="3" w:tplc="7D36EA5A">
      <w:start w:val="1"/>
      <w:numFmt w:val="bullet"/>
      <w:lvlText w:val=""/>
      <w:lvlJc w:val="left"/>
      <w:pPr>
        <w:ind w:left="1640" w:hanging="360"/>
      </w:pPr>
      <w:rPr>
        <w:rFonts w:ascii="Symbol" w:hAnsi="Symbol"/>
      </w:rPr>
    </w:lvl>
    <w:lvl w:ilvl="4" w:tplc="0CBCDD96">
      <w:start w:val="1"/>
      <w:numFmt w:val="bullet"/>
      <w:lvlText w:val=""/>
      <w:lvlJc w:val="left"/>
      <w:pPr>
        <w:ind w:left="1640" w:hanging="360"/>
      </w:pPr>
      <w:rPr>
        <w:rFonts w:ascii="Symbol" w:hAnsi="Symbol"/>
      </w:rPr>
    </w:lvl>
    <w:lvl w:ilvl="5" w:tplc="4E9C3B90">
      <w:start w:val="1"/>
      <w:numFmt w:val="bullet"/>
      <w:lvlText w:val=""/>
      <w:lvlJc w:val="left"/>
      <w:pPr>
        <w:ind w:left="1640" w:hanging="360"/>
      </w:pPr>
      <w:rPr>
        <w:rFonts w:ascii="Symbol" w:hAnsi="Symbol"/>
      </w:rPr>
    </w:lvl>
    <w:lvl w:ilvl="6" w:tplc="6DF6E760">
      <w:start w:val="1"/>
      <w:numFmt w:val="bullet"/>
      <w:lvlText w:val=""/>
      <w:lvlJc w:val="left"/>
      <w:pPr>
        <w:ind w:left="1640" w:hanging="360"/>
      </w:pPr>
      <w:rPr>
        <w:rFonts w:ascii="Symbol" w:hAnsi="Symbol"/>
      </w:rPr>
    </w:lvl>
    <w:lvl w:ilvl="7" w:tplc="134C8AFE">
      <w:start w:val="1"/>
      <w:numFmt w:val="bullet"/>
      <w:lvlText w:val=""/>
      <w:lvlJc w:val="left"/>
      <w:pPr>
        <w:ind w:left="1640" w:hanging="360"/>
      </w:pPr>
      <w:rPr>
        <w:rFonts w:ascii="Symbol" w:hAnsi="Symbol"/>
      </w:rPr>
    </w:lvl>
    <w:lvl w:ilvl="8" w:tplc="D1A8B684">
      <w:start w:val="1"/>
      <w:numFmt w:val="bullet"/>
      <w:lvlText w:val=""/>
      <w:lvlJc w:val="left"/>
      <w:pPr>
        <w:ind w:left="1640" w:hanging="360"/>
      </w:pPr>
      <w:rPr>
        <w:rFonts w:ascii="Symbol" w:hAnsi="Symbol"/>
      </w:rPr>
    </w:lvl>
  </w:abstractNum>
  <w:abstractNum w:abstractNumId="15" w15:restartNumberingAfterBreak="0">
    <w:nsid w:val="04B54ACA"/>
    <w:multiLevelType w:val="multilevel"/>
    <w:tmpl w:val="C41E253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54021CD"/>
    <w:multiLevelType w:val="hybridMultilevel"/>
    <w:tmpl w:val="E3E461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56241D5"/>
    <w:multiLevelType w:val="hybridMultilevel"/>
    <w:tmpl w:val="A20C2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6AB0835"/>
    <w:multiLevelType w:val="multilevel"/>
    <w:tmpl w:val="13ECA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AE5FDE"/>
    <w:multiLevelType w:val="hybridMultilevel"/>
    <w:tmpl w:val="3F5897C6"/>
    <w:lvl w:ilvl="0" w:tplc="2000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8BF2EE2"/>
    <w:multiLevelType w:val="multilevel"/>
    <w:tmpl w:val="BEA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5E1DA0"/>
    <w:multiLevelType w:val="hybridMultilevel"/>
    <w:tmpl w:val="6E92357C"/>
    <w:lvl w:ilvl="0" w:tplc="E2AA56D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3B25F7"/>
    <w:multiLevelType w:val="multilevel"/>
    <w:tmpl w:val="190C3A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A494408"/>
    <w:multiLevelType w:val="multilevel"/>
    <w:tmpl w:val="3E04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726CDE"/>
    <w:multiLevelType w:val="multilevel"/>
    <w:tmpl w:val="8DDE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BB245D"/>
    <w:multiLevelType w:val="multilevel"/>
    <w:tmpl w:val="5C8A72F6"/>
    <w:lvl w:ilvl="0">
      <w:start w:val="1"/>
      <w:numFmt w:val="bullet"/>
      <w:pStyle w:val="Navaden-zami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0CE259BE"/>
    <w:multiLevelType w:val="multilevel"/>
    <w:tmpl w:val="262A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50517E"/>
    <w:multiLevelType w:val="multilevel"/>
    <w:tmpl w:val="A84E696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742883"/>
    <w:multiLevelType w:val="hybridMultilevel"/>
    <w:tmpl w:val="D78248A8"/>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9" w15:restartNumberingAfterBreak="0">
    <w:nsid w:val="0EDC38D4"/>
    <w:multiLevelType w:val="multilevel"/>
    <w:tmpl w:val="7090CB36"/>
    <w:lvl w:ilvl="0">
      <w:start w:val="1"/>
      <w:numFmt w:val="decimal"/>
      <w:lvlText w:val="%1."/>
      <w:lvlJc w:val="left"/>
      <w:pPr>
        <w:tabs>
          <w:tab w:val="num" w:pos="786"/>
        </w:tabs>
        <w:ind w:left="786" w:hanging="360"/>
      </w:pPr>
      <w:rPr>
        <w:b/>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0" w15:restartNumberingAfterBreak="0">
    <w:nsid w:val="0F2662C0"/>
    <w:multiLevelType w:val="hybridMultilevel"/>
    <w:tmpl w:val="78F6FF36"/>
    <w:lvl w:ilvl="0" w:tplc="FFFFFFFF">
      <w:start w:val="1"/>
      <w:numFmt w:val="decimal"/>
      <w:lvlText w:val="13.%1."/>
      <w:lvlJc w:val="left"/>
    </w:lvl>
    <w:lvl w:ilvl="1" w:tplc="0424000B">
      <w:start w:val="1"/>
      <w:numFmt w:val="bullet"/>
      <w:lvlText w:val=""/>
      <w:lvlJc w:val="left"/>
      <w:rPr>
        <w:rFonts w:ascii="Wingdings" w:hAnsi="Wingdings" w:hint="default"/>
      </w:rPr>
    </w:lvl>
    <w:lvl w:ilvl="2" w:tplc="62FE0C66">
      <w:start w:val="7"/>
      <w:numFmt w:val="bullet"/>
      <w:lvlText w:val="-"/>
      <w:lvlJc w:val="left"/>
      <w:rPr>
        <w:rFonts w:ascii="Times New Roman" w:eastAsia="Times New Roman" w:hAnsi="Times New Roman" w:cs="Times New Roman"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101640B9"/>
    <w:multiLevelType w:val="multilevel"/>
    <w:tmpl w:val="7658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6453C5"/>
    <w:multiLevelType w:val="multilevel"/>
    <w:tmpl w:val="E75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CE35DA"/>
    <w:multiLevelType w:val="hybridMultilevel"/>
    <w:tmpl w:val="315029B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4" w15:restartNumberingAfterBreak="0">
    <w:nsid w:val="12AB5612"/>
    <w:multiLevelType w:val="hybridMultilevel"/>
    <w:tmpl w:val="10FC193E"/>
    <w:lvl w:ilvl="0" w:tplc="EB70BEFE">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AFE6939E">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32E78B8"/>
    <w:multiLevelType w:val="hybridMultilevel"/>
    <w:tmpl w:val="0C2076B0"/>
    <w:lvl w:ilvl="0" w:tplc="ADB6B5E8">
      <w:start w:val="1"/>
      <w:numFmt w:val="bullet"/>
      <w:lvlText w:val=""/>
      <w:lvlJc w:val="left"/>
      <w:pPr>
        <w:ind w:left="1640" w:hanging="360"/>
      </w:pPr>
      <w:rPr>
        <w:rFonts w:ascii="Symbol" w:hAnsi="Symbol"/>
      </w:rPr>
    </w:lvl>
    <w:lvl w:ilvl="1" w:tplc="1C74FEA0">
      <w:start w:val="1"/>
      <w:numFmt w:val="bullet"/>
      <w:lvlText w:val=""/>
      <w:lvlJc w:val="left"/>
      <w:pPr>
        <w:ind w:left="1640" w:hanging="360"/>
      </w:pPr>
      <w:rPr>
        <w:rFonts w:ascii="Symbol" w:hAnsi="Symbol"/>
      </w:rPr>
    </w:lvl>
    <w:lvl w:ilvl="2" w:tplc="F74E08B4">
      <w:start w:val="1"/>
      <w:numFmt w:val="bullet"/>
      <w:lvlText w:val=""/>
      <w:lvlJc w:val="left"/>
      <w:pPr>
        <w:ind w:left="1640" w:hanging="360"/>
      </w:pPr>
      <w:rPr>
        <w:rFonts w:ascii="Symbol" w:hAnsi="Symbol"/>
      </w:rPr>
    </w:lvl>
    <w:lvl w:ilvl="3" w:tplc="65CCD116">
      <w:start w:val="1"/>
      <w:numFmt w:val="bullet"/>
      <w:lvlText w:val=""/>
      <w:lvlJc w:val="left"/>
      <w:pPr>
        <w:ind w:left="1640" w:hanging="360"/>
      </w:pPr>
      <w:rPr>
        <w:rFonts w:ascii="Symbol" w:hAnsi="Symbol"/>
      </w:rPr>
    </w:lvl>
    <w:lvl w:ilvl="4" w:tplc="BAA61EC4">
      <w:start w:val="1"/>
      <w:numFmt w:val="bullet"/>
      <w:lvlText w:val=""/>
      <w:lvlJc w:val="left"/>
      <w:pPr>
        <w:ind w:left="1640" w:hanging="360"/>
      </w:pPr>
      <w:rPr>
        <w:rFonts w:ascii="Symbol" w:hAnsi="Symbol"/>
      </w:rPr>
    </w:lvl>
    <w:lvl w:ilvl="5" w:tplc="A94C54F2">
      <w:start w:val="1"/>
      <w:numFmt w:val="bullet"/>
      <w:lvlText w:val=""/>
      <w:lvlJc w:val="left"/>
      <w:pPr>
        <w:ind w:left="1640" w:hanging="360"/>
      </w:pPr>
      <w:rPr>
        <w:rFonts w:ascii="Symbol" w:hAnsi="Symbol"/>
      </w:rPr>
    </w:lvl>
    <w:lvl w:ilvl="6" w:tplc="5D0636EC">
      <w:start w:val="1"/>
      <w:numFmt w:val="bullet"/>
      <w:lvlText w:val=""/>
      <w:lvlJc w:val="left"/>
      <w:pPr>
        <w:ind w:left="1640" w:hanging="360"/>
      </w:pPr>
      <w:rPr>
        <w:rFonts w:ascii="Symbol" w:hAnsi="Symbol"/>
      </w:rPr>
    </w:lvl>
    <w:lvl w:ilvl="7" w:tplc="8DAEBD6E">
      <w:start w:val="1"/>
      <w:numFmt w:val="bullet"/>
      <w:lvlText w:val=""/>
      <w:lvlJc w:val="left"/>
      <w:pPr>
        <w:ind w:left="1640" w:hanging="360"/>
      </w:pPr>
      <w:rPr>
        <w:rFonts w:ascii="Symbol" w:hAnsi="Symbol"/>
      </w:rPr>
    </w:lvl>
    <w:lvl w:ilvl="8" w:tplc="CCC06A3A">
      <w:start w:val="1"/>
      <w:numFmt w:val="bullet"/>
      <w:lvlText w:val=""/>
      <w:lvlJc w:val="left"/>
      <w:pPr>
        <w:ind w:left="1640" w:hanging="360"/>
      </w:pPr>
      <w:rPr>
        <w:rFonts w:ascii="Symbol" w:hAnsi="Symbol"/>
      </w:rPr>
    </w:lvl>
  </w:abstractNum>
  <w:abstractNum w:abstractNumId="36" w15:restartNumberingAfterBreak="0">
    <w:nsid w:val="13F54CFB"/>
    <w:multiLevelType w:val="multilevel"/>
    <w:tmpl w:val="DC2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826D34"/>
    <w:multiLevelType w:val="multilevel"/>
    <w:tmpl w:val="859A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983280"/>
    <w:multiLevelType w:val="multilevel"/>
    <w:tmpl w:val="0B12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FB0BE9"/>
    <w:multiLevelType w:val="multilevel"/>
    <w:tmpl w:val="338C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1159DB"/>
    <w:multiLevelType w:val="multilevel"/>
    <w:tmpl w:val="DE4C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D8226B"/>
    <w:multiLevelType w:val="multilevel"/>
    <w:tmpl w:val="3BB8950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15EE0258"/>
    <w:multiLevelType w:val="multilevel"/>
    <w:tmpl w:val="4A88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8A5824"/>
    <w:multiLevelType w:val="multilevel"/>
    <w:tmpl w:val="4AB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CE1636"/>
    <w:multiLevelType w:val="multilevel"/>
    <w:tmpl w:val="8240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D06CB4"/>
    <w:multiLevelType w:val="hybridMultilevel"/>
    <w:tmpl w:val="1714A87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6" w15:restartNumberingAfterBreak="0">
    <w:nsid w:val="19DA0559"/>
    <w:multiLevelType w:val="multilevel"/>
    <w:tmpl w:val="9276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E76432"/>
    <w:multiLevelType w:val="multilevel"/>
    <w:tmpl w:val="1DB2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F629BB"/>
    <w:multiLevelType w:val="hybridMultilevel"/>
    <w:tmpl w:val="2828E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1B80359F"/>
    <w:multiLevelType w:val="hybridMultilevel"/>
    <w:tmpl w:val="A4388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1BA94F82"/>
    <w:multiLevelType w:val="multilevel"/>
    <w:tmpl w:val="0ED8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274868"/>
    <w:multiLevelType w:val="hybridMultilevel"/>
    <w:tmpl w:val="EBE66F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1D101502"/>
    <w:multiLevelType w:val="multilevel"/>
    <w:tmpl w:val="64F81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3575E7"/>
    <w:multiLevelType w:val="multilevel"/>
    <w:tmpl w:val="F032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A239B4"/>
    <w:multiLevelType w:val="multilevel"/>
    <w:tmpl w:val="E188DE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1FC91F46"/>
    <w:multiLevelType w:val="hybridMultilevel"/>
    <w:tmpl w:val="8E608A32"/>
    <w:lvl w:ilvl="0" w:tplc="20C8F9B0">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03A79C1"/>
    <w:multiLevelType w:val="multilevel"/>
    <w:tmpl w:val="8DA6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B45C6E"/>
    <w:multiLevelType w:val="hybridMultilevel"/>
    <w:tmpl w:val="7062D0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21057E4C"/>
    <w:multiLevelType w:val="hybridMultilevel"/>
    <w:tmpl w:val="19E823F8"/>
    <w:lvl w:ilvl="0" w:tplc="FFFFFFFF">
      <w:start w:val="1"/>
      <w:numFmt w:val="decimal"/>
      <w:lvlText w:val="13.%1."/>
      <w:lvlJc w:val="left"/>
    </w:lvl>
    <w:lvl w:ilvl="1" w:tplc="0424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213D699E"/>
    <w:multiLevelType w:val="multilevel"/>
    <w:tmpl w:val="7090CB36"/>
    <w:lvl w:ilvl="0">
      <w:start w:val="1"/>
      <w:numFmt w:val="decimal"/>
      <w:lvlText w:val="%1."/>
      <w:lvlJc w:val="left"/>
      <w:pPr>
        <w:tabs>
          <w:tab w:val="num" w:pos="786"/>
        </w:tabs>
        <w:ind w:left="786" w:hanging="360"/>
      </w:pPr>
      <w:rPr>
        <w:b/>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0" w15:restartNumberingAfterBreak="0">
    <w:nsid w:val="219D43BB"/>
    <w:multiLevelType w:val="multilevel"/>
    <w:tmpl w:val="338E36F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1EE5A20"/>
    <w:multiLevelType w:val="multilevel"/>
    <w:tmpl w:val="96C69E84"/>
    <w:styleLink w:val="WWNum3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224B4B5F"/>
    <w:multiLevelType w:val="multilevel"/>
    <w:tmpl w:val="A074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FF3BB0"/>
    <w:multiLevelType w:val="multilevel"/>
    <w:tmpl w:val="334A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E71335"/>
    <w:multiLevelType w:val="multilevel"/>
    <w:tmpl w:val="FB20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30717D"/>
    <w:multiLevelType w:val="hybridMultilevel"/>
    <w:tmpl w:val="86D63CA2"/>
    <w:lvl w:ilvl="0" w:tplc="9444682E">
      <w:numFmt w:val="bullet"/>
      <w:pStyle w:val="SeznamIP2"/>
      <w:lvlText w:val="-"/>
      <w:lvlJc w:val="left"/>
      <w:pPr>
        <w:ind w:left="1117" w:hanging="360"/>
      </w:pPr>
      <w:rPr>
        <w:rFonts w:ascii="Calibri" w:eastAsia="Times New Roman" w:hAnsi="Calibri" w:hint="default"/>
      </w:rPr>
    </w:lvl>
    <w:lvl w:ilvl="1" w:tplc="04240003" w:tentative="1">
      <w:start w:val="1"/>
      <w:numFmt w:val="bullet"/>
      <w:lvlText w:val="o"/>
      <w:lvlJc w:val="left"/>
      <w:pPr>
        <w:ind w:left="1837" w:hanging="360"/>
      </w:pPr>
      <w:rPr>
        <w:rFonts w:ascii="Courier New" w:hAnsi="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66" w15:restartNumberingAfterBreak="0">
    <w:nsid w:val="24963C29"/>
    <w:multiLevelType w:val="multilevel"/>
    <w:tmpl w:val="874C18C8"/>
    <w:lvl w:ilvl="0">
      <w:start w:val="1"/>
      <w:numFmt w:val="decimal"/>
      <w:pStyle w:val="vrsticnaoznaka"/>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26070BC9"/>
    <w:multiLevelType w:val="multilevel"/>
    <w:tmpl w:val="B34E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0A7BDF"/>
    <w:multiLevelType w:val="hybridMultilevel"/>
    <w:tmpl w:val="D11E1B5C"/>
    <w:lvl w:ilvl="0" w:tplc="2000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26607BD5"/>
    <w:multiLevelType w:val="multilevel"/>
    <w:tmpl w:val="E08C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6CC174C"/>
    <w:multiLevelType w:val="multilevel"/>
    <w:tmpl w:val="EF0E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B578A0"/>
    <w:multiLevelType w:val="hybridMultilevel"/>
    <w:tmpl w:val="4566F0A6"/>
    <w:lvl w:ilvl="0" w:tplc="0F9AD5D8">
      <w:start w:val="1"/>
      <w:numFmt w:val="decimal"/>
      <w:lvlText w:val="%1."/>
      <w:lvlJc w:val="left"/>
      <w:pPr>
        <w:ind w:left="720" w:hanging="360"/>
      </w:pPr>
      <w:rPr>
        <w:rFonts w:hint="eastAsia"/>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281A1AB8"/>
    <w:multiLevelType w:val="hybridMultilevel"/>
    <w:tmpl w:val="688633A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3" w15:restartNumberingAfterBreak="0">
    <w:nsid w:val="282A1642"/>
    <w:multiLevelType w:val="hybridMultilevel"/>
    <w:tmpl w:val="5414E622"/>
    <w:lvl w:ilvl="0" w:tplc="4300CE86">
      <w:start w:val="1"/>
      <w:numFmt w:val="bullet"/>
      <w:lvlText w:val=""/>
      <w:lvlJc w:val="left"/>
      <w:pPr>
        <w:ind w:left="1640" w:hanging="360"/>
      </w:pPr>
      <w:rPr>
        <w:rFonts w:ascii="Symbol" w:hAnsi="Symbol"/>
      </w:rPr>
    </w:lvl>
    <w:lvl w:ilvl="1" w:tplc="62280110">
      <w:start w:val="1"/>
      <w:numFmt w:val="bullet"/>
      <w:lvlText w:val=""/>
      <w:lvlJc w:val="left"/>
      <w:pPr>
        <w:ind w:left="1640" w:hanging="360"/>
      </w:pPr>
      <w:rPr>
        <w:rFonts w:ascii="Symbol" w:hAnsi="Symbol"/>
      </w:rPr>
    </w:lvl>
    <w:lvl w:ilvl="2" w:tplc="43AEBD8C">
      <w:start w:val="1"/>
      <w:numFmt w:val="bullet"/>
      <w:lvlText w:val=""/>
      <w:lvlJc w:val="left"/>
      <w:pPr>
        <w:ind w:left="1640" w:hanging="360"/>
      </w:pPr>
      <w:rPr>
        <w:rFonts w:ascii="Symbol" w:hAnsi="Symbol"/>
      </w:rPr>
    </w:lvl>
    <w:lvl w:ilvl="3" w:tplc="514077B4">
      <w:start w:val="1"/>
      <w:numFmt w:val="bullet"/>
      <w:lvlText w:val=""/>
      <w:lvlJc w:val="left"/>
      <w:pPr>
        <w:ind w:left="1640" w:hanging="360"/>
      </w:pPr>
      <w:rPr>
        <w:rFonts w:ascii="Symbol" w:hAnsi="Symbol"/>
      </w:rPr>
    </w:lvl>
    <w:lvl w:ilvl="4" w:tplc="D988F2A8">
      <w:start w:val="1"/>
      <w:numFmt w:val="bullet"/>
      <w:lvlText w:val=""/>
      <w:lvlJc w:val="left"/>
      <w:pPr>
        <w:ind w:left="1640" w:hanging="360"/>
      </w:pPr>
      <w:rPr>
        <w:rFonts w:ascii="Symbol" w:hAnsi="Symbol"/>
      </w:rPr>
    </w:lvl>
    <w:lvl w:ilvl="5" w:tplc="9BA81E06">
      <w:start w:val="1"/>
      <w:numFmt w:val="bullet"/>
      <w:lvlText w:val=""/>
      <w:lvlJc w:val="left"/>
      <w:pPr>
        <w:ind w:left="1640" w:hanging="360"/>
      </w:pPr>
      <w:rPr>
        <w:rFonts w:ascii="Symbol" w:hAnsi="Symbol"/>
      </w:rPr>
    </w:lvl>
    <w:lvl w:ilvl="6" w:tplc="38880DFA">
      <w:start w:val="1"/>
      <w:numFmt w:val="bullet"/>
      <w:lvlText w:val=""/>
      <w:lvlJc w:val="left"/>
      <w:pPr>
        <w:ind w:left="1640" w:hanging="360"/>
      </w:pPr>
      <w:rPr>
        <w:rFonts w:ascii="Symbol" w:hAnsi="Symbol"/>
      </w:rPr>
    </w:lvl>
    <w:lvl w:ilvl="7" w:tplc="78688F3E">
      <w:start w:val="1"/>
      <w:numFmt w:val="bullet"/>
      <w:lvlText w:val=""/>
      <w:lvlJc w:val="left"/>
      <w:pPr>
        <w:ind w:left="1640" w:hanging="360"/>
      </w:pPr>
      <w:rPr>
        <w:rFonts w:ascii="Symbol" w:hAnsi="Symbol"/>
      </w:rPr>
    </w:lvl>
    <w:lvl w:ilvl="8" w:tplc="D7EC283E">
      <w:start w:val="1"/>
      <w:numFmt w:val="bullet"/>
      <w:lvlText w:val=""/>
      <w:lvlJc w:val="left"/>
      <w:pPr>
        <w:ind w:left="1640" w:hanging="360"/>
      </w:pPr>
      <w:rPr>
        <w:rFonts w:ascii="Symbol" w:hAnsi="Symbol"/>
      </w:rPr>
    </w:lvl>
  </w:abstractNum>
  <w:abstractNum w:abstractNumId="74" w15:restartNumberingAfterBreak="0">
    <w:nsid w:val="28627556"/>
    <w:multiLevelType w:val="multilevel"/>
    <w:tmpl w:val="EDE8768A"/>
    <w:lvl w:ilvl="0">
      <w:start w:val="1"/>
      <w:numFmt w:val="decimal"/>
      <w:pStyle w:val="DIIPNASLOV1"/>
      <w:lvlText w:val="%1."/>
      <w:lvlJc w:val="left"/>
      <w:pPr>
        <w:ind w:left="360" w:hanging="360"/>
      </w:pPr>
    </w:lvl>
    <w:lvl w:ilvl="1">
      <w:start w:val="1"/>
      <w:numFmt w:val="decimal"/>
      <w:pStyle w:val="DIIP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928177C"/>
    <w:multiLevelType w:val="hybridMultilevel"/>
    <w:tmpl w:val="31F4E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2AFE0140"/>
    <w:multiLevelType w:val="hybridMultilevel"/>
    <w:tmpl w:val="3E40AEC8"/>
    <w:lvl w:ilvl="0" w:tplc="E2AA56D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B3712EB"/>
    <w:multiLevelType w:val="multilevel"/>
    <w:tmpl w:val="0F827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2BC0242E"/>
    <w:multiLevelType w:val="multilevel"/>
    <w:tmpl w:val="4C6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7A0115"/>
    <w:multiLevelType w:val="hybridMultilevel"/>
    <w:tmpl w:val="3FC6F0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2D3B6773"/>
    <w:multiLevelType w:val="hybridMultilevel"/>
    <w:tmpl w:val="02086F4C"/>
    <w:lvl w:ilvl="0" w:tplc="0424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bCs w:val="0"/>
        <w:i w:val="0"/>
        <w:iCs w:val="0"/>
        <w:caps w:val="0"/>
        <w:smallCaps w:val="0"/>
        <w:strike w:val="0"/>
        <w:dstrike w:val="0"/>
        <w:outline w:val="0"/>
        <w:shadow w:val="0"/>
        <w:emboss w:val="0"/>
        <w:imprint w:val="0"/>
        <w:snapToGrid w:val="0"/>
        <w:vanish w:val="0"/>
        <w:spacing w:val="0"/>
        <w:kern w:val="0"/>
        <w:position w:val="0"/>
        <w:u w:val="none"/>
        <w:vertAlign w:val="baseline"/>
        <w:em w:val="no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D7D482D"/>
    <w:multiLevelType w:val="multilevel"/>
    <w:tmpl w:val="3678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DA84DB4"/>
    <w:multiLevelType w:val="hybridMultilevel"/>
    <w:tmpl w:val="60087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2E8018A5"/>
    <w:multiLevelType w:val="multilevel"/>
    <w:tmpl w:val="2F78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DF6FED"/>
    <w:multiLevelType w:val="multilevel"/>
    <w:tmpl w:val="5B8EDA90"/>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301B28A2"/>
    <w:multiLevelType w:val="multilevel"/>
    <w:tmpl w:val="FC38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4C1607"/>
    <w:multiLevelType w:val="multilevel"/>
    <w:tmpl w:val="66CA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BC4576"/>
    <w:multiLevelType w:val="hybridMultilevel"/>
    <w:tmpl w:val="2028EA42"/>
    <w:lvl w:ilvl="0" w:tplc="9D0A044C">
      <w:start w:val="1"/>
      <w:numFmt w:val="bullet"/>
      <w:lvlText w:val=""/>
      <w:lvlJc w:val="left"/>
      <w:pPr>
        <w:ind w:left="1640" w:hanging="360"/>
      </w:pPr>
      <w:rPr>
        <w:rFonts w:ascii="Symbol" w:hAnsi="Symbol"/>
      </w:rPr>
    </w:lvl>
    <w:lvl w:ilvl="1" w:tplc="2DCC77CC">
      <w:start w:val="1"/>
      <w:numFmt w:val="bullet"/>
      <w:lvlText w:val=""/>
      <w:lvlJc w:val="left"/>
      <w:pPr>
        <w:ind w:left="1640" w:hanging="360"/>
      </w:pPr>
      <w:rPr>
        <w:rFonts w:ascii="Symbol" w:hAnsi="Symbol"/>
      </w:rPr>
    </w:lvl>
    <w:lvl w:ilvl="2" w:tplc="59B02882">
      <w:start w:val="1"/>
      <w:numFmt w:val="bullet"/>
      <w:lvlText w:val=""/>
      <w:lvlJc w:val="left"/>
      <w:pPr>
        <w:ind w:left="1640" w:hanging="360"/>
      </w:pPr>
      <w:rPr>
        <w:rFonts w:ascii="Symbol" w:hAnsi="Symbol"/>
      </w:rPr>
    </w:lvl>
    <w:lvl w:ilvl="3" w:tplc="6E1831BA">
      <w:start w:val="1"/>
      <w:numFmt w:val="bullet"/>
      <w:lvlText w:val=""/>
      <w:lvlJc w:val="left"/>
      <w:pPr>
        <w:ind w:left="1640" w:hanging="360"/>
      </w:pPr>
      <w:rPr>
        <w:rFonts w:ascii="Symbol" w:hAnsi="Symbol"/>
      </w:rPr>
    </w:lvl>
    <w:lvl w:ilvl="4" w:tplc="3280A6F2">
      <w:start w:val="1"/>
      <w:numFmt w:val="bullet"/>
      <w:lvlText w:val=""/>
      <w:lvlJc w:val="left"/>
      <w:pPr>
        <w:ind w:left="1640" w:hanging="360"/>
      </w:pPr>
      <w:rPr>
        <w:rFonts w:ascii="Symbol" w:hAnsi="Symbol"/>
      </w:rPr>
    </w:lvl>
    <w:lvl w:ilvl="5" w:tplc="08D8A8EA">
      <w:start w:val="1"/>
      <w:numFmt w:val="bullet"/>
      <w:lvlText w:val=""/>
      <w:lvlJc w:val="left"/>
      <w:pPr>
        <w:ind w:left="1640" w:hanging="360"/>
      </w:pPr>
      <w:rPr>
        <w:rFonts w:ascii="Symbol" w:hAnsi="Symbol"/>
      </w:rPr>
    </w:lvl>
    <w:lvl w:ilvl="6" w:tplc="A0208E58">
      <w:start w:val="1"/>
      <w:numFmt w:val="bullet"/>
      <w:lvlText w:val=""/>
      <w:lvlJc w:val="left"/>
      <w:pPr>
        <w:ind w:left="1640" w:hanging="360"/>
      </w:pPr>
      <w:rPr>
        <w:rFonts w:ascii="Symbol" w:hAnsi="Symbol"/>
      </w:rPr>
    </w:lvl>
    <w:lvl w:ilvl="7" w:tplc="504E0FC2">
      <w:start w:val="1"/>
      <w:numFmt w:val="bullet"/>
      <w:lvlText w:val=""/>
      <w:lvlJc w:val="left"/>
      <w:pPr>
        <w:ind w:left="1640" w:hanging="360"/>
      </w:pPr>
      <w:rPr>
        <w:rFonts w:ascii="Symbol" w:hAnsi="Symbol"/>
      </w:rPr>
    </w:lvl>
    <w:lvl w:ilvl="8" w:tplc="EA80D83E">
      <w:start w:val="1"/>
      <w:numFmt w:val="bullet"/>
      <w:lvlText w:val=""/>
      <w:lvlJc w:val="left"/>
      <w:pPr>
        <w:ind w:left="1640" w:hanging="360"/>
      </w:pPr>
      <w:rPr>
        <w:rFonts w:ascii="Symbol" w:hAnsi="Symbol"/>
      </w:rPr>
    </w:lvl>
  </w:abstractNum>
  <w:abstractNum w:abstractNumId="88" w15:restartNumberingAfterBreak="0">
    <w:nsid w:val="3299647F"/>
    <w:multiLevelType w:val="multilevel"/>
    <w:tmpl w:val="6D084006"/>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32CD2666"/>
    <w:multiLevelType w:val="hybridMultilevel"/>
    <w:tmpl w:val="AEAEFB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346B38F9"/>
    <w:multiLevelType w:val="hybridMultilevel"/>
    <w:tmpl w:val="6C266BA2"/>
    <w:lvl w:ilvl="0" w:tplc="6F6CF5C0">
      <w:start w:val="1"/>
      <w:numFmt w:val="decimal"/>
      <w:lvlText w:val="%1."/>
      <w:lvlJc w:val="left"/>
      <w:pPr>
        <w:ind w:left="720" w:hanging="360"/>
      </w:pPr>
      <w:rPr>
        <w:rFonts w:ascii="Arial" w:hAnsi="Arial" w:cs="Arial" w:hint="default"/>
        <w:color w:val="00000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34847CE3"/>
    <w:multiLevelType w:val="hybridMultilevel"/>
    <w:tmpl w:val="D1842C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353E5733"/>
    <w:multiLevelType w:val="multilevel"/>
    <w:tmpl w:val="25C4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715B31"/>
    <w:multiLevelType w:val="multilevel"/>
    <w:tmpl w:val="7188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59134E0"/>
    <w:multiLevelType w:val="hybridMultilevel"/>
    <w:tmpl w:val="776CD4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359F5202"/>
    <w:multiLevelType w:val="multilevel"/>
    <w:tmpl w:val="DF32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5DE4FBC"/>
    <w:multiLevelType w:val="multilevel"/>
    <w:tmpl w:val="5E70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6326214"/>
    <w:multiLevelType w:val="hybridMultilevel"/>
    <w:tmpl w:val="B08A3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36510B15"/>
    <w:multiLevelType w:val="hybridMultilevel"/>
    <w:tmpl w:val="92D8D2F0"/>
    <w:lvl w:ilvl="0" w:tplc="04240001">
      <w:start w:val="1"/>
      <w:numFmt w:val="bullet"/>
      <w:lvlText w:val=""/>
      <w:lvlJc w:val="left"/>
      <w:pPr>
        <w:ind w:left="720" w:hanging="360"/>
      </w:pPr>
      <w:rPr>
        <w:rFonts w:ascii="Symbol" w:hAnsi="Symbol" w:hint="default"/>
      </w:rPr>
    </w:lvl>
    <w:lvl w:ilvl="1" w:tplc="C0527B90">
      <w:numFmt w:val="bullet"/>
      <w:lvlText w:val="-"/>
      <w:lvlJc w:val="left"/>
      <w:pPr>
        <w:ind w:left="1440" w:hanging="360"/>
      </w:pPr>
      <w:rPr>
        <w:rFonts w:ascii="Arial" w:eastAsiaTheme="minorHAnsi" w:hAnsi="Arial" w:cs="Arial" w:hint="default"/>
      </w:rPr>
    </w:lvl>
    <w:lvl w:ilvl="2" w:tplc="DB5CEF92">
      <w:numFmt w:val="bullet"/>
      <w:lvlText w:val="−"/>
      <w:lvlJc w:val="left"/>
      <w:pPr>
        <w:ind w:left="2160" w:hanging="360"/>
      </w:pPr>
      <w:rPr>
        <w:rFonts w:ascii="Arial" w:eastAsia="ArialNarrow"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36A80106"/>
    <w:multiLevelType w:val="hybridMultilevel"/>
    <w:tmpl w:val="F8020492"/>
    <w:lvl w:ilvl="0" w:tplc="AD7E36F4">
      <w:start w:val="1"/>
      <w:numFmt w:val="bullet"/>
      <w:lvlText w:val=""/>
      <w:lvlJc w:val="left"/>
      <w:pPr>
        <w:ind w:left="1640" w:hanging="360"/>
      </w:pPr>
      <w:rPr>
        <w:rFonts w:ascii="Symbol" w:hAnsi="Symbol"/>
      </w:rPr>
    </w:lvl>
    <w:lvl w:ilvl="1" w:tplc="B7F85060">
      <w:start w:val="1"/>
      <w:numFmt w:val="bullet"/>
      <w:lvlText w:val=""/>
      <w:lvlJc w:val="left"/>
      <w:pPr>
        <w:ind w:left="1640" w:hanging="360"/>
      </w:pPr>
      <w:rPr>
        <w:rFonts w:ascii="Symbol" w:hAnsi="Symbol"/>
      </w:rPr>
    </w:lvl>
    <w:lvl w:ilvl="2" w:tplc="D4FC5756">
      <w:start w:val="1"/>
      <w:numFmt w:val="bullet"/>
      <w:lvlText w:val=""/>
      <w:lvlJc w:val="left"/>
      <w:pPr>
        <w:ind w:left="1640" w:hanging="360"/>
      </w:pPr>
      <w:rPr>
        <w:rFonts w:ascii="Symbol" w:hAnsi="Symbol"/>
      </w:rPr>
    </w:lvl>
    <w:lvl w:ilvl="3" w:tplc="D5FEEEB0">
      <w:start w:val="1"/>
      <w:numFmt w:val="bullet"/>
      <w:lvlText w:val=""/>
      <w:lvlJc w:val="left"/>
      <w:pPr>
        <w:ind w:left="1640" w:hanging="360"/>
      </w:pPr>
      <w:rPr>
        <w:rFonts w:ascii="Symbol" w:hAnsi="Symbol"/>
      </w:rPr>
    </w:lvl>
    <w:lvl w:ilvl="4" w:tplc="6D9A1F20">
      <w:start w:val="1"/>
      <w:numFmt w:val="bullet"/>
      <w:lvlText w:val=""/>
      <w:lvlJc w:val="left"/>
      <w:pPr>
        <w:ind w:left="1640" w:hanging="360"/>
      </w:pPr>
      <w:rPr>
        <w:rFonts w:ascii="Symbol" w:hAnsi="Symbol"/>
      </w:rPr>
    </w:lvl>
    <w:lvl w:ilvl="5" w:tplc="80BAC466">
      <w:start w:val="1"/>
      <w:numFmt w:val="bullet"/>
      <w:lvlText w:val=""/>
      <w:lvlJc w:val="left"/>
      <w:pPr>
        <w:ind w:left="1640" w:hanging="360"/>
      </w:pPr>
      <w:rPr>
        <w:rFonts w:ascii="Symbol" w:hAnsi="Symbol"/>
      </w:rPr>
    </w:lvl>
    <w:lvl w:ilvl="6" w:tplc="EFF63852">
      <w:start w:val="1"/>
      <w:numFmt w:val="bullet"/>
      <w:lvlText w:val=""/>
      <w:lvlJc w:val="left"/>
      <w:pPr>
        <w:ind w:left="1640" w:hanging="360"/>
      </w:pPr>
      <w:rPr>
        <w:rFonts w:ascii="Symbol" w:hAnsi="Symbol"/>
      </w:rPr>
    </w:lvl>
    <w:lvl w:ilvl="7" w:tplc="22B010D8">
      <w:start w:val="1"/>
      <w:numFmt w:val="bullet"/>
      <w:lvlText w:val=""/>
      <w:lvlJc w:val="left"/>
      <w:pPr>
        <w:ind w:left="1640" w:hanging="360"/>
      </w:pPr>
      <w:rPr>
        <w:rFonts w:ascii="Symbol" w:hAnsi="Symbol"/>
      </w:rPr>
    </w:lvl>
    <w:lvl w:ilvl="8" w:tplc="86C25794">
      <w:start w:val="1"/>
      <w:numFmt w:val="bullet"/>
      <w:lvlText w:val=""/>
      <w:lvlJc w:val="left"/>
      <w:pPr>
        <w:ind w:left="1640" w:hanging="360"/>
      </w:pPr>
      <w:rPr>
        <w:rFonts w:ascii="Symbol" w:hAnsi="Symbol"/>
      </w:rPr>
    </w:lvl>
  </w:abstractNum>
  <w:abstractNum w:abstractNumId="100" w15:restartNumberingAfterBreak="0">
    <w:nsid w:val="371B47DA"/>
    <w:multiLevelType w:val="multilevel"/>
    <w:tmpl w:val="91AA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2B279D"/>
    <w:multiLevelType w:val="hybridMultilevel"/>
    <w:tmpl w:val="F326A3B4"/>
    <w:lvl w:ilvl="0" w:tplc="BCC68798">
      <w:start w:val="1"/>
      <w:numFmt w:val="bullet"/>
      <w:lvlText w:val=""/>
      <w:lvlJc w:val="left"/>
      <w:pPr>
        <w:ind w:left="1640" w:hanging="360"/>
      </w:pPr>
      <w:rPr>
        <w:rFonts w:ascii="Symbol" w:hAnsi="Symbol"/>
      </w:rPr>
    </w:lvl>
    <w:lvl w:ilvl="1" w:tplc="3E76C7C2">
      <w:start w:val="1"/>
      <w:numFmt w:val="bullet"/>
      <w:lvlText w:val=""/>
      <w:lvlJc w:val="left"/>
      <w:pPr>
        <w:ind w:left="1640" w:hanging="360"/>
      </w:pPr>
      <w:rPr>
        <w:rFonts w:ascii="Symbol" w:hAnsi="Symbol"/>
      </w:rPr>
    </w:lvl>
    <w:lvl w:ilvl="2" w:tplc="EA1A8890">
      <w:start w:val="1"/>
      <w:numFmt w:val="bullet"/>
      <w:lvlText w:val=""/>
      <w:lvlJc w:val="left"/>
      <w:pPr>
        <w:ind w:left="1640" w:hanging="360"/>
      </w:pPr>
      <w:rPr>
        <w:rFonts w:ascii="Symbol" w:hAnsi="Symbol"/>
      </w:rPr>
    </w:lvl>
    <w:lvl w:ilvl="3" w:tplc="96B4EABE">
      <w:start w:val="1"/>
      <w:numFmt w:val="bullet"/>
      <w:lvlText w:val=""/>
      <w:lvlJc w:val="left"/>
      <w:pPr>
        <w:ind w:left="1640" w:hanging="360"/>
      </w:pPr>
      <w:rPr>
        <w:rFonts w:ascii="Symbol" w:hAnsi="Symbol"/>
      </w:rPr>
    </w:lvl>
    <w:lvl w:ilvl="4" w:tplc="2E68B128">
      <w:start w:val="1"/>
      <w:numFmt w:val="bullet"/>
      <w:lvlText w:val=""/>
      <w:lvlJc w:val="left"/>
      <w:pPr>
        <w:ind w:left="1640" w:hanging="360"/>
      </w:pPr>
      <w:rPr>
        <w:rFonts w:ascii="Symbol" w:hAnsi="Symbol"/>
      </w:rPr>
    </w:lvl>
    <w:lvl w:ilvl="5" w:tplc="E0A847A8">
      <w:start w:val="1"/>
      <w:numFmt w:val="bullet"/>
      <w:lvlText w:val=""/>
      <w:lvlJc w:val="left"/>
      <w:pPr>
        <w:ind w:left="1640" w:hanging="360"/>
      </w:pPr>
      <w:rPr>
        <w:rFonts w:ascii="Symbol" w:hAnsi="Symbol"/>
      </w:rPr>
    </w:lvl>
    <w:lvl w:ilvl="6" w:tplc="8C263258">
      <w:start w:val="1"/>
      <w:numFmt w:val="bullet"/>
      <w:lvlText w:val=""/>
      <w:lvlJc w:val="left"/>
      <w:pPr>
        <w:ind w:left="1640" w:hanging="360"/>
      </w:pPr>
      <w:rPr>
        <w:rFonts w:ascii="Symbol" w:hAnsi="Symbol"/>
      </w:rPr>
    </w:lvl>
    <w:lvl w:ilvl="7" w:tplc="DCD8E770">
      <w:start w:val="1"/>
      <w:numFmt w:val="bullet"/>
      <w:lvlText w:val=""/>
      <w:lvlJc w:val="left"/>
      <w:pPr>
        <w:ind w:left="1640" w:hanging="360"/>
      </w:pPr>
      <w:rPr>
        <w:rFonts w:ascii="Symbol" w:hAnsi="Symbol"/>
      </w:rPr>
    </w:lvl>
    <w:lvl w:ilvl="8" w:tplc="454ABDCE">
      <w:start w:val="1"/>
      <w:numFmt w:val="bullet"/>
      <w:lvlText w:val=""/>
      <w:lvlJc w:val="left"/>
      <w:pPr>
        <w:ind w:left="1640" w:hanging="360"/>
      </w:pPr>
      <w:rPr>
        <w:rFonts w:ascii="Symbol" w:hAnsi="Symbol"/>
      </w:rPr>
    </w:lvl>
  </w:abstractNum>
  <w:abstractNum w:abstractNumId="102" w15:restartNumberingAfterBreak="0">
    <w:nsid w:val="376C751B"/>
    <w:multiLevelType w:val="hybridMultilevel"/>
    <w:tmpl w:val="ACC6D1DA"/>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03" w15:restartNumberingAfterBreak="0">
    <w:nsid w:val="381D72A8"/>
    <w:multiLevelType w:val="multilevel"/>
    <w:tmpl w:val="E970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3344E5"/>
    <w:multiLevelType w:val="hybridMultilevel"/>
    <w:tmpl w:val="40928EE4"/>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05" w15:restartNumberingAfterBreak="0">
    <w:nsid w:val="39150C98"/>
    <w:multiLevelType w:val="multilevel"/>
    <w:tmpl w:val="ADA0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97C1C4F"/>
    <w:multiLevelType w:val="hybridMultilevel"/>
    <w:tmpl w:val="6226D0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398859E4"/>
    <w:multiLevelType w:val="hybridMultilevel"/>
    <w:tmpl w:val="03065610"/>
    <w:lvl w:ilvl="0" w:tplc="B44A029C">
      <w:start w:val="1"/>
      <w:numFmt w:val="bullet"/>
      <w:lvlText w:val=""/>
      <w:lvlJc w:val="left"/>
      <w:pPr>
        <w:tabs>
          <w:tab w:val="num" w:pos="927"/>
        </w:tabs>
        <w:ind w:left="927" w:hanging="360"/>
      </w:pPr>
      <w:rPr>
        <w:rFonts w:ascii="Symbol" w:hAnsi="Symbol" w:hint="default"/>
      </w:rPr>
    </w:lvl>
    <w:lvl w:ilvl="1" w:tplc="0368202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A255917"/>
    <w:multiLevelType w:val="hybridMultilevel"/>
    <w:tmpl w:val="3DEA93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3A3D6E2F"/>
    <w:multiLevelType w:val="hybridMultilevel"/>
    <w:tmpl w:val="97E245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3A771543"/>
    <w:multiLevelType w:val="multilevel"/>
    <w:tmpl w:val="B22C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B0D22BD"/>
    <w:multiLevelType w:val="hybridMultilevel"/>
    <w:tmpl w:val="AB7649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3B56217D"/>
    <w:multiLevelType w:val="hybridMultilevel"/>
    <w:tmpl w:val="BFF253F6"/>
    <w:lvl w:ilvl="0" w:tplc="5CEC2ABA">
      <w:start w:val="1"/>
      <w:numFmt w:val="bullet"/>
      <w:lvlText w:val=""/>
      <w:lvlJc w:val="left"/>
      <w:pPr>
        <w:ind w:left="1640" w:hanging="360"/>
      </w:pPr>
      <w:rPr>
        <w:rFonts w:ascii="Symbol" w:hAnsi="Symbol"/>
      </w:rPr>
    </w:lvl>
    <w:lvl w:ilvl="1" w:tplc="884892D6">
      <w:start w:val="1"/>
      <w:numFmt w:val="bullet"/>
      <w:lvlText w:val=""/>
      <w:lvlJc w:val="left"/>
      <w:pPr>
        <w:ind w:left="1640" w:hanging="360"/>
      </w:pPr>
      <w:rPr>
        <w:rFonts w:ascii="Symbol" w:hAnsi="Symbol"/>
      </w:rPr>
    </w:lvl>
    <w:lvl w:ilvl="2" w:tplc="95E61444">
      <w:start w:val="1"/>
      <w:numFmt w:val="bullet"/>
      <w:lvlText w:val=""/>
      <w:lvlJc w:val="left"/>
      <w:pPr>
        <w:ind w:left="1640" w:hanging="360"/>
      </w:pPr>
      <w:rPr>
        <w:rFonts w:ascii="Symbol" w:hAnsi="Symbol"/>
      </w:rPr>
    </w:lvl>
    <w:lvl w:ilvl="3" w:tplc="F990B066">
      <w:start w:val="1"/>
      <w:numFmt w:val="bullet"/>
      <w:lvlText w:val=""/>
      <w:lvlJc w:val="left"/>
      <w:pPr>
        <w:ind w:left="1640" w:hanging="360"/>
      </w:pPr>
      <w:rPr>
        <w:rFonts w:ascii="Symbol" w:hAnsi="Symbol"/>
      </w:rPr>
    </w:lvl>
    <w:lvl w:ilvl="4" w:tplc="CA3E4034">
      <w:start w:val="1"/>
      <w:numFmt w:val="bullet"/>
      <w:lvlText w:val=""/>
      <w:lvlJc w:val="left"/>
      <w:pPr>
        <w:ind w:left="1640" w:hanging="360"/>
      </w:pPr>
      <w:rPr>
        <w:rFonts w:ascii="Symbol" w:hAnsi="Symbol"/>
      </w:rPr>
    </w:lvl>
    <w:lvl w:ilvl="5" w:tplc="7132F58C">
      <w:start w:val="1"/>
      <w:numFmt w:val="bullet"/>
      <w:lvlText w:val=""/>
      <w:lvlJc w:val="left"/>
      <w:pPr>
        <w:ind w:left="1640" w:hanging="360"/>
      </w:pPr>
      <w:rPr>
        <w:rFonts w:ascii="Symbol" w:hAnsi="Symbol"/>
      </w:rPr>
    </w:lvl>
    <w:lvl w:ilvl="6" w:tplc="955A182C">
      <w:start w:val="1"/>
      <w:numFmt w:val="bullet"/>
      <w:lvlText w:val=""/>
      <w:lvlJc w:val="left"/>
      <w:pPr>
        <w:ind w:left="1640" w:hanging="360"/>
      </w:pPr>
      <w:rPr>
        <w:rFonts w:ascii="Symbol" w:hAnsi="Symbol"/>
      </w:rPr>
    </w:lvl>
    <w:lvl w:ilvl="7" w:tplc="CFEC3D0A">
      <w:start w:val="1"/>
      <w:numFmt w:val="bullet"/>
      <w:lvlText w:val=""/>
      <w:lvlJc w:val="left"/>
      <w:pPr>
        <w:ind w:left="1640" w:hanging="360"/>
      </w:pPr>
      <w:rPr>
        <w:rFonts w:ascii="Symbol" w:hAnsi="Symbol"/>
      </w:rPr>
    </w:lvl>
    <w:lvl w:ilvl="8" w:tplc="1436AC9E">
      <w:start w:val="1"/>
      <w:numFmt w:val="bullet"/>
      <w:lvlText w:val=""/>
      <w:lvlJc w:val="left"/>
      <w:pPr>
        <w:ind w:left="1640" w:hanging="360"/>
      </w:pPr>
      <w:rPr>
        <w:rFonts w:ascii="Symbol" w:hAnsi="Symbol"/>
      </w:rPr>
    </w:lvl>
  </w:abstractNum>
  <w:abstractNum w:abstractNumId="113" w15:restartNumberingAfterBreak="0">
    <w:nsid w:val="3B980774"/>
    <w:multiLevelType w:val="hybridMultilevel"/>
    <w:tmpl w:val="49B86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3BBA0553"/>
    <w:multiLevelType w:val="multilevel"/>
    <w:tmpl w:val="F9D6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C3203E8"/>
    <w:multiLevelType w:val="hybridMultilevel"/>
    <w:tmpl w:val="10A635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3CBB1028"/>
    <w:multiLevelType w:val="hybridMultilevel"/>
    <w:tmpl w:val="8632A334"/>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7" w15:restartNumberingAfterBreak="0">
    <w:nsid w:val="3CD27401"/>
    <w:multiLevelType w:val="multilevel"/>
    <w:tmpl w:val="4E489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CDC714E"/>
    <w:multiLevelType w:val="multilevel"/>
    <w:tmpl w:val="1F0A1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D8443F1"/>
    <w:multiLevelType w:val="multilevel"/>
    <w:tmpl w:val="844A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EF1C28"/>
    <w:multiLevelType w:val="multilevel"/>
    <w:tmpl w:val="C2B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F23586C"/>
    <w:multiLevelType w:val="multilevel"/>
    <w:tmpl w:val="D2B27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F3507FC"/>
    <w:multiLevelType w:val="hybridMultilevel"/>
    <w:tmpl w:val="1CAAF8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3FC0783A"/>
    <w:multiLevelType w:val="multilevel"/>
    <w:tmpl w:val="418A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FC52207"/>
    <w:multiLevelType w:val="multilevel"/>
    <w:tmpl w:val="4AB4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FE855EE"/>
    <w:multiLevelType w:val="hybridMultilevel"/>
    <w:tmpl w:val="97ECE0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401F25C9"/>
    <w:multiLevelType w:val="multilevel"/>
    <w:tmpl w:val="B626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0455404"/>
    <w:multiLevelType w:val="multilevel"/>
    <w:tmpl w:val="EB4EB782"/>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404B420F"/>
    <w:multiLevelType w:val="hybridMultilevel"/>
    <w:tmpl w:val="E00A7FE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9" w15:restartNumberingAfterBreak="0">
    <w:nsid w:val="40885BC0"/>
    <w:multiLevelType w:val="hybridMultilevel"/>
    <w:tmpl w:val="1AFA68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411E541D"/>
    <w:multiLevelType w:val="hybridMultilevel"/>
    <w:tmpl w:val="461050C4"/>
    <w:lvl w:ilvl="0" w:tplc="3BE2AC44">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412155BD"/>
    <w:multiLevelType w:val="hybridMultilevel"/>
    <w:tmpl w:val="F5CA05D4"/>
    <w:lvl w:ilvl="0" w:tplc="3D9855C2">
      <w:start w:val="1"/>
      <w:numFmt w:val="bullet"/>
      <w:lvlText w:val="Ö"/>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424F12F8"/>
    <w:multiLevelType w:val="hybridMultilevel"/>
    <w:tmpl w:val="CEDC52D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32070B3"/>
    <w:multiLevelType w:val="multilevel"/>
    <w:tmpl w:val="A3EC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525552"/>
    <w:multiLevelType w:val="multilevel"/>
    <w:tmpl w:val="EA5C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D90F77"/>
    <w:multiLevelType w:val="multilevel"/>
    <w:tmpl w:val="FA76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440018C"/>
    <w:multiLevelType w:val="multilevel"/>
    <w:tmpl w:val="183C31D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7" w15:restartNumberingAfterBreak="0">
    <w:nsid w:val="444545F1"/>
    <w:multiLevelType w:val="hybridMultilevel"/>
    <w:tmpl w:val="4BFA4296"/>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38" w15:restartNumberingAfterBreak="0">
    <w:nsid w:val="44635C7A"/>
    <w:multiLevelType w:val="multilevel"/>
    <w:tmpl w:val="1754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5F923B0"/>
    <w:multiLevelType w:val="multilevel"/>
    <w:tmpl w:val="A404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766590C"/>
    <w:multiLevelType w:val="hybridMultilevel"/>
    <w:tmpl w:val="ECB45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49546011"/>
    <w:multiLevelType w:val="hybridMultilevel"/>
    <w:tmpl w:val="7FBCC2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2" w15:restartNumberingAfterBreak="0">
    <w:nsid w:val="498D69B4"/>
    <w:multiLevelType w:val="multilevel"/>
    <w:tmpl w:val="D8A6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99C35AD"/>
    <w:multiLevelType w:val="multilevel"/>
    <w:tmpl w:val="B628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A4A386F"/>
    <w:multiLevelType w:val="multilevel"/>
    <w:tmpl w:val="8C06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AA55F94"/>
    <w:multiLevelType w:val="hybridMultilevel"/>
    <w:tmpl w:val="01DA6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4B0424F9"/>
    <w:multiLevelType w:val="multilevel"/>
    <w:tmpl w:val="1630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BA77977"/>
    <w:multiLevelType w:val="hybridMultilevel"/>
    <w:tmpl w:val="137CEEE8"/>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48" w15:restartNumberingAfterBreak="0">
    <w:nsid w:val="4BCA5A47"/>
    <w:multiLevelType w:val="hybridMultilevel"/>
    <w:tmpl w:val="214E0CBC"/>
    <w:lvl w:ilvl="0" w:tplc="D3CCBD78">
      <w:start w:val="1"/>
      <w:numFmt w:val="bullet"/>
      <w:lvlText w:val=""/>
      <w:lvlJc w:val="left"/>
      <w:pPr>
        <w:ind w:left="1640" w:hanging="360"/>
      </w:pPr>
      <w:rPr>
        <w:rFonts w:ascii="Symbol" w:hAnsi="Symbol"/>
      </w:rPr>
    </w:lvl>
    <w:lvl w:ilvl="1" w:tplc="4BF0BA8E">
      <w:start w:val="1"/>
      <w:numFmt w:val="bullet"/>
      <w:lvlText w:val=""/>
      <w:lvlJc w:val="left"/>
      <w:pPr>
        <w:ind w:left="1640" w:hanging="360"/>
      </w:pPr>
      <w:rPr>
        <w:rFonts w:ascii="Symbol" w:hAnsi="Symbol"/>
      </w:rPr>
    </w:lvl>
    <w:lvl w:ilvl="2" w:tplc="7D0242B6">
      <w:start w:val="1"/>
      <w:numFmt w:val="bullet"/>
      <w:lvlText w:val=""/>
      <w:lvlJc w:val="left"/>
      <w:pPr>
        <w:ind w:left="1640" w:hanging="360"/>
      </w:pPr>
      <w:rPr>
        <w:rFonts w:ascii="Symbol" w:hAnsi="Symbol"/>
      </w:rPr>
    </w:lvl>
    <w:lvl w:ilvl="3" w:tplc="9746CDD8">
      <w:start w:val="1"/>
      <w:numFmt w:val="bullet"/>
      <w:lvlText w:val=""/>
      <w:lvlJc w:val="left"/>
      <w:pPr>
        <w:ind w:left="1640" w:hanging="360"/>
      </w:pPr>
      <w:rPr>
        <w:rFonts w:ascii="Symbol" w:hAnsi="Symbol"/>
      </w:rPr>
    </w:lvl>
    <w:lvl w:ilvl="4" w:tplc="50E02E60">
      <w:start w:val="1"/>
      <w:numFmt w:val="bullet"/>
      <w:lvlText w:val=""/>
      <w:lvlJc w:val="left"/>
      <w:pPr>
        <w:ind w:left="1640" w:hanging="360"/>
      </w:pPr>
      <w:rPr>
        <w:rFonts w:ascii="Symbol" w:hAnsi="Symbol"/>
      </w:rPr>
    </w:lvl>
    <w:lvl w:ilvl="5" w:tplc="688C48E0">
      <w:start w:val="1"/>
      <w:numFmt w:val="bullet"/>
      <w:lvlText w:val=""/>
      <w:lvlJc w:val="left"/>
      <w:pPr>
        <w:ind w:left="1640" w:hanging="360"/>
      </w:pPr>
      <w:rPr>
        <w:rFonts w:ascii="Symbol" w:hAnsi="Symbol"/>
      </w:rPr>
    </w:lvl>
    <w:lvl w:ilvl="6" w:tplc="1668F29C">
      <w:start w:val="1"/>
      <w:numFmt w:val="bullet"/>
      <w:lvlText w:val=""/>
      <w:lvlJc w:val="left"/>
      <w:pPr>
        <w:ind w:left="1640" w:hanging="360"/>
      </w:pPr>
      <w:rPr>
        <w:rFonts w:ascii="Symbol" w:hAnsi="Symbol"/>
      </w:rPr>
    </w:lvl>
    <w:lvl w:ilvl="7" w:tplc="023061D4">
      <w:start w:val="1"/>
      <w:numFmt w:val="bullet"/>
      <w:lvlText w:val=""/>
      <w:lvlJc w:val="left"/>
      <w:pPr>
        <w:ind w:left="1640" w:hanging="360"/>
      </w:pPr>
      <w:rPr>
        <w:rFonts w:ascii="Symbol" w:hAnsi="Symbol"/>
      </w:rPr>
    </w:lvl>
    <w:lvl w:ilvl="8" w:tplc="590A637A">
      <w:start w:val="1"/>
      <w:numFmt w:val="bullet"/>
      <w:lvlText w:val=""/>
      <w:lvlJc w:val="left"/>
      <w:pPr>
        <w:ind w:left="1640" w:hanging="360"/>
      </w:pPr>
      <w:rPr>
        <w:rFonts w:ascii="Symbol" w:hAnsi="Symbol"/>
      </w:rPr>
    </w:lvl>
  </w:abstractNum>
  <w:abstractNum w:abstractNumId="149" w15:restartNumberingAfterBreak="0">
    <w:nsid w:val="4C5E69A6"/>
    <w:multiLevelType w:val="multilevel"/>
    <w:tmpl w:val="C6A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CA461E4"/>
    <w:multiLevelType w:val="hybridMultilevel"/>
    <w:tmpl w:val="729C6942"/>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4CB053BA"/>
    <w:multiLevelType w:val="multilevel"/>
    <w:tmpl w:val="A0B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D9F0E13"/>
    <w:multiLevelType w:val="multilevel"/>
    <w:tmpl w:val="30B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DBD1946"/>
    <w:multiLevelType w:val="hybridMultilevel"/>
    <w:tmpl w:val="B43CFD40"/>
    <w:lvl w:ilvl="0" w:tplc="03CAA83C">
      <w:start w:val="1"/>
      <w:numFmt w:val="bullet"/>
      <w:lvlText w:val=""/>
      <w:lvlJc w:val="left"/>
      <w:pPr>
        <w:ind w:left="1640" w:hanging="360"/>
      </w:pPr>
      <w:rPr>
        <w:rFonts w:ascii="Symbol" w:hAnsi="Symbol"/>
      </w:rPr>
    </w:lvl>
    <w:lvl w:ilvl="1" w:tplc="A9D28418">
      <w:start w:val="1"/>
      <w:numFmt w:val="bullet"/>
      <w:lvlText w:val=""/>
      <w:lvlJc w:val="left"/>
      <w:pPr>
        <w:ind w:left="1640" w:hanging="360"/>
      </w:pPr>
      <w:rPr>
        <w:rFonts w:ascii="Symbol" w:hAnsi="Symbol"/>
      </w:rPr>
    </w:lvl>
    <w:lvl w:ilvl="2" w:tplc="EC1C8BE0">
      <w:start w:val="1"/>
      <w:numFmt w:val="bullet"/>
      <w:lvlText w:val=""/>
      <w:lvlJc w:val="left"/>
      <w:pPr>
        <w:ind w:left="1640" w:hanging="360"/>
      </w:pPr>
      <w:rPr>
        <w:rFonts w:ascii="Symbol" w:hAnsi="Symbol"/>
      </w:rPr>
    </w:lvl>
    <w:lvl w:ilvl="3" w:tplc="B1A4825E">
      <w:start w:val="1"/>
      <w:numFmt w:val="bullet"/>
      <w:lvlText w:val=""/>
      <w:lvlJc w:val="left"/>
      <w:pPr>
        <w:ind w:left="1640" w:hanging="360"/>
      </w:pPr>
      <w:rPr>
        <w:rFonts w:ascii="Symbol" w:hAnsi="Symbol"/>
      </w:rPr>
    </w:lvl>
    <w:lvl w:ilvl="4" w:tplc="E34452DE">
      <w:start w:val="1"/>
      <w:numFmt w:val="bullet"/>
      <w:lvlText w:val=""/>
      <w:lvlJc w:val="left"/>
      <w:pPr>
        <w:ind w:left="1640" w:hanging="360"/>
      </w:pPr>
      <w:rPr>
        <w:rFonts w:ascii="Symbol" w:hAnsi="Symbol"/>
      </w:rPr>
    </w:lvl>
    <w:lvl w:ilvl="5" w:tplc="6D585FCA">
      <w:start w:val="1"/>
      <w:numFmt w:val="bullet"/>
      <w:lvlText w:val=""/>
      <w:lvlJc w:val="left"/>
      <w:pPr>
        <w:ind w:left="1640" w:hanging="360"/>
      </w:pPr>
      <w:rPr>
        <w:rFonts w:ascii="Symbol" w:hAnsi="Symbol"/>
      </w:rPr>
    </w:lvl>
    <w:lvl w:ilvl="6" w:tplc="57E41AF8">
      <w:start w:val="1"/>
      <w:numFmt w:val="bullet"/>
      <w:lvlText w:val=""/>
      <w:lvlJc w:val="left"/>
      <w:pPr>
        <w:ind w:left="1640" w:hanging="360"/>
      </w:pPr>
      <w:rPr>
        <w:rFonts w:ascii="Symbol" w:hAnsi="Symbol"/>
      </w:rPr>
    </w:lvl>
    <w:lvl w:ilvl="7" w:tplc="EEE66D82">
      <w:start w:val="1"/>
      <w:numFmt w:val="bullet"/>
      <w:lvlText w:val=""/>
      <w:lvlJc w:val="left"/>
      <w:pPr>
        <w:ind w:left="1640" w:hanging="360"/>
      </w:pPr>
      <w:rPr>
        <w:rFonts w:ascii="Symbol" w:hAnsi="Symbol"/>
      </w:rPr>
    </w:lvl>
    <w:lvl w:ilvl="8" w:tplc="A224BC78">
      <w:start w:val="1"/>
      <w:numFmt w:val="bullet"/>
      <w:lvlText w:val=""/>
      <w:lvlJc w:val="left"/>
      <w:pPr>
        <w:ind w:left="1640" w:hanging="360"/>
      </w:pPr>
      <w:rPr>
        <w:rFonts w:ascii="Symbol" w:hAnsi="Symbol"/>
      </w:rPr>
    </w:lvl>
  </w:abstractNum>
  <w:abstractNum w:abstractNumId="154" w15:restartNumberingAfterBreak="0">
    <w:nsid w:val="4ED57C1E"/>
    <w:multiLevelType w:val="multilevel"/>
    <w:tmpl w:val="A46E9A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0DD6236"/>
    <w:multiLevelType w:val="multilevel"/>
    <w:tmpl w:val="1C12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125493F"/>
    <w:multiLevelType w:val="hybridMultilevel"/>
    <w:tmpl w:val="886AB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51EA458C"/>
    <w:multiLevelType w:val="multilevel"/>
    <w:tmpl w:val="B546F504"/>
    <w:styleLink w:val="WWNum37"/>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156" w:hanging="360"/>
      </w:pPr>
      <w:rPr>
        <w:rFonts w:ascii="Courier New" w:hAnsi="Courier New"/>
      </w:rPr>
    </w:lvl>
    <w:lvl w:ilvl="2">
      <w:numFmt w:val="bullet"/>
      <w:lvlText w:val=""/>
      <w:lvlJc w:val="left"/>
      <w:pPr>
        <w:ind w:left="1876" w:hanging="360"/>
      </w:pPr>
      <w:rPr>
        <w:rFonts w:ascii="Wingdings" w:hAnsi="Wingdings"/>
      </w:rPr>
    </w:lvl>
    <w:lvl w:ilvl="3">
      <w:numFmt w:val="bullet"/>
      <w:lvlText w:val=""/>
      <w:lvlJc w:val="left"/>
      <w:pPr>
        <w:ind w:left="2596" w:hanging="360"/>
      </w:pPr>
      <w:rPr>
        <w:rFonts w:ascii="Symbol" w:hAnsi="Symbol"/>
      </w:rPr>
    </w:lvl>
    <w:lvl w:ilvl="4">
      <w:numFmt w:val="bullet"/>
      <w:lvlText w:val="o"/>
      <w:lvlJc w:val="left"/>
      <w:pPr>
        <w:ind w:left="3316" w:hanging="360"/>
      </w:pPr>
      <w:rPr>
        <w:rFonts w:ascii="Courier New" w:hAnsi="Courier New"/>
      </w:rPr>
    </w:lvl>
    <w:lvl w:ilvl="5">
      <w:numFmt w:val="bullet"/>
      <w:lvlText w:val=""/>
      <w:lvlJc w:val="left"/>
      <w:pPr>
        <w:ind w:left="4036" w:hanging="360"/>
      </w:pPr>
      <w:rPr>
        <w:rFonts w:ascii="Wingdings" w:hAnsi="Wingdings"/>
      </w:rPr>
    </w:lvl>
    <w:lvl w:ilvl="6">
      <w:numFmt w:val="bullet"/>
      <w:lvlText w:val=""/>
      <w:lvlJc w:val="left"/>
      <w:pPr>
        <w:ind w:left="4756" w:hanging="360"/>
      </w:pPr>
      <w:rPr>
        <w:rFonts w:ascii="Symbol" w:hAnsi="Symbol"/>
      </w:rPr>
    </w:lvl>
    <w:lvl w:ilvl="7">
      <w:numFmt w:val="bullet"/>
      <w:lvlText w:val="o"/>
      <w:lvlJc w:val="left"/>
      <w:pPr>
        <w:ind w:left="5476" w:hanging="360"/>
      </w:pPr>
      <w:rPr>
        <w:rFonts w:ascii="Courier New" w:hAnsi="Courier New"/>
      </w:rPr>
    </w:lvl>
    <w:lvl w:ilvl="8">
      <w:numFmt w:val="bullet"/>
      <w:lvlText w:val=""/>
      <w:lvlJc w:val="left"/>
      <w:pPr>
        <w:ind w:left="6196" w:hanging="360"/>
      </w:pPr>
      <w:rPr>
        <w:rFonts w:ascii="Wingdings" w:hAnsi="Wingdings"/>
      </w:rPr>
    </w:lvl>
  </w:abstractNum>
  <w:abstractNum w:abstractNumId="158" w15:restartNumberingAfterBreak="0">
    <w:nsid w:val="51F2728B"/>
    <w:multiLevelType w:val="hybridMultilevel"/>
    <w:tmpl w:val="3690BCD8"/>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52392B0C"/>
    <w:multiLevelType w:val="multilevel"/>
    <w:tmpl w:val="4C0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23A4CC8"/>
    <w:multiLevelType w:val="multilevel"/>
    <w:tmpl w:val="D7BA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2751471"/>
    <w:multiLevelType w:val="multilevel"/>
    <w:tmpl w:val="DC6C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2915DE4"/>
    <w:multiLevelType w:val="multilevel"/>
    <w:tmpl w:val="8334F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31508EE"/>
    <w:multiLevelType w:val="hybridMultilevel"/>
    <w:tmpl w:val="7A3E1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53924926"/>
    <w:multiLevelType w:val="multilevel"/>
    <w:tmpl w:val="0EFE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4B573B3"/>
    <w:multiLevelType w:val="multilevel"/>
    <w:tmpl w:val="4C56FCE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5.5.%3"/>
      <w:lvlJc w:val="left"/>
      <w:pPr>
        <w:tabs>
          <w:tab w:val="num" w:pos="720"/>
        </w:tabs>
        <w:ind w:left="720" w:hanging="720"/>
      </w:pPr>
      <w:rPr>
        <w:rFonts w:hint="default"/>
      </w:rPr>
    </w:lvl>
    <w:lvl w:ilvl="3">
      <w:start w:val="1"/>
      <w:numFmt w:val="decimal"/>
      <w:pStyle w:val="Slog9"/>
      <w:lvlText w:val="5.5.2.%4"/>
      <w:lvlJc w:val="left"/>
      <w:pPr>
        <w:tabs>
          <w:tab w:val="num" w:pos="284"/>
        </w:tabs>
        <w:ind w:left="284" w:hanging="28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5.2.%4.%5"/>
      <w:lvlJc w:val="left"/>
      <w:pPr>
        <w:tabs>
          <w:tab w:val="num" w:pos="4968"/>
        </w:tabs>
        <w:ind w:left="49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6" w15:restartNumberingAfterBreak="0">
    <w:nsid w:val="5535299A"/>
    <w:multiLevelType w:val="hybridMultilevel"/>
    <w:tmpl w:val="5FACC45C"/>
    <w:lvl w:ilvl="0" w:tplc="2000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554739A5"/>
    <w:multiLevelType w:val="hybridMultilevel"/>
    <w:tmpl w:val="CEA2C9C0"/>
    <w:lvl w:ilvl="0" w:tplc="EB70BEFE">
      <w:numFmt w:val="bullet"/>
      <w:lvlText w:val="-"/>
      <w:lvlJc w:val="left"/>
      <w:pPr>
        <w:ind w:left="1065" w:hanging="705"/>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55D47BA3"/>
    <w:multiLevelType w:val="multilevel"/>
    <w:tmpl w:val="D0E8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6AA080D"/>
    <w:multiLevelType w:val="hybridMultilevel"/>
    <w:tmpl w:val="1D0001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56EC755E"/>
    <w:multiLevelType w:val="hybridMultilevel"/>
    <w:tmpl w:val="BC34D0A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57150B58"/>
    <w:multiLevelType w:val="hybridMultilevel"/>
    <w:tmpl w:val="A126CC52"/>
    <w:lvl w:ilvl="0" w:tplc="DA825C7A">
      <w:start w:val="1"/>
      <w:numFmt w:val="bullet"/>
      <w:lvlText w:val=""/>
      <w:lvlJc w:val="left"/>
      <w:pPr>
        <w:ind w:left="1640" w:hanging="360"/>
      </w:pPr>
      <w:rPr>
        <w:rFonts w:ascii="Symbol" w:hAnsi="Symbol"/>
      </w:rPr>
    </w:lvl>
    <w:lvl w:ilvl="1" w:tplc="13785680">
      <w:start w:val="1"/>
      <w:numFmt w:val="bullet"/>
      <w:lvlText w:val=""/>
      <w:lvlJc w:val="left"/>
      <w:pPr>
        <w:ind w:left="1640" w:hanging="360"/>
      </w:pPr>
      <w:rPr>
        <w:rFonts w:ascii="Symbol" w:hAnsi="Symbol"/>
      </w:rPr>
    </w:lvl>
    <w:lvl w:ilvl="2" w:tplc="E346988A">
      <w:start w:val="1"/>
      <w:numFmt w:val="bullet"/>
      <w:lvlText w:val=""/>
      <w:lvlJc w:val="left"/>
      <w:pPr>
        <w:ind w:left="1640" w:hanging="360"/>
      </w:pPr>
      <w:rPr>
        <w:rFonts w:ascii="Symbol" w:hAnsi="Symbol"/>
      </w:rPr>
    </w:lvl>
    <w:lvl w:ilvl="3" w:tplc="7088AF2E">
      <w:start w:val="1"/>
      <w:numFmt w:val="bullet"/>
      <w:lvlText w:val=""/>
      <w:lvlJc w:val="left"/>
      <w:pPr>
        <w:ind w:left="1640" w:hanging="360"/>
      </w:pPr>
      <w:rPr>
        <w:rFonts w:ascii="Symbol" w:hAnsi="Symbol"/>
      </w:rPr>
    </w:lvl>
    <w:lvl w:ilvl="4" w:tplc="10DE7512">
      <w:start w:val="1"/>
      <w:numFmt w:val="bullet"/>
      <w:lvlText w:val=""/>
      <w:lvlJc w:val="left"/>
      <w:pPr>
        <w:ind w:left="1640" w:hanging="360"/>
      </w:pPr>
      <w:rPr>
        <w:rFonts w:ascii="Symbol" w:hAnsi="Symbol"/>
      </w:rPr>
    </w:lvl>
    <w:lvl w:ilvl="5" w:tplc="B798C662">
      <w:start w:val="1"/>
      <w:numFmt w:val="bullet"/>
      <w:lvlText w:val=""/>
      <w:lvlJc w:val="left"/>
      <w:pPr>
        <w:ind w:left="1640" w:hanging="360"/>
      </w:pPr>
      <w:rPr>
        <w:rFonts w:ascii="Symbol" w:hAnsi="Symbol"/>
      </w:rPr>
    </w:lvl>
    <w:lvl w:ilvl="6" w:tplc="16DEA560">
      <w:start w:val="1"/>
      <w:numFmt w:val="bullet"/>
      <w:lvlText w:val=""/>
      <w:lvlJc w:val="left"/>
      <w:pPr>
        <w:ind w:left="1640" w:hanging="360"/>
      </w:pPr>
      <w:rPr>
        <w:rFonts w:ascii="Symbol" w:hAnsi="Symbol"/>
      </w:rPr>
    </w:lvl>
    <w:lvl w:ilvl="7" w:tplc="D4F09DF0">
      <w:start w:val="1"/>
      <w:numFmt w:val="bullet"/>
      <w:lvlText w:val=""/>
      <w:lvlJc w:val="left"/>
      <w:pPr>
        <w:ind w:left="1640" w:hanging="360"/>
      </w:pPr>
      <w:rPr>
        <w:rFonts w:ascii="Symbol" w:hAnsi="Symbol"/>
      </w:rPr>
    </w:lvl>
    <w:lvl w:ilvl="8" w:tplc="6F56BBF2">
      <w:start w:val="1"/>
      <w:numFmt w:val="bullet"/>
      <w:lvlText w:val=""/>
      <w:lvlJc w:val="left"/>
      <w:pPr>
        <w:ind w:left="1640" w:hanging="360"/>
      </w:pPr>
      <w:rPr>
        <w:rFonts w:ascii="Symbol" w:hAnsi="Symbol"/>
      </w:rPr>
    </w:lvl>
  </w:abstractNum>
  <w:abstractNum w:abstractNumId="172" w15:restartNumberingAfterBreak="0">
    <w:nsid w:val="573301FE"/>
    <w:multiLevelType w:val="hybridMultilevel"/>
    <w:tmpl w:val="3ACC1D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57D727C9"/>
    <w:multiLevelType w:val="multilevel"/>
    <w:tmpl w:val="FFAA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8910378"/>
    <w:multiLevelType w:val="multilevel"/>
    <w:tmpl w:val="8B1E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AB63B34"/>
    <w:multiLevelType w:val="hybridMultilevel"/>
    <w:tmpl w:val="840AF946"/>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6" w15:restartNumberingAfterBreak="0">
    <w:nsid w:val="5BDA0019"/>
    <w:multiLevelType w:val="hybridMultilevel"/>
    <w:tmpl w:val="CA940490"/>
    <w:lvl w:ilvl="0" w:tplc="FFFFFFFF">
      <w:start w:val="1"/>
      <w:numFmt w:val="decimal"/>
      <w:lvlText w:val="13.%1."/>
      <w:lvlJc w:val="left"/>
    </w:lvl>
    <w:lvl w:ilvl="1" w:tplc="0424000B">
      <w:start w:val="1"/>
      <w:numFmt w:val="bullet"/>
      <w:lvlText w:val=""/>
      <w:lvlJc w:val="left"/>
      <w:rPr>
        <w:rFonts w:ascii="Wingdings" w:hAnsi="Wingdings" w:hint="default"/>
      </w:rPr>
    </w:lvl>
    <w:lvl w:ilvl="2" w:tplc="0424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7" w15:restartNumberingAfterBreak="0">
    <w:nsid w:val="5C42070E"/>
    <w:multiLevelType w:val="hybridMultilevel"/>
    <w:tmpl w:val="5B4C0596"/>
    <w:lvl w:ilvl="0" w:tplc="A7EA3234">
      <w:start w:val="9"/>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8" w15:restartNumberingAfterBreak="0">
    <w:nsid w:val="5C834F44"/>
    <w:multiLevelType w:val="hybridMultilevel"/>
    <w:tmpl w:val="2F64908E"/>
    <w:lvl w:ilvl="0" w:tplc="2000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5CAD1ADC"/>
    <w:multiLevelType w:val="hybridMultilevel"/>
    <w:tmpl w:val="4A2E1B62"/>
    <w:lvl w:ilvl="0" w:tplc="04240001">
      <w:start w:val="1"/>
      <w:numFmt w:val="bullet"/>
      <w:lvlText w:val=""/>
      <w:lvlJc w:val="left"/>
      <w:pPr>
        <w:ind w:left="720" w:hanging="360"/>
      </w:pPr>
      <w:rPr>
        <w:rFonts w:ascii="Symbol" w:hAnsi="Symbol" w:hint="default"/>
      </w:rPr>
    </w:lvl>
    <w:lvl w:ilvl="1" w:tplc="F1726C52">
      <w:numFmt w:val="bullet"/>
      <w:lvlText w:val="-"/>
      <w:lvlJc w:val="left"/>
      <w:pPr>
        <w:ind w:left="1440" w:hanging="36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5D293178"/>
    <w:multiLevelType w:val="hybridMultilevel"/>
    <w:tmpl w:val="2C16AD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15:restartNumberingAfterBreak="0">
    <w:nsid w:val="5DA25782"/>
    <w:multiLevelType w:val="multilevel"/>
    <w:tmpl w:val="DDE2B420"/>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E4A0ABD"/>
    <w:multiLevelType w:val="multilevel"/>
    <w:tmpl w:val="5FA81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5E907AEE"/>
    <w:multiLevelType w:val="hybridMultilevel"/>
    <w:tmpl w:val="85C07DF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4" w15:restartNumberingAfterBreak="0">
    <w:nsid w:val="5F74276A"/>
    <w:multiLevelType w:val="hybridMultilevel"/>
    <w:tmpl w:val="815C2D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5F895799"/>
    <w:multiLevelType w:val="multilevel"/>
    <w:tmpl w:val="9DC07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03939D3"/>
    <w:multiLevelType w:val="multilevel"/>
    <w:tmpl w:val="2AD8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06C54D1"/>
    <w:multiLevelType w:val="hybridMultilevel"/>
    <w:tmpl w:val="CCAED1C0"/>
    <w:lvl w:ilvl="0" w:tplc="B086B812">
      <w:start w:val="5"/>
      <w:numFmt w:val="bullet"/>
      <w:lvlText w:val="-"/>
      <w:lvlJc w:val="left"/>
      <w:pPr>
        <w:ind w:left="720" w:hanging="360"/>
      </w:pPr>
      <w:rPr>
        <w:rFonts w:ascii="Arial" w:eastAsia="Times New Roman" w:hAnsi="Arial" w:hint="default"/>
      </w:rPr>
    </w:lvl>
    <w:lvl w:ilvl="1" w:tplc="3900374E">
      <w:start w:val="1"/>
      <w:numFmt w:val="bullet"/>
      <w:lvlText w:val="o"/>
      <w:lvlJc w:val="left"/>
      <w:pPr>
        <w:ind w:left="1440" w:hanging="360"/>
      </w:pPr>
      <w:rPr>
        <w:rFonts w:ascii="Courier New" w:hAnsi="Courier New" w:hint="default"/>
      </w:rPr>
    </w:lvl>
    <w:lvl w:ilvl="2" w:tplc="3EA0F24E" w:tentative="1">
      <w:start w:val="1"/>
      <w:numFmt w:val="bullet"/>
      <w:lvlText w:val=""/>
      <w:lvlJc w:val="left"/>
      <w:pPr>
        <w:ind w:left="2160" w:hanging="360"/>
      </w:pPr>
      <w:rPr>
        <w:rFonts w:ascii="Wingdings" w:hAnsi="Wingdings" w:hint="default"/>
      </w:rPr>
    </w:lvl>
    <w:lvl w:ilvl="3" w:tplc="372C045E" w:tentative="1">
      <w:start w:val="1"/>
      <w:numFmt w:val="bullet"/>
      <w:lvlText w:val=""/>
      <w:lvlJc w:val="left"/>
      <w:pPr>
        <w:ind w:left="2880" w:hanging="360"/>
      </w:pPr>
      <w:rPr>
        <w:rFonts w:ascii="Symbol" w:hAnsi="Symbol" w:hint="default"/>
      </w:rPr>
    </w:lvl>
    <w:lvl w:ilvl="4" w:tplc="08748AAE" w:tentative="1">
      <w:start w:val="1"/>
      <w:numFmt w:val="bullet"/>
      <w:lvlText w:val="o"/>
      <w:lvlJc w:val="left"/>
      <w:pPr>
        <w:ind w:left="3600" w:hanging="360"/>
      </w:pPr>
      <w:rPr>
        <w:rFonts w:ascii="Courier New" w:hAnsi="Courier New" w:hint="default"/>
      </w:rPr>
    </w:lvl>
    <w:lvl w:ilvl="5" w:tplc="D33402F6" w:tentative="1">
      <w:start w:val="1"/>
      <w:numFmt w:val="bullet"/>
      <w:lvlText w:val=""/>
      <w:lvlJc w:val="left"/>
      <w:pPr>
        <w:ind w:left="4320" w:hanging="360"/>
      </w:pPr>
      <w:rPr>
        <w:rFonts w:ascii="Wingdings" w:hAnsi="Wingdings" w:hint="default"/>
      </w:rPr>
    </w:lvl>
    <w:lvl w:ilvl="6" w:tplc="142411B4" w:tentative="1">
      <w:start w:val="1"/>
      <w:numFmt w:val="bullet"/>
      <w:lvlText w:val=""/>
      <w:lvlJc w:val="left"/>
      <w:pPr>
        <w:ind w:left="5040" w:hanging="360"/>
      </w:pPr>
      <w:rPr>
        <w:rFonts w:ascii="Symbol" w:hAnsi="Symbol" w:hint="default"/>
      </w:rPr>
    </w:lvl>
    <w:lvl w:ilvl="7" w:tplc="79146DB8" w:tentative="1">
      <w:start w:val="1"/>
      <w:numFmt w:val="bullet"/>
      <w:lvlText w:val="o"/>
      <w:lvlJc w:val="left"/>
      <w:pPr>
        <w:ind w:left="5760" w:hanging="360"/>
      </w:pPr>
      <w:rPr>
        <w:rFonts w:ascii="Courier New" w:hAnsi="Courier New" w:hint="default"/>
      </w:rPr>
    </w:lvl>
    <w:lvl w:ilvl="8" w:tplc="AE2659C4" w:tentative="1">
      <w:start w:val="1"/>
      <w:numFmt w:val="bullet"/>
      <w:lvlText w:val=""/>
      <w:lvlJc w:val="left"/>
      <w:pPr>
        <w:ind w:left="6480" w:hanging="360"/>
      </w:pPr>
      <w:rPr>
        <w:rFonts w:ascii="Wingdings" w:hAnsi="Wingdings" w:hint="default"/>
      </w:rPr>
    </w:lvl>
  </w:abstractNum>
  <w:abstractNum w:abstractNumId="188" w15:restartNumberingAfterBreak="0">
    <w:nsid w:val="616E0004"/>
    <w:multiLevelType w:val="multilevel"/>
    <w:tmpl w:val="74CE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22E43B8"/>
    <w:multiLevelType w:val="multilevel"/>
    <w:tmpl w:val="6D061C10"/>
    <w:lvl w:ilvl="0">
      <w:start w:val="1"/>
      <w:numFmt w:val="bullet"/>
      <w:pStyle w:val="Naslov2PodPoglavjePoglavj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62B57AB2"/>
    <w:multiLevelType w:val="hybridMultilevel"/>
    <w:tmpl w:val="8154194E"/>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AFE6939E">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1" w15:restartNumberingAfterBreak="0">
    <w:nsid w:val="63EA472E"/>
    <w:multiLevelType w:val="hybridMultilevel"/>
    <w:tmpl w:val="E24C2E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2" w15:restartNumberingAfterBreak="0">
    <w:nsid w:val="63FE4642"/>
    <w:multiLevelType w:val="multilevel"/>
    <w:tmpl w:val="3C24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F93B2D"/>
    <w:multiLevelType w:val="multilevel"/>
    <w:tmpl w:val="D310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7241BCE"/>
    <w:multiLevelType w:val="hybridMultilevel"/>
    <w:tmpl w:val="4F16994A"/>
    <w:lvl w:ilvl="0" w:tplc="E2AA56D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73A7677"/>
    <w:multiLevelType w:val="multilevel"/>
    <w:tmpl w:val="F0D82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76D1852"/>
    <w:multiLevelType w:val="multilevel"/>
    <w:tmpl w:val="6116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8AC4BC6"/>
    <w:multiLevelType w:val="hybridMultilevel"/>
    <w:tmpl w:val="B08A31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69482A14"/>
    <w:multiLevelType w:val="singleLevel"/>
    <w:tmpl w:val="CAA6C7D2"/>
    <w:lvl w:ilvl="0">
      <w:numFmt w:val="bullet"/>
      <w:pStyle w:val="nastevanje3"/>
      <w:lvlText w:val="-"/>
      <w:lvlJc w:val="left"/>
      <w:pPr>
        <w:tabs>
          <w:tab w:val="num" w:pos="360"/>
        </w:tabs>
        <w:ind w:left="360" w:hanging="360"/>
      </w:pPr>
      <w:rPr>
        <w:rFonts w:hint="default"/>
      </w:rPr>
    </w:lvl>
  </w:abstractNum>
  <w:abstractNum w:abstractNumId="199" w15:restartNumberingAfterBreak="0">
    <w:nsid w:val="6AB43F95"/>
    <w:multiLevelType w:val="multilevel"/>
    <w:tmpl w:val="F108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B2C4233"/>
    <w:multiLevelType w:val="hybridMultilevel"/>
    <w:tmpl w:val="9B54936E"/>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201" w15:restartNumberingAfterBreak="0">
    <w:nsid w:val="6BC111E0"/>
    <w:multiLevelType w:val="hybridMultilevel"/>
    <w:tmpl w:val="FB881A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2" w15:restartNumberingAfterBreak="0">
    <w:nsid w:val="6CBA6FE1"/>
    <w:multiLevelType w:val="hybridMultilevel"/>
    <w:tmpl w:val="AD2A9FB2"/>
    <w:lvl w:ilvl="0" w:tplc="D74E8AC0">
      <w:start w:val="1"/>
      <w:numFmt w:val="bullet"/>
      <w:lvlText w:val=""/>
      <w:lvlJc w:val="left"/>
      <w:pPr>
        <w:ind w:left="920" w:hanging="360"/>
      </w:pPr>
      <w:rPr>
        <w:rFonts w:ascii="Symbol" w:hAnsi="Symbol"/>
      </w:rPr>
    </w:lvl>
    <w:lvl w:ilvl="1" w:tplc="73340928">
      <w:start w:val="1"/>
      <w:numFmt w:val="bullet"/>
      <w:lvlText w:val=""/>
      <w:lvlJc w:val="left"/>
      <w:pPr>
        <w:ind w:left="920" w:hanging="360"/>
      </w:pPr>
      <w:rPr>
        <w:rFonts w:ascii="Symbol" w:hAnsi="Symbol"/>
      </w:rPr>
    </w:lvl>
    <w:lvl w:ilvl="2" w:tplc="982C4174">
      <w:start w:val="1"/>
      <w:numFmt w:val="bullet"/>
      <w:lvlText w:val=""/>
      <w:lvlJc w:val="left"/>
      <w:pPr>
        <w:ind w:left="920" w:hanging="360"/>
      </w:pPr>
      <w:rPr>
        <w:rFonts w:ascii="Symbol" w:hAnsi="Symbol"/>
      </w:rPr>
    </w:lvl>
    <w:lvl w:ilvl="3" w:tplc="7756C0B4">
      <w:start w:val="1"/>
      <w:numFmt w:val="bullet"/>
      <w:lvlText w:val=""/>
      <w:lvlJc w:val="left"/>
      <w:pPr>
        <w:ind w:left="920" w:hanging="360"/>
      </w:pPr>
      <w:rPr>
        <w:rFonts w:ascii="Symbol" w:hAnsi="Symbol"/>
      </w:rPr>
    </w:lvl>
    <w:lvl w:ilvl="4" w:tplc="62EEE10C">
      <w:start w:val="1"/>
      <w:numFmt w:val="bullet"/>
      <w:lvlText w:val=""/>
      <w:lvlJc w:val="left"/>
      <w:pPr>
        <w:ind w:left="920" w:hanging="360"/>
      </w:pPr>
      <w:rPr>
        <w:rFonts w:ascii="Symbol" w:hAnsi="Symbol"/>
      </w:rPr>
    </w:lvl>
    <w:lvl w:ilvl="5" w:tplc="0C383BD6">
      <w:start w:val="1"/>
      <w:numFmt w:val="bullet"/>
      <w:lvlText w:val=""/>
      <w:lvlJc w:val="left"/>
      <w:pPr>
        <w:ind w:left="920" w:hanging="360"/>
      </w:pPr>
      <w:rPr>
        <w:rFonts w:ascii="Symbol" w:hAnsi="Symbol"/>
      </w:rPr>
    </w:lvl>
    <w:lvl w:ilvl="6" w:tplc="FBBE2C90">
      <w:start w:val="1"/>
      <w:numFmt w:val="bullet"/>
      <w:lvlText w:val=""/>
      <w:lvlJc w:val="left"/>
      <w:pPr>
        <w:ind w:left="920" w:hanging="360"/>
      </w:pPr>
      <w:rPr>
        <w:rFonts w:ascii="Symbol" w:hAnsi="Symbol"/>
      </w:rPr>
    </w:lvl>
    <w:lvl w:ilvl="7" w:tplc="20386878">
      <w:start w:val="1"/>
      <w:numFmt w:val="bullet"/>
      <w:lvlText w:val=""/>
      <w:lvlJc w:val="left"/>
      <w:pPr>
        <w:ind w:left="920" w:hanging="360"/>
      </w:pPr>
      <w:rPr>
        <w:rFonts w:ascii="Symbol" w:hAnsi="Symbol"/>
      </w:rPr>
    </w:lvl>
    <w:lvl w:ilvl="8" w:tplc="341A2C78">
      <w:start w:val="1"/>
      <w:numFmt w:val="bullet"/>
      <w:lvlText w:val=""/>
      <w:lvlJc w:val="left"/>
      <w:pPr>
        <w:ind w:left="920" w:hanging="360"/>
      </w:pPr>
      <w:rPr>
        <w:rFonts w:ascii="Symbol" w:hAnsi="Symbol"/>
      </w:rPr>
    </w:lvl>
  </w:abstractNum>
  <w:abstractNum w:abstractNumId="203" w15:restartNumberingAfterBreak="0">
    <w:nsid w:val="6CC4754D"/>
    <w:multiLevelType w:val="multilevel"/>
    <w:tmpl w:val="A9D265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DA811B8"/>
    <w:multiLevelType w:val="hybridMultilevel"/>
    <w:tmpl w:val="F25C66CA"/>
    <w:lvl w:ilvl="0" w:tplc="2000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5" w15:restartNumberingAfterBreak="0">
    <w:nsid w:val="6F5145EF"/>
    <w:multiLevelType w:val="multilevel"/>
    <w:tmpl w:val="4678EC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6" w15:restartNumberingAfterBreak="0">
    <w:nsid w:val="6FC771BC"/>
    <w:multiLevelType w:val="hybridMultilevel"/>
    <w:tmpl w:val="A092A374"/>
    <w:lvl w:ilvl="0" w:tplc="783E6246">
      <w:start w:val="5"/>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7" w15:restartNumberingAfterBreak="0">
    <w:nsid w:val="70292356"/>
    <w:multiLevelType w:val="multilevel"/>
    <w:tmpl w:val="96B2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0A070DF"/>
    <w:multiLevelType w:val="hybridMultilevel"/>
    <w:tmpl w:val="DB20E7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9" w15:restartNumberingAfterBreak="0">
    <w:nsid w:val="720A3F54"/>
    <w:multiLevelType w:val="multilevel"/>
    <w:tmpl w:val="8B6EA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72585AAC"/>
    <w:multiLevelType w:val="hybridMultilevel"/>
    <w:tmpl w:val="8C3A2A3A"/>
    <w:lvl w:ilvl="0" w:tplc="7E1C65BA">
      <w:start w:val="1"/>
      <w:numFmt w:val="bullet"/>
      <w:lvlText w:val=""/>
      <w:lvlJc w:val="left"/>
      <w:pPr>
        <w:ind w:left="1640" w:hanging="360"/>
      </w:pPr>
      <w:rPr>
        <w:rFonts w:ascii="Symbol" w:hAnsi="Symbol"/>
      </w:rPr>
    </w:lvl>
    <w:lvl w:ilvl="1" w:tplc="1A9EA108">
      <w:start w:val="1"/>
      <w:numFmt w:val="bullet"/>
      <w:lvlText w:val=""/>
      <w:lvlJc w:val="left"/>
      <w:pPr>
        <w:ind w:left="1640" w:hanging="360"/>
      </w:pPr>
      <w:rPr>
        <w:rFonts w:ascii="Symbol" w:hAnsi="Symbol"/>
      </w:rPr>
    </w:lvl>
    <w:lvl w:ilvl="2" w:tplc="604A7EA2">
      <w:start w:val="1"/>
      <w:numFmt w:val="bullet"/>
      <w:lvlText w:val=""/>
      <w:lvlJc w:val="left"/>
      <w:pPr>
        <w:ind w:left="1640" w:hanging="360"/>
      </w:pPr>
      <w:rPr>
        <w:rFonts w:ascii="Symbol" w:hAnsi="Symbol"/>
      </w:rPr>
    </w:lvl>
    <w:lvl w:ilvl="3" w:tplc="7C4A97F6">
      <w:start w:val="1"/>
      <w:numFmt w:val="bullet"/>
      <w:lvlText w:val=""/>
      <w:lvlJc w:val="left"/>
      <w:pPr>
        <w:ind w:left="1640" w:hanging="360"/>
      </w:pPr>
      <w:rPr>
        <w:rFonts w:ascii="Symbol" w:hAnsi="Symbol"/>
      </w:rPr>
    </w:lvl>
    <w:lvl w:ilvl="4" w:tplc="441EBA88">
      <w:start w:val="1"/>
      <w:numFmt w:val="bullet"/>
      <w:lvlText w:val=""/>
      <w:lvlJc w:val="left"/>
      <w:pPr>
        <w:ind w:left="1640" w:hanging="360"/>
      </w:pPr>
      <w:rPr>
        <w:rFonts w:ascii="Symbol" w:hAnsi="Symbol"/>
      </w:rPr>
    </w:lvl>
    <w:lvl w:ilvl="5" w:tplc="9822D418">
      <w:start w:val="1"/>
      <w:numFmt w:val="bullet"/>
      <w:lvlText w:val=""/>
      <w:lvlJc w:val="left"/>
      <w:pPr>
        <w:ind w:left="1640" w:hanging="360"/>
      </w:pPr>
      <w:rPr>
        <w:rFonts w:ascii="Symbol" w:hAnsi="Symbol"/>
      </w:rPr>
    </w:lvl>
    <w:lvl w:ilvl="6" w:tplc="34725D90">
      <w:start w:val="1"/>
      <w:numFmt w:val="bullet"/>
      <w:lvlText w:val=""/>
      <w:lvlJc w:val="left"/>
      <w:pPr>
        <w:ind w:left="1640" w:hanging="360"/>
      </w:pPr>
      <w:rPr>
        <w:rFonts w:ascii="Symbol" w:hAnsi="Symbol"/>
      </w:rPr>
    </w:lvl>
    <w:lvl w:ilvl="7" w:tplc="CFFA3500">
      <w:start w:val="1"/>
      <w:numFmt w:val="bullet"/>
      <w:lvlText w:val=""/>
      <w:lvlJc w:val="left"/>
      <w:pPr>
        <w:ind w:left="1640" w:hanging="360"/>
      </w:pPr>
      <w:rPr>
        <w:rFonts w:ascii="Symbol" w:hAnsi="Symbol"/>
      </w:rPr>
    </w:lvl>
    <w:lvl w:ilvl="8" w:tplc="B330ABB0">
      <w:start w:val="1"/>
      <w:numFmt w:val="bullet"/>
      <w:lvlText w:val=""/>
      <w:lvlJc w:val="left"/>
      <w:pPr>
        <w:ind w:left="1640" w:hanging="360"/>
      </w:pPr>
      <w:rPr>
        <w:rFonts w:ascii="Symbol" w:hAnsi="Symbol"/>
      </w:rPr>
    </w:lvl>
  </w:abstractNum>
  <w:abstractNum w:abstractNumId="211" w15:restartNumberingAfterBreak="0">
    <w:nsid w:val="72BF4A7F"/>
    <w:multiLevelType w:val="multilevel"/>
    <w:tmpl w:val="4202A2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2" w15:restartNumberingAfterBreak="0">
    <w:nsid w:val="734A33F4"/>
    <w:multiLevelType w:val="hybridMultilevel"/>
    <w:tmpl w:val="B5B4463C"/>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3" w15:restartNumberingAfterBreak="0">
    <w:nsid w:val="73E30FF9"/>
    <w:multiLevelType w:val="multilevel"/>
    <w:tmpl w:val="FAB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5C85A08"/>
    <w:multiLevelType w:val="multilevel"/>
    <w:tmpl w:val="4382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6097DFC"/>
    <w:multiLevelType w:val="multilevel"/>
    <w:tmpl w:val="E0FE2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79B97BAE"/>
    <w:multiLevelType w:val="multilevel"/>
    <w:tmpl w:val="2EDAE20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7" w15:restartNumberingAfterBreak="0">
    <w:nsid w:val="79C1320D"/>
    <w:multiLevelType w:val="hybridMultilevel"/>
    <w:tmpl w:val="9E06C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79C2648C"/>
    <w:multiLevelType w:val="multilevel"/>
    <w:tmpl w:val="1F3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A404586"/>
    <w:multiLevelType w:val="hybridMultilevel"/>
    <w:tmpl w:val="C2DAB918"/>
    <w:lvl w:ilvl="0" w:tplc="C8F26B18">
      <w:start w:val="1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0" w15:restartNumberingAfterBreak="0">
    <w:nsid w:val="7A8D549E"/>
    <w:multiLevelType w:val="hybridMultilevel"/>
    <w:tmpl w:val="E00002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1" w15:restartNumberingAfterBreak="0">
    <w:nsid w:val="7A8E6B24"/>
    <w:multiLevelType w:val="multilevel"/>
    <w:tmpl w:val="4A7A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AAB40A2"/>
    <w:multiLevelType w:val="multilevel"/>
    <w:tmpl w:val="6A8E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B9426C0"/>
    <w:multiLevelType w:val="multilevel"/>
    <w:tmpl w:val="C0D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BFB3033"/>
    <w:multiLevelType w:val="multilevel"/>
    <w:tmpl w:val="AC2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C6D400E"/>
    <w:multiLevelType w:val="multilevel"/>
    <w:tmpl w:val="3E4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C8B27B5"/>
    <w:multiLevelType w:val="multilevel"/>
    <w:tmpl w:val="0F94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D950A64"/>
    <w:multiLevelType w:val="hybridMultilevel"/>
    <w:tmpl w:val="8E18DC0E"/>
    <w:lvl w:ilvl="0" w:tplc="04240001">
      <w:start w:val="1"/>
      <w:numFmt w:val="bullet"/>
      <w:lvlText w:val=""/>
      <w:lvlJc w:val="left"/>
      <w:pPr>
        <w:tabs>
          <w:tab w:val="num" w:pos="927"/>
        </w:tabs>
        <w:ind w:left="927" w:hanging="360"/>
      </w:pPr>
      <w:rPr>
        <w:rFonts w:ascii="Symbol" w:hAnsi="Symbol" w:hint="default"/>
      </w:rPr>
    </w:lvl>
    <w:lvl w:ilvl="1" w:tplc="0368202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7DC244C7"/>
    <w:multiLevelType w:val="hybridMultilevel"/>
    <w:tmpl w:val="9EF8098C"/>
    <w:lvl w:ilvl="0" w:tplc="A7225F2E">
      <w:start w:val="1"/>
      <w:numFmt w:val="bullet"/>
      <w:lvlText w:val=""/>
      <w:lvlJc w:val="left"/>
      <w:pPr>
        <w:ind w:left="920" w:hanging="360"/>
      </w:pPr>
      <w:rPr>
        <w:rFonts w:ascii="Symbol" w:hAnsi="Symbol"/>
      </w:rPr>
    </w:lvl>
    <w:lvl w:ilvl="1" w:tplc="D06EC1B8">
      <w:start w:val="1"/>
      <w:numFmt w:val="bullet"/>
      <w:lvlText w:val=""/>
      <w:lvlJc w:val="left"/>
      <w:pPr>
        <w:ind w:left="920" w:hanging="360"/>
      </w:pPr>
      <w:rPr>
        <w:rFonts w:ascii="Symbol" w:hAnsi="Symbol"/>
      </w:rPr>
    </w:lvl>
    <w:lvl w:ilvl="2" w:tplc="5A5CCCCC">
      <w:start w:val="1"/>
      <w:numFmt w:val="bullet"/>
      <w:lvlText w:val=""/>
      <w:lvlJc w:val="left"/>
      <w:pPr>
        <w:ind w:left="920" w:hanging="360"/>
      </w:pPr>
      <w:rPr>
        <w:rFonts w:ascii="Symbol" w:hAnsi="Symbol"/>
      </w:rPr>
    </w:lvl>
    <w:lvl w:ilvl="3" w:tplc="3FBC9086">
      <w:start w:val="1"/>
      <w:numFmt w:val="bullet"/>
      <w:lvlText w:val=""/>
      <w:lvlJc w:val="left"/>
      <w:pPr>
        <w:ind w:left="920" w:hanging="360"/>
      </w:pPr>
      <w:rPr>
        <w:rFonts w:ascii="Symbol" w:hAnsi="Symbol"/>
      </w:rPr>
    </w:lvl>
    <w:lvl w:ilvl="4" w:tplc="DEE0E33C">
      <w:start w:val="1"/>
      <w:numFmt w:val="bullet"/>
      <w:lvlText w:val=""/>
      <w:lvlJc w:val="left"/>
      <w:pPr>
        <w:ind w:left="920" w:hanging="360"/>
      </w:pPr>
      <w:rPr>
        <w:rFonts w:ascii="Symbol" w:hAnsi="Symbol"/>
      </w:rPr>
    </w:lvl>
    <w:lvl w:ilvl="5" w:tplc="F2E6062E">
      <w:start w:val="1"/>
      <w:numFmt w:val="bullet"/>
      <w:lvlText w:val=""/>
      <w:lvlJc w:val="left"/>
      <w:pPr>
        <w:ind w:left="920" w:hanging="360"/>
      </w:pPr>
      <w:rPr>
        <w:rFonts w:ascii="Symbol" w:hAnsi="Symbol"/>
      </w:rPr>
    </w:lvl>
    <w:lvl w:ilvl="6" w:tplc="8A5213B8">
      <w:start w:val="1"/>
      <w:numFmt w:val="bullet"/>
      <w:lvlText w:val=""/>
      <w:lvlJc w:val="left"/>
      <w:pPr>
        <w:ind w:left="920" w:hanging="360"/>
      </w:pPr>
      <w:rPr>
        <w:rFonts w:ascii="Symbol" w:hAnsi="Symbol"/>
      </w:rPr>
    </w:lvl>
    <w:lvl w:ilvl="7" w:tplc="B6321A04">
      <w:start w:val="1"/>
      <w:numFmt w:val="bullet"/>
      <w:lvlText w:val=""/>
      <w:lvlJc w:val="left"/>
      <w:pPr>
        <w:ind w:left="920" w:hanging="360"/>
      </w:pPr>
      <w:rPr>
        <w:rFonts w:ascii="Symbol" w:hAnsi="Symbol"/>
      </w:rPr>
    </w:lvl>
    <w:lvl w:ilvl="8" w:tplc="94366EBA">
      <w:start w:val="1"/>
      <w:numFmt w:val="bullet"/>
      <w:lvlText w:val=""/>
      <w:lvlJc w:val="left"/>
      <w:pPr>
        <w:ind w:left="920" w:hanging="360"/>
      </w:pPr>
      <w:rPr>
        <w:rFonts w:ascii="Symbol" w:hAnsi="Symbol"/>
      </w:rPr>
    </w:lvl>
  </w:abstractNum>
  <w:abstractNum w:abstractNumId="229" w15:restartNumberingAfterBreak="0">
    <w:nsid w:val="7DC825DD"/>
    <w:multiLevelType w:val="multilevel"/>
    <w:tmpl w:val="85AC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E500960"/>
    <w:multiLevelType w:val="multilevel"/>
    <w:tmpl w:val="9054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E9141B5"/>
    <w:multiLevelType w:val="multilevel"/>
    <w:tmpl w:val="1028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EA711E7"/>
    <w:multiLevelType w:val="multilevel"/>
    <w:tmpl w:val="015EED5A"/>
    <w:lvl w:ilvl="0">
      <w:start w:val="1"/>
      <w:numFmt w:val="bullet"/>
      <w:lvlText w:val="⮚"/>
      <w:lvlJc w:val="left"/>
      <w:pPr>
        <w:ind w:left="720" w:hanging="360"/>
      </w:pPr>
      <w:rPr>
        <w:rFonts w:ascii="Noto Sans Symbols" w:eastAsia="Noto Sans Symbols" w:hAnsi="Noto Sans Symbols" w:cs="Noto Sans Symbols"/>
        <w:color w:val="000000"/>
        <w:sz w:val="16"/>
        <w:szCs w:val="16"/>
      </w:rPr>
    </w:lvl>
    <w:lvl w:ilvl="1">
      <w:start w:val="1"/>
      <w:numFmt w:val="bullet"/>
      <w:lvlText w:val="-"/>
      <w:lvlJc w:val="left"/>
      <w:pPr>
        <w:ind w:left="1440" w:hanging="360"/>
      </w:pPr>
      <w:rPr>
        <w:color w:val="506428"/>
        <w:sz w:val="18"/>
        <w:szCs w:val="1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7EC05B38"/>
    <w:multiLevelType w:val="multilevel"/>
    <w:tmpl w:val="97122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7F1E02D1"/>
    <w:multiLevelType w:val="multilevel"/>
    <w:tmpl w:val="6AA4A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5" w15:restartNumberingAfterBreak="0">
    <w:nsid w:val="7FBD57D2"/>
    <w:multiLevelType w:val="multilevel"/>
    <w:tmpl w:val="C5E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FE847C0"/>
    <w:multiLevelType w:val="hybridMultilevel"/>
    <w:tmpl w:val="8670F1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7036346">
    <w:abstractNumId w:val="22"/>
  </w:num>
  <w:num w:numId="2" w16cid:durableId="997463627">
    <w:abstractNumId w:val="22"/>
  </w:num>
  <w:num w:numId="3" w16cid:durableId="19765226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6305485">
    <w:abstractNumId w:val="65"/>
  </w:num>
  <w:num w:numId="5" w16cid:durableId="602424696">
    <w:abstractNumId w:val="0"/>
  </w:num>
  <w:num w:numId="6" w16cid:durableId="702051917">
    <w:abstractNumId w:val="209"/>
  </w:num>
  <w:num w:numId="7" w16cid:durableId="1473478299">
    <w:abstractNumId w:val="84"/>
  </w:num>
  <w:num w:numId="8" w16cid:durableId="286159169">
    <w:abstractNumId w:val="61"/>
  </w:num>
  <w:num w:numId="9" w16cid:durableId="361589749">
    <w:abstractNumId w:val="157"/>
  </w:num>
  <w:num w:numId="10" w16cid:durableId="2002268635">
    <w:abstractNumId w:val="88"/>
  </w:num>
  <w:num w:numId="11" w16cid:durableId="1643803071">
    <w:abstractNumId w:val="136"/>
  </w:num>
  <w:num w:numId="12" w16cid:durableId="1503666227">
    <w:abstractNumId w:val="127"/>
  </w:num>
  <w:num w:numId="13" w16cid:durableId="613709252">
    <w:abstractNumId w:val="34"/>
  </w:num>
  <w:num w:numId="14" w16cid:durableId="19841929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9041799">
    <w:abstractNumId w:val="76"/>
  </w:num>
  <w:num w:numId="16" w16cid:durableId="2145584036">
    <w:abstractNumId w:val="21"/>
  </w:num>
  <w:num w:numId="17" w16cid:durableId="1143082041">
    <w:abstractNumId w:val="194"/>
  </w:num>
  <w:num w:numId="18" w16cid:durableId="2060548555">
    <w:abstractNumId w:val="71"/>
  </w:num>
  <w:num w:numId="19" w16cid:durableId="1479147751">
    <w:abstractNumId w:val="4"/>
  </w:num>
  <w:num w:numId="20" w16cid:durableId="418331955">
    <w:abstractNumId w:val="30"/>
  </w:num>
  <w:num w:numId="21" w16cid:durableId="354232635">
    <w:abstractNumId w:val="74"/>
  </w:num>
  <w:num w:numId="22" w16cid:durableId="46686741">
    <w:abstractNumId w:val="232"/>
  </w:num>
  <w:num w:numId="23" w16cid:durableId="622999508">
    <w:abstractNumId w:val="169"/>
  </w:num>
  <w:num w:numId="24" w16cid:durableId="2004354054">
    <w:abstractNumId w:val="80"/>
  </w:num>
  <w:num w:numId="25" w16cid:durableId="1485008657">
    <w:abstractNumId w:val="217"/>
  </w:num>
  <w:num w:numId="26" w16cid:durableId="1503397930">
    <w:abstractNumId w:val="109"/>
  </w:num>
  <w:num w:numId="27" w16cid:durableId="2052729407">
    <w:abstractNumId w:val="107"/>
  </w:num>
  <w:num w:numId="28" w16cid:durableId="546526138">
    <w:abstractNumId w:val="150"/>
  </w:num>
  <w:num w:numId="29" w16cid:durableId="712660107">
    <w:abstractNumId w:val="170"/>
  </w:num>
  <w:num w:numId="30" w16cid:durableId="919096286">
    <w:abstractNumId w:val="75"/>
  </w:num>
  <w:num w:numId="31" w16cid:durableId="874079029">
    <w:abstractNumId w:val="43"/>
  </w:num>
  <w:num w:numId="32" w16cid:durableId="37170236">
    <w:abstractNumId w:val="196"/>
  </w:num>
  <w:num w:numId="33" w16cid:durableId="1341925797">
    <w:abstractNumId w:val="213"/>
  </w:num>
  <w:num w:numId="34" w16cid:durableId="156382258">
    <w:abstractNumId w:val="36"/>
  </w:num>
  <w:num w:numId="35" w16cid:durableId="1818716497">
    <w:abstractNumId w:val="230"/>
  </w:num>
  <w:num w:numId="36" w16cid:durableId="788739630">
    <w:abstractNumId w:val="142"/>
  </w:num>
  <w:num w:numId="37" w16cid:durableId="474883226">
    <w:abstractNumId w:val="46"/>
  </w:num>
  <w:num w:numId="38" w16cid:durableId="869798271">
    <w:abstractNumId w:val="38"/>
  </w:num>
  <w:num w:numId="39" w16cid:durableId="459156778">
    <w:abstractNumId w:val="23"/>
  </w:num>
  <w:num w:numId="40" w16cid:durableId="441724199">
    <w:abstractNumId w:val="8"/>
  </w:num>
  <w:num w:numId="41" w16cid:durableId="1993482055">
    <w:abstractNumId w:val="53"/>
  </w:num>
  <w:num w:numId="42" w16cid:durableId="1542789191">
    <w:abstractNumId w:val="186"/>
  </w:num>
  <w:num w:numId="43" w16cid:durableId="827407554">
    <w:abstractNumId w:val="37"/>
  </w:num>
  <w:num w:numId="44" w16cid:durableId="542907070">
    <w:abstractNumId w:val="152"/>
  </w:num>
  <w:num w:numId="45" w16cid:durableId="485435870">
    <w:abstractNumId w:val="133"/>
  </w:num>
  <w:num w:numId="46" w16cid:durableId="1671828959">
    <w:abstractNumId w:val="105"/>
  </w:num>
  <w:num w:numId="47" w16cid:durableId="954139544">
    <w:abstractNumId w:val="123"/>
  </w:num>
  <w:num w:numId="48" w16cid:durableId="1849367665">
    <w:abstractNumId w:val="192"/>
  </w:num>
  <w:num w:numId="49" w16cid:durableId="1965623594">
    <w:abstractNumId w:val="149"/>
  </w:num>
  <w:num w:numId="50" w16cid:durableId="1249388245">
    <w:abstractNumId w:val="160"/>
  </w:num>
  <w:num w:numId="51" w16cid:durableId="1472332327">
    <w:abstractNumId w:val="224"/>
  </w:num>
  <w:num w:numId="52" w16cid:durableId="329411542">
    <w:abstractNumId w:val="62"/>
  </w:num>
  <w:num w:numId="53" w16cid:durableId="276328603">
    <w:abstractNumId w:val="5"/>
  </w:num>
  <w:num w:numId="54" w16cid:durableId="877471784">
    <w:abstractNumId w:val="56"/>
  </w:num>
  <w:num w:numId="55" w16cid:durableId="345250241">
    <w:abstractNumId w:val="26"/>
  </w:num>
  <w:num w:numId="56" w16cid:durableId="520583770">
    <w:abstractNumId w:val="50"/>
  </w:num>
  <w:num w:numId="57" w16cid:durableId="1932398065">
    <w:abstractNumId w:val="39"/>
  </w:num>
  <w:num w:numId="58" w16cid:durableId="537284675">
    <w:abstractNumId w:val="221"/>
  </w:num>
  <w:num w:numId="59" w16cid:durableId="1837183988">
    <w:abstractNumId w:val="162"/>
  </w:num>
  <w:num w:numId="60" w16cid:durableId="225261147">
    <w:abstractNumId w:val="144"/>
  </w:num>
  <w:num w:numId="61" w16cid:durableId="290748856">
    <w:abstractNumId w:val="47"/>
  </w:num>
  <w:num w:numId="62" w16cid:durableId="1184396134">
    <w:abstractNumId w:val="151"/>
  </w:num>
  <w:num w:numId="63" w16cid:durableId="1327051246">
    <w:abstractNumId w:val="222"/>
  </w:num>
  <w:num w:numId="64" w16cid:durableId="919096446">
    <w:abstractNumId w:val="143"/>
  </w:num>
  <w:num w:numId="65" w16cid:durableId="27948331">
    <w:abstractNumId w:val="114"/>
  </w:num>
  <w:num w:numId="66" w16cid:durableId="823160501">
    <w:abstractNumId w:val="11"/>
  </w:num>
  <w:num w:numId="67" w16cid:durableId="1696425858">
    <w:abstractNumId w:val="122"/>
  </w:num>
  <w:num w:numId="68" w16cid:durableId="1438481585">
    <w:abstractNumId w:val="48"/>
  </w:num>
  <w:num w:numId="69" w16cid:durableId="314652516">
    <w:abstractNumId w:val="55"/>
  </w:num>
  <w:num w:numId="70" w16cid:durableId="852693322">
    <w:abstractNumId w:val="102"/>
  </w:num>
  <w:num w:numId="71" w16cid:durableId="1339309299">
    <w:abstractNumId w:val="215"/>
  </w:num>
  <w:num w:numId="72" w16cid:durableId="1636060627">
    <w:abstractNumId w:val="159"/>
  </w:num>
  <w:num w:numId="73" w16cid:durableId="1241450355">
    <w:abstractNumId w:val="161"/>
  </w:num>
  <w:num w:numId="74" w16cid:durableId="1226573426">
    <w:abstractNumId w:val="79"/>
  </w:num>
  <w:num w:numId="75" w16cid:durableId="379791345">
    <w:abstractNumId w:val="104"/>
  </w:num>
  <w:num w:numId="76" w16cid:durableId="676619742">
    <w:abstractNumId w:val="145"/>
  </w:num>
  <w:num w:numId="77" w16cid:durableId="1544101250">
    <w:abstractNumId w:val="125"/>
  </w:num>
  <w:num w:numId="78" w16cid:durableId="1404254199">
    <w:abstractNumId w:val="115"/>
  </w:num>
  <w:num w:numId="79" w16cid:durableId="347681678">
    <w:abstractNumId w:val="108"/>
  </w:num>
  <w:num w:numId="80" w16cid:durableId="921840705">
    <w:abstractNumId w:val="184"/>
  </w:num>
  <w:num w:numId="81" w16cid:durableId="874849360">
    <w:abstractNumId w:val="220"/>
  </w:num>
  <w:num w:numId="82" w16cid:durableId="1278365505">
    <w:abstractNumId w:val="156"/>
  </w:num>
  <w:num w:numId="83" w16cid:durableId="1109352064">
    <w:abstractNumId w:val="94"/>
  </w:num>
  <w:num w:numId="84" w16cid:durableId="26102050">
    <w:abstractNumId w:val="147"/>
  </w:num>
  <w:num w:numId="85" w16cid:durableId="817502556">
    <w:abstractNumId w:val="51"/>
  </w:num>
  <w:num w:numId="86" w16cid:durableId="883062787">
    <w:abstractNumId w:val="91"/>
  </w:num>
  <w:num w:numId="87" w16cid:durableId="1794254450">
    <w:abstractNumId w:val="17"/>
  </w:num>
  <w:num w:numId="88" w16cid:durableId="753162268">
    <w:abstractNumId w:val="16"/>
  </w:num>
  <w:num w:numId="89" w16cid:durableId="1295334676">
    <w:abstractNumId w:val="57"/>
  </w:num>
  <w:num w:numId="90" w16cid:durableId="858547499">
    <w:abstractNumId w:val="201"/>
  </w:num>
  <w:num w:numId="91" w16cid:durableId="2037003151">
    <w:abstractNumId w:val="28"/>
  </w:num>
  <w:num w:numId="92" w16cid:durableId="2017534359">
    <w:abstractNumId w:val="106"/>
  </w:num>
  <w:num w:numId="93" w16cid:durableId="455832098">
    <w:abstractNumId w:val="167"/>
  </w:num>
  <w:num w:numId="94" w16cid:durableId="1127166562">
    <w:abstractNumId w:val="227"/>
  </w:num>
  <w:num w:numId="95" w16cid:durableId="317076281">
    <w:abstractNumId w:val="180"/>
  </w:num>
  <w:num w:numId="96" w16cid:durableId="81149549">
    <w:abstractNumId w:val="179"/>
  </w:num>
  <w:num w:numId="97" w16cid:durableId="681273813">
    <w:abstractNumId w:val="236"/>
  </w:num>
  <w:num w:numId="98" w16cid:durableId="645625591">
    <w:abstractNumId w:val="132"/>
  </w:num>
  <w:num w:numId="99" w16cid:durableId="1005597368">
    <w:abstractNumId w:val="158"/>
  </w:num>
  <w:num w:numId="100" w16cid:durableId="1861552955">
    <w:abstractNumId w:val="111"/>
  </w:num>
  <w:num w:numId="101" w16cid:durableId="845246798">
    <w:abstractNumId w:val="113"/>
  </w:num>
  <w:num w:numId="102" w16cid:durableId="529877066">
    <w:abstractNumId w:val="190"/>
  </w:num>
  <w:num w:numId="103" w16cid:durableId="1895577616">
    <w:abstractNumId w:val="58"/>
  </w:num>
  <w:num w:numId="104" w16cid:durableId="1465154181">
    <w:abstractNumId w:val="176"/>
  </w:num>
  <w:num w:numId="105" w16cid:durableId="485047038">
    <w:abstractNumId w:val="129"/>
  </w:num>
  <w:num w:numId="106" w16cid:durableId="1823693335">
    <w:abstractNumId w:val="168"/>
  </w:num>
  <w:num w:numId="107" w16cid:durableId="1227647600">
    <w:abstractNumId w:val="29"/>
  </w:num>
  <w:num w:numId="108" w16cid:durableId="1022318337">
    <w:abstractNumId w:val="199"/>
  </w:num>
  <w:num w:numId="109" w16cid:durableId="1334070187">
    <w:abstractNumId w:val="181"/>
  </w:num>
  <w:num w:numId="110" w16cid:durableId="1339579577">
    <w:abstractNumId w:val="63"/>
  </w:num>
  <w:num w:numId="111" w16cid:durableId="341855908">
    <w:abstractNumId w:val="24"/>
  </w:num>
  <w:num w:numId="112" w16cid:durableId="2000964454">
    <w:abstractNumId w:val="31"/>
  </w:num>
  <w:num w:numId="113" w16cid:durableId="9338184">
    <w:abstractNumId w:val="178"/>
  </w:num>
  <w:num w:numId="114" w16cid:durableId="1885410453">
    <w:abstractNumId w:val="68"/>
  </w:num>
  <w:num w:numId="115" w16cid:durableId="1523856169">
    <w:abstractNumId w:val="204"/>
  </w:num>
  <w:num w:numId="116" w16cid:durableId="2066835476">
    <w:abstractNumId w:val="13"/>
  </w:num>
  <w:num w:numId="117" w16cid:durableId="1805000544">
    <w:abstractNumId w:val="135"/>
  </w:num>
  <w:num w:numId="118" w16cid:durableId="2014185459">
    <w:abstractNumId w:val="103"/>
  </w:num>
  <w:num w:numId="119" w16cid:durableId="1879783127">
    <w:abstractNumId w:val="40"/>
  </w:num>
  <w:num w:numId="120" w16cid:durableId="132332082">
    <w:abstractNumId w:val="42"/>
  </w:num>
  <w:num w:numId="121" w16cid:durableId="1164128086">
    <w:abstractNumId w:val="124"/>
  </w:num>
  <w:num w:numId="122" w16cid:durableId="891622819">
    <w:abstractNumId w:val="120"/>
  </w:num>
  <w:num w:numId="123" w16cid:durableId="562175636">
    <w:abstractNumId w:val="155"/>
  </w:num>
  <w:num w:numId="124" w16cid:durableId="1017344095">
    <w:abstractNumId w:val="146"/>
  </w:num>
  <w:num w:numId="125" w16cid:durableId="588585941">
    <w:abstractNumId w:val="78"/>
  </w:num>
  <w:num w:numId="126" w16cid:durableId="642932333">
    <w:abstractNumId w:val="93"/>
  </w:num>
  <w:num w:numId="127" w16cid:durableId="599681953">
    <w:abstractNumId w:val="119"/>
  </w:num>
  <w:num w:numId="128" w16cid:durableId="366684732">
    <w:abstractNumId w:val="126"/>
  </w:num>
  <w:num w:numId="129" w16cid:durableId="86849957">
    <w:abstractNumId w:val="214"/>
  </w:num>
  <w:num w:numId="130" w16cid:durableId="378552803">
    <w:abstractNumId w:val="85"/>
  </w:num>
  <w:num w:numId="131" w16cid:durableId="1034620581">
    <w:abstractNumId w:val="187"/>
  </w:num>
  <w:num w:numId="132" w16cid:durableId="165561645">
    <w:abstractNumId w:val="32"/>
  </w:num>
  <w:num w:numId="133" w16cid:durableId="1379205536">
    <w:abstractNumId w:val="110"/>
  </w:num>
  <w:num w:numId="134" w16cid:durableId="27068357">
    <w:abstractNumId w:val="82"/>
  </w:num>
  <w:num w:numId="135" w16cid:durableId="1072432755">
    <w:abstractNumId w:val="89"/>
  </w:num>
  <w:num w:numId="136" w16cid:durableId="1065109494">
    <w:abstractNumId w:val="131"/>
  </w:num>
  <w:num w:numId="137" w16cid:durableId="2106802703">
    <w:abstractNumId w:val="92"/>
  </w:num>
  <w:num w:numId="138" w16cid:durableId="1628586118">
    <w:abstractNumId w:val="235"/>
  </w:num>
  <w:num w:numId="139" w16cid:durableId="1885363437">
    <w:abstractNumId w:val="231"/>
  </w:num>
  <w:num w:numId="140" w16cid:durableId="1346440945">
    <w:abstractNumId w:val="229"/>
  </w:num>
  <w:num w:numId="141" w16cid:durableId="1444959553">
    <w:abstractNumId w:val="64"/>
  </w:num>
  <w:num w:numId="142" w16cid:durableId="1182623334">
    <w:abstractNumId w:val="218"/>
  </w:num>
  <w:num w:numId="143" w16cid:durableId="2079159586">
    <w:abstractNumId w:val="49"/>
  </w:num>
  <w:num w:numId="144" w16cid:durableId="678315610">
    <w:abstractNumId w:val="188"/>
  </w:num>
  <w:num w:numId="145" w16cid:durableId="1362363853">
    <w:abstractNumId w:val="98"/>
  </w:num>
  <w:num w:numId="146" w16cid:durableId="1838376442">
    <w:abstractNumId w:val="12"/>
  </w:num>
  <w:num w:numId="147" w16cid:durableId="395398396">
    <w:abstractNumId w:val="223"/>
  </w:num>
  <w:num w:numId="148" w16cid:durableId="559363635">
    <w:abstractNumId w:val="95"/>
  </w:num>
  <w:num w:numId="149" w16cid:durableId="9187127">
    <w:abstractNumId w:val="86"/>
  </w:num>
  <w:num w:numId="150" w16cid:durableId="1913541746">
    <w:abstractNumId w:val="138"/>
  </w:num>
  <w:num w:numId="151" w16cid:durableId="20058535">
    <w:abstractNumId w:val="69"/>
  </w:num>
  <w:num w:numId="152" w16cid:durableId="1279678873">
    <w:abstractNumId w:val="70"/>
  </w:num>
  <w:num w:numId="153" w16cid:durableId="811752889">
    <w:abstractNumId w:val="197"/>
  </w:num>
  <w:num w:numId="154" w16cid:durableId="1357727906">
    <w:abstractNumId w:val="77"/>
  </w:num>
  <w:num w:numId="155" w16cid:durableId="630133701">
    <w:abstractNumId w:val="182"/>
  </w:num>
  <w:num w:numId="156" w16cid:durableId="993265359">
    <w:abstractNumId w:val="66"/>
  </w:num>
  <w:num w:numId="157" w16cid:durableId="1371228827">
    <w:abstractNumId w:val="233"/>
  </w:num>
  <w:num w:numId="158" w16cid:durableId="1850869292">
    <w:abstractNumId w:val="25"/>
  </w:num>
  <w:num w:numId="159" w16cid:durableId="1474757103">
    <w:abstractNumId w:val="189"/>
  </w:num>
  <w:num w:numId="160" w16cid:durableId="918441130">
    <w:abstractNumId w:val="234"/>
  </w:num>
  <w:num w:numId="161" w16cid:durableId="267931414">
    <w:abstractNumId w:val="60"/>
  </w:num>
  <w:num w:numId="162" w16cid:durableId="1097941851">
    <w:abstractNumId w:val="15"/>
  </w:num>
  <w:num w:numId="163" w16cid:durableId="1645889538">
    <w:abstractNumId w:val="216"/>
  </w:num>
  <w:num w:numId="164" w16cid:durableId="1393239388">
    <w:abstractNumId w:val="41"/>
  </w:num>
  <w:num w:numId="165" w16cid:durableId="668558817">
    <w:abstractNumId w:val="198"/>
  </w:num>
  <w:num w:numId="166" w16cid:durableId="1434788654">
    <w:abstractNumId w:val="172"/>
  </w:num>
  <w:num w:numId="167" w16cid:durableId="1825075295">
    <w:abstractNumId w:val="140"/>
  </w:num>
  <w:num w:numId="168" w16cid:durableId="1715471001">
    <w:abstractNumId w:val="165"/>
  </w:num>
  <w:num w:numId="169" w16cid:durableId="493649414">
    <w:abstractNumId w:val="203"/>
  </w:num>
  <w:num w:numId="170" w16cid:durableId="273561870">
    <w:abstractNumId w:val="121"/>
  </w:num>
  <w:num w:numId="171" w16cid:durableId="744953167">
    <w:abstractNumId w:val="7"/>
  </w:num>
  <w:num w:numId="172" w16cid:durableId="904101568">
    <w:abstractNumId w:val="117"/>
  </w:num>
  <w:num w:numId="173" w16cid:durableId="292372590">
    <w:abstractNumId w:val="211"/>
  </w:num>
  <w:num w:numId="174" w16cid:durableId="80496248">
    <w:abstractNumId w:val="195"/>
  </w:num>
  <w:num w:numId="175" w16cid:durableId="1573852433">
    <w:abstractNumId w:val="54"/>
  </w:num>
  <w:num w:numId="176" w16cid:durableId="1035697255">
    <w:abstractNumId w:val="154"/>
  </w:num>
  <w:num w:numId="177" w16cid:durableId="1614941767">
    <w:abstractNumId w:val="52"/>
  </w:num>
  <w:num w:numId="178" w16cid:durableId="495733023">
    <w:abstractNumId w:val="118"/>
  </w:num>
  <w:num w:numId="179" w16cid:durableId="1346639005">
    <w:abstractNumId w:val="205"/>
  </w:num>
  <w:num w:numId="180" w16cid:durableId="809440666">
    <w:abstractNumId w:val="18"/>
  </w:num>
  <w:num w:numId="181" w16cid:durableId="890387344">
    <w:abstractNumId w:val="81"/>
  </w:num>
  <w:num w:numId="182" w16cid:durableId="172574190">
    <w:abstractNumId w:val="100"/>
  </w:num>
  <w:num w:numId="183" w16cid:durableId="561796506">
    <w:abstractNumId w:val="207"/>
  </w:num>
  <w:num w:numId="184" w16cid:durableId="1906868177">
    <w:abstractNumId w:val="67"/>
  </w:num>
  <w:num w:numId="185" w16cid:durableId="279380980">
    <w:abstractNumId w:val="134"/>
  </w:num>
  <w:num w:numId="186" w16cid:durableId="353501608">
    <w:abstractNumId w:val="208"/>
  </w:num>
  <w:num w:numId="187" w16cid:durableId="2098554725">
    <w:abstractNumId w:val="130"/>
  </w:num>
  <w:num w:numId="188" w16cid:durableId="1637831764">
    <w:abstractNumId w:val="6"/>
  </w:num>
  <w:num w:numId="189" w16cid:durableId="1331104020">
    <w:abstractNumId w:val="9"/>
  </w:num>
  <w:num w:numId="190" w16cid:durableId="1139569579">
    <w:abstractNumId w:val="90"/>
  </w:num>
  <w:num w:numId="191" w16cid:durableId="1014261677">
    <w:abstractNumId w:val="163"/>
  </w:num>
  <w:num w:numId="192" w16cid:durableId="813526099">
    <w:abstractNumId w:val="83"/>
  </w:num>
  <w:num w:numId="193" w16cid:durableId="1084836695">
    <w:abstractNumId w:val="185"/>
  </w:num>
  <w:num w:numId="194" w16cid:durableId="1830708554">
    <w:abstractNumId w:val="27"/>
  </w:num>
  <w:num w:numId="195" w16cid:durableId="1277524815">
    <w:abstractNumId w:val="116"/>
  </w:num>
  <w:num w:numId="196" w16cid:durableId="745803349">
    <w:abstractNumId w:val="128"/>
  </w:num>
  <w:num w:numId="197" w16cid:durableId="1826431922">
    <w:abstractNumId w:val="72"/>
  </w:num>
  <w:num w:numId="198" w16cid:durableId="1543514473">
    <w:abstractNumId w:val="33"/>
  </w:num>
  <w:num w:numId="199" w16cid:durableId="912423627">
    <w:abstractNumId w:val="212"/>
  </w:num>
  <w:num w:numId="200" w16cid:durableId="634333187">
    <w:abstractNumId w:val="175"/>
  </w:num>
  <w:num w:numId="201" w16cid:durableId="312569823">
    <w:abstractNumId w:val="137"/>
  </w:num>
  <w:num w:numId="202" w16cid:durableId="976648665">
    <w:abstractNumId w:val="200"/>
  </w:num>
  <w:num w:numId="203" w16cid:durableId="1380281253">
    <w:abstractNumId w:val="45"/>
  </w:num>
  <w:num w:numId="204" w16cid:durableId="107748999">
    <w:abstractNumId w:val="183"/>
  </w:num>
  <w:num w:numId="205" w16cid:durableId="2001735495">
    <w:abstractNumId w:val="19"/>
  </w:num>
  <w:num w:numId="206" w16cid:durableId="302737820">
    <w:abstractNumId w:val="191"/>
  </w:num>
  <w:num w:numId="207" w16cid:durableId="1954240011">
    <w:abstractNumId w:val="164"/>
  </w:num>
  <w:num w:numId="208" w16cid:durableId="535461551">
    <w:abstractNumId w:val="96"/>
  </w:num>
  <w:num w:numId="209" w16cid:durableId="2095666928">
    <w:abstractNumId w:val="173"/>
  </w:num>
  <w:num w:numId="210" w16cid:durableId="447353506">
    <w:abstractNumId w:val="225"/>
  </w:num>
  <w:num w:numId="211" w16cid:durableId="1286740660">
    <w:abstractNumId w:val="226"/>
  </w:num>
  <w:num w:numId="212" w16cid:durableId="1874146690">
    <w:abstractNumId w:val="44"/>
  </w:num>
  <w:num w:numId="213" w16cid:durableId="171341777">
    <w:abstractNumId w:val="166"/>
  </w:num>
  <w:num w:numId="214" w16cid:durableId="2115902383">
    <w:abstractNumId w:val="174"/>
  </w:num>
  <w:num w:numId="215" w16cid:durableId="997997760">
    <w:abstractNumId w:val="219"/>
  </w:num>
  <w:num w:numId="216" w16cid:durableId="786655599">
    <w:abstractNumId w:val="20"/>
  </w:num>
  <w:num w:numId="217" w16cid:durableId="462432923">
    <w:abstractNumId w:val="10"/>
  </w:num>
  <w:num w:numId="218" w16cid:durableId="623540560">
    <w:abstractNumId w:val="59"/>
  </w:num>
  <w:num w:numId="219" w16cid:durableId="1583879441">
    <w:abstractNumId w:val="97"/>
  </w:num>
  <w:num w:numId="220" w16cid:durableId="1793280456">
    <w:abstractNumId w:val="206"/>
  </w:num>
  <w:num w:numId="221" w16cid:durableId="222108245">
    <w:abstractNumId w:val="139"/>
  </w:num>
  <w:num w:numId="222" w16cid:durableId="1222133018">
    <w:abstractNumId w:val="193"/>
  </w:num>
  <w:num w:numId="223" w16cid:durableId="1430732887">
    <w:abstractNumId w:val="171"/>
  </w:num>
  <w:num w:numId="224" w16cid:durableId="828523003">
    <w:abstractNumId w:val="14"/>
  </w:num>
  <w:num w:numId="225" w16cid:durableId="475730220">
    <w:abstractNumId w:val="101"/>
  </w:num>
  <w:num w:numId="226" w16cid:durableId="509221256">
    <w:abstractNumId w:val="73"/>
  </w:num>
  <w:num w:numId="227" w16cid:durableId="1050495914">
    <w:abstractNumId w:val="87"/>
  </w:num>
  <w:num w:numId="228" w16cid:durableId="1413769567">
    <w:abstractNumId w:val="35"/>
  </w:num>
  <w:num w:numId="229" w16cid:durableId="583683263">
    <w:abstractNumId w:val="202"/>
  </w:num>
  <w:num w:numId="230" w16cid:durableId="244649965">
    <w:abstractNumId w:val="210"/>
  </w:num>
  <w:num w:numId="231" w16cid:durableId="1730808711">
    <w:abstractNumId w:val="112"/>
  </w:num>
  <w:num w:numId="232" w16cid:durableId="815562118">
    <w:abstractNumId w:val="228"/>
  </w:num>
  <w:num w:numId="233" w16cid:durableId="296375153">
    <w:abstractNumId w:val="99"/>
  </w:num>
  <w:num w:numId="234" w16cid:durableId="1269579885">
    <w:abstractNumId w:val="148"/>
  </w:num>
  <w:num w:numId="235" w16cid:durableId="1583219167">
    <w:abstractNumId w:val="153"/>
  </w:num>
  <w:num w:numId="236" w16cid:durableId="550119495">
    <w:abstractNumId w:val="177"/>
  </w:num>
  <w:num w:numId="237" w16cid:durableId="464008673">
    <w:abstractNumId w:val="141"/>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11A"/>
    <w:rsid w:val="00000766"/>
    <w:rsid w:val="00000822"/>
    <w:rsid w:val="00000F19"/>
    <w:rsid w:val="000014D6"/>
    <w:rsid w:val="00001539"/>
    <w:rsid w:val="000020F0"/>
    <w:rsid w:val="00003571"/>
    <w:rsid w:val="00003585"/>
    <w:rsid w:val="0000378B"/>
    <w:rsid w:val="00003ABE"/>
    <w:rsid w:val="000059AA"/>
    <w:rsid w:val="00005BCD"/>
    <w:rsid w:val="00005E6E"/>
    <w:rsid w:val="00005EF6"/>
    <w:rsid w:val="00006A9A"/>
    <w:rsid w:val="00006CC4"/>
    <w:rsid w:val="00010105"/>
    <w:rsid w:val="0001039A"/>
    <w:rsid w:val="000107C7"/>
    <w:rsid w:val="00010CED"/>
    <w:rsid w:val="000112B4"/>
    <w:rsid w:val="000112BF"/>
    <w:rsid w:val="00011D6D"/>
    <w:rsid w:val="00011EFB"/>
    <w:rsid w:val="0001201E"/>
    <w:rsid w:val="000136B3"/>
    <w:rsid w:val="0001486F"/>
    <w:rsid w:val="00014C97"/>
    <w:rsid w:val="00014F7B"/>
    <w:rsid w:val="00015232"/>
    <w:rsid w:val="00015EAA"/>
    <w:rsid w:val="00016F17"/>
    <w:rsid w:val="00017064"/>
    <w:rsid w:val="0001724F"/>
    <w:rsid w:val="000176A3"/>
    <w:rsid w:val="00024D6F"/>
    <w:rsid w:val="00025627"/>
    <w:rsid w:val="00027C47"/>
    <w:rsid w:val="0003022D"/>
    <w:rsid w:val="00031C6B"/>
    <w:rsid w:val="00031C9C"/>
    <w:rsid w:val="00031EBB"/>
    <w:rsid w:val="00032502"/>
    <w:rsid w:val="0003264E"/>
    <w:rsid w:val="0003342E"/>
    <w:rsid w:val="00035A22"/>
    <w:rsid w:val="0003662F"/>
    <w:rsid w:val="00036F50"/>
    <w:rsid w:val="0003763E"/>
    <w:rsid w:val="0004113F"/>
    <w:rsid w:val="000412B9"/>
    <w:rsid w:val="00042439"/>
    <w:rsid w:val="00042BE5"/>
    <w:rsid w:val="000440B9"/>
    <w:rsid w:val="000446DA"/>
    <w:rsid w:val="000447E8"/>
    <w:rsid w:val="00047201"/>
    <w:rsid w:val="000508B2"/>
    <w:rsid w:val="00050C93"/>
    <w:rsid w:val="0005257E"/>
    <w:rsid w:val="00052F89"/>
    <w:rsid w:val="00053218"/>
    <w:rsid w:val="00054838"/>
    <w:rsid w:val="00055736"/>
    <w:rsid w:val="00055BBC"/>
    <w:rsid w:val="00055F83"/>
    <w:rsid w:val="0005643F"/>
    <w:rsid w:val="00056BE1"/>
    <w:rsid w:val="00056C33"/>
    <w:rsid w:val="00061496"/>
    <w:rsid w:val="00062C0D"/>
    <w:rsid w:val="0006367C"/>
    <w:rsid w:val="00063B2B"/>
    <w:rsid w:val="000655A0"/>
    <w:rsid w:val="00066B4B"/>
    <w:rsid w:val="00067581"/>
    <w:rsid w:val="00070F39"/>
    <w:rsid w:val="00070FEA"/>
    <w:rsid w:val="000710B3"/>
    <w:rsid w:val="00071187"/>
    <w:rsid w:val="00072416"/>
    <w:rsid w:val="00074175"/>
    <w:rsid w:val="000744F9"/>
    <w:rsid w:val="000749EA"/>
    <w:rsid w:val="00074C4F"/>
    <w:rsid w:val="0007564A"/>
    <w:rsid w:val="00080B00"/>
    <w:rsid w:val="00082011"/>
    <w:rsid w:val="00083172"/>
    <w:rsid w:val="00083E23"/>
    <w:rsid w:val="00084067"/>
    <w:rsid w:val="00085C09"/>
    <w:rsid w:val="00087353"/>
    <w:rsid w:val="00087764"/>
    <w:rsid w:val="00087EBA"/>
    <w:rsid w:val="00090A05"/>
    <w:rsid w:val="00090D91"/>
    <w:rsid w:val="00090E02"/>
    <w:rsid w:val="00091D48"/>
    <w:rsid w:val="0009284E"/>
    <w:rsid w:val="0009359A"/>
    <w:rsid w:val="00093CB9"/>
    <w:rsid w:val="00097406"/>
    <w:rsid w:val="000A161D"/>
    <w:rsid w:val="000A25C6"/>
    <w:rsid w:val="000A393E"/>
    <w:rsid w:val="000A3BC6"/>
    <w:rsid w:val="000A5CB9"/>
    <w:rsid w:val="000A7D30"/>
    <w:rsid w:val="000B1D36"/>
    <w:rsid w:val="000B2805"/>
    <w:rsid w:val="000B30F6"/>
    <w:rsid w:val="000B3738"/>
    <w:rsid w:val="000B39BF"/>
    <w:rsid w:val="000B4C12"/>
    <w:rsid w:val="000B68A3"/>
    <w:rsid w:val="000C00DD"/>
    <w:rsid w:val="000C2A25"/>
    <w:rsid w:val="000C2CF7"/>
    <w:rsid w:val="000C2E34"/>
    <w:rsid w:val="000C429D"/>
    <w:rsid w:val="000C5E8D"/>
    <w:rsid w:val="000C7CB4"/>
    <w:rsid w:val="000C7CFE"/>
    <w:rsid w:val="000D03D1"/>
    <w:rsid w:val="000D109A"/>
    <w:rsid w:val="000D2571"/>
    <w:rsid w:val="000D2FA0"/>
    <w:rsid w:val="000D40DB"/>
    <w:rsid w:val="000D424D"/>
    <w:rsid w:val="000D53EE"/>
    <w:rsid w:val="000D5B45"/>
    <w:rsid w:val="000D730B"/>
    <w:rsid w:val="000D7E91"/>
    <w:rsid w:val="000E0573"/>
    <w:rsid w:val="000E098D"/>
    <w:rsid w:val="000E0B44"/>
    <w:rsid w:val="000E0D73"/>
    <w:rsid w:val="000E196A"/>
    <w:rsid w:val="000E23EA"/>
    <w:rsid w:val="000E29C4"/>
    <w:rsid w:val="000E40C8"/>
    <w:rsid w:val="000E4185"/>
    <w:rsid w:val="000E435F"/>
    <w:rsid w:val="000E48F2"/>
    <w:rsid w:val="000E49F2"/>
    <w:rsid w:val="000E4E76"/>
    <w:rsid w:val="000E57C7"/>
    <w:rsid w:val="000E6F1B"/>
    <w:rsid w:val="000E74FA"/>
    <w:rsid w:val="000E7DC0"/>
    <w:rsid w:val="000F0D28"/>
    <w:rsid w:val="000F0E4C"/>
    <w:rsid w:val="000F2DB8"/>
    <w:rsid w:val="000F39AE"/>
    <w:rsid w:val="000F4455"/>
    <w:rsid w:val="000F4BA0"/>
    <w:rsid w:val="000F4F4E"/>
    <w:rsid w:val="000F79A9"/>
    <w:rsid w:val="0010041B"/>
    <w:rsid w:val="00102DA8"/>
    <w:rsid w:val="00103A8F"/>
    <w:rsid w:val="00103DD3"/>
    <w:rsid w:val="001043D5"/>
    <w:rsid w:val="0010504F"/>
    <w:rsid w:val="0010518D"/>
    <w:rsid w:val="0011118B"/>
    <w:rsid w:val="00111AC1"/>
    <w:rsid w:val="00111FDD"/>
    <w:rsid w:val="001129A9"/>
    <w:rsid w:val="00113D61"/>
    <w:rsid w:val="00113DCB"/>
    <w:rsid w:val="0011456F"/>
    <w:rsid w:val="001171C5"/>
    <w:rsid w:val="00117453"/>
    <w:rsid w:val="00120E04"/>
    <w:rsid w:val="00120F41"/>
    <w:rsid w:val="0012158B"/>
    <w:rsid w:val="00121F61"/>
    <w:rsid w:val="001220FB"/>
    <w:rsid w:val="001232D7"/>
    <w:rsid w:val="0012430F"/>
    <w:rsid w:val="00124321"/>
    <w:rsid w:val="001262E7"/>
    <w:rsid w:val="00126D60"/>
    <w:rsid w:val="001277E9"/>
    <w:rsid w:val="00127BCD"/>
    <w:rsid w:val="00127E55"/>
    <w:rsid w:val="0013039E"/>
    <w:rsid w:val="001303A1"/>
    <w:rsid w:val="001305D6"/>
    <w:rsid w:val="00130DF6"/>
    <w:rsid w:val="001316C3"/>
    <w:rsid w:val="001322C1"/>
    <w:rsid w:val="001323EC"/>
    <w:rsid w:val="001326EA"/>
    <w:rsid w:val="00132EFC"/>
    <w:rsid w:val="001341C7"/>
    <w:rsid w:val="00135C33"/>
    <w:rsid w:val="0013642F"/>
    <w:rsid w:val="00136C18"/>
    <w:rsid w:val="001373D3"/>
    <w:rsid w:val="00137824"/>
    <w:rsid w:val="00140BFC"/>
    <w:rsid w:val="0014183E"/>
    <w:rsid w:val="00141C26"/>
    <w:rsid w:val="00141CB4"/>
    <w:rsid w:val="00142C70"/>
    <w:rsid w:val="0014519F"/>
    <w:rsid w:val="00146863"/>
    <w:rsid w:val="001508EE"/>
    <w:rsid w:val="00151F70"/>
    <w:rsid w:val="0015332E"/>
    <w:rsid w:val="00153711"/>
    <w:rsid w:val="001546ED"/>
    <w:rsid w:val="0015505F"/>
    <w:rsid w:val="00155421"/>
    <w:rsid w:val="00155810"/>
    <w:rsid w:val="00155DDE"/>
    <w:rsid w:val="00155EB3"/>
    <w:rsid w:val="00155F23"/>
    <w:rsid w:val="0015756A"/>
    <w:rsid w:val="0015786B"/>
    <w:rsid w:val="00160851"/>
    <w:rsid w:val="00160E5D"/>
    <w:rsid w:val="00160F08"/>
    <w:rsid w:val="001620E3"/>
    <w:rsid w:val="00164512"/>
    <w:rsid w:val="00164D35"/>
    <w:rsid w:val="001650A3"/>
    <w:rsid w:val="0016615F"/>
    <w:rsid w:val="00166682"/>
    <w:rsid w:val="00166BFB"/>
    <w:rsid w:val="00167D5C"/>
    <w:rsid w:val="00171113"/>
    <w:rsid w:val="001716BC"/>
    <w:rsid w:val="0017174F"/>
    <w:rsid w:val="00171857"/>
    <w:rsid w:val="00172372"/>
    <w:rsid w:val="00172E83"/>
    <w:rsid w:val="00173EAA"/>
    <w:rsid w:val="0017435C"/>
    <w:rsid w:val="00174517"/>
    <w:rsid w:val="00174663"/>
    <w:rsid w:val="00175F54"/>
    <w:rsid w:val="00176A14"/>
    <w:rsid w:val="00176B71"/>
    <w:rsid w:val="0017755B"/>
    <w:rsid w:val="0018014D"/>
    <w:rsid w:val="0018014F"/>
    <w:rsid w:val="001814B3"/>
    <w:rsid w:val="0018175E"/>
    <w:rsid w:val="00182609"/>
    <w:rsid w:val="001844F5"/>
    <w:rsid w:val="00184C8C"/>
    <w:rsid w:val="00185757"/>
    <w:rsid w:val="00186A9D"/>
    <w:rsid w:val="00186BB0"/>
    <w:rsid w:val="00187EA2"/>
    <w:rsid w:val="00190A7C"/>
    <w:rsid w:val="00190D14"/>
    <w:rsid w:val="00191640"/>
    <w:rsid w:val="00191AE3"/>
    <w:rsid w:val="00194C2F"/>
    <w:rsid w:val="00195971"/>
    <w:rsid w:val="00197C2B"/>
    <w:rsid w:val="001A0503"/>
    <w:rsid w:val="001A18AC"/>
    <w:rsid w:val="001A1A4A"/>
    <w:rsid w:val="001A1BA8"/>
    <w:rsid w:val="001A28A0"/>
    <w:rsid w:val="001A46CC"/>
    <w:rsid w:val="001B02AA"/>
    <w:rsid w:val="001B16D6"/>
    <w:rsid w:val="001B512A"/>
    <w:rsid w:val="001B6D1D"/>
    <w:rsid w:val="001B6EB8"/>
    <w:rsid w:val="001B749A"/>
    <w:rsid w:val="001B795D"/>
    <w:rsid w:val="001B7DAE"/>
    <w:rsid w:val="001C0D32"/>
    <w:rsid w:val="001C15B2"/>
    <w:rsid w:val="001C283B"/>
    <w:rsid w:val="001C4AB2"/>
    <w:rsid w:val="001C4E5D"/>
    <w:rsid w:val="001C4E98"/>
    <w:rsid w:val="001C54CF"/>
    <w:rsid w:val="001C63A1"/>
    <w:rsid w:val="001C6CAB"/>
    <w:rsid w:val="001C7DC9"/>
    <w:rsid w:val="001D0673"/>
    <w:rsid w:val="001D15B5"/>
    <w:rsid w:val="001D1D64"/>
    <w:rsid w:val="001D207C"/>
    <w:rsid w:val="001D3E94"/>
    <w:rsid w:val="001D40B3"/>
    <w:rsid w:val="001D40C0"/>
    <w:rsid w:val="001D4D31"/>
    <w:rsid w:val="001D4FEF"/>
    <w:rsid w:val="001D6099"/>
    <w:rsid w:val="001D693E"/>
    <w:rsid w:val="001D6981"/>
    <w:rsid w:val="001D6BA2"/>
    <w:rsid w:val="001D71C7"/>
    <w:rsid w:val="001E0507"/>
    <w:rsid w:val="001E11FF"/>
    <w:rsid w:val="001E1B83"/>
    <w:rsid w:val="001E28D6"/>
    <w:rsid w:val="001E2946"/>
    <w:rsid w:val="001E2DDA"/>
    <w:rsid w:val="001E34F9"/>
    <w:rsid w:val="001E3968"/>
    <w:rsid w:val="001E3DF6"/>
    <w:rsid w:val="001E4D24"/>
    <w:rsid w:val="001E52BB"/>
    <w:rsid w:val="001E55D6"/>
    <w:rsid w:val="001E57E4"/>
    <w:rsid w:val="001E5BEB"/>
    <w:rsid w:val="001E6254"/>
    <w:rsid w:val="001E7EDC"/>
    <w:rsid w:val="001F09BF"/>
    <w:rsid w:val="001F0C01"/>
    <w:rsid w:val="001F0CB8"/>
    <w:rsid w:val="001F0E1D"/>
    <w:rsid w:val="001F10B6"/>
    <w:rsid w:val="001F120A"/>
    <w:rsid w:val="001F2181"/>
    <w:rsid w:val="001F237C"/>
    <w:rsid w:val="001F2ABE"/>
    <w:rsid w:val="001F482F"/>
    <w:rsid w:val="001F51DB"/>
    <w:rsid w:val="001F5720"/>
    <w:rsid w:val="001F6B89"/>
    <w:rsid w:val="00200525"/>
    <w:rsid w:val="002006B0"/>
    <w:rsid w:val="00200BB1"/>
    <w:rsid w:val="00200F02"/>
    <w:rsid w:val="00201753"/>
    <w:rsid w:val="002018EA"/>
    <w:rsid w:val="00203254"/>
    <w:rsid w:val="0020346A"/>
    <w:rsid w:val="00204342"/>
    <w:rsid w:val="00204586"/>
    <w:rsid w:val="0020488E"/>
    <w:rsid w:val="002069BA"/>
    <w:rsid w:val="002078A8"/>
    <w:rsid w:val="002107C6"/>
    <w:rsid w:val="00211578"/>
    <w:rsid w:val="002129B2"/>
    <w:rsid w:val="00213B3F"/>
    <w:rsid w:val="00214406"/>
    <w:rsid w:val="002169F1"/>
    <w:rsid w:val="002202F3"/>
    <w:rsid w:val="0022066A"/>
    <w:rsid w:val="00222C3B"/>
    <w:rsid w:val="0022366E"/>
    <w:rsid w:val="00223BF7"/>
    <w:rsid w:val="0022409B"/>
    <w:rsid w:val="00225967"/>
    <w:rsid w:val="0022623E"/>
    <w:rsid w:val="00226941"/>
    <w:rsid w:val="00226AE8"/>
    <w:rsid w:val="00227AC4"/>
    <w:rsid w:val="00230A70"/>
    <w:rsid w:val="00233C02"/>
    <w:rsid w:val="00233DD9"/>
    <w:rsid w:val="0023453D"/>
    <w:rsid w:val="00234758"/>
    <w:rsid w:val="002369E5"/>
    <w:rsid w:val="00236D73"/>
    <w:rsid w:val="002374D8"/>
    <w:rsid w:val="0023756B"/>
    <w:rsid w:val="00237B14"/>
    <w:rsid w:val="002404A3"/>
    <w:rsid w:val="00240C29"/>
    <w:rsid w:val="002411B3"/>
    <w:rsid w:val="00241574"/>
    <w:rsid w:val="00242AF0"/>
    <w:rsid w:val="00242CBE"/>
    <w:rsid w:val="0024310E"/>
    <w:rsid w:val="00243289"/>
    <w:rsid w:val="002457A0"/>
    <w:rsid w:val="00250386"/>
    <w:rsid w:val="0025075F"/>
    <w:rsid w:val="002509A5"/>
    <w:rsid w:val="00250AE3"/>
    <w:rsid w:val="00250F27"/>
    <w:rsid w:val="002510F5"/>
    <w:rsid w:val="0025121B"/>
    <w:rsid w:val="00251629"/>
    <w:rsid w:val="0025255F"/>
    <w:rsid w:val="002528E7"/>
    <w:rsid w:val="00253F0D"/>
    <w:rsid w:val="00253FFB"/>
    <w:rsid w:val="00255284"/>
    <w:rsid w:val="002553B8"/>
    <w:rsid w:val="002555A8"/>
    <w:rsid w:val="002556A2"/>
    <w:rsid w:val="00255C2B"/>
    <w:rsid w:val="00255C7D"/>
    <w:rsid w:val="00255C83"/>
    <w:rsid w:val="00255CB5"/>
    <w:rsid w:val="00257006"/>
    <w:rsid w:val="00257A52"/>
    <w:rsid w:val="00257A70"/>
    <w:rsid w:val="002606EA"/>
    <w:rsid w:val="00260DA7"/>
    <w:rsid w:val="002612EF"/>
    <w:rsid w:val="00261D23"/>
    <w:rsid w:val="002646FE"/>
    <w:rsid w:val="0026473F"/>
    <w:rsid w:val="002651CF"/>
    <w:rsid w:val="002653CC"/>
    <w:rsid w:val="00265FA7"/>
    <w:rsid w:val="0026643B"/>
    <w:rsid w:val="00266B3F"/>
    <w:rsid w:val="0026710B"/>
    <w:rsid w:val="00267B10"/>
    <w:rsid w:val="00267BEC"/>
    <w:rsid w:val="00270222"/>
    <w:rsid w:val="00270EF0"/>
    <w:rsid w:val="00271B6B"/>
    <w:rsid w:val="0027248B"/>
    <w:rsid w:val="00272BC1"/>
    <w:rsid w:val="00272C2D"/>
    <w:rsid w:val="002739F9"/>
    <w:rsid w:val="0027407C"/>
    <w:rsid w:val="002750E5"/>
    <w:rsid w:val="00276B15"/>
    <w:rsid w:val="00277737"/>
    <w:rsid w:val="002778FD"/>
    <w:rsid w:val="00277E46"/>
    <w:rsid w:val="0028009B"/>
    <w:rsid w:val="0028072A"/>
    <w:rsid w:val="00281A06"/>
    <w:rsid w:val="00281DC5"/>
    <w:rsid w:val="00281F11"/>
    <w:rsid w:val="002832B9"/>
    <w:rsid w:val="002845BC"/>
    <w:rsid w:val="00284B7F"/>
    <w:rsid w:val="002852BA"/>
    <w:rsid w:val="00286B31"/>
    <w:rsid w:val="0029046B"/>
    <w:rsid w:val="002904F5"/>
    <w:rsid w:val="00291373"/>
    <w:rsid w:val="002931B7"/>
    <w:rsid w:val="002932C1"/>
    <w:rsid w:val="0029451B"/>
    <w:rsid w:val="0029541E"/>
    <w:rsid w:val="0029624D"/>
    <w:rsid w:val="00296AD3"/>
    <w:rsid w:val="00296AEC"/>
    <w:rsid w:val="00297523"/>
    <w:rsid w:val="00297EAA"/>
    <w:rsid w:val="002A00C5"/>
    <w:rsid w:val="002A04C3"/>
    <w:rsid w:val="002A10ED"/>
    <w:rsid w:val="002A1443"/>
    <w:rsid w:val="002A2717"/>
    <w:rsid w:val="002A2830"/>
    <w:rsid w:val="002A3D13"/>
    <w:rsid w:val="002A5F5F"/>
    <w:rsid w:val="002A5FC2"/>
    <w:rsid w:val="002A6E70"/>
    <w:rsid w:val="002A72CA"/>
    <w:rsid w:val="002B00FA"/>
    <w:rsid w:val="002B08F7"/>
    <w:rsid w:val="002B0B9E"/>
    <w:rsid w:val="002B1DA4"/>
    <w:rsid w:val="002B444F"/>
    <w:rsid w:val="002B458A"/>
    <w:rsid w:val="002B5D18"/>
    <w:rsid w:val="002B5EB3"/>
    <w:rsid w:val="002B61D9"/>
    <w:rsid w:val="002B6B10"/>
    <w:rsid w:val="002B7293"/>
    <w:rsid w:val="002B7FF3"/>
    <w:rsid w:val="002C0112"/>
    <w:rsid w:val="002C0380"/>
    <w:rsid w:val="002C04FD"/>
    <w:rsid w:val="002C2918"/>
    <w:rsid w:val="002C3DE7"/>
    <w:rsid w:val="002C426B"/>
    <w:rsid w:val="002C5D1C"/>
    <w:rsid w:val="002C7B83"/>
    <w:rsid w:val="002D08F7"/>
    <w:rsid w:val="002D1DF3"/>
    <w:rsid w:val="002D5AF3"/>
    <w:rsid w:val="002D6F65"/>
    <w:rsid w:val="002D74B7"/>
    <w:rsid w:val="002D78B4"/>
    <w:rsid w:val="002D7A1C"/>
    <w:rsid w:val="002D7F57"/>
    <w:rsid w:val="002E0A48"/>
    <w:rsid w:val="002E0C49"/>
    <w:rsid w:val="002E0C81"/>
    <w:rsid w:val="002E0F13"/>
    <w:rsid w:val="002E10AB"/>
    <w:rsid w:val="002E18A8"/>
    <w:rsid w:val="002E3A0A"/>
    <w:rsid w:val="002E3E57"/>
    <w:rsid w:val="002E5575"/>
    <w:rsid w:val="002E5733"/>
    <w:rsid w:val="002E772A"/>
    <w:rsid w:val="002E7976"/>
    <w:rsid w:val="002E79AE"/>
    <w:rsid w:val="002F21C6"/>
    <w:rsid w:val="002F2348"/>
    <w:rsid w:val="002F2818"/>
    <w:rsid w:val="002F2D89"/>
    <w:rsid w:val="002F3911"/>
    <w:rsid w:val="002F3B15"/>
    <w:rsid w:val="002F4DD2"/>
    <w:rsid w:val="002F635E"/>
    <w:rsid w:val="002F6BC8"/>
    <w:rsid w:val="0030089B"/>
    <w:rsid w:val="00300D42"/>
    <w:rsid w:val="00300E68"/>
    <w:rsid w:val="003039B4"/>
    <w:rsid w:val="00304383"/>
    <w:rsid w:val="00304B76"/>
    <w:rsid w:val="00304BD9"/>
    <w:rsid w:val="00305B75"/>
    <w:rsid w:val="00306670"/>
    <w:rsid w:val="003077A3"/>
    <w:rsid w:val="00307861"/>
    <w:rsid w:val="00307873"/>
    <w:rsid w:val="00307A63"/>
    <w:rsid w:val="00307FB3"/>
    <w:rsid w:val="0031002F"/>
    <w:rsid w:val="003100D8"/>
    <w:rsid w:val="003119DB"/>
    <w:rsid w:val="00312B18"/>
    <w:rsid w:val="00314505"/>
    <w:rsid w:val="0031452F"/>
    <w:rsid w:val="00315205"/>
    <w:rsid w:val="003163C8"/>
    <w:rsid w:val="003217D4"/>
    <w:rsid w:val="0032367F"/>
    <w:rsid w:val="0032375A"/>
    <w:rsid w:val="00324C62"/>
    <w:rsid w:val="00324D11"/>
    <w:rsid w:val="003250D4"/>
    <w:rsid w:val="003257C1"/>
    <w:rsid w:val="00326DBA"/>
    <w:rsid w:val="00330183"/>
    <w:rsid w:val="003304EB"/>
    <w:rsid w:val="00331252"/>
    <w:rsid w:val="00332887"/>
    <w:rsid w:val="00332A36"/>
    <w:rsid w:val="0033392E"/>
    <w:rsid w:val="00334632"/>
    <w:rsid w:val="00334793"/>
    <w:rsid w:val="00334E31"/>
    <w:rsid w:val="00334F68"/>
    <w:rsid w:val="00335A7C"/>
    <w:rsid w:val="003368DA"/>
    <w:rsid w:val="00337C5A"/>
    <w:rsid w:val="003406BD"/>
    <w:rsid w:val="00342684"/>
    <w:rsid w:val="003426BF"/>
    <w:rsid w:val="0034333B"/>
    <w:rsid w:val="00343E30"/>
    <w:rsid w:val="00343EF7"/>
    <w:rsid w:val="0034494F"/>
    <w:rsid w:val="00346B2C"/>
    <w:rsid w:val="00346B98"/>
    <w:rsid w:val="00347CF5"/>
    <w:rsid w:val="003509F8"/>
    <w:rsid w:val="00350E0C"/>
    <w:rsid w:val="00350EAF"/>
    <w:rsid w:val="00351DF6"/>
    <w:rsid w:val="00353151"/>
    <w:rsid w:val="003533A5"/>
    <w:rsid w:val="0035351E"/>
    <w:rsid w:val="00354309"/>
    <w:rsid w:val="003545F7"/>
    <w:rsid w:val="00354FAC"/>
    <w:rsid w:val="00354FD2"/>
    <w:rsid w:val="0035567A"/>
    <w:rsid w:val="003560B1"/>
    <w:rsid w:val="003578BB"/>
    <w:rsid w:val="00357AC4"/>
    <w:rsid w:val="00357FA2"/>
    <w:rsid w:val="00360429"/>
    <w:rsid w:val="00361052"/>
    <w:rsid w:val="00361183"/>
    <w:rsid w:val="003619F9"/>
    <w:rsid w:val="00361D71"/>
    <w:rsid w:val="00362E7F"/>
    <w:rsid w:val="00363414"/>
    <w:rsid w:val="003644EB"/>
    <w:rsid w:val="00364550"/>
    <w:rsid w:val="00365312"/>
    <w:rsid w:val="0036568B"/>
    <w:rsid w:val="00365A25"/>
    <w:rsid w:val="003669E6"/>
    <w:rsid w:val="00367A2B"/>
    <w:rsid w:val="00367CCA"/>
    <w:rsid w:val="0037091D"/>
    <w:rsid w:val="00370F30"/>
    <w:rsid w:val="00370FBD"/>
    <w:rsid w:val="003716D4"/>
    <w:rsid w:val="00373277"/>
    <w:rsid w:val="003736E6"/>
    <w:rsid w:val="00375020"/>
    <w:rsid w:val="00376036"/>
    <w:rsid w:val="0037607E"/>
    <w:rsid w:val="003761B6"/>
    <w:rsid w:val="003762D0"/>
    <w:rsid w:val="0037738E"/>
    <w:rsid w:val="00377B48"/>
    <w:rsid w:val="0038068F"/>
    <w:rsid w:val="00380BF2"/>
    <w:rsid w:val="003817A0"/>
    <w:rsid w:val="00382A7D"/>
    <w:rsid w:val="00382F27"/>
    <w:rsid w:val="003836D1"/>
    <w:rsid w:val="003850DD"/>
    <w:rsid w:val="00386050"/>
    <w:rsid w:val="00387991"/>
    <w:rsid w:val="003902BD"/>
    <w:rsid w:val="0039035E"/>
    <w:rsid w:val="00390C66"/>
    <w:rsid w:val="00390CBE"/>
    <w:rsid w:val="0039269A"/>
    <w:rsid w:val="00392FFC"/>
    <w:rsid w:val="003955B4"/>
    <w:rsid w:val="003966F1"/>
    <w:rsid w:val="00397538"/>
    <w:rsid w:val="0039763F"/>
    <w:rsid w:val="00397A23"/>
    <w:rsid w:val="00397B2E"/>
    <w:rsid w:val="003A0D69"/>
    <w:rsid w:val="003A1CAC"/>
    <w:rsid w:val="003A532D"/>
    <w:rsid w:val="003A5939"/>
    <w:rsid w:val="003A645D"/>
    <w:rsid w:val="003A7C1C"/>
    <w:rsid w:val="003B03E9"/>
    <w:rsid w:val="003B0582"/>
    <w:rsid w:val="003B05F1"/>
    <w:rsid w:val="003B0929"/>
    <w:rsid w:val="003B09A5"/>
    <w:rsid w:val="003B0F7B"/>
    <w:rsid w:val="003B254A"/>
    <w:rsid w:val="003B2D37"/>
    <w:rsid w:val="003B3052"/>
    <w:rsid w:val="003B764F"/>
    <w:rsid w:val="003B79D4"/>
    <w:rsid w:val="003C075B"/>
    <w:rsid w:val="003C0C5A"/>
    <w:rsid w:val="003C2F59"/>
    <w:rsid w:val="003C3CE4"/>
    <w:rsid w:val="003C524A"/>
    <w:rsid w:val="003C6531"/>
    <w:rsid w:val="003C6886"/>
    <w:rsid w:val="003C7DD1"/>
    <w:rsid w:val="003D1A68"/>
    <w:rsid w:val="003D20E5"/>
    <w:rsid w:val="003D275F"/>
    <w:rsid w:val="003D2F50"/>
    <w:rsid w:val="003D363B"/>
    <w:rsid w:val="003D3FC3"/>
    <w:rsid w:val="003D46B0"/>
    <w:rsid w:val="003D5258"/>
    <w:rsid w:val="003D7933"/>
    <w:rsid w:val="003D7E0B"/>
    <w:rsid w:val="003E0387"/>
    <w:rsid w:val="003E1370"/>
    <w:rsid w:val="003E1643"/>
    <w:rsid w:val="003E21F8"/>
    <w:rsid w:val="003E2BF1"/>
    <w:rsid w:val="003E2DC9"/>
    <w:rsid w:val="003E3702"/>
    <w:rsid w:val="003E3F38"/>
    <w:rsid w:val="003E485C"/>
    <w:rsid w:val="003E758A"/>
    <w:rsid w:val="003E7784"/>
    <w:rsid w:val="003F001C"/>
    <w:rsid w:val="003F06C4"/>
    <w:rsid w:val="003F196F"/>
    <w:rsid w:val="003F4DF4"/>
    <w:rsid w:val="003F5400"/>
    <w:rsid w:val="003F5D73"/>
    <w:rsid w:val="003F5FEC"/>
    <w:rsid w:val="003F61FC"/>
    <w:rsid w:val="003F65CB"/>
    <w:rsid w:val="003F6646"/>
    <w:rsid w:val="003F7057"/>
    <w:rsid w:val="003F74A4"/>
    <w:rsid w:val="0040118D"/>
    <w:rsid w:val="00401266"/>
    <w:rsid w:val="00402BC2"/>
    <w:rsid w:val="00405A39"/>
    <w:rsid w:val="004079DB"/>
    <w:rsid w:val="004107F9"/>
    <w:rsid w:val="00410EBD"/>
    <w:rsid w:val="004123BA"/>
    <w:rsid w:val="004124BF"/>
    <w:rsid w:val="00412C5F"/>
    <w:rsid w:val="00412F2C"/>
    <w:rsid w:val="00413989"/>
    <w:rsid w:val="00413A68"/>
    <w:rsid w:val="00413B57"/>
    <w:rsid w:val="00413B91"/>
    <w:rsid w:val="0041404D"/>
    <w:rsid w:val="004142D4"/>
    <w:rsid w:val="00414C22"/>
    <w:rsid w:val="0041515F"/>
    <w:rsid w:val="00416437"/>
    <w:rsid w:val="004169E8"/>
    <w:rsid w:val="004170C8"/>
    <w:rsid w:val="00417EDB"/>
    <w:rsid w:val="0042099A"/>
    <w:rsid w:val="00421286"/>
    <w:rsid w:val="00423655"/>
    <w:rsid w:val="00423C4C"/>
    <w:rsid w:val="00423EC4"/>
    <w:rsid w:val="0042432A"/>
    <w:rsid w:val="00425E54"/>
    <w:rsid w:val="00426344"/>
    <w:rsid w:val="0042650F"/>
    <w:rsid w:val="004270B8"/>
    <w:rsid w:val="00432734"/>
    <w:rsid w:val="00433426"/>
    <w:rsid w:val="0043445B"/>
    <w:rsid w:val="00436BE7"/>
    <w:rsid w:val="00436F00"/>
    <w:rsid w:val="00437799"/>
    <w:rsid w:val="004403C9"/>
    <w:rsid w:val="00440B4A"/>
    <w:rsid w:val="0044190F"/>
    <w:rsid w:val="004433AF"/>
    <w:rsid w:val="00443E3D"/>
    <w:rsid w:val="00445CB1"/>
    <w:rsid w:val="00450994"/>
    <w:rsid w:val="004520DF"/>
    <w:rsid w:val="0045281D"/>
    <w:rsid w:val="00454CDF"/>
    <w:rsid w:val="0045574D"/>
    <w:rsid w:val="00455960"/>
    <w:rsid w:val="00456876"/>
    <w:rsid w:val="00456DF5"/>
    <w:rsid w:val="004603B1"/>
    <w:rsid w:val="004607A3"/>
    <w:rsid w:val="004611AB"/>
    <w:rsid w:val="00462222"/>
    <w:rsid w:val="00463067"/>
    <w:rsid w:val="00463625"/>
    <w:rsid w:val="0046633C"/>
    <w:rsid w:val="00466B50"/>
    <w:rsid w:val="00466B6E"/>
    <w:rsid w:val="004677E5"/>
    <w:rsid w:val="00467D72"/>
    <w:rsid w:val="00470348"/>
    <w:rsid w:val="00470D9E"/>
    <w:rsid w:val="004725DB"/>
    <w:rsid w:val="004736C9"/>
    <w:rsid w:val="0047373A"/>
    <w:rsid w:val="00475C54"/>
    <w:rsid w:val="00475E30"/>
    <w:rsid w:val="00476232"/>
    <w:rsid w:val="004764E2"/>
    <w:rsid w:val="004768C7"/>
    <w:rsid w:val="00476BA9"/>
    <w:rsid w:val="00477456"/>
    <w:rsid w:val="0047752C"/>
    <w:rsid w:val="00477649"/>
    <w:rsid w:val="0047789D"/>
    <w:rsid w:val="00480057"/>
    <w:rsid w:val="00482A34"/>
    <w:rsid w:val="0048510F"/>
    <w:rsid w:val="00485D0D"/>
    <w:rsid w:val="00485ECE"/>
    <w:rsid w:val="004866AA"/>
    <w:rsid w:val="00486B8B"/>
    <w:rsid w:val="00486C61"/>
    <w:rsid w:val="004872EC"/>
    <w:rsid w:val="00490814"/>
    <w:rsid w:val="00490BC6"/>
    <w:rsid w:val="00490F67"/>
    <w:rsid w:val="0049336B"/>
    <w:rsid w:val="00494757"/>
    <w:rsid w:val="00495CFA"/>
    <w:rsid w:val="004963F0"/>
    <w:rsid w:val="00497DDC"/>
    <w:rsid w:val="004A0855"/>
    <w:rsid w:val="004A0FE0"/>
    <w:rsid w:val="004A12A7"/>
    <w:rsid w:val="004A2883"/>
    <w:rsid w:val="004A28F4"/>
    <w:rsid w:val="004A2AC8"/>
    <w:rsid w:val="004A2E9F"/>
    <w:rsid w:val="004A50D9"/>
    <w:rsid w:val="004A6723"/>
    <w:rsid w:val="004A682C"/>
    <w:rsid w:val="004A68E1"/>
    <w:rsid w:val="004A6E4D"/>
    <w:rsid w:val="004A6EBF"/>
    <w:rsid w:val="004B02BB"/>
    <w:rsid w:val="004B0889"/>
    <w:rsid w:val="004B1875"/>
    <w:rsid w:val="004B1A2B"/>
    <w:rsid w:val="004B3391"/>
    <w:rsid w:val="004B41CB"/>
    <w:rsid w:val="004B5A11"/>
    <w:rsid w:val="004B5DA9"/>
    <w:rsid w:val="004B5E58"/>
    <w:rsid w:val="004B6F53"/>
    <w:rsid w:val="004B78A9"/>
    <w:rsid w:val="004C0B4C"/>
    <w:rsid w:val="004C1482"/>
    <w:rsid w:val="004C26AF"/>
    <w:rsid w:val="004C36E5"/>
    <w:rsid w:val="004C5C24"/>
    <w:rsid w:val="004C6138"/>
    <w:rsid w:val="004C6959"/>
    <w:rsid w:val="004D1778"/>
    <w:rsid w:val="004D32A0"/>
    <w:rsid w:val="004D3337"/>
    <w:rsid w:val="004D4EB8"/>
    <w:rsid w:val="004D559B"/>
    <w:rsid w:val="004D66A8"/>
    <w:rsid w:val="004D6B17"/>
    <w:rsid w:val="004E0940"/>
    <w:rsid w:val="004E11B1"/>
    <w:rsid w:val="004E1DC7"/>
    <w:rsid w:val="004E202D"/>
    <w:rsid w:val="004E2551"/>
    <w:rsid w:val="004E29D5"/>
    <w:rsid w:val="004E316B"/>
    <w:rsid w:val="004E415E"/>
    <w:rsid w:val="004E440E"/>
    <w:rsid w:val="004E5247"/>
    <w:rsid w:val="004E57A0"/>
    <w:rsid w:val="004E7990"/>
    <w:rsid w:val="004F045B"/>
    <w:rsid w:val="004F23EB"/>
    <w:rsid w:val="004F349C"/>
    <w:rsid w:val="004F4625"/>
    <w:rsid w:val="004F49C5"/>
    <w:rsid w:val="004F50B3"/>
    <w:rsid w:val="004F54A3"/>
    <w:rsid w:val="004F594A"/>
    <w:rsid w:val="004F5A53"/>
    <w:rsid w:val="004F5C49"/>
    <w:rsid w:val="005010EC"/>
    <w:rsid w:val="00501383"/>
    <w:rsid w:val="0050163C"/>
    <w:rsid w:val="005020A0"/>
    <w:rsid w:val="005027DF"/>
    <w:rsid w:val="00504404"/>
    <w:rsid w:val="0050664A"/>
    <w:rsid w:val="00506CDC"/>
    <w:rsid w:val="00507A82"/>
    <w:rsid w:val="005101FF"/>
    <w:rsid w:val="005102F4"/>
    <w:rsid w:val="0051033E"/>
    <w:rsid w:val="00511AE0"/>
    <w:rsid w:val="00512FD3"/>
    <w:rsid w:val="00513388"/>
    <w:rsid w:val="00513777"/>
    <w:rsid w:val="00514F65"/>
    <w:rsid w:val="005155A7"/>
    <w:rsid w:val="005157AE"/>
    <w:rsid w:val="00516052"/>
    <w:rsid w:val="005164ED"/>
    <w:rsid w:val="00516687"/>
    <w:rsid w:val="00520193"/>
    <w:rsid w:val="0052179A"/>
    <w:rsid w:val="00521917"/>
    <w:rsid w:val="00522386"/>
    <w:rsid w:val="005243BF"/>
    <w:rsid w:val="00524677"/>
    <w:rsid w:val="005252D1"/>
    <w:rsid w:val="00526419"/>
    <w:rsid w:val="005304D8"/>
    <w:rsid w:val="005322E8"/>
    <w:rsid w:val="00533701"/>
    <w:rsid w:val="00533C55"/>
    <w:rsid w:val="00534F3F"/>
    <w:rsid w:val="0053538A"/>
    <w:rsid w:val="00535CFE"/>
    <w:rsid w:val="00535F4A"/>
    <w:rsid w:val="005367D9"/>
    <w:rsid w:val="005368F2"/>
    <w:rsid w:val="005406B2"/>
    <w:rsid w:val="00541191"/>
    <w:rsid w:val="005419B7"/>
    <w:rsid w:val="00541A44"/>
    <w:rsid w:val="0054684D"/>
    <w:rsid w:val="0054733A"/>
    <w:rsid w:val="005473F7"/>
    <w:rsid w:val="00550644"/>
    <w:rsid w:val="00550CF1"/>
    <w:rsid w:val="0055124B"/>
    <w:rsid w:val="00552D84"/>
    <w:rsid w:val="005531E4"/>
    <w:rsid w:val="00553848"/>
    <w:rsid w:val="00554A21"/>
    <w:rsid w:val="0055556D"/>
    <w:rsid w:val="005557C3"/>
    <w:rsid w:val="00556ADA"/>
    <w:rsid w:val="00556D05"/>
    <w:rsid w:val="005571DC"/>
    <w:rsid w:val="00557395"/>
    <w:rsid w:val="0055773C"/>
    <w:rsid w:val="00557AD8"/>
    <w:rsid w:val="00557BD9"/>
    <w:rsid w:val="00560C2E"/>
    <w:rsid w:val="00560CC4"/>
    <w:rsid w:val="00560D65"/>
    <w:rsid w:val="00561279"/>
    <w:rsid w:val="0056275C"/>
    <w:rsid w:val="00562D48"/>
    <w:rsid w:val="00562D79"/>
    <w:rsid w:val="00563DC1"/>
    <w:rsid w:val="00564DC3"/>
    <w:rsid w:val="00566643"/>
    <w:rsid w:val="00566AD6"/>
    <w:rsid w:val="00570802"/>
    <w:rsid w:val="00570AB0"/>
    <w:rsid w:val="00571B73"/>
    <w:rsid w:val="00571D57"/>
    <w:rsid w:val="0057273F"/>
    <w:rsid w:val="005734E9"/>
    <w:rsid w:val="0057473B"/>
    <w:rsid w:val="005749C3"/>
    <w:rsid w:val="00575212"/>
    <w:rsid w:val="005765AE"/>
    <w:rsid w:val="00576FC2"/>
    <w:rsid w:val="00577BA6"/>
    <w:rsid w:val="0058001D"/>
    <w:rsid w:val="005810AE"/>
    <w:rsid w:val="005810CD"/>
    <w:rsid w:val="005820BB"/>
    <w:rsid w:val="00583BA1"/>
    <w:rsid w:val="005842AB"/>
    <w:rsid w:val="0058619D"/>
    <w:rsid w:val="005863F7"/>
    <w:rsid w:val="00586DA2"/>
    <w:rsid w:val="0058761F"/>
    <w:rsid w:val="0059048C"/>
    <w:rsid w:val="00592549"/>
    <w:rsid w:val="00592B3C"/>
    <w:rsid w:val="0059334B"/>
    <w:rsid w:val="00593430"/>
    <w:rsid w:val="00594F3A"/>
    <w:rsid w:val="00595210"/>
    <w:rsid w:val="00595419"/>
    <w:rsid w:val="00595481"/>
    <w:rsid w:val="005956D5"/>
    <w:rsid w:val="005972E8"/>
    <w:rsid w:val="005A1284"/>
    <w:rsid w:val="005A12B5"/>
    <w:rsid w:val="005A17D1"/>
    <w:rsid w:val="005A3CDB"/>
    <w:rsid w:val="005A4AC3"/>
    <w:rsid w:val="005A4E6A"/>
    <w:rsid w:val="005A5A99"/>
    <w:rsid w:val="005A6615"/>
    <w:rsid w:val="005A6960"/>
    <w:rsid w:val="005A7C03"/>
    <w:rsid w:val="005B1BFD"/>
    <w:rsid w:val="005B26E9"/>
    <w:rsid w:val="005B30E3"/>
    <w:rsid w:val="005B3550"/>
    <w:rsid w:val="005B39C6"/>
    <w:rsid w:val="005B3F9C"/>
    <w:rsid w:val="005B4676"/>
    <w:rsid w:val="005B4E50"/>
    <w:rsid w:val="005B51F9"/>
    <w:rsid w:val="005B590F"/>
    <w:rsid w:val="005B7EAE"/>
    <w:rsid w:val="005C1DC4"/>
    <w:rsid w:val="005C20B7"/>
    <w:rsid w:val="005C210B"/>
    <w:rsid w:val="005C2760"/>
    <w:rsid w:val="005C3DC6"/>
    <w:rsid w:val="005C5AD5"/>
    <w:rsid w:val="005C6F3B"/>
    <w:rsid w:val="005C72E6"/>
    <w:rsid w:val="005D0D74"/>
    <w:rsid w:val="005D0DC1"/>
    <w:rsid w:val="005D0DFD"/>
    <w:rsid w:val="005D0E0C"/>
    <w:rsid w:val="005D141D"/>
    <w:rsid w:val="005D4D73"/>
    <w:rsid w:val="005D5704"/>
    <w:rsid w:val="005D5B49"/>
    <w:rsid w:val="005E0A34"/>
    <w:rsid w:val="005E15A8"/>
    <w:rsid w:val="005E1D49"/>
    <w:rsid w:val="005E2CD5"/>
    <w:rsid w:val="005E47B2"/>
    <w:rsid w:val="005E4EF1"/>
    <w:rsid w:val="005E7713"/>
    <w:rsid w:val="005F011A"/>
    <w:rsid w:val="005F0EE3"/>
    <w:rsid w:val="005F13C0"/>
    <w:rsid w:val="005F18C8"/>
    <w:rsid w:val="005F2B18"/>
    <w:rsid w:val="005F4732"/>
    <w:rsid w:val="005F4C1A"/>
    <w:rsid w:val="005F597B"/>
    <w:rsid w:val="005F6F4A"/>
    <w:rsid w:val="006008A5"/>
    <w:rsid w:val="006009A2"/>
    <w:rsid w:val="00600DB6"/>
    <w:rsid w:val="006038E5"/>
    <w:rsid w:val="00603EB4"/>
    <w:rsid w:val="00604453"/>
    <w:rsid w:val="00604C40"/>
    <w:rsid w:val="00604D55"/>
    <w:rsid w:val="006050AD"/>
    <w:rsid w:val="0060518E"/>
    <w:rsid w:val="00605BCC"/>
    <w:rsid w:val="0060652F"/>
    <w:rsid w:val="00607286"/>
    <w:rsid w:val="00607409"/>
    <w:rsid w:val="00610413"/>
    <w:rsid w:val="00610A73"/>
    <w:rsid w:val="00611641"/>
    <w:rsid w:val="0061164C"/>
    <w:rsid w:val="006142D5"/>
    <w:rsid w:val="006154DD"/>
    <w:rsid w:val="00615AE6"/>
    <w:rsid w:val="00615BF3"/>
    <w:rsid w:val="006177F6"/>
    <w:rsid w:val="00617DC4"/>
    <w:rsid w:val="006208C0"/>
    <w:rsid w:val="00620BE8"/>
    <w:rsid w:val="0062137D"/>
    <w:rsid w:val="00621562"/>
    <w:rsid w:val="006222C0"/>
    <w:rsid w:val="00622709"/>
    <w:rsid w:val="00622DA7"/>
    <w:rsid w:val="0062433C"/>
    <w:rsid w:val="00627C48"/>
    <w:rsid w:val="00627C4A"/>
    <w:rsid w:val="0063099B"/>
    <w:rsid w:val="00630D03"/>
    <w:rsid w:val="00630F5C"/>
    <w:rsid w:val="00633610"/>
    <w:rsid w:val="00633931"/>
    <w:rsid w:val="006371BF"/>
    <w:rsid w:val="00640F11"/>
    <w:rsid w:val="00641051"/>
    <w:rsid w:val="00641338"/>
    <w:rsid w:val="006430A2"/>
    <w:rsid w:val="00645946"/>
    <w:rsid w:val="00645A80"/>
    <w:rsid w:val="00647C14"/>
    <w:rsid w:val="00647D80"/>
    <w:rsid w:val="0065030F"/>
    <w:rsid w:val="00650BEF"/>
    <w:rsid w:val="00651BC2"/>
    <w:rsid w:val="00651EF1"/>
    <w:rsid w:val="0065267D"/>
    <w:rsid w:val="0065311E"/>
    <w:rsid w:val="00654A64"/>
    <w:rsid w:val="00654ABF"/>
    <w:rsid w:val="00655AB5"/>
    <w:rsid w:val="00655FE7"/>
    <w:rsid w:val="006563E2"/>
    <w:rsid w:val="006566A5"/>
    <w:rsid w:val="00656D5B"/>
    <w:rsid w:val="00661A49"/>
    <w:rsid w:val="00661CF6"/>
    <w:rsid w:val="00661D6F"/>
    <w:rsid w:val="006629F6"/>
    <w:rsid w:val="00662B53"/>
    <w:rsid w:val="00663C69"/>
    <w:rsid w:val="00663EF3"/>
    <w:rsid w:val="00663F69"/>
    <w:rsid w:val="00666D52"/>
    <w:rsid w:val="00670A67"/>
    <w:rsid w:val="006720A3"/>
    <w:rsid w:val="006721B8"/>
    <w:rsid w:val="0067487D"/>
    <w:rsid w:val="00674A0F"/>
    <w:rsid w:val="00675CD7"/>
    <w:rsid w:val="00676C16"/>
    <w:rsid w:val="00677F50"/>
    <w:rsid w:val="00681648"/>
    <w:rsid w:val="00681A2E"/>
    <w:rsid w:val="00681E08"/>
    <w:rsid w:val="006832E1"/>
    <w:rsid w:val="00684246"/>
    <w:rsid w:val="00684639"/>
    <w:rsid w:val="00684C21"/>
    <w:rsid w:val="00684C7F"/>
    <w:rsid w:val="006855C4"/>
    <w:rsid w:val="0068567E"/>
    <w:rsid w:val="00685A1B"/>
    <w:rsid w:val="00685FBD"/>
    <w:rsid w:val="00686814"/>
    <w:rsid w:val="00690EF0"/>
    <w:rsid w:val="00690F37"/>
    <w:rsid w:val="0069299A"/>
    <w:rsid w:val="006935EA"/>
    <w:rsid w:val="00693AA3"/>
    <w:rsid w:val="00693C2F"/>
    <w:rsid w:val="00694080"/>
    <w:rsid w:val="006945A7"/>
    <w:rsid w:val="00694AE8"/>
    <w:rsid w:val="00695CCB"/>
    <w:rsid w:val="006967F9"/>
    <w:rsid w:val="006A03A4"/>
    <w:rsid w:val="006A09DE"/>
    <w:rsid w:val="006A1C00"/>
    <w:rsid w:val="006A22D8"/>
    <w:rsid w:val="006A2AB1"/>
    <w:rsid w:val="006A3D74"/>
    <w:rsid w:val="006A491C"/>
    <w:rsid w:val="006A5690"/>
    <w:rsid w:val="006A6145"/>
    <w:rsid w:val="006A70FB"/>
    <w:rsid w:val="006A7516"/>
    <w:rsid w:val="006A7697"/>
    <w:rsid w:val="006A7C59"/>
    <w:rsid w:val="006B038D"/>
    <w:rsid w:val="006B0F47"/>
    <w:rsid w:val="006B14FF"/>
    <w:rsid w:val="006B1CA3"/>
    <w:rsid w:val="006B2659"/>
    <w:rsid w:val="006B2762"/>
    <w:rsid w:val="006B2B7C"/>
    <w:rsid w:val="006B2EE2"/>
    <w:rsid w:val="006B3F58"/>
    <w:rsid w:val="006B42C9"/>
    <w:rsid w:val="006B5369"/>
    <w:rsid w:val="006B588F"/>
    <w:rsid w:val="006C03CA"/>
    <w:rsid w:val="006C0E07"/>
    <w:rsid w:val="006C2ADC"/>
    <w:rsid w:val="006C3266"/>
    <w:rsid w:val="006C39D0"/>
    <w:rsid w:val="006C431C"/>
    <w:rsid w:val="006C4604"/>
    <w:rsid w:val="006C491C"/>
    <w:rsid w:val="006C56F1"/>
    <w:rsid w:val="006C5B67"/>
    <w:rsid w:val="006C5D79"/>
    <w:rsid w:val="006C7083"/>
    <w:rsid w:val="006D00CF"/>
    <w:rsid w:val="006D0992"/>
    <w:rsid w:val="006D0D66"/>
    <w:rsid w:val="006D22F3"/>
    <w:rsid w:val="006D2348"/>
    <w:rsid w:val="006D34F3"/>
    <w:rsid w:val="006D37E3"/>
    <w:rsid w:val="006D4338"/>
    <w:rsid w:val="006D51C0"/>
    <w:rsid w:val="006D540A"/>
    <w:rsid w:val="006D5F56"/>
    <w:rsid w:val="006D61B5"/>
    <w:rsid w:val="006D6372"/>
    <w:rsid w:val="006D7742"/>
    <w:rsid w:val="006E08CB"/>
    <w:rsid w:val="006E13E2"/>
    <w:rsid w:val="006E14EE"/>
    <w:rsid w:val="006E1EC0"/>
    <w:rsid w:val="006E25B1"/>
    <w:rsid w:val="006E2ACD"/>
    <w:rsid w:val="006E4989"/>
    <w:rsid w:val="006E4CF0"/>
    <w:rsid w:val="006E57DB"/>
    <w:rsid w:val="006E767E"/>
    <w:rsid w:val="006E795F"/>
    <w:rsid w:val="006F1DEB"/>
    <w:rsid w:val="006F2905"/>
    <w:rsid w:val="006F35C0"/>
    <w:rsid w:val="006F3BEA"/>
    <w:rsid w:val="006F3DB8"/>
    <w:rsid w:val="006F53CC"/>
    <w:rsid w:val="006F5421"/>
    <w:rsid w:val="006F5576"/>
    <w:rsid w:val="006F5616"/>
    <w:rsid w:val="006F684E"/>
    <w:rsid w:val="006F69CB"/>
    <w:rsid w:val="006F6ED5"/>
    <w:rsid w:val="007003B6"/>
    <w:rsid w:val="00701756"/>
    <w:rsid w:val="00701804"/>
    <w:rsid w:val="00702CCA"/>
    <w:rsid w:val="0070434D"/>
    <w:rsid w:val="00707702"/>
    <w:rsid w:val="0070778F"/>
    <w:rsid w:val="00707BE1"/>
    <w:rsid w:val="00707E77"/>
    <w:rsid w:val="00710587"/>
    <w:rsid w:val="00711DE5"/>
    <w:rsid w:val="007122B3"/>
    <w:rsid w:val="00712A43"/>
    <w:rsid w:val="00712D13"/>
    <w:rsid w:val="00713149"/>
    <w:rsid w:val="00713679"/>
    <w:rsid w:val="00713975"/>
    <w:rsid w:val="00715A44"/>
    <w:rsid w:val="00715B9C"/>
    <w:rsid w:val="0071603B"/>
    <w:rsid w:val="007167A1"/>
    <w:rsid w:val="007174DA"/>
    <w:rsid w:val="00720806"/>
    <w:rsid w:val="00720EB6"/>
    <w:rsid w:val="00722063"/>
    <w:rsid w:val="0072270C"/>
    <w:rsid w:val="007228F6"/>
    <w:rsid w:val="00722F35"/>
    <w:rsid w:val="007242B1"/>
    <w:rsid w:val="007244C1"/>
    <w:rsid w:val="007259FD"/>
    <w:rsid w:val="00725B5E"/>
    <w:rsid w:val="00726E82"/>
    <w:rsid w:val="00727EAD"/>
    <w:rsid w:val="007313C3"/>
    <w:rsid w:val="007338DD"/>
    <w:rsid w:val="00734807"/>
    <w:rsid w:val="0073644F"/>
    <w:rsid w:val="00737CF9"/>
    <w:rsid w:val="00740007"/>
    <w:rsid w:val="007406AE"/>
    <w:rsid w:val="00741F9E"/>
    <w:rsid w:val="00742929"/>
    <w:rsid w:val="00742CB4"/>
    <w:rsid w:val="00742D9A"/>
    <w:rsid w:val="00743CE2"/>
    <w:rsid w:val="00743D8B"/>
    <w:rsid w:val="007440F3"/>
    <w:rsid w:val="0074413C"/>
    <w:rsid w:val="00744449"/>
    <w:rsid w:val="0074476A"/>
    <w:rsid w:val="00745147"/>
    <w:rsid w:val="007454F0"/>
    <w:rsid w:val="0074551F"/>
    <w:rsid w:val="007455D8"/>
    <w:rsid w:val="007463F6"/>
    <w:rsid w:val="00746D3D"/>
    <w:rsid w:val="00746F49"/>
    <w:rsid w:val="007474AA"/>
    <w:rsid w:val="007476E2"/>
    <w:rsid w:val="00750E86"/>
    <w:rsid w:val="00752466"/>
    <w:rsid w:val="00752A00"/>
    <w:rsid w:val="007536E5"/>
    <w:rsid w:val="007554A1"/>
    <w:rsid w:val="00756F6B"/>
    <w:rsid w:val="007574E4"/>
    <w:rsid w:val="00757B03"/>
    <w:rsid w:val="00757CAB"/>
    <w:rsid w:val="007606F8"/>
    <w:rsid w:val="0076154D"/>
    <w:rsid w:val="00764614"/>
    <w:rsid w:val="00764B47"/>
    <w:rsid w:val="00765E78"/>
    <w:rsid w:val="00766418"/>
    <w:rsid w:val="0076676D"/>
    <w:rsid w:val="00770380"/>
    <w:rsid w:val="007760CA"/>
    <w:rsid w:val="00776271"/>
    <w:rsid w:val="007770EC"/>
    <w:rsid w:val="00777B8F"/>
    <w:rsid w:val="00777C82"/>
    <w:rsid w:val="00781242"/>
    <w:rsid w:val="00781BAF"/>
    <w:rsid w:val="007822CD"/>
    <w:rsid w:val="007825F7"/>
    <w:rsid w:val="00782AD9"/>
    <w:rsid w:val="00783F49"/>
    <w:rsid w:val="007859F1"/>
    <w:rsid w:val="00785AE3"/>
    <w:rsid w:val="00786E55"/>
    <w:rsid w:val="00787A82"/>
    <w:rsid w:val="007907B6"/>
    <w:rsid w:val="007908AF"/>
    <w:rsid w:val="00790B0D"/>
    <w:rsid w:val="007937B3"/>
    <w:rsid w:val="00795FE3"/>
    <w:rsid w:val="007962D5"/>
    <w:rsid w:val="00796A54"/>
    <w:rsid w:val="00797E1E"/>
    <w:rsid w:val="007A0384"/>
    <w:rsid w:val="007A3AEB"/>
    <w:rsid w:val="007A49D3"/>
    <w:rsid w:val="007A4B5F"/>
    <w:rsid w:val="007A4FDE"/>
    <w:rsid w:val="007A5975"/>
    <w:rsid w:val="007A6480"/>
    <w:rsid w:val="007A706A"/>
    <w:rsid w:val="007B1605"/>
    <w:rsid w:val="007B31E4"/>
    <w:rsid w:val="007B3AB2"/>
    <w:rsid w:val="007B4FF2"/>
    <w:rsid w:val="007B5687"/>
    <w:rsid w:val="007B583A"/>
    <w:rsid w:val="007B6059"/>
    <w:rsid w:val="007B6106"/>
    <w:rsid w:val="007B6F68"/>
    <w:rsid w:val="007B73DA"/>
    <w:rsid w:val="007B7CE4"/>
    <w:rsid w:val="007C0FFE"/>
    <w:rsid w:val="007C1BA8"/>
    <w:rsid w:val="007C2BE4"/>
    <w:rsid w:val="007C3010"/>
    <w:rsid w:val="007C3CFC"/>
    <w:rsid w:val="007C4AF4"/>
    <w:rsid w:val="007C5ACA"/>
    <w:rsid w:val="007C637A"/>
    <w:rsid w:val="007C69CE"/>
    <w:rsid w:val="007C74D7"/>
    <w:rsid w:val="007C78D4"/>
    <w:rsid w:val="007D05B4"/>
    <w:rsid w:val="007D0943"/>
    <w:rsid w:val="007D0B2A"/>
    <w:rsid w:val="007D14CF"/>
    <w:rsid w:val="007D297E"/>
    <w:rsid w:val="007D4042"/>
    <w:rsid w:val="007D4BA5"/>
    <w:rsid w:val="007D51FC"/>
    <w:rsid w:val="007D53AA"/>
    <w:rsid w:val="007D5D5F"/>
    <w:rsid w:val="007D721D"/>
    <w:rsid w:val="007D769D"/>
    <w:rsid w:val="007E0C44"/>
    <w:rsid w:val="007E0C74"/>
    <w:rsid w:val="007E0E31"/>
    <w:rsid w:val="007E1C39"/>
    <w:rsid w:val="007E2EA6"/>
    <w:rsid w:val="007E3045"/>
    <w:rsid w:val="007E3C10"/>
    <w:rsid w:val="007E4917"/>
    <w:rsid w:val="007E5252"/>
    <w:rsid w:val="007E532D"/>
    <w:rsid w:val="007E54D1"/>
    <w:rsid w:val="007E57C7"/>
    <w:rsid w:val="007E6413"/>
    <w:rsid w:val="007E7B81"/>
    <w:rsid w:val="007F0676"/>
    <w:rsid w:val="007F0DD3"/>
    <w:rsid w:val="007F1D47"/>
    <w:rsid w:val="007F2485"/>
    <w:rsid w:val="007F3370"/>
    <w:rsid w:val="007F33E2"/>
    <w:rsid w:val="007F3889"/>
    <w:rsid w:val="007F3FEC"/>
    <w:rsid w:val="007F400F"/>
    <w:rsid w:val="007F5252"/>
    <w:rsid w:val="007F5E03"/>
    <w:rsid w:val="007F60F5"/>
    <w:rsid w:val="007F6FE2"/>
    <w:rsid w:val="007F7223"/>
    <w:rsid w:val="0080057E"/>
    <w:rsid w:val="00800D5F"/>
    <w:rsid w:val="00801D7E"/>
    <w:rsid w:val="0080313C"/>
    <w:rsid w:val="008036D6"/>
    <w:rsid w:val="00803B86"/>
    <w:rsid w:val="0080448B"/>
    <w:rsid w:val="00804AD6"/>
    <w:rsid w:val="00805CFD"/>
    <w:rsid w:val="00807B00"/>
    <w:rsid w:val="0081057A"/>
    <w:rsid w:val="00810FED"/>
    <w:rsid w:val="00811DAD"/>
    <w:rsid w:val="00813F7D"/>
    <w:rsid w:val="00814509"/>
    <w:rsid w:val="00816801"/>
    <w:rsid w:val="00817D57"/>
    <w:rsid w:val="008211DC"/>
    <w:rsid w:val="00821D25"/>
    <w:rsid w:val="00821E39"/>
    <w:rsid w:val="00822C29"/>
    <w:rsid w:val="00823605"/>
    <w:rsid w:val="0082361E"/>
    <w:rsid w:val="00823A93"/>
    <w:rsid w:val="00823B2B"/>
    <w:rsid w:val="008240FF"/>
    <w:rsid w:val="00824F4F"/>
    <w:rsid w:val="008252A9"/>
    <w:rsid w:val="008258F2"/>
    <w:rsid w:val="008262C2"/>
    <w:rsid w:val="008269C4"/>
    <w:rsid w:val="008270AB"/>
    <w:rsid w:val="00830586"/>
    <w:rsid w:val="00831086"/>
    <w:rsid w:val="008316B1"/>
    <w:rsid w:val="00831C91"/>
    <w:rsid w:val="00835953"/>
    <w:rsid w:val="00835B4A"/>
    <w:rsid w:val="008369F4"/>
    <w:rsid w:val="00836DB0"/>
    <w:rsid w:val="008371D5"/>
    <w:rsid w:val="00837C1C"/>
    <w:rsid w:val="00840A9A"/>
    <w:rsid w:val="00842012"/>
    <w:rsid w:val="00842211"/>
    <w:rsid w:val="0084246E"/>
    <w:rsid w:val="00843A92"/>
    <w:rsid w:val="00844280"/>
    <w:rsid w:val="008443E4"/>
    <w:rsid w:val="00844541"/>
    <w:rsid w:val="0084546F"/>
    <w:rsid w:val="008455B0"/>
    <w:rsid w:val="00846905"/>
    <w:rsid w:val="008471E1"/>
    <w:rsid w:val="00847E9E"/>
    <w:rsid w:val="00850CAF"/>
    <w:rsid w:val="00852FD3"/>
    <w:rsid w:val="00854183"/>
    <w:rsid w:val="00854CEF"/>
    <w:rsid w:val="00856FC7"/>
    <w:rsid w:val="008577DB"/>
    <w:rsid w:val="008609C8"/>
    <w:rsid w:val="00861B69"/>
    <w:rsid w:val="00862C98"/>
    <w:rsid w:val="00863EA2"/>
    <w:rsid w:val="00864973"/>
    <w:rsid w:val="00864E7E"/>
    <w:rsid w:val="008653A6"/>
    <w:rsid w:val="0087014C"/>
    <w:rsid w:val="00870AA5"/>
    <w:rsid w:val="00871200"/>
    <w:rsid w:val="00872F9B"/>
    <w:rsid w:val="0087305A"/>
    <w:rsid w:val="00873A0A"/>
    <w:rsid w:val="00875E4A"/>
    <w:rsid w:val="00876313"/>
    <w:rsid w:val="008769EB"/>
    <w:rsid w:val="00876F7C"/>
    <w:rsid w:val="00876FCD"/>
    <w:rsid w:val="00877004"/>
    <w:rsid w:val="0087781B"/>
    <w:rsid w:val="00877B13"/>
    <w:rsid w:val="0088026D"/>
    <w:rsid w:val="008815FC"/>
    <w:rsid w:val="00881B62"/>
    <w:rsid w:val="00882175"/>
    <w:rsid w:val="008842D1"/>
    <w:rsid w:val="00885112"/>
    <w:rsid w:val="008856CF"/>
    <w:rsid w:val="00885EDF"/>
    <w:rsid w:val="00886AC7"/>
    <w:rsid w:val="0088785E"/>
    <w:rsid w:val="00887E28"/>
    <w:rsid w:val="008916EA"/>
    <w:rsid w:val="008927BD"/>
    <w:rsid w:val="008948EC"/>
    <w:rsid w:val="00895011"/>
    <w:rsid w:val="008966B8"/>
    <w:rsid w:val="008A0BA6"/>
    <w:rsid w:val="008A1705"/>
    <w:rsid w:val="008A1D73"/>
    <w:rsid w:val="008A2197"/>
    <w:rsid w:val="008A3B10"/>
    <w:rsid w:val="008A3E38"/>
    <w:rsid w:val="008A54A2"/>
    <w:rsid w:val="008A61E3"/>
    <w:rsid w:val="008B17E9"/>
    <w:rsid w:val="008B3F49"/>
    <w:rsid w:val="008B4BCE"/>
    <w:rsid w:val="008B52C2"/>
    <w:rsid w:val="008B57A8"/>
    <w:rsid w:val="008B6353"/>
    <w:rsid w:val="008C1FBF"/>
    <w:rsid w:val="008C2E58"/>
    <w:rsid w:val="008C32E0"/>
    <w:rsid w:val="008C3E3A"/>
    <w:rsid w:val="008C6748"/>
    <w:rsid w:val="008C7146"/>
    <w:rsid w:val="008D120E"/>
    <w:rsid w:val="008D168E"/>
    <w:rsid w:val="008D1C61"/>
    <w:rsid w:val="008D3E04"/>
    <w:rsid w:val="008D4231"/>
    <w:rsid w:val="008D4718"/>
    <w:rsid w:val="008D4D6D"/>
    <w:rsid w:val="008D5454"/>
    <w:rsid w:val="008D6666"/>
    <w:rsid w:val="008E025B"/>
    <w:rsid w:val="008E2959"/>
    <w:rsid w:val="008E2E69"/>
    <w:rsid w:val="008E48CC"/>
    <w:rsid w:val="008E499C"/>
    <w:rsid w:val="008E4ACE"/>
    <w:rsid w:val="008E5240"/>
    <w:rsid w:val="008E534C"/>
    <w:rsid w:val="008E5B22"/>
    <w:rsid w:val="008E6A01"/>
    <w:rsid w:val="008E6B89"/>
    <w:rsid w:val="008E6F0A"/>
    <w:rsid w:val="008F0085"/>
    <w:rsid w:val="008F1A94"/>
    <w:rsid w:val="008F2D69"/>
    <w:rsid w:val="008F3782"/>
    <w:rsid w:val="008F4106"/>
    <w:rsid w:val="008F44B4"/>
    <w:rsid w:val="008F4BC0"/>
    <w:rsid w:val="008F4EDA"/>
    <w:rsid w:val="008F5616"/>
    <w:rsid w:val="008F5B3C"/>
    <w:rsid w:val="009003A1"/>
    <w:rsid w:val="009019A5"/>
    <w:rsid w:val="009026F1"/>
    <w:rsid w:val="0090584F"/>
    <w:rsid w:val="0090617C"/>
    <w:rsid w:val="0090637B"/>
    <w:rsid w:val="009063F8"/>
    <w:rsid w:val="009078D8"/>
    <w:rsid w:val="00911196"/>
    <w:rsid w:val="00913215"/>
    <w:rsid w:val="00913C7D"/>
    <w:rsid w:val="00913CD0"/>
    <w:rsid w:val="00914159"/>
    <w:rsid w:val="00916434"/>
    <w:rsid w:val="00916580"/>
    <w:rsid w:val="0091703A"/>
    <w:rsid w:val="00917244"/>
    <w:rsid w:val="00917B5C"/>
    <w:rsid w:val="0092045D"/>
    <w:rsid w:val="0092111A"/>
    <w:rsid w:val="0092167D"/>
    <w:rsid w:val="00921C99"/>
    <w:rsid w:val="00922D3A"/>
    <w:rsid w:val="00924857"/>
    <w:rsid w:val="009252DC"/>
    <w:rsid w:val="0092545F"/>
    <w:rsid w:val="009260A8"/>
    <w:rsid w:val="00926405"/>
    <w:rsid w:val="0092672E"/>
    <w:rsid w:val="00930979"/>
    <w:rsid w:val="009346A1"/>
    <w:rsid w:val="00934D66"/>
    <w:rsid w:val="00936BDB"/>
    <w:rsid w:val="009415B4"/>
    <w:rsid w:val="0094373D"/>
    <w:rsid w:val="009441DE"/>
    <w:rsid w:val="00946F54"/>
    <w:rsid w:val="0094766D"/>
    <w:rsid w:val="00950091"/>
    <w:rsid w:val="009508C0"/>
    <w:rsid w:val="009511BA"/>
    <w:rsid w:val="00951945"/>
    <w:rsid w:val="00953377"/>
    <w:rsid w:val="00953649"/>
    <w:rsid w:val="00953684"/>
    <w:rsid w:val="00955503"/>
    <w:rsid w:val="0095675B"/>
    <w:rsid w:val="00957361"/>
    <w:rsid w:val="009618E3"/>
    <w:rsid w:val="00963505"/>
    <w:rsid w:val="0096483C"/>
    <w:rsid w:val="00966BB5"/>
    <w:rsid w:val="00966CFF"/>
    <w:rsid w:val="00967CBB"/>
    <w:rsid w:val="00970D36"/>
    <w:rsid w:val="009714D2"/>
    <w:rsid w:val="00971B88"/>
    <w:rsid w:val="00972085"/>
    <w:rsid w:val="0097302B"/>
    <w:rsid w:val="009730F4"/>
    <w:rsid w:val="0097393F"/>
    <w:rsid w:val="009748BF"/>
    <w:rsid w:val="0097557D"/>
    <w:rsid w:val="00975875"/>
    <w:rsid w:val="00975F90"/>
    <w:rsid w:val="009766E0"/>
    <w:rsid w:val="00977D9B"/>
    <w:rsid w:val="0098017E"/>
    <w:rsid w:val="00980D8C"/>
    <w:rsid w:val="00980E3D"/>
    <w:rsid w:val="00981132"/>
    <w:rsid w:val="00981806"/>
    <w:rsid w:val="009819D6"/>
    <w:rsid w:val="00981B3F"/>
    <w:rsid w:val="00981FBA"/>
    <w:rsid w:val="00982516"/>
    <w:rsid w:val="009840F1"/>
    <w:rsid w:val="00986DBF"/>
    <w:rsid w:val="00987434"/>
    <w:rsid w:val="00990AB7"/>
    <w:rsid w:val="00993252"/>
    <w:rsid w:val="00994725"/>
    <w:rsid w:val="00994CD4"/>
    <w:rsid w:val="00996DCD"/>
    <w:rsid w:val="00997B0B"/>
    <w:rsid w:val="00997D2D"/>
    <w:rsid w:val="00997FB5"/>
    <w:rsid w:val="009A02D5"/>
    <w:rsid w:val="009A211B"/>
    <w:rsid w:val="009A2ED6"/>
    <w:rsid w:val="009A3607"/>
    <w:rsid w:val="009A4946"/>
    <w:rsid w:val="009A4987"/>
    <w:rsid w:val="009A4A6A"/>
    <w:rsid w:val="009A519C"/>
    <w:rsid w:val="009A590A"/>
    <w:rsid w:val="009A707B"/>
    <w:rsid w:val="009A7706"/>
    <w:rsid w:val="009A798C"/>
    <w:rsid w:val="009B0E79"/>
    <w:rsid w:val="009B24AA"/>
    <w:rsid w:val="009B3A82"/>
    <w:rsid w:val="009B4CB1"/>
    <w:rsid w:val="009B4DDC"/>
    <w:rsid w:val="009B51A2"/>
    <w:rsid w:val="009B6344"/>
    <w:rsid w:val="009C0396"/>
    <w:rsid w:val="009C0DD5"/>
    <w:rsid w:val="009C0E4C"/>
    <w:rsid w:val="009C0F06"/>
    <w:rsid w:val="009C1378"/>
    <w:rsid w:val="009C22E9"/>
    <w:rsid w:val="009C28EE"/>
    <w:rsid w:val="009C3315"/>
    <w:rsid w:val="009C5056"/>
    <w:rsid w:val="009C59AA"/>
    <w:rsid w:val="009C5EA5"/>
    <w:rsid w:val="009C6299"/>
    <w:rsid w:val="009C63F6"/>
    <w:rsid w:val="009C6E95"/>
    <w:rsid w:val="009C708C"/>
    <w:rsid w:val="009C7319"/>
    <w:rsid w:val="009C754B"/>
    <w:rsid w:val="009C76B2"/>
    <w:rsid w:val="009D0B80"/>
    <w:rsid w:val="009D16F7"/>
    <w:rsid w:val="009D33F8"/>
    <w:rsid w:val="009D3466"/>
    <w:rsid w:val="009D37D1"/>
    <w:rsid w:val="009D431E"/>
    <w:rsid w:val="009D52F7"/>
    <w:rsid w:val="009D579C"/>
    <w:rsid w:val="009D5C1C"/>
    <w:rsid w:val="009D6532"/>
    <w:rsid w:val="009D761A"/>
    <w:rsid w:val="009E0F26"/>
    <w:rsid w:val="009E1553"/>
    <w:rsid w:val="009E2867"/>
    <w:rsid w:val="009E33D5"/>
    <w:rsid w:val="009E39A1"/>
    <w:rsid w:val="009E436C"/>
    <w:rsid w:val="009E479F"/>
    <w:rsid w:val="009E52FE"/>
    <w:rsid w:val="009E6E1A"/>
    <w:rsid w:val="009E7362"/>
    <w:rsid w:val="009F0865"/>
    <w:rsid w:val="009F09DA"/>
    <w:rsid w:val="009F11D8"/>
    <w:rsid w:val="009F201C"/>
    <w:rsid w:val="009F227D"/>
    <w:rsid w:val="009F2561"/>
    <w:rsid w:val="009F26EB"/>
    <w:rsid w:val="009F2895"/>
    <w:rsid w:val="009F28FE"/>
    <w:rsid w:val="009F2D72"/>
    <w:rsid w:val="009F3217"/>
    <w:rsid w:val="009F3311"/>
    <w:rsid w:val="009F4203"/>
    <w:rsid w:val="009F56B5"/>
    <w:rsid w:val="009F578A"/>
    <w:rsid w:val="009F5905"/>
    <w:rsid w:val="009F5DBE"/>
    <w:rsid w:val="009F6113"/>
    <w:rsid w:val="009F6F00"/>
    <w:rsid w:val="009F71D2"/>
    <w:rsid w:val="009F7BC3"/>
    <w:rsid w:val="009F7D12"/>
    <w:rsid w:val="00A009F8"/>
    <w:rsid w:val="00A00D8C"/>
    <w:rsid w:val="00A00E18"/>
    <w:rsid w:val="00A01798"/>
    <w:rsid w:val="00A01B97"/>
    <w:rsid w:val="00A0267A"/>
    <w:rsid w:val="00A02E2A"/>
    <w:rsid w:val="00A0370A"/>
    <w:rsid w:val="00A03B7D"/>
    <w:rsid w:val="00A06895"/>
    <w:rsid w:val="00A071F7"/>
    <w:rsid w:val="00A075F5"/>
    <w:rsid w:val="00A077A9"/>
    <w:rsid w:val="00A10A8D"/>
    <w:rsid w:val="00A10B70"/>
    <w:rsid w:val="00A110E6"/>
    <w:rsid w:val="00A113D4"/>
    <w:rsid w:val="00A119AD"/>
    <w:rsid w:val="00A12A00"/>
    <w:rsid w:val="00A17BAF"/>
    <w:rsid w:val="00A17EAF"/>
    <w:rsid w:val="00A202CD"/>
    <w:rsid w:val="00A223F5"/>
    <w:rsid w:val="00A224D0"/>
    <w:rsid w:val="00A2253B"/>
    <w:rsid w:val="00A23A9A"/>
    <w:rsid w:val="00A24D61"/>
    <w:rsid w:val="00A25258"/>
    <w:rsid w:val="00A26570"/>
    <w:rsid w:val="00A27B37"/>
    <w:rsid w:val="00A30080"/>
    <w:rsid w:val="00A30950"/>
    <w:rsid w:val="00A3131C"/>
    <w:rsid w:val="00A31E7B"/>
    <w:rsid w:val="00A32EC5"/>
    <w:rsid w:val="00A3304F"/>
    <w:rsid w:val="00A33594"/>
    <w:rsid w:val="00A33904"/>
    <w:rsid w:val="00A34191"/>
    <w:rsid w:val="00A347BD"/>
    <w:rsid w:val="00A375B8"/>
    <w:rsid w:val="00A4028D"/>
    <w:rsid w:val="00A40BEA"/>
    <w:rsid w:val="00A40CAA"/>
    <w:rsid w:val="00A40EAC"/>
    <w:rsid w:val="00A40F9D"/>
    <w:rsid w:val="00A4151A"/>
    <w:rsid w:val="00A418A0"/>
    <w:rsid w:val="00A41A01"/>
    <w:rsid w:val="00A43375"/>
    <w:rsid w:val="00A436A4"/>
    <w:rsid w:val="00A44BC2"/>
    <w:rsid w:val="00A457C4"/>
    <w:rsid w:val="00A45C49"/>
    <w:rsid w:val="00A462DC"/>
    <w:rsid w:val="00A475EF"/>
    <w:rsid w:val="00A4764D"/>
    <w:rsid w:val="00A51130"/>
    <w:rsid w:val="00A51824"/>
    <w:rsid w:val="00A51E9D"/>
    <w:rsid w:val="00A527A6"/>
    <w:rsid w:val="00A52B96"/>
    <w:rsid w:val="00A53AB9"/>
    <w:rsid w:val="00A53DB2"/>
    <w:rsid w:val="00A54BF8"/>
    <w:rsid w:val="00A556C1"/>
    <w:rsid w:val="00A56909"/>
    <w:rsid w:val="00A56EF7"/>
    <w:rsid w:val="00A56F90"/>
    <w:rsid w:val="00A60012"/>
    <w:rsid w:val="00A603E1"/>
    <w:rsid w:val="00A607A2"/>
    <w:rsid w:val="00A6372E"/>
    <w:rsid w:val="00A653EF"/>
    <w:rsid w:val="00A66254"/>
    <w:rsid w:val="00A66C08"/>
    <w:rsid w:val="00A66E69"/>
    <w:rsid w:val="00A70415"/>
    <w:rsid w:val="00A70F34"/>
    <w:rsid w:val="00A72DE4"/>
    <w:rsid w:val="00A73121"/>
    <w:rsid w:val="00A740A8"/>
    <w:rsid w:val="00A7483E"/>
    <w:rsid w:val="00A754FD"/>
    <w:rsid w:val="00A75739"/>
    <w:rsid w:val="00A76CD4"/>
    <w:rsid w:val="00A77B9D"/>
    <w:rsid w:val="00A80D58"/>
    <w:rsid w:val="00A8185D"/>
    <w:rsid w:val="00A81F83"/>
    <w:rsid w:val="00A822F9"/>
    <w:rsid w:val="00A8288D"/>
    <w:rsid w:val="00A83388"/>
    <w:rsid w:val="00A8381C"/>
    <w:rsid w:val="00A844EE"/>
    <w:rsid w:val="00A8513F"/>
    <w:rsid w:val="00A85338"/>
    <w:rsid w:val="00A85AE2"/>
    <w:rsid w:val="00A86824"/>
    <w:rsid w:val="00A8734C"/>
    <w:rsid w:val="00A90B41"/>
    <w:rsid w:val="00A9190A"/>
    <w:rsid w:val="00A929A9"/>
    <w:rsid w:val="00A933A0"/>
    <w:rsid w:val="00A93B58"/>
    <w:rsid w:val="00A93BEC"/>
    <w:rsid w:val="00A94FA3"/>
    <w:rsid w:val="00A95737"/>
    <w:rsid w:val="00A95758"/>
    <w:rsid w:val="00A97925"/>
    <w:rsid w:val="00AA0851"/>
    <w:rsid w:val="00AA0A40"/>
    <w:rsid w:val="00AA0C96"/>
    <w:rsid w:val="00AA141F"/>
    <w:rsid w:val="00AA2333"/>
    <w:rsid w:val="00AA23E2"/>
    <w:rsid w:val="00AA286E"/>
    <w:rsid w:val="00AA422C"/>
    <w:rsid w:val="00AA423F"/>
    <w:rsid w:val="00AA4B18"/>
    <w:rsid w:val="00AA5CB8"/>
    <w:rsid w:val="00AA5D4E"/>
    <w:rsid w:val="00AA621C"/>
    <w:rsid w:val="00AA6F97"/>
    <w:rsid w:val="00AB02BF"/>
    <w:rsid w:val="00AB0B89"/>
    <w:rsid w:val="00AB0D6A"/>
    <w:rsid w:val="00AB2221"/>
    <w:rsid w:val="00AB2516"/>
    <w:rsid w:val="00AB288C"/>
    <w:rsid w:val="00AB3745"/>
    <w:rsid w:val="00AB403F"/>
    <w:rsid w:val="00AB4129"/>
    <w:rsid w:val="00AB4677"/>
    <w:rsid w:val="00AB5EEF"/>
    <w:rsid w:val="00AB6D46"/>
    <w:rsid w:val="00AB7A10"/>
    <w:rsid w:val="00AC01A6"/>
    <w:rsid w:val="00AC1566"/>
    <w:rsid w:val="00AC3365"/>
    <w:rsid w:val="00AC3B1B"/>
    <w:rsid w:val="00AC3FF8"/>
    <w:rsid w:val="00AC5F4D"/>
    <w:rsid w:val="00AD0DFE"/>
    <w:rsid w:val="00AD1600"/>
    <w:rsid w:val="00AD21B5"/>
    <w:rsid w:val="00AD2CA7"/>
    <w:rsid w:val="00AD2EA1"/>
    <w:rsid w:val="00AD3016"/>
    <w:rsid w:val="00AD5391"/>
    <w:rsid w:val="00AD63A6"/>
    <w:rsid w:val="00AD65AF"/>
    <w:rsid w:val="00AD6D8E"/>
    <w:rsid w:val="00AD71FB"/>
    <w:rsid w:val="00AD7EAE"/>
    <w:rsid w:val="00AE0007"/>
    <w:rsid w:val="00AE06DF"/>
    <w:rsid w:val="00AE274D"/>
    <w:rsid w:val="00AE2B74"/>
    <w:rsid w:val="00AE41EF"/>
    <w:rsid w:val="00AE4687"/>
    <w:rsid w:val="00AE6379"/>
    <w:rsid w:val="00AE6F30"/>
    <w:rsid w:val="00AF2F31"/>
    <w:rsid w:val="00AF3AC5"/>
    <w:rsid w:val="00AF41D6"/>
    <w:rsid w:val="00AF4D67"/>
    <w:rsid w:val="00AF4E9F"/>
    <w:rsid w:val="00AF620C"/>
    <w:rsid w:val="00AF708A"/>
    <w:rsid w:val="00B00697"/>
    <w:rsid w:val="00B00E59"/>
    <w:rsid w:val="00B017A6"/>
    <w:rsid w:val="00B01DA2"/>
    <w:rsid w:val="00B01FA6"/>
    <w:rsid w:val="00B02F3A"/>
    <w:rsid w:val="00B0343F"/>
    <w:rsid w:val="00B04011"/>
    <w:rsid w:val="00B04043"/>
    <w:rsid w:val="00B04D69"/>
    <w:rsid w:val="00B052A5"/>
    <w:rsid w:val="00B0630C"/>
    <w:rsid w:val="00B07C9C"/>
    <w:rsid w:val="00B07D9B"/>
    <w:rsid w:val="00B11442"/>
    <w:rsid w:val="00B1171E"/>
    <w:rsid w:val="00B128C3"/>
    <w:rsid w:val="00B12969"/>
    <w:rsid w:val="00B147B5"/>
    <w:rsid w:val="00B16584"/>
    <w:rsid w:val="00B17109"/>
    <w:rsid w:val="00B204FC"/>
    <w:rsid w:val="00B235E9"/>
    <w:rsid w:val="00B258B2"/>
    <w:rsid w:val="00B26693"/>
    <w:rsid w:val="00B26BA7"/>
    <w:rsid w:val="00B27DD1"/>
    <w:rsid w:val="00B30C6F"/>
    <w:rsid w:val="00B30DE9"/>
    <w:rsid w:val="00B31475"/>
    <w:rsid w:val="00B31E0A"/>
    <w:rsid w:val="00B32D26"/>
    <w:rsid w:val="00B33244"/>
    <w:rsid w:val="00B346AD"/>
    <w:rsid w:val="00B348A7"/>
    <w:rsid w:val="00B36CB3"/>
    <w:rsid w:val="00B37428"/>
    <w:rsid w:val="00B41897"/>
    <w:rsid w:val="00B4284F"/>
    <w:rsid w:val="00B442E9"/>
    <w:rsid w:val="00B46A07"/>
    <w:rsid w:val="00B46B98"/>
    <w:rsid w:val="00B4794E"/>
    <w:rsid w:val="00B50BBE"/>
    <w:rsid w:val="00B50D9F"/>
    <w:rsid w:val="00B53531"/>
    <w:rsid w:val="00B547D0"/>
    <w:rsid w:val="00B56649"/>
    <w:rsid w:val="00B56A28"/>
    <w:rsid w:val="00B57F79"/>
    <w:rsid w:val="00B60C24"/>
    <w:rsid w:val="00B60CD6"/>
    <w:rsid w:val="00B61326"/>
    <w:rsid w:val="00B62BAD"/>
    <w:rsid w:val="00B63115"/>
    <w:rsid w:val="00B63432"/>
    <w:rsid w:val="00B63653"/>
    <w:rsid w:val="00B63D68"/>
    <w:rsid w:val="00B649D1"/>
    <w:rsid w:val="00B65222"/>
    <w:rsid w:val="00B66826"/>
    <w:rsid w:val="00B676C3"/>
    <w:rsid w:val="00B67A66"/>
    <w:rsid w:val="00B706FA"/>
    <w:rsid w:val="00B7093F"/>
    <w:rsid w:val="00B71BB3"/>
    <w:rsid w:val="00B72D41"/>
    <w:rsid w:val="00B731C2"/>
    <w:rsid w:val="00B737BF"/>
    <w:rsid w:val="00B75C41"/>
    <w:rsid w:val="00B76529"/>
    <w:rsid w:val="00B76AC2"/>
    <w:rsid w:val="00B8093F"/>
    <w:rsid w:val="00B80B1E"/>
    <w:rsid w:val="00B80C03"/>
    <w:rsid w:val="00B817E6"/>
    <w:rsid w:val="00B82BD8"/>
    <w:rsid w:val="00B8350D"/>
    <w:rsid w:val="00B8529F"/>
    <w:rsid w:val="00B856FC"/>
    <w:rsid w:val="00B86260"/>
    <w:rsid w:val="00B862A6"/>
    <w:rsid w:val="00B879D6"/>
    <w:rsid w:val="00B87E36"/>
    <w:rsid w:val="00B9019D"/>
    <w:rsid w:val="00B908BC"/>
    <w:rsid w:val="00B923E9"/>
    <w:rsid w:val="00B93C5D"/>
    <w:rsid w:val="00B95E73"/>
    <w:rsid w:val="00B96609"/>
    <w:rsid w:val="00B97963"/>
    <w:rsid w:val="00BA0182"/>
    <w:rsid w:val="00BA0EE9"/>
    <w:rsid w:val="00BA1425"/>
    <w:rsid w:val="00BA19D4"/>
    <w:rsid w:val="00BA1A62"/>
    <w:rsid w:val="00BA2231"/>
    <w:rsid w:val="00BA2DB3"/>
    <w:rsid w:val="00BA2E00"/>
    <w:rsid w:val="00BA34EC"/>
    <w:rsid w:val="00BA3CC1"/>
    <w:rsid w:val="00BA464E"/>
    <w:rsid w:val="00BA4CF4"/>
    <w:rsid w:val="00BA4F17"/>
    <w:rsid w:val="00BA5F34"/>
    <w:rsid w:val="00BA791F"/>
    <w:rsid w:val="00BB0811"/>
    <w:rsid w:val="00BB0C0C"/>
    <w:rsid w:val="00BB25C6"/>
    <w:rsid w:val="00BB3181"/>
    <w:rsid w:val="00BB3A25"/>
    <w:rsid w:val="00BB4119"/>
    <w:rsid w:val="00BB4532"/>
    <w:rsid w:val="00BB470B"/>
    <w:rsid w:val="00BB51AE"/>
    <w:rsid w:val="00BB5426"/>
    <w:rsid w:val="00BB791D"/>
    <w:rsid w:val="00BB7A3E"/>
    <w:rsid w:val="00BC06D3"/>
    <w:rsid w:val="00BC09EF"/>
    <w:rsid w:val="00BC18C1"/>
    <w:rsid w:val="00BC3F4C"/>
    <w:rsid w:val="00BC523A"/>
    <w:rsid w:val="00BC530D"/>
    <w:rsid w:val="00BC59C8"/>
    <w:rsid w:val="00BC6C9F"/>
    <w:rsid w:val="00BC70AC"/>
    <w:rsid w:val="00BC7F5A"/>
    <w:rsid w:val="00BD06EE"/>
    <w:rsid w:val="00BD0EB9"/>
    <w:rsid w:val="00BD1D20"/>
    <w:rsid w:val="00BD2D33"/>
    <w:rsid w:val="00BD329A"/>
    <w:rsid w:val="00BD35CC"/>
    <w:rsid w:val="00BD62BF"/>
    <w:rsid w:val="00BD7903"/>
    <w:rsid w:val="00BD7D49"/>
    <w:rsid w:val="00BE0D52"/>
    <w:rsid w:val="00BE0FC7"/>
    <w:rsid w:val="00BE1A1F"/>
    <w:rsid w:val="00BE2A45"/>
    <w:rsid w:val="00BE2ADD"/>
    <w:rsid w:val="00BE2C8A"/>
    <w:rsid w:val="00BE5E4F"/>
    <w:rsid w:val="00BE5F5A"/>
    <w:rsid w:val="00BE617B"/>
    <w:rsid w:val="00BE6D81"/>
    <w:rsid w:val="00BF11AB"/>
    <w:rsid w:val="00BF13FA"/>
    <w:rsid w:val="00BF146B"/>
    <w:rsid w:val="00BF2640"/>
    <w:rsid w:val="00BF3024"/>
    <w:rsid w:val="00BF60C0"/>
    <w:rsid w:val="00BF7FBA"/>
    <w:rsid w:val="00C00DE8"/>
    <w:rsid w:val="00C0128B"/>
    <w:rsid w:val="00C02AE0"/>
    <w:rsid w:val="00C03494"/>
    <w:rsid w:val="00C043EA"/>
    <w:rsid w:val="00C04977"/>
    <w:rsid w:val="00C0568D"/>
    <w:rsid w:val="00C05837"/>
    <w:rsid w:val="00C06188"/>
    <w:rsid w:val="00C07114"/>
    <w:rsid w:val="00C07446"/>
    <w:rsid w:val="00C075F8"/>
    <w:rsid w:val="00C10FF1"/>
    <w:rsid w:val="00C117BC"/>
    <w:rsid w:val="00C11E74"/>
    <w:rsid w:val="00C13ED2"/>
    <w:rsid w:val="00C1415C"/>
    <w:rsid w:val="00C1622D"/>
    <w:rsid w:val="00C16CAC"/>
    <w:rsid w:val="00C20796"/>
    <w:rsid w:val="00C2262D"/>
    <w:rsid w:val="00C22AFA"/>
    <w:rsid w:val="00C2493C"/>
    <w:rsid w:val="00C254A1"/>
    <w:rsid w:val="00C25E17"/>
    <w:rsid w:val="00C26D2B"/>
    <w:rsid w:val="00C30113"/>
    <w:rsid w:val="00C31F9A"/>
    <w:rsid w:val="00C32DEA"/>
    <w:rsid w:val="00C3310A"/>
    <w:rsid w:val="00C34995"/>
    <w:rsid w:val="00C360BF"/>
    <w:rsid w:val="00C3619E"/>
    <w:rsid w:val="00C40082"/>
    <w:rsid w:val="00C40532"/>
    <w:rsid w:val="00C4125B"/>
    <w:rsid w:val="00C41385"/>
    <w:rsid w:val="00C41967"/>
    <w:rsid w:val="00C43BAE"/>
    <w:rsid w:val="00C444F1"/>
    <w:rsid w:val="00C45194"/>
    <w:rsid w:val="00C451BC"/>
    <w:rsid w:val="00C4520E"/>
    <w:rsid w:val="00C462AD"/>
    <w:rsid w:val="00C462EB"/>
    <w:rsid w:val="00C46BF3"/>
    <w:rsid w:val="00C4735E"/>
    <w:rsid w:val="00C513FA"/>
    <w:rsid w:val="00C514D7"/>
    <w:rsid w:val="00C54169"/>
    <w:rsid w:val="00C54882"/>
    <w:rsid w:val="00C54E5E"/>
    <w:rsid w:val="00C54F19"/>
    <w:rsid w:val="00C55303"/>
    <w:rsid w:val="00C57428"/>
    <w:rsid w:val="00C578E1"/>
    <w:rsid w:val="00C57AFB"/>
    <w:rsid w:val="00C60A5F"/>
    <w:rsid w:val="00C615B1"/>
    <w:rsid w:val="00C616C1"/>
    <w:rsid w:val="00C61EE2"/>
    <w:rsid w:val="00C6272A"/>
    <w:rsid w:val="00C635AC"/>
    <w:rsid w:val="00C64B2C"/>
    <w:rsid w:val="00C64BE3"/>
    <w:rsid w:val="00C65D61"/>
    <w:rsid w:val="00C65DEE"/>
    <w:rsid w:val="00C65FC8"/>
    <w:rsid w:val="00C66C64"/>
    <w:rsid w:val="00C6768C"/>
    <w:rsid w:val="00C7000D"/>
    <w:rsid w:val="00C7073C"/>
    <w:rsid w:val="00C70F7F"/>
    <w:rsid w:val="00C70F99"/>
    <w:rsid w:val="00C71069"/>
    <w:rsid w:val="00C73D22"/>
    <w:rsid w:val="00C75B76"/>
    <w:rsid w:val="00C76516"/>
    <w:rsid w:val="00C76A9C"/>
    <w:rsid w:val="00C76B57"/>
    <w:rsid w:val="00C771E9"/>
    <w:rsid w:val="00C77207"/>
    <w:rsid w:val="00C77DA7"/>
    <w:rsid w:val="00C81159"/>
    <w:rsid w:val="00C819D0"/>
    <w:rsid w:val="00C82FC8"/>
    <w:rsid w:val="00C837F7"/>
    <w:rsid w:val="00C8686C"/>
    <w:rsid w:val="00C93927"/>
    <w:rsid w:val="00C9497F"/>
    <w:rsid w:val="00C94BB0"/>
    <w:rsid w:val="00C94C7B"/>
    <w:rsid w:val="00C96C7E"/>
    <w:rsid w:val="00C9794A"/>
    <w:rsid w:val="00C97A57"/>
    <w:rsid w:val="00CA546F"/>
    <w:rsid w:val="00CA59D0"/>
    <w:rsid w:val="00CA5A0D"/>
    <w:rsid w:val="00CA5EB7"/>
    <w:rsid w:val="00CA671C"/>
    <w:rsid w:val="00CA6E87"/>
    <w:rsid w:val="00CB2B03"/>
    <w:rsid w:val="00CB2B7F"/>
    <w:rsid w:val="00CB317D"/>
    <w:rsid w:val="00CB48F8"/>
    <w:rsid w:val="00CB5363"/>
    <w:rsid w:val="00CB6EE8"/>
    <w:rsid w:val="00CB7005"/>
    <w:rsid w:val="00CC0D3F"/>
    <w:rsid w:val="00CC0E1D"/>
    <w:rsid w:val="00CC1248"/>
    <w:rsid w:val="00CC1BA5"/>
    <w:rsid w:val="00CC5D50"/>
    <w:rsid w:val="00CC6427"/>
    <w:rsid w:val="00CC7C9A"/>
    <w:rsid w:val="00CD0D39"/>
    <w:rsid w:val="00CD20A3"/>
    <w:rsid w:val="00CD25AB"/>
    <w:rsid w:val="00CD2C8E"/>
    <w:rsid w:val="00CD3A23"/>
    <w:rsid w:val="00CD4CB4"/>
    <w:rsid w:val="00CD4EBD"/>
    <w:rsid w:val="00CD5348"/>
    <w:rsid w:val="00CD5754"/>
    <w:rsid w:val="00CD5E91"/>
    <w:rsid w:val="00CE04E5"/>
    <w:rsid w:val="00CE0536"/>
    <w:rsid w:val="00CE0D0B"/>
    <w:rsid w:val="00CE17D4"/>
    <w:rsid w:val="00CE2B8D"/>
    <w:rsid w:val="00CE2D27"/>
    <w:rsid w:val="00CE3FD6"/>
    <w:rsid w:val="00CE4E28"/>
    <w:rsid w:val="00CE6509"/>
    <w:rsid w:val="00CE6BC3"/>
    <w:rsid w:val="00CE6CAD"/>
    <w:rsid w:val="00CE6FEF"/>
    <w:rsid w:val="00CE7347"/>
    <w:rsid w:val="00CE7DB2"/>
    <w:rsid w:val="00CF10D3"/>
    <w:rsid w:val="00CF14A1"/>
    <w:rsid w:val="00CF1F0D"/>
    <w:rsid w:val="00CF571B"/>
    <w:rsid w:val="00CF600F"/>
    <w:rsid w:val="00CF6385"/>
    <w:rsid w:val="00CF6783"/>
    <w:rsid w:val="00CF684B"/>
    <w:rsid w:val="00CF68D5"/>
    <w:rsid w:val="00CF68FD"/>
    <w:rsid w:val="00CF690E"/>
    <w:rsid w:val="00CF6961"/>
    <w:rsid w:val="00CF701C"/>
    <w:rsid w:val="00CF7826"/>
    <w:rsid w:val="00CF7AB4"/>
    <w:rsid w:val="00D0032A"/>
    <w:rsid w:val="00D00823"/>
    <w:rsid w:val="00D00F9F"/>
    <w:rsid w:val="00D04FFD"/>
    <w:rsid w:val="00D0556E"/>
    <w:rsid w:val="00D05A04"/>
    <w:rsid w:val="00D108D0"/>
    <w:rsid w:val="00D11597"/>
    <w:rsid w:val="00D11A5C"/>
    <w:rsid w:val="00D120A6"/>
    <w:rsid w:val="00D12557"/>
    <w:rsid w:val="00D12F5E"/>
    <w:rsid w:val="00D1310B"/>
    <w:rsid w:val="00D1347D"/>
    <w:rsid w:val="00D137F0"/>
    <w:rsid w:val="00D13E59"/>
    <w:rsid w:val="00D14F1F"/>
    <w:rsid w:val="00D16865"/>
    <w:rsid w:val="00D16A51"/>
    <w:rsid w:val="00D1718C"/>
    <w:rsid w:val="00D174BF"/>
    <w:rsid w:val="00D1793A"/>
    <w:rsid w:val="00D2136F"/>
    <w:rsid w:val="00D215B3"/>
    <w:rsid w:val="00D21E46"/>
    <w:rsid w:val="00D23D51"/>
    <w:rsid w:val="00D24ADB"/>
    <w:rsid w:val="00D25756"/>
    <w:rsid w:val="00D25E32"/>
    <w:rsid w:val="00D26760"/>
    <w:rsid w:val="00D27186"/>
    <w:rsid w:val="00D3009C"/>
    <w:rsid w:val="00D30C88"/>
    <w:rsid w:val="00D3138E"/>
    <w:rsid w:val="00D31CFE"/>
    <w:rsid w:val="00D31F62"/>
    <w:rsid w:val="00D320A6"/>
    <w:rsid w:val="00D32747"/>
    <w:rsid w:val="00D32DD5"/>
    <w:rsid w:val="00D36173"/>
    <w:rsid w:val="00D36238"/>
    <w:rsid w:val="00D4194D"/>
    <w:rsid w:val="00D4229A"/>
    <w:rsid w:val="00D42E5D"/>
    <w:rsid w:val="00D440C3"/>
    <w:rsid w:val="00D4410C"/>
    <w:rsid w:val="00D4521C"/>
    <w:rsid w:val="00D46C7C"/>
    <w:rsid w:val="00D46F19"/>
    <w:rsid w:val="00D473B8"/>
    <w:rsid w:val="00D508F5"/>
    <w:rsid w:val="00D52779"/>
    <w:rsid w:val="00D53E59"/>
    <w:rsid w:val="00D548D8"/>
    <w:rsid w:val="00D55774"/>
    <w:rsid w:val="00D5590B"/>
    <w:rsid w:val="00D56255"/>
    <w:rsid w:val="00D5731F"/>
    <w:rsid w:val="00D60BEF"/>
    <w:rsid w:val="00D619CF"/>
    <w:rsid w:val="00D620A7"/>
    <w:rsid w:val="00D638F0"/>
    <w:rsid w:val="00D63958"/>
    <w:rsid w:val="00D63C11"/>
    <w:rsid w:val="00D63F45"/>
    <w:rsid w:val="00D64848"/>
    <w:rsid w:val="00D672A6"/>
    <w:rsid w:val="00D67B5E"/>
    <w:rsid w:val="00D742E1"/>
    <w:rsid w:val="00D750B1"/>
    <w:rsid w:val="00D77505"/>
    <w:rsid w:val="00D77946"/>
    <w:rsid w:val="00D77C97"/>
    <w:rsid w:val="00D81317"/>
    <w:rsid w:val="00D8178B"/>
    <w:rsid w:val="00D81CDD"/>
    <w:rsid w:val="00D82033"/>
    <w:rsid w:val="00D82E5A"/>
    <w:rsid w:val="00D831DE"/>
    <w:rsid w:val="00D83334"/>
    <w:rsid w:val="00D833E9"/>
    <w:rsid w:val="00D8427D"/>
    <w:rsid w:val="00D8457F"/>
    <w:rsid w:val="00D8520B"/>
    <w:rsid w:val="00D87356"/>
    <w:rsid w:val="00D90899"/>
    <w:rsid w:val="00D92045"/>
    <w:rsid w:val="00D925D5"/>
    <w:rsid w:val="00D945AF"/>
    <w:rsid w:val="00D9637F"/>
    <w:rsid w:val="00D9663D"/>
    <w:rsid w:val="00D96B7E"/>
    <w:rsid w:val="00DA087C"/>
    <w:rsid w:val="00DA12AB"/>
    <w:rsid w:val="00DA1AC5"/>
    <w:rsid w:val="00DA2296"/>
    <w:rsid w:val="00DA25C9"/>
    <w:rsid w:val="00DA2713"/>
    <w:rsid w:val="00DA321E"/>
    <w:rsid w:val="00DA3A02"/>
    <w:rsid w:val="00DA74B9"/>
    <w:rsid w:val="00DA77D3"/>
    <w:rsid w:val="00DB0266"/>
    <w:rsid w:val="00DB0453"/>
    <w:rsid w:val="00DB0C81"/>
    <w:rsid w:val="00DB222F"/>
    <w:rsid w:val="00DB27B0"/>
    <w:rsid w:val="00DB2AE0"/>
    <w:rsid w:val="00DB5550"/>
    <w:rsid w:val="00DB6350"/>
    <w:rsid w:val="00DB691E"/>
    <w:rsid w:val="00DC0AA6"/>
    <w:rsid w:val="00DC3367"/>
    <w:rsid w:val="00DC4274"/>
    <w:rsid w:val="00DC57EC"/>
    <w:rsid w:val="00DC5AEF"/>
    <w:rsid w:val="00DC5BD1"/>
    <w:rsid w:val="00DC76DB"/>
    <w:rsid w:val="00DC7C7A"/>
    <w:rsid w:val="00DD0372"/>
    <w:rsid w:val="00DD138C"/>
    <w:rsid w:val="00DD13B1"/>
    <w:rsid w:val="00DD250F"/>
    <w:rsid w:val="00DD43DC"/>
    <w:rsid w:val="00DD4FA3"/>
    <w:rsid w:val="00DD5F6F"/>
    <w:rsid w:val="00DD7BA1"/>
    <w:rsid w:val="00DE0D0F"/>
    <w:rsid w:val="00DE0FBA"/>
    <w:rsid w:val="00DE17E6"/>
    <w:rsid w:val="00DE190F"/>
    <w:rsid w:val="00DE3504"/>
    <w:rsid w:val="00DE48D9"/>
    <w:rsid w:val="00DE4B3E"/>
    <w:rsid w:val="00DE55EF"/>
    <w:rsid w:val="00DE56F1"/>
    <w:rsid w:val="00DE6456"/>
    <w:rsid w:val="00DE6ABC"/>
    <w:rsid w:val="00DE6DC7"/>
    <w:rsid w:val="00DF1C6A"/>
    <w:rsid w:val="00DF1FEF"/>
    <w:rsid w:val="00DF329B"/>
    <w:rsid w:val="00DF4011"/>
    <w:rsid w:val="00DF4439"/>
    <w:rsid w:val="00DF600B"/>
    <w:rsid w:val="00E00511"/>
    <w:rsid w:val="00E009BA"/>
    <w:rsid w:val="00E00F4B"/>
    <w:rsid w:val="00E0194B"/>
    <w:rsid w:val="00E021FE"/>
    <w:rsid w:val="00E0258C"/>
    <w:rsid w:val="00E0331C"/>
    <w:rsid w:val="00E0349A"/>
    <w:rsid w:val="00E03950"/>
    <w:rsid w:val="00E04113"/>
    <w:rsid w:val="00E066E2"/>
    <w:rsid w:val="00E07D80"/>
    <w:rsid w:val="00E1205E"/>
    <w:rsid w:val="00E1327F"/>
    <w:rsid w:val="00E13CBC"/>
    <w:rsid w:val="00E14278"/>
    <w:rsid w:val="00E200BE"/>
    <w:rsid w:val="00E21629"/>
    <w:rsid w:val="00E2296F"/>
    <w:rsid w:val="00E231BD"/>
    <w:rsid w:val="00E23F01"/>
    <w:rsid w:val="00E2498E"/>
    <w:rsid w:val="00E2677F"/>
    <w:rsid w:val="00E2702C"/>
    <w:rsid w:val="00E27445"/>
    <w:rsid w:val="00E27D11"/>
    <w:rsid w:val="00E27FE5"/>
    <w:rsid w:val="00E30007"/>
    <w:rsid w:val="00E30B22"/>
    <w:rsid w:val="00E3132F"/>
    <w:rsid w:val="00E31DBC"/>
    <w:rsid w:val="00E33103"/>
    <w:rsid w:val="00E339CA"/>
    <w:rsid w:val="00E35A23"/>
    <w:rsid w:val="00E363FC"/>
    <w:rsid w:val="00E40640"/>
    <w:rsid w:val="00E407E7"/>
    <w:rsid w:val="00E4105C"/>
    <w:rsid w:val="00E42C69"/>
    <w:rsid w:val="00E430F8"/>
    <w:rsid w:val="00E43C1E"/>
    <w:rsid w:val="00E444A4"/>
    <w:rsid w:val="00E44898"/>
    <w:rsid w:val="00E46E74"/>
    <w:rsid w:val="00E47C88"/>
    <w:rsid w:val="00E47EBC"/>
    <w:rsid w:val="00E51EC4"/>
    <w:rsid w:val="00E52219"/>
    <w:rsid w:val="00E53734"/>
    <w:rsid w:val="00E54331"/>
    <w:rsid w:val="00E54D8C"/>
    <w:rsid w:val="00E561A6"/>
    <w:rsid w:val="00E576E5"/>
    <w:rsid w:val="00E62499"/>
    <w:rsid w:val="00E628B0"/>
    <w:rsid w:val="00E62F81"/>
    <w:rsid w:val="00E6410A"/>
    <w:rsid w:val="00E64C33"/>
    <w:rsid w:val="00E66A4B"/>
    <w:rsid w:val="00E66D41"/>
    <w:rsid w:val="00E66D73"/>
    <w:rsid w:val="00E672F9"/>
    <w:rsid w:val="00E7093D"/>
    <w:rsid w:val="00E73257"/>
    <w:rsid w:val="00E74248"/>
    <w:rsid w:val="00E74481"/>
    <w:rsid w:val="00E748ED"/>
    <w:rsid w:val="00E74D26"/>
    <w:rsid w:val="00E764B8"/>
    <w:rsid w:val="00E7665E"/>
    <w:rsid w:val="00E76743"/>
    <w:rsid w:val="00E76EBE"/>
    <w:rsid w:val="00E80A35"/>
    <w:rsid w:val="00E81217"/>
    <w:rsid w:val="00E816F4"/>
    <w:rsid w:val="00E8228D"/>
    <w:rsid w:val="00E82425"/>
    <w:rsid w:val="00E82615"/>
    <w:rsid w:val="00E82B0E"/>
    <w:rsid w:val="00E8302A"/>
    <w:rsid w:val="00E83927"/>
    <w:rsid w:val="00E83C07"/>
    <w:rsid w:val="00E851F2"/>
    <w:rsid w:val="00E867E8"/>
    <w:rsid w:val="00E86E63"/>
    <w:rsid w:val="00E8706B"/>
    <w:rsid w:val="00E87974"/>
    <w:rsid w:val="00E90549"/>
    <w:rsid w:val="00E90C0B"/>
    <w:rsid w:val="00E90DDB"/>
    <w:rsid w:val="00E91E7B"/>
    <w:rsid w:val="00E9325C"/>
    <w:rsid w:val="00E9413A"/>
    <w:rsid w:val="00E94B9F"/>
    <w:rsid w:val="00E9555C"/>
    <w:rsid w:val="00E95D4C"/>
    <w:rsid w:val="00E95F45"/>
    <w:rsid w:val="00E9748D"/>
    <w:rsid w:val="00EA0E47"/>
    <w:rsid w:val="00EA1ACE"/>
    <w:rsid w:val="00EA2A02"/>
    <w:rsid w:val="00EA2AEE"/>
    <w:rsid w:val="00EA3FB1"/>
    <w:rsid w:val="00EA4209"/>
    <w:rsid w:val="00EA5ED0"/>
    <w:rsid w:val="00EA5F34"/>
    <w:rsid w:val="00EA67AF"/>
    <w:rsid w:val="00EA6FD0"/>
    <w:rsid w:val="00EA7305"/>
    <w:rsid w:val="00EA7585"/>
    <w:rsid w:val="00EA77AA"/>
    <w:rsid w:val="00EB01E5"/>
    <w:rsid w:val="00EB0D59"/>
    <w:rsid w:val="00EB15D2"/>
    <w:rsid w:val="00EB3B72"/>
    <w:rsid w:val="00EB4CCD"/>
    <w:rsid w:val="00EB4EDF"/>
    <w:rsid w:val="00EB604B"/>
    <w:rsid w:val="00EB6555"/>
    <w:rsid w:val="00EB67D4"/>
    <w:rsid w:val="00EB682C"/>
    <w:rsid w:val="00EB6899"/>
    <w:rsid w:val="00EB70AE"/>
    <w:rsid w:val="00EB760B"/>
    <w:rsid w:val="00EB79DA"/>
    <w:rsid w:val="00EC0E90"/>
    <w:rsid w:val="00EC12AA"/>
    <w:rsid w:val="00EC2754"/>
    <w:rsid w:val="00EC3761"/>
    <w:rsid w:val="00EC4636"/>
    <w:rsid w:val="00EC763D"/>
    <w:rsid w:val="00EC76B4"/>
    <w:rsid w:val="00ED0BDA"/>
    <w:rsid w:val="00ED155B"/>
    <w:rsid w:val="00ED4426"/>
    <w:rsid w:val="00ED473C"/>
    <w:rsid w:val="00ED6387"/>
    <w:rsid w:val="00ED780D"/>
    <w:rsid w:val="00ED7861"/>
    <w:rsid w:val="00ED7A0D"/>
    <w:rsid w:val="00EE2504"/>
    <w:rsid w:val="00EE29E3"/>
    <w:rsid w:val="00EE3BDA"/>
    <w:rsid w:val="00EE3D7D"/>
    <w:rsid w:val="00EE72C7"/>
    <w:rsid w:val="00EE77DE"/>
    <w:rsid w:val="00EE7843"/>
    <w:rsid w:val="00EF345A"/>
    <w:rsid w:val="00EF3CF9"/>
    <w:rsid w:val="00EF59D0"/>
    <w:rsid w:val="00EF6635"/>
    <w:rsid w:val="00EF665A"/>
    <w:rsid w:val="00F002C9"/>
    <w:rsid w:val="00F03F97"/>
    <w:rsid w:val="00F04175"/>
    <w:rsid w:val="00F06107"/>
    <w:rsid w:val="00F06FC9"/>
    <w:rsid w:val="00F10449"/>
    <w:rsid w:val="00F105CB"/>
    <w:rsid w:val="00F10E0E"/>
    <w:rsid w:val="00F11127"/>
    <w:rsid w:val="00F11C0F"/>
    <w:rsid w:val="00F12FFC"/>
    <w:rsid w:val="00F13BCD"/>
    <w:rsid w:val="00F15741"/>
    <w:rsid w:val="00F16758"/>
    <w:rsid w:val="00F173B9"/>
    <w:rsid w:val="00F20348"/>
    <w:rsid w:val="00F20A11"/>
    <w:rsid w:val="00F22B19"/>
    <w:rsid w:val="00F22CD1"/>
    <w:rsid w:val="00F23E1E"/>
    <w:rsid w:val="00F24EAF"/>
    <w:rsid w:val="00F250F3"/>
    <w:rsid w:val="00F25568"/>
    <w:rsid w:val="00F25FC7"/>
    <w:rsid w:val="00F2788B"/>
    <w:rsid w:val="00F27F01"/>
    <w:rsid w:val="00F30590"/>
    <w:rsid w:val="00F314D9"/>
    <w:rsid w:val="00F32BE0"/>
    <w:rsid w:val="00F3342C"/>
    <w:rsid w:val="00F34F01"/>
    <w:rsid w:val="00F36689"/>
    <w:rsid w:val="00F36883"/>
    <w:rsid w:val="00F36AF2"/>
    <w:rsid w:val="00F37105"/>
    <w:rsid w:val="00F37421"/>
    <w:rsid w:val="00F404AD"/>
    <w:rsid w:val="00F40EB0"/>
    <w:rsid w:val="00F41A5C"/>
    <w:rsid w:val="00F42493"/>
    <w:rsid w:val="00F43EBF"/>
    <w:rsid w:val="00F4458B"/>
    <w:rsid w:val="00F45512"/>
    <w:rsid w:val="00F45A3A"/>
    <w:rsid w:val="00F46384"/>
    <w:rsid w:val="00F4647F"/>
    <w:rsid w:val="00F506D5"/>
    <w:rsid w:val="00F50A11"/>
    <w:rsid w:val="00F50F6C"/>
    <w:rsid w:val="00F52788"/>
    <w:rsid w:val="00F533E4"/>
    <w:rsid w:val="00F534D5"/>
    <w:rsid w:val="00F53B16"/>
    <w:rsid w:val="00F54D1F"/>
    <w:rsid w:val="00F54D2F"/>
    <w:rsid w:val="00F55273"/>
    <w:rsid w:val="00F55912"/>
    <w:rsid w:val="00F5615E"/>
    <w:rsid w:val="00F56CD5"/>
    <w:rsid w:val="00F571CE"/>
    <w:rsid w:val="00F57248"/>
    <w:rsid w:val="00F60702"/>
    <w:rsid w:val="00F60CAE"/>
    <w:rsid w:val="00F60ECB"/>
    <w:rsid w:val="00F635B7"/>
    <w:rsid w:val="00F646BC"/>
    <w:rsid w:val="00F6659A"/>
    <w:rsid w:val="00F679BA"/>
    <w:rsid w:val="00F7001D"/>
    <w:rsid w:val="00F705B0"/>
    <w:rsid w:val="00F70FDB"/>
    <w:rsid w:val="00F71185"/>
    <w:rsid w:val="00F716CB"/>
    <w:rsid w:val="00F72643"/>
    <w:rsid w:val="00F73738"/>
    <w:rsid w:val="00F73D7E"/>
    <w:rsid w:val="00F82178"/>
    <w:rsid w:val="00F8293C"/>
    <w:rsid w:val="00F82A16"/>
    <w:rsid w:val="00F82F25"/>
    <w:rsid w:val="00F83403"/>
    <w:rsid w:val="00F83706"/>
    <w:rsid w:val="00F838C2"/>
    <w:rsid w:val="00F845DF"/>
    <w:rsid w:val="00F86637"/>
    <w:rsid w:val="00F86901"/>
    <w:rsid w:val="00F869D0"/>
    <w:rsid w:val="00F87307"/>
    <w:rsid w:val="00F8753E"/>
    <w:rsid w:val="00F87C15"/>
    <w:rsid w:val="00F87D0E"/>
    <w:rsid w:val="00F905A8"/>
    <w:rsid w:val="00F91090"/>
    <w:rsid w:val="00F91B23"/>
    <w:rsid w:val="00F91EE9"/>
    <w:rsid w:val="00F94237"/>
    <w:rsid w:val="00F95895"/>
    <w:rsid w:val="00F95FF6"/>
    <w:rsid w:val="00F9610F"/>
    <w:rsid w:val="00F96431"/>
    <w:rsid w:val="00FA1568"/>
    <w:rsid w:val="00FA1EE7"/>
    <w:rsid w:val="00FA2E88"/>
    <w:rsid w:val="00FA3044"/>
    <w:rsid w:val="00FA3695"/>
    <w:rsid w:val="00FA3AED"/>
    <w:rsid w:val="00FA442A"/>
    <w:rsid w:val="00FA6795"/>
    <w:rsid w:val="00FA6C76"/>
    <w:rsid w:val="00FA72C5"/>
    <w:rsid w:val="00FB0F49"/>
    <w:rsid w:val="00FB10C0"/>
    <w:rsid w:val="00FB1907"/>
    <w:rsid w:val="00FB213D"/>
    <w:rsid w:val="00FB26BC"/>
    <w:rsid w:val="00FB2C73"/>
    <w:rsid w:val="00FB305D"/>
    <w:rsid w:val="00FB3B6C"/>
    <w:rsid w:val="00FB4B93"/>
    <w:rsid w:val="00FB4F1B"/>
    <w:rsid w:val="00FC0662"/>
    <w:rsid w:val="00FC1005"/>
    <w:rsid w:val="00FC1153"/>
    <w:rsid w:val="00FC12AB"/>
    <w:rsid w:val="00FC1656"/>
    <w:rsid w:val="00FC355D"/>
    <w:rsid w:val="00FC3BB7"/>
    <w:rsid w:val="00FC542C"/>
    <w:rsid w:val="00FC5682"/>
    <w:rsid w:val="00FC6440"/>
    <w:rsid w:val="00FC6C11"/>
    <w:rsid w:val="00FD0E8E"/>
    <w:rsid w:val="00FD2093"/>
    <w:rsid w:val="00FD2655"/>
    <w:rsid w:val="00FD2666"/>
    <w:rsid w:val="00FD338B"/>
    <w:rsid w:val="00FD3439"/>
    <w:rsid w:val="00FD3D66"/>
    <w:rsid w:val="00FD4CC3"/>
    <w:rsid w:val="00FD623B"/>
    <w:rsid w:val="00FD6E59"/>
    <w:rsid w:val="00FD72A8"/>
    <w:rsid w:val="00FD7AE7"/>
    <w:rsid w:val="00FD7C64"/>
    <w:rsid w:val="00FE0DB1"/>
    <w:rsid w:val="00FE1022"/>
    <w:rsid w:val="00FE2A22"/>
    <w:rsid w:val="00FE460E"/>
    <w:rsid w:val="00FE4CA2"/>
    <w:rsid w:val="00FE57AB"/>
    <w:rsid w:val="00FE5D4C"/>
    <w:rsid w:val="00FE6430"/>
    <w:rsid w:val="00FE76E2"/>
    <w:rsid w:val="00FF0447"/>
    <w:rsid w:val="00FF05C8"/>
    <w:rsid w:val="00FF1061"/>
    <w:rsid w:val="00FF206B"/>
    <w:rsid w:val="00FF3835"/>
    <w:rsid w:val="00FF38DB"/>
    <w:rsid w:val="00FF5FF0"/>
    <w:rsid w:val="00FF68B8"/>
    <w:rsid w:val="00FF6AF0"/>
    <w:rsid w:val="00FF76CC"/>
    <w:rsid w:val="00FF7D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D1B90"/>
  <w15:docId w15:val="{B1597B06-90F2-4417-ADC8-E8D32B06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3BB7"/>
    <w:pPr>
      <w:spacing w:after="0" w:line="240" w:lineRule="auto"/>
    </w:pPr>
    <w:rPr>
      <w:rFonts w:ascii="Times New Roman" w:eastAsia="Times New Roman" w:hAnsi="Times New Roman" w:cs="Times New Roman"/>
      <w:sz w:val="24"/>
      <w:szCs w:val="24"/>
    </w:rPr>
  </w:style>
  <w:style w:type="paragraph" w:styleId="Naslov1">
    <w:name w:val="heading 1"/>
    <w:aliases w:val="Numbered - 1,Section,PVO-1"/>
    <w:basedOn w:val="Navaden"/>
    <w:next w:val="Navaden"/>
    <w:link w:val="Naslov1Znak"/>
    <w:uiPriority w:val="9"/>
    <w:qFormat/>
    <w:rsid w:val="00FE460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aliases w:val="ParaLvl2,PodPoglavje,Poglavje 2,Heading 2 Char1,Heading 2 Char Char"/>
    <w:basedOn w:val="Navaden"/>
    <w:next w:val="Navaden"/>
    <w:link w:val="Naslov2Znak"/>
    <w:uiPriority w:val="9"/>
    <w:unhideWhenUsed/>
    <w:qFormat/>
    <w:rsid w:val="00272C2D"/>
    <w:pPr>
      <w:keepNext/>
      <w:keepLines/>
      <w:spacing w:before="120" w:after="120" w:line="276" w:lineRule="auto"/>
      <w:jc w:val="both"/>
      <w:outlineLvl w:val="1"/>
    </w:pPr>
    <w:rPr>
      <w:rFonts w:ascii="Arial Unicode MS" w:hAnsi="Arial Unicode MS"/>
      <w:b/>
      <w:bCs/>
      <w:color w:val="A6A6A6"/>
      <w:sz w:val="22"/>
      <w:szCs w:val="26"/>
      <w:lang w:eastAsia="zh-TW"/>
    </w:rPr>
  </w:style>
  <w:style w:type="paragraph" w:styleId="Naslov3">
    <w:name w:val="heading 3"/>
    <w:basedOn w:val="Navaden"/>
    <w:next w:val="Navaden"/>
    <w:link w:val="Naslov3Znak"/>
    <w:uiPriority w:val="9"/>
    <w:unhideWhenUsed/>
    <w:qFormat/>
    <w:rsid w:val="00272C2D"/>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Naslov4">
    <w:name w:val="heading 4"/>
    <w:basedOn w:val="Navaden"/>
    <w:next w:val="Navaden"/>
    <w:link w:val="Naslov4Znak"/>
    <w:uiPriority w:val="9"/>
    <w:unhideWhenUsed/>
    <w:qFormat/>
    <w:rsid w:val="00272C2D"/>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Naslov5">
    <w:name w:val="heading 5"/>
    <w:basedOn w:val="Navaden"/>
    <w:next w:val="Navaden"/>
    <w:link w:val="Naslov5Znak"/>
    <w:uiPriority w:val="9"/>
    <w:unhideWhenUsed/>
    <w:qFormat/>
    <w:rsid w:val="00272C2D"/>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Naslov6">
    <w:name w:val="heading 6"/>
    <w:basedOn w:val="Navaden"/>
    <w:next w:val="Navaden"/>
    <w:link w:val="Naslov6Znak"/>
    <w:uiPriority w:val="9"/>
    <w:unhideWhenUsed/>
    <w:qFormat/>
    <w:rsid w:val="00272C2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Naslov7">
    <w:name w:val="heading 7"/>
    <w:basedOn w:val="Navaden"/>
    <w:next w:val="Navaden"/>
    <w:link w:val="Naslov7Znak"/>
    <w:uiPriority w:val="9"/>
    <w:unhideWhenUsed/>
    <w:qFormat/>
    <w:rsid w:val="00272C2D"/>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Naslov8">
    <w:name w:val="heading 8"/>
    <w:basedOn w:val="Navaden"/>
    <w:next w:val="Navaden"/>
    <w:link w:val="Naslov8Znak"/>
    <w:uiPriority w:val="9"/>
    <w:unhideWhenUsed/>
    <w:qFormat/>
    <w:rsid w:val="00272C2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unhideWhenUsed/>
    <w:qFormat/>
    <w:rsid w:val="00272C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umbered - 1 Znak,Section Znak,PVO-1 Znak"/>
    <w:basedOn w:val="Privzetapisavaodstavka"/>
    <w:link w:val="Naslov1"/>
    <w:uiPriority w:val="9"/>
    <w:rsid w:val="00FE460E"/>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aliases w:val="ParaLvl2 Znak,PodPoglavje Znak,Poglavje 2 Znak,Heading 2 Char1 Znak,Heading 2 Char Char Znak"/>
    <w:basedOn w:val="Privzetapisavaodstavka"/>
    <w:link w:val="Naslov2"/>
    <w:uiPriority w:val="9"/>
    <w:rsid w:val="00272C2D"/>
    <w:rPr>
      <w:rFonts w:ascii="Arial Unicode MS" w:eastAsia="Times New Roman" w:hAnsi="Arial Unicode MS" w:cs="Times New Roman"/>
      <w:b/>
      <w:bCs/>
      <w:color w:val="A6A6A6"/>
      <w:szCs w:val="26"/>
      <w:lang w:eastAsia="zh-TW"/>
    </w:rPr>
  </w:style>
  <w:style w:type="character" w:customStyle="1" w:styleId="Naslov3Znak">
    <w:name w:val="Naslov 3 Znak"/>
    <w:basedOn w:val="Privzetapisavaodstavka"/>
    <w:link w:val="Naslov3"/>
    <w:uiPriority w:val="9"/>
    <w:rsid w:val="00272C2D"/>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rsid w:val="00272C2D"/>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rsid w:val="00272C2D"/>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rsid w:val="00272C2D"/>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rsid w:val="00272C2D"/>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rsid w:val="00272C2D"/>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272C2D"/>
    <w:rPr>
      <w:rFonts w:asciiTheme="majorHAnsi" w:eastAsiaTheme="majorEastAsia" w:hAnsiTheme="majorHAnsi" w:cstheme="majorBidi"/>
      <w:i/>
      <w:iCs/>
      <w:color w:val="404040" w:themeColor="text1" w:themeTint="BF"/>
      <w:sz w:val="20"/>
      <w:szCs w:val="20"/>
    </w:rPr>
  </w:style>
  <w:style w:type="paragraph" w:styleId="Besedilooblaka">
    <w:name w:val="Balloon Text"/>
    <w:basedOn w:val="Navaden"/>
    <w:link w:val="BesedilooblakaZnak"/>
    <w:uiPriority w:val="99"/>
    <w:semiHidden/>
    <w:unhideWhenUsed/>
    <w:rsid w:val="005F01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F011A"/>
    <w:rPr>
      <w:rFonts w:ascii="Tahoma" w:hAnsi="Tahoma" w:cs="Tahoma"/>
      <w:sz w:val="16"/>
      <w:szCs w:val="16"/>
    </w:rPr>
  </w:style>
  <w:style w:type="paragraph" w:styleId="Glava">
    <w:name w:val="header"/>
    <w:aliases w:val="Header-PR,Header1,Glava Znak Znak Znak Znak"/>
    <w:basedOn w:val="Navaden"/>
    <w:link w:val="GlavaZnak"/>
    <w:uiPriority w:val="99"/>
    <w:unhideWhenUsed/>
    <w:rsid w:val="00F646BC"/>
    <w:pPr>
      <w:tabs>
        <w:tab w:val="center" w:pos="4536"/>
        <w:tab w:val="right" w:pos="9072"/>
      </w:tabs>
    </w:pPr>
    <w:rPr>
      <w:rFonts w:asciiTheme="minorHAnsi" w:eastAsiaTheme="minorEastAsia" w:hAnsiTheme="minorHAnsi" w:cstheme="minorBidi"/>
      <w:sz w:val="22"/>
      <w:szCs w:val="22"/>
    </w:rPr>
  </w:style>
  <w:style w:type="character" w:customStyle="1" w:styleId="GlavaZnak">
    <w:name w:val="Glava Znak"/>
    <w:aliases w:val="Header-PR Znak,Header1 Znak,Glava Znak Znak Znak Znak Znak"/>
    <w:basedOn w:val="Privzetapisavaodstavka"/>
    <w:link w:val="Glava"/>
    <w:uiPriority w:val="99"/>
    <w:rsid w:val="00F646BC"/>
  </w:style>
  <w:style w:type="paragraph" w:styleId="Noga">
    <w:name w:val="footer"/>
    <w:basedOn w:val="Navaden"/>
    <w:link w:val="NogaZnak"/>
    <w:uiPriority w:val="99"/>
    <w:unhideWhenUsed/>
    <w:rsid w:val="00F646BC"/>
    <w:pPr>
      <w:tabs>
        <w:tab w:val="center" w:pos="4536"/>
        <w:tab w:val="right" w:pos="9072"/>
      </w:tabs>
    </w:pPr>
    <w:rPr>
      <w:rFonts w:asciiTheme="minorHAnsi" w:eastAsiaTheme="minorEastAsia" w:hAnsiTheme="minorHAnsi" w:cstheme="minorBidi"/>
      <w:sz w:val="22"/>
      <w:szCs w:val="22"/>
    </w:rPr>
  </w:style>
  <w:style w:type="character" w:customStyle="1" w:styleId="NogaZnak">
    <w:name w:val="Noga Znak"/>
    <w:basedOn w:val="Privzetapisavaodstavka"/>
    <w:link w:val="Noga"/>
    <w:uiPriority w:val="99"/>
    <w:rsid w:val="00F646BC"/>
  </w:style>
  <w:style w:type="table" w:styleId="Tabelamrea">
    <w:name w:val="Table Grid"/>
    <w:basedOn w:val="Navadnatabela"/>
    <w:uiPriority w:val="59"/>
    <w:rsid w:val="00F64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seznama_IP,Seznam_IP_1,za tekst,naslov 1,Bullet 1,Bullet Points,Bullet layer,Colorful List - Accent 11,Dot pt,F5 List Paragraph,Indicator Text,Issue Action POC,List Paragraph Char Char Char,List Paragraph1,List Paragraph2,K1,3"/>
    <w:basedOn w:val="Navaden"/>
    <w:link w:val="OdstavekseznamaZnak"/>
    <w:uiPriority w:val="34"/>
    <w:qFormat/>
    <w:rsid w:val="00A6372E"/>
    <w:pPr>
      <w:spacing w:after="200" w:line="276" w:lineRule="auto"/>
      <w:ind w:left="720"/>
      <w:contextualSpacing/>
    </w:pPr>
    <w:rPr>
      <w:rFonts w:asciiTheme="minorHAnsi" w:eastAsiaTheme="minorEastAsia" w:hAnsiTheme="minorHAnsi" w:cstheme="minorBidi"/>
      <w:sz w:val="22"/>
      <w:szCs w:val="22"/>
    </w:rPr>
  </w:style>
  <w:style w:type="character" w:customStyle="1" w:styleId="OdstavekseznamaZnak">
    <w:name w:val="Odstavek seznama Znak"/>
    <w:aliases w:val="Odstavek seznama_IP Znak,Seznam_IP_1 Znak,za tekst Znak,naslov 1 Znak,Bullet 1 Znak,Bullet Points Znak,Bullet layer Znak,Colorful List - Accent 11 Znak,Dot pt Znak,F5 List Paragraph Znak,Indicator Text Znak,Issue Action POC Znak"/>
    <w:link w:val="Odstavekseznama"/>
    <w:uiPriority w:val="34"/>
    <w:qFormat/>
    <w:locked/>
    <w:rsid w:val="004768C7"/>
  </w:style>
  <w:style w:type="character" w:styleId="Hiperpovezava">
    <w:name w:val="Hyperlink"/>
    <w:basedOn w:val="Privzetapisavaodstavka"/>
    <w:uiPriority w:val="99"/>
    <w:unhideWhenUsed/>
    <w:rsid w:val="000A25C6"/>
    <w:rPr>
      <w:color w:val="0000FF" w:themeColor="hyperlink"/>
      <w:u w:val="single"/>
    </w:rPr>
  </w:style>
  <w:style w:type="paragraph" w:styleId="Napis">
    <w:name w:val="caption"/>
    <w:aliases w:val="TABELA,E-PVO-Tabela-Graf-Slika,Napis Znak2,Napis Znak1 Znak,E-PVO-Tabela-Graf-Slika Znak Znak,TABELA Znak Znak,Napis Znak Znak Znak,E-PVO-Tabela-Graf-Slika Znak1,TABELA Znak1,Slika Znak1,Napis Znak Znak1 Znak Znak Znak Znak,Znak,Slika, Znak"/>
    <w:basedOn w:val="Navaden"/>
    <w:next w:val="Navaden"/>
    <w:link w:val="NapisZnak"/>
    <w:uiPriority w:val="35"/>
    <w:unhideWhenUsed/>
    <w:qFormat/>
    <w:rsid w:val="00BF2640"/>
    <w:pPr>
      <w:spacing w:after="200"/>
    </w:pPr>
    <w:rPr>
      <w:rFonts w:asciiTheme="minorHAnsi" w:eastAsiaTheme="minorEastAsia" w:hAnsiTheme="minorHAnsi" w:cstheme="minorBidi"/>
      <w:b/>
      <w:bCs/>
      <w:color w:val="4F81BD" w:themeColor="accent1"/>
      <w:sz w:val="18"/>
      <w:szCs w:val="18"/>
    </w:rPr>
  </w:style>
  <w:style w:type="paragraph" w:customStyle="1" w:styleId="tevilnatoka">
    <w:name w:val="tevilnatoka"/>
    <w:basedOn w:val="Navaden"/>
    <w:rsid w:val="00C76B57"/>
    <w:pPr>
      <w:spacing w:before="100" w:beforeAutospacing="1" w:after="100" w:afterAutospacing="1"/>
    </w:pPr>
  </w:style>
  <w:style w:type="character" w:customStyle="1" w:styleId="apple-converted-space">
    <w:name w:val="apple-converted-space"/>
    <w:basedOn w:val="Privzetapisavaodstavka"/>
    <w:rsid w:val="00C76B57"/>
  </w:style>
  <w:style w:type="table" w:customStyle="1" w:styleId="Svetlosenenjepoudarek11">
    <w:name w:val="Svetlo senčenje – poudarek 11"/>
    <w:basedOn w:val="Navadnatabela"/>
    <w:uiPriority w:val="60"/>
    <w:rsid w:val="00042BE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516687"/>
    <w:pPr>
      <w:spacing w:line="260" w:lineRule="exact"/>
    </w:pPr>
    <w:rPr>
      <w:rFonts w:ascii="Arial"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516687"/>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516687"/>
    <w:rPr>
      <w:vertAlign w:val="superscript"/>
    </w:rPr>
  </w:style>
  <w:style w:type="paragraph" w:customStyle="1" w:styleId="lennaslov">
    <w:name w:val="Člen_naslov"/>
    <w:basedOn w:val="Navaden"/>
    <w:qFormat/>
    <w:rsid w:val="00516687"/>
    <w:pPr>
      <w:suppressAutoHyphens/>
      <w:overflowPunct w:val="0"/>
      <w:autoSpaceDE w:val="0"/>
      <w:autoSpaceDN w:val="0"/>
      <w:adjustRightInd w:val="0"/>
      <w:jc w:val="center"/>
      <w:textAlignment w:val="baseline"/>
    </w:pPr>
    <w:rPr>
      <w:rFonts w:ascii="Arial" w:hAnsi="Arial"/>
      <w:b/>
      <w:sz w:val="22"/>
      <w:szCs w:val="22"/>
    </w:rPr>
  </w:style>
  <w:style w:type="table" w:customStyle="1" w:styleId="Tabelasvetelseznam1poudarek11">
    <w:name w:val="Tabela – svetel seznam 1 (poudarek 1)1"/>
    <w:basedOn w:val="Navadnatabela"/>
    <w:uiPriority w:val="46"/>
    <w:rsid w:val="00824F4F"/>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eznamIP2">
    <w:name w:val="Seznam_IP_2"/>
    <w:basedOn w:val="Odstavekseznama"/>
    <w:autoRedefine/>
    <w:uiPriority w:val="99"/>
    <w:rsid w:val="00357FA2"/>
    <w:pPr>
      <w:widowControl w:val="0"/>
      <w:numPr>
        <w:numId w:val="4"/>
      </w:numPr>
      <w:autoSpaceDE w:val="0"/>
      <w:autoSpaceDN w:val="0"/>
      <w:adjustRightInd w:val="0"/>
      <w:spacing w:after="240" w:line="300" w:lineRule="exact"/>
      <w:contextualSpacing w:val="0"/>
      <w:jc w:val="both"/>
    </w:pPr>
    <w:rPr>
      <w:rFonts w:ascii="Times New Roman" w:eastAsia="Times New Roman" w:hAnsi="Times New Roman" w:cs="Times New Roman"/>
      <w:bCs/>
      <w:noProof/>
      <w:color w:val="000000"/>
    </w:rPr>
  </w:style>
  <w:style w:type="table" w:customStyle="1" w:styleId="Tabelaseznam2poudarek11">
    <w:name w:val="Tabela – seznam 2 (poudarek 1)1"/>
    <w:basedOn w:val="Navadnatabela"/>
    <w:uiPriority w:val="47"/>
    <w:rsid w:val="00063B2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aslov">
    <w:name w:val="Title"/>
    <w:basedOn w:val="Navaden"/>
    <w:next w:val="Navaden"/>
    <w:link w:val="NaslovZnak"/>
    <w:uiPriority w:val="10"/>
    <w:qFormat/>
    <w:rsid w:val="00F55912"/>
    <w:pPr>
      <w:pBdr>
        <w:bottom w:val="single" w:sz="18" w:space="4" w:color="A6A6A6" w:themeColor="background1" w:themeShade="A6"/>
      </w:pBdr>
      <w:spacing w:after="120"/>
      <w:contextualSpacing/>
      <w:jc w:val="both"/>
    </w:pPr>
    <w:rPr>
      <w:rFonts w:ascii="Arial Unicode MS" w:eastAsiaTheme="majorEastAsia" w:hAnsi="Arial Unicode MS" w:cstheme="majorBidi"/>
      <w:b/>
      <w:color w:val="FF0000"/>
      <w:spacing w:val="5"/>
      <w:kern w:val="28"/>
      <w:sz w:val="32"/>
      <w:szCs w:val="52"/>
      <w:lang w:eastAsia="zh-TW"/>
    </w:rPr>
  </w:style>
  <w:style w:type="character" w:customStyle="1" w:styleId="NaslovZnak">
    <w:name w:val="Naslov Znak"/>
    <w:basedOn w:val="Privzetapisavaodstavka"/>
    <w:link w:val="Naslov"/>
    <w:uiPriority w:val="10"/>
    <w:rsid w:val="00F55912"/>
    <w:rPr>
      <w:rFonts w:ascii="Arial Unicode MS" w:eastAsiaTheme="majorEastAsia" w:hAnsi="Arial Unicode MS" w:cstheme="majorBidi"/>
      <w:b/>
      <w:color w:val="FF0000"/>
      <w:spacing w:val="5"/>
      <w:kern w:val="28"/>
      <w:sz w:val="32"/>
      <w:szCs w:val="52"/>
      <w:lang w:eastAsia="zh-TW"/>
    </w:rPr>
  </w:style>
  <w:style w:type="paragraph" w:styleId="Podnaslov">
    <w:name w:val="Subtitle"/>
    <w:basedOn w:val="Navaden"/>
    <w:next w:val="Navaden"/>
    <w:link w:val="PodnaslovZnak"/>
    <w:qFormat/>
    <w:rsid w:val="00F55912"/>
    <w:pPr>
      <w:numPr>
        <w:ilvl w:val="1"/>
      </w:numPr>
      <w:spacing w:before="120" w:after="120" w:line="276" w:lineRule="auto"/>
      <w:jc w:val="both"/>
    </w:pPr>
    <w:rPr>
      <w:rFonts w:ascii="Arial Unicode MS" w:eastAsiaTheme="majorEastAsia" w:hAnsi="Arial Unicode MS" w:cstheme="majorBidi"/>
      <w:b/>
      <w:i/>
      <w:iCs/>
      <w:color w:val="000000" w:themeColor="text1"/>
      <w:spacing w:val="15"/>
      <w:sz w:val="20"/>
      <w:lang w:eastAsia="zh-TW"/>
    </w:rPr>
  </w:style>
  <w:style w:type="character" w:customStyle="1" w:styleId="PodnaslovZnak">
    <w:name w:val="Podnaslov Znak"/>
    <w:basedOn w:val="Privzetapisavaodstavka"/>
    <w:link w:val="Podnaslov"/>
    <w:rsid w:val="00F55912"/>
    <w:rPr>
      <w:rFonts w:ascii="Arial Unicode MS" w:eastAsiaTheme="majorEastAsia" w:hAnsi="Arial Unicode MS" w:cstheme="majorBidi"/>
      <w:b/>
      <w:i/>
      <w:iCs/>
      <w:color w:val="000000" w:themeColor="text1"/>
      <w:spacing w:val="15"/>
      <w:sz w:val="20"/>
      <w:szCs w:val="24"/>
      <w:lang w:eastAsia="zh-TW"/>
    </w:rPr>
  </w:style>
  <w:style w:type="character" w:styleId="Intenzivenpoudarek">
    <w:name w:val="Intense Emphasis"/>
    <w:basedOn w:val="Privzetapisavaodstavka"/>
    <w:uiPriority w:val="21"/>
    <w:qFormat/>
    <w:rsid w:val="00F55912"/>
    <w:rPr>
      <w:b/>
      <w:bCs/>
      <w:i/>
      <w:iCs/>
      <w:color w:val="000000" w:themeColor="text1"/>
    </w:rPr>
  </w:style>
  <w:style w:type="character" w:styleId="Neenpoudarek">
    <w:name w:val="Subtle Emphasis"/>
    <w:basedOn w:val="Privzetapisavaodstavka"/>
    <w:uiPriority w:val="19"/>
    <w:qFormat/>
    <w:rsid w:val="00F55912"/>
    <w:rPr>
      <w:i/>
      <w:iCs/>
      <w:color w:val="808080" w:themeColor="text1" w:themeTint="7F"/>
    </w:rPr>
  </w:style>
  <w:style w:type="character" w:styleId="Krepko">
    <w:name w:val="Strong"/>
    <w:basedOn w:val="Privzetapisavaodstavka"/>
    <w:uiPriority w:val="22"/>
    <w:qFormat/>
    <w:rsid w:val="00F55912"/>
    <w:rPr>
      <w:b/>
      <w:bCs/>
    </w:rPr>
  </w:style>
  <w:style w:type="paragraph" w:styleId="Citat">
    <w:name w:val="Quote"/>
    <w:basedOn w:val="Navaden"/>
    <w:next w:val="Navaden"/>
    <w:link w:val="CitatZnak"/>
    <w:uiPriority w:val="29"/>
    <w:qFormat/>
    <w:rsid w:val="00F55912"/>
    <w:pPr>
      <w:spacing w:after="120" w:line="276" w:lineRule="auto"/>
      <w:jc w:val="both"/>
    </w:pPr>
    <w:rPr>
      <w:rFonts w:ascii="Arial Unicode MS" w:eastAsiaTheme="minorEastAsia" w:hAnsi="Arial Unicode MS" w:cstheme="minorBidi"/>
      <w:i/>
      <w:iCs/>
      <w:color w:val="000000" w:themeColor="text1"/>
      <w:sz w:val="20"/>
      <w:szCs w:val="22"/>
      <w:lang w:eastAsia="zh-TW"/>
    </w:rPr>
  </w:style>
  <w:style w:type="character" w:customStyle="1" w:styleId="CitatZnak">
    <w:name w:val="Citat Znak"/>
    <w:basedOn w:val="Privzetapisavaodstavka"/>
    <w:link w:val="Citat"/>
    <w:uiPriority w:val="29"/>
    <w:rsid w:val="00F55912"/>
    <w:rPr>
      <w:rFonts w:ascii="Arial Unicode MS" w:eastAsiaTheme="minorEastAsia" w:hAnsi="Arial Unicode MS"/>
      <w:i/>
      <w:iCs/>
      <w:color w:val="000000" w:themeColor="text1"/>
      <w:sz w:val="20"/>
      <w:lang w:eastAsia="zh-TW"/>
    </w:rPr>
  </w:style>
  <w:style w:type="character" w:styleId="Naslovknjige">
    <w:name w:val="Book Title"/>
    <w:basedOn w:val="Privzetapisavaodstavka"/>
    <w:uiPriority w:val="33"/>
    <w:qFormat/>
    <w:rsid w:val="00F55912"/>
    <w:rPr>
      <w:b/>
      <w:bCs/>
      <w:smallCaps/>
      <w:spacing w:val="5"/>
    </w:rPr>
  </w:style>
  <w:style w:type="paragraph" w:styleId="Intenzivencitat">
    <w:name w:val="Intense Quote"/>
    <w:basedOn w:val="Navaden"/>
    <w:next w:val="Navaden"/>
    <w:link w:val="IntenzivencitatZnak"/>
    <w:uiPriority w:val="30"/>
    <w:qFormat/>
    <w:rsid w:val="00F55912"/>
    <w:pPr>
      <w:pBdr>
        <w:bottom w:val="single" w:sz="4" w:space="4" w:color="A6A6A6" w:themeColor="background1" w:themeShade="A6"/>
      </w:pBdr>
      <w:spacing w:before="200" w:after="280" w:line="276" w:lineRule="auto"/>
      <w:ind w:left="936" w:right="936"/>
      <w:jc w:val="both"/>
    </w:pPr>
    <w:rPr>
      <w:rFonts w:ascii="Arial Unicode MS" w:eastAsiaTheme="minorEastAsia" w:hAnsi="Arial Unicode MS" w:cstheme="minorBidi"/>
      <w:b/>
      <w:bCs/>
      <w:i/>
      <w:iCs/>
      <w:color w:val="A6A6A6" w:themeColor="background1" w:themeShade="A6"/>
      <w:sz w:val="20"/>
      <w:szCs w:val="22"/>
      <w:lang w:eastAsia="zh-TW"/>
    </w:rPr>
  </w:style>
  <w:style w:type="character" w:customStyle="1" w:styleId="IntenzivencitatZnak">
    <w:name w:val="Intenziven citat Znak"/>
    <w:basedOn w:val="Privzetapisavaodstavka"/>
    <w:link w:val="Intenzivencitat"/>
    <w:uiPriority w:val="30"/>
    <w:rsid w:val="00F55912"/>
    <w:rPr>
      <w:rFonts w:ascii="Arial Unicode MS" w:eastAsiaTheme="minorEastAsia" w:hAnsi="Arial Unicode MS"/>
      <w:b/>
      <w:bCs/>
      <w:i/>
      <w:iCs/>
      <w:color w:val="A6A6A6" w:themeColor="background1" w:themeShade="A6"/>
      <w:sz w:val="20"/>
      <w:lang w:eastAsia="zh-TW"/>
    </w:rPr>
  </w:style>
  <w:style w:type="paragraph" w:styleId="Brezrazmikov">
    <w:name w:val="No Spacing"/>
    <w:link w:val="BrezrazmikovZnak"/>
    <w:uiPriority w:val="1"/>
    <w:qFormat/>
    <w:rsid w:val="00F55912"/>
    <w:pPr>
      <w:spacing w:after="0" w:line="240" w:lineRule="auto"/>
      <w:jc w:val="both"/>
    </w:pPr>
    <w:rPr>
      <w:rFonts w:ascii="Arial Unicode MS" w:hAnsi="Arial Unicode MS"/>
      <w:sz w:val="20"/>
      <w:lang w:eastAsia="zh-TW"/>
    </w:rPr>
  </w:style>
  <w:style w:type="character" w:styleId="Pripombasklic">
    <w:name w:val="annotation reference"/>
    <w:basedOn w:val="Privzetapisavaodstavka"/>
    <w:uiPriority w:val="99"/>
    <w:unhideWhenUsed/>
    <w:rsid w:val="00F55912"/>
    <w:rPr>
      <w:sz w:val="16"/>
      <w:szCs w:val="16"/>
    </w:rPr>
  </w:style>
  <w:style w:type="paragraph" w:styleId="Pripombabesedilo">
    <w:name w:val="annotation text"/>
    <w:basedOn w:val="Navaden"/>
    <w:link w:val="PripombabesediloZnak"/>
    <w:uiPriority w:val="99"/>
    <w:unhideWhenUsed/>
    <w:rsid w:val="00F55912"/>
    <w:pPr>
      <w:spacing w:after="120"/>
      <w:jc w:val="both"/>
    </w:pPr>
    <w:rPr>
      <w:rFonts w:ascii="Arial Unicode MS" w:eastAsiaTheme="minorEastAsia" w:hAnsi="Arial Unicode MS" w:cstheme="minorBidi"/>
      <w:sz w:val="20"/>
      <w:szCs w:val="20"/>
      <w:lang w:eastAsia="zh-TW"/>
    </w:rPr>
  </w:style>
  <w:style w:type="character" w:customStyle="1" w:styleId="PripombabesediloZnak">
    <w:name w:val="Pripomba – besedilo Znak"/>
    <w:basedOn w:val="Privzetapisavaodstavka"/>
    <w:link w:val="Pripombabesedilo"/>
    <w:uiPriority w:val="99"/>
    <w:rsid w:val="00F55912"/>
    <w:rPr>
      <w:rFonts w:ascii="Arial Unicode MS" w:eastAsiaTheme="minorEastAsia" w:hAnsi="Arial Unicode MS"/>
      <w:sz w:val="20"/>
      <w:szCs w:val="20"/>
      <w:lang w:eastAsia="zh-TW"/>
    </w:rPr>
  </w:style>
  <w:style w:type="paragraph" w:styleId="Zadevapripombe">
    <w:name w:val="annotation subject"/>
    <w:basedOn w:val="Pripombabesedilo"/>
    <w:next w:val="Pripombabesedilo"/>
    <w:link w:val="ZadevapripombeZnak"/>
    <w:uiPriority w:val="99"/>
    <w:semiHidden/>
    <w:unhideWhenUsed/>
    <w:rsid w:val="00F55912"/>
    <w:rPr>
      <w:b/>
      <w:bCs/>
    </w:rPr>
  </w:style>
  <w:style w:type="character" w:customStyle="1" w:styleId="ZadevapripombeZnak">
    <w:name w:val="Zadeva pripombe Znak"/>
    <w:basedOn w:val="PripombabesediloZnak"/>
    <w:link w:val="Zadevapripombe"/>
    <w:uiPriority w:val="99"/>
    <w:semiHidden/>
    <w:rsid w:val="00F55912"/>
    <w:rPr>
      <w:rFonts w:ascii="Arial Unicode MS" w:eastAsiaTheme="minorEastAsia" w:hAnsi="Arial Unicode MS"/>
      <w:b/>
      <w:bCs/>
      <w:sz w:val="20"/>
      <w:szCs w:val="20"/>
      <w:lang w:eastAsia="zh-TW"/>
    </w:rPr>
  </w:style>
  <w:style w:type="paragraph" w:styleId="Telobesedila">
    <w:name w:val="Body Text"/>
    <w:basedOn w:val="Navaden"/>
    <w:link w:val="TelobesedilaZnak"/>
    <w:rsid w:val="00F55912"/>
    <w:pPr>
      <w:jc w:val="center"/>
    </w:pPr>
    <w:rPr>
      <w:b/>
      <w:bCs/>
      <w:sz w:val="40"/>
      <w:szCs w:val="40"/>
    </w:rPr>
  </w:style>
  <w:style w:type="character" w:customStyle="1" w:styleId="TelobesedilaZnak">
    <w:name w:val="Telo besedila Znak"/>
    <w:basedOn w:val="Privzetapisavaodstavka"/>
    <w:link w:val="Telobesedila"/>
    <w:rsid w:val="00F55912"/>
    <w:rPr>
      <w:rFonts w:ascii="Times New Roman" w:eastAsia="Times New Roman" w:hAnsi="Times New Roman" w:cs="Times New Roman"/>
      <w:b/>
      <w:bCs/>
      <w:sz w:val="40"/>
      <w:szCs w:val="40"/>
    </w:rPr>
  </w:style>
  <w:style w:type="paragraph" w:styleId="Kazalovsebine2">
    <w:name w:val="toc 2"/>
    <w:basedOn w:val="Navaden"/>
    <w:next w:val="Navaden"/>
    <w:autoRedefine/>
    <w:uiPriority w:val="39"/>
    <w:unhideWhenUsed/>
    <w:rsid w:val="00F55912"/>
    <w:pPr>
      <w:spacing w:line="276" w:lineRule="auto"/>
      <w:ind w:left="200"/>
    </w:pPr>
    <w:rPr>
      <w:rFonts w:asciiTheme="minorHAnsi" w:eastAsiaTheme="minorEastAsia" w:hAnsiTheme="minorHAnsi" w:cstheme="minorBidi"/>
      <w:smallCaps/>
      <w:sz w:val="20"/>
      <w:szCs w:val="20"/>
      <w:lang w:eastAsia="zh-TW"/>
    </w:rPr>
  </w:style>
  <w:style w:type="paragraph" w:styleId="Kazalovsebine1">
    <w:name w:val="toc 1"/>
    <w:basedOn w:val="Navaden"/>
    <w:next w:val="Navaden"/>
    <w:autoRedefine/>
    <w:uiPriority w:val="39"/>
    <w:unhideWhenUsed/>
    <w:rsid w:val="00F55912"/>
    <w:pPr>
      <w:spacing w:before="120" w:after="120" w:line="276" w:lineRule="auto"/>
    </w:pPr>
    <w:rPr>
      <w:rFonts w:asciiTheme="minorHAnsi" w:eastAsiaTheme="minorEastAsia" w:hAnsiTheme="minorHAnsi" w:cstheme="minorBidi"/>
      <w:b/>
      <w:bCs/>
      <w:caps/>
      <w:sz w:val="20"/>
      <w:szCs w:val="20"/>
      <w:lang w:eastAsia="zh-TW"/>
    </w:rPr>
  </w:style>
  <w:style w:type="paragraph" w:styleId="Kazalovsebine3">
    <w:name w:val="toc 3"/>
    <w:basedOn w:val="Navaden"/>
    <w:next w:val="Navaden"/>
    <w:autoRedefine/>
    <w:uiPriority w:val="39"/>
    <w:unhideWhenUsed/>
    <w:rsid w:val="00F55912"/>
    <w:pPr>
      <w:spacing w:line="276" w:lineRule="auto"/>
      <w:ind w:left="400"/>
    </w:pPr>
    <w:rPr>
      <w:rFonts w:asciiTheme="minorHAnsi" w:eastAsiaTheme="minorEastAsia" w:hAnsiTheme="minorHAnsi" w:cstheme="minorBidi"/>
      <w:i/>
      <w:iCs/>
      <w:sz w:val="20"/>
      <w:szCs w:val="20"/>
      <w:lang w:eastAsia="zh-TW"/>
    </w:rPr>
  </w:style>
  <w:style w:type="character" w:styleId="Poudarek">
    <w:name w:val="Emphasis"/>
    <w:basedOn w:val="Privzetapisavaodstavka"/>
    <w:uiPriority w:val="20"/>
    <w:qFormat/>
    <w:rsid w:val="00F55912"/>
    <w:rPr>
      <w:i/>
      <w:iCs/>
    </w:rPr>
  </w:style>
  <w:style w:type="character" w:customStyle="1" w:styleId="navadnobesedilo">
    <w:name w:val="navadno_besedilo"/>
    <w:basedOn w:val="Privzetapisavaodstavka"/>
    <w:rsid w:val="00F55912"/>
  </w:style>
  <w:style w:type="character" w:customStyle="1" w:styleId="povezavasiva">
    <w:name w:val="povezava_siva"/>
    <w:basedOn w:val="Privzetapisavaodstavka"/>
    <w:rsid w:val="00F55912"/>
  </w:style>
  <w:style w:type="character" w:customStyle="1" w:styleId="st">
    <w:name w:val="st"/>
    <w:basedOn w:val="Privzetapisavaodstavka"/>
    <w:rsid w:val="00F55912"/>
  </w:style>
  <w:style w:type="character" w:customStyle="1" w:styleId="content">
    <w:name w:val="content"/>
    <w:uiPriority w:val="99"/>
    <w:rsid w:val="00F55912"/>
    <w:rPr>
      <w:rFonts w:cs="Times New Roman"/>
    </w:rPr>
  </w:style>
  <w:style w:type="paragraph" w:styleId="Kazalovsebine4">
    <w:name w:val="toc 4"/>
    <w:basedOn w:val="Navaden"/>
    <w:next w:val="Navaden"/>
    <w:autoRedefine/>
    <w:uiPriority w:val="39"/>
    <w:unhideWhenUsed/>
    <w:rsid w:val="00F55912"/>
    <w:pPr>
      <w:spacing w:line="276" w:lineRule="auto"/>
      <w:ind w:left="600"/>
    </w:pPr>
    <w:rPr>
      <w:rFonts w:asciiTheme="minorHAnsi" w:eastAsiaTheme="minorEastAsia" w:hAnsiTheme="minorHAnsi" w:cstheme="minorBidi"/>
      <w:sz w:val="18"/>
      <w:szCs w:val="18"/>
      <w:lang w:eastAsia="zh-TW"/>
    </w:rPr>
  </w:style>
  <w:style w:type="paragraph" w:styleId="Kazalovsebine5">
    <w:name w:val="toc 5"/>
    <w:basedOn w:val="Navaden"/>
    <w:next w:val="Navaden"/>
    <w:autoRedefine/>
    <w:uiPriority w:val="39"/>
    <w:unhideWhenUsed/>
    <w:rsid w:val="00F55912"/>
    <w:pPr>
      <w:spacing w:line="276" w:lineRule="auto"/>
      <w:ind w:left="800"/>
    </w:pPr>
    <w:rPr>
      <w:rFonts w:asciiTheme="minorHAnsi" w:eastAsiaTheme="minorEastAsia" w:hAnsiTheme="minorHAnsi" w:cstheme="minorBidi"/>
      <w:sz w:val="18"/>
      <w:szCs w:val="18"/>
      <w:lang w:eastAsia="zh-TW"/>
    </w:rPr>
  </w:style>
  <w:style w:type="paragraph" w:styleId="Kazalovsebine6">
    <w:name w:val="toc 6"/>
    <w:basedOn w:val="Navaden"/>
    <w:next w:val="Navaden"/>
    <w:autoRedefine/>
    <w:uiPriority w:val="39"/>
    <w:unhideWhenUsed/>
    <w:rsid w:val="00F55912"/>
    <w:pPr>
      <w:spacing w:line="276" w:lineRule="auto"/>
      <w:ind w:left="1000"/>
    </w:pPr>
    <w:rPr>
      <w:rFonts w:asciiTheme="minorHAnsi" w:eastAsiaTheme="minorEastAsia" w:hAnsiTheme="minorHAnsi" w:cstheme="minorBidi"/>
      <w:sz w:val="18"/>
      <w:szCs w:val="18"/>
      <w:lang w:eastAsia="zh-TW"/>
    </w:rPr>
  </w:style>
  <w:style w:type="paragraph" w:styleId="Kazalovsebine7">
    <w:name w:val="toc 7"/>
    <w:basedOn w:val="Navaden"/>
    <w:next w:val="Navaden"/>
    <w:autoRedefine/>
    <w:uiPriority w:val="39"/>
    <w:unhideWhenUsed/>
    <w:rsid w:val="00F55912"/>
    <w:pPr>
      <w:spacing w:line="276" w:lineRule="auto"/>
      <w:ind w:left="1200"/>
    </w:pPr>
    <w:rPr>
      <w:rFonts w:asciiTheme="minorHAnsi" w:eastAsiaTheme="minorEastAsia" w:hAnsiTheme="minorHAnsi" w:cstheme="minorBidi"/>
      <w:sz w:val="18"/>
      <w:szCs w:val="18"/>
      <w:lang w:eastAsia="zh-TW"/>
    </w:rPr>
  </w:style>
  <w:style w:type="paragraph" w:styleId="Kazalovsebine8">
    <w:name w:val="toc 8"/>
    <w:basedOn w:val="Navaden"/>
    <w:next w:val="Navaden"/>
    <w:autoRedefine/>
    <w:uiPriority w:val="39"/>
    <w:unhideWhenUsed/>
    <w:rsid w:val="00F55912"/>
    <w:pPr>
      <w:spacing w:line="276" w:lineRule="auto"/>
      <w:ind w:left="1400"/>
    </w:pPr>
    <w:rPr>
      <w:rFonts w:asciiTheme="minorHAnsi" w:eastAsiaTheme="minorEastAsia" w:hAnsiTheme="minorHAnsi" w:cstheme="minorBidi"/>
      <w:sz w:val="18"/>
      <w:szCs w:val="18"/>
      <w:lang w:eastAsia="zh-TW"/>
    </w:rPr>
  </w:style>
  <w:style w:type="paragraph" w:styleId="Kazalovsebine9">
    <w:name w:val="toc 9"/>
    <w:basedOn w:val="Navaden"/>
    <w:next w:val="Navaden"/>
    <w:autoRedefine/>
    <w:uiPriority w:val="39"/>
    <w:unhideWhenUsed/>
    <w:rsid w:val="00F55912"/>
    <w:pPr>
      <w:spacing w:line="276" w:lineRule="auto"/>
      <w:ind w:left="1600"/>
    </w:pPr>
    <w:rPr>
      <w:rFonts w:asciiTheme="minorHAnsi" w:eastAsiaTheme="minorEastAsia" w:hAnsiTheme="minorHAnsi" w:cstheme="minorBidi"/>
      <w:sz w:val="18"/>
      <w:szCs w:val="18"/>
      <w:lang w:eastAsia="zh-TW"/>
    </w:rPr>
  </w:style>
  <w:style w:type="paragraph" w:styleId="Kazaloslik">
    <w:name w:val="table of figures"/>
    <w:basedOn w:val="Navaden"/>
    <w:next w:val="Navaden"/>
    <w:uiPriority w:val="99"/>
    <w:unhideWhenUsed/>
    <w:rsid w:val="00F55912"/>
    <w:pPr>
      <w:spacing w:line="276" w:lineRule="auto"/>
      <w:ind w:left="400" w:hanging="400"/>
    </w:pPr>
    <w:rPr>
      <w:rFonts w:asciiTheme="minorHAnsi" w:eastAsiaTheme="minorEastAsia" w:hAnsiTheme="minorHAnsi" w:cstheme="minorBidi"/>
      <w:smallCaps/>
      <w:sz w:val="20"/>
      <w:szCs w:val="20"/>
      <w:lang w:eastAsia="zh-TW"/>
    </w:rPr>
  </w:style>
  <w:style w:type="paragraph" w:customStyle="1" w:styleId="Default">
    <w:name w:val="Default"/>
    <w:rsid w:val="00F55912"/>
    <w:pPr>
      <w:autoSpaceDE w:val="0"/>
      <w:autoSpaceDN w:val="0"/>
      <w:adjustRightInd w:val="0"/>
      <w:spacing w:after="0" w:line="240" w:lineRule="auto"/>
    </w:pPr>
    <w:rPr>
      <w:rFonts w:ascii="Arial" w:eastAsia="Times New Roman" w:hAnsi="Arial" w:cs="Arial"/>
      <w:color w:val="000000"/>
      <w:sz w:val="24"/>
      <w:szCs w:val="24"/>
      <w:lang w:eastAsia="zh-TW"/>
    </w:rPr>
  </w:style>
  <w:style w:type="paragraph" w:styleId="Navadensplet">
    <w:name w:val="Normal (Web)"/>
    <w:basedOn w:val="Navaden"/>
    <w:uiPriority w:val="99"/>
    <w:unhideWhenUsed/>
    <w:rsid w:val="00F55912"/>
    <w:pPr>
      <w:spacing w:before="100" w:beforeAutospacing="1" w:after="100" w:afterAutospacing="1"/>
    </w:pPr>
  </w:style>
  <w:style w:type="paragraph" w:styleId="Oznaenseznam">
    <w:name w:val="List Bullet"/>
    <w:basedOn w:val="Navaden"/>
    <w:uiPriority w:val="99"/>
    <w:unhideWhenUsed/>
    <w:rsid w:val="00F55912"/>
    <w:pPr>
      <w:numPr>
        <w:numId w:val="5"/>
      </w:numPr>
      <w:spacing w:after="120" w:line="276" w:lineRule="auto"/>
      <w:contextualSpacing/>
      <w:jc w:val="both"/>
    </w:pPr>
    <w:rPr>
      <w:rFonts w:ascii="Arial Unicode MS" w:eastAsiaTheme="minorEastAsia" w:hAnsi="Arial Unicode MS" w:cstheme="minorBidi"/>
      <w:sz w:val="20"/>
      <w:szCs w:val="22"/>
      <w:lang w:eastAsia="zh-TW"/>
    </w:rPr>
  </w:style>
  <w:style w:type="table" w:customStyle="1" w:styleId="Tabelabarvniseznam6poudarek11">
    <w:name w:val="Tabela – barvni seznam 6 (poudarek 1)1"/>
    <w:basedOn w:val="Navadnatabela"/>
    <w:uiPriority w:val="51"/>
    <w:rsid w:val="00AD539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vilnatoka1">
    <w:name w:val="tevilnatoka1"/>
    <w:basedOn w:val="Navaden"/>
    <w:rsid w:val="006C431C"/>
    <w:pPr>
      <w:ind w:left="425" w:hanging="425"/>
      <w:jc w:val="both"/>
    </w:pPr>
    <w:rPr>
      <w:rFonts w:ascii="Arial" w:hAnsi="Arial" w:cs="Arial"/>
      <w:sz w:val="22"/>
      <w:szCs w:val="22"/>
    </w:rPr>
  </w:style>
  <w:style w:type="table" w:customStyle="1" w:styleId="LightShading-Accent11">
    <w:name w:val="Light Shading - Accent 11"/>
    <w:basedOn w:val="Navadnatabela"/>
    <w:uiPriority w:val="60"/>
    <w:rsid w:val="006C431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vetlosenenjepoudarek12">
    <w:name w:val="Svetlo senčenje – poudarek 12"/>
    <w:basedOn w:val="Navadnatabela"/>
    <w:uiPriority w:val="60"/>
    <w:rsid w:val="001E4D2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avodilavpodboxu">
    <w:name w:val="navodilavpodboxu"/>
    <w:basedOn w:val="Navaden"/>
    <w:semiHidden/>
    <w:rsid w:val="000E48F2"/>
    <w:pPr>
      <w:spacing w:before="100" w:beforeAutospacing="1" w:after="100" w:afterAutospacing="1"/>
    </w:pPr>
  </w:style>
  <w:style w:type="paragraph" w:styleId="NaslovTOC">
    <w:name w:val="TOC Heading"/>
    <w:basedOn w:val="Naslov1"/>
    <w:next w:val="Navaden"/>
    <w:uiPriority w:val="39"/>
    <w:unhideWhenUsed/>
    <w:qFormat/>
    <w:rsid w:val="003836D1"/>
    <w:pPr>
      <w:outlineLvl w:val="9"/>
    </w:pPr>
    <w:rPr>
      <w:lang w:val="en-US"/>
    </w:rPr>
  </w:style>
  <w:style w:type="numbering" w:customStyle="1" w:styleId="WWNum35">
    <w:name w:val="WWNum35"/>
    <w:basedOn w:val="Brezseznama"/>
    <w:rsid w:val="00A436A4"/>
    <w:pPr>
      <w:numPr>
        <w:numId w:val="7"/>
      </w:numPr>
    </w:pPr>
  </w:style>
  <w:style w:type="paragraph" w:customStyle="1" w:styleId="Standard">
    <w:name w:val="Standard"/>
    <w:rsid w:val="00A436A4"/>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numbering" w:customStyle="1" w:styleId="WWNum31">
    <w:name w:val="WWNum31"/>
    <w:basedOn w:val="Brezseznama"/>
    <w:rsid w:val="00A436A4"/>
    <w:pPr>
      <w:numPr>
        <w:numId w:val="8"/>
      </w:numPr>
    </w:pPr>
  </w:style>
  <w:style w:type="numbering" w:customStyle="1" w:styleId="WWNum37">
    <w:name w:val="WWNum37"/>
    <w:basedOn w:val="Brezseznama"/>
    <w:rsid w:val="00C7000D"/>
    <w:pPr>
      <w:numPr>
        <w:numId w:val="9"/>
      </w:numPr>
    </w:pPr>
  </w:style>
  <w:style w:type="numbering" w:customStyle="1" w:styleId="WWNum7">
    <w:name w:val="WWNum7"/>
    <w:basedOn w:val="Brezseznama"/>
    <w:rsid w:val="00BC06D3"/>
    <w:pPr>
      <w:numPr>
        <w:numId w:val="10"/>
      </w:numPr>
    </w:pPr>
  </w:style>
  <w:style w:type="numbering" w:customStyle="1" w:styleId="WWNum17">
    <w:name w:val="WWNum17"/>
    <w:basedOn w:val="Brezseznama"/>
    <w:rsid w:val="00AC3B1B"/>
    <w:pPr>
      <w:numPr>
        <w:numId w:val="11"/>
      </w:numPr>
    </w:pPr>
  </w:style>
  <w:style w:type="numbering" w:customStyle="1" w:styleId="WWNum18">
    <w:name w:val="WWNum18"/>
    <w:basedOn w:val="Brezseznama"/>
    <w:rsid w:val="00AC3B1B"/>
    <w:pPr>
      <w:numPr>
        <w:numId w:val="12"/>
      </w:numPr>
    </w:pPr>
  </w:style>
  <w:style w:type="table" w:customStyle="1" w:styleId="Tabelaseznam2poudarek111">
    <w:name w:val="Tabela – seznam 2 (poudarek 1)11"/>
    <w:basedOn w:val="Navadnatabela"/>
    <w:uiPriority w:val="47"/>
    <w:rsid w:val="00F36689"/>
    <w:pPr>
      <w:spacing w:after="0" w:line="240" w:lineRule="auto"/>
    </w:pPr>
    <w:rPr>
      <w:rFonts w:eastAsiaTheme="minorHAnsi"/>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Svetlosenenjepoudarek1">
    <w:name w:val="Light Shading Accent 1"/>
    <w:basedOn w:val="Navadnatabela"/>
    <w:uiPriority w:val="60"/>
    <w:rsid w:val="00204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rezrazmikovZnak">
    <w:name w:val="Brez razmikov Znak"/>
    <w:basedOn w:val="Privzetapisavaodstavka"/>
    <w:link w:val="Brezrazmikov"/>
    <w:uiPriority w:val="1"/>
    <w:rsid w:val="003509F8"/>
    <w:rPr>
      <w:rFonts w:ascii="Arial Unicode MS" w:hAnsi="Arial Unicode MS"/>
      <w:sz w:val="20"/>
      <w:lang w:eastAsia="zh-TW"/>
    </w:rPr>
  </w:style>
  <w:style w:type="paragraph" w:styleId="Telobesedila2">
    <w:name w:val="Body Text 2"/>
    <w:basedOn w:val="Navaden"/>
    <w:link w:val="Telobesedila2Znak"/>
    <w:uiPriority w:val="99"/>
    <w:semiHidden/>
    <w:unhideWhenUsed/>
    <w:rsid w:val="000F79A9"/>
    <w:pPr>
      <w:spacing w:after="120" w:line="480" w:lineRule="auto"/>
    </w:pPr>
    <w:rPr>
      <w:rFonts w:asciiTheme="minorHAnsi" w:eastAsiaTheme="minorEastAsia" w:hAnsiTheme="minorHAnsi" w:cstheme="minorBidi"/>
      <w:sz w:val="22"/>
      <w:szCs w:val="22"/>
    </w:rPr>
  </w:style>
  <w:style w:type="character" w:customStyle="1" w:styleId="Telobesedila2Znak">
    <w:name w:val="Telo besedila 2 Znak"/>
    <w:basedOn w:val="Privzetapisavaodstavka"/>
    <w:link w:val="Telobesedila2"/>
    <w:uiPriority w:val="99"/>
    <w:semiHidden/>
    <w:rsid w:val="000F79A9"/>
  </w:style>
  <w:style w:type="character" w:customStyle="1" w:styleId="NapisZnak">
    <w:name w:val="Napis Znak"/>
    <w:aliases w:val="TABELA Znak,E-PVO-Tabela-Graf-Slika Znak,Napis Znak2 Znak,Napis Znak1 Znak Znak,E-PVO-Tabela-Graf-Slika Znak Znak Znak,TABELA Znak Znak Znak,Napis Znak Znak Znak Znak,E-PVO-Tabela-Graf-Slika Znak1 Znak,TABELA Znak1 Znak,Slika Znak1 Znak"/>
    <w:link w:val="Napis"/>
    <w:uiPriority w:val="35"/>
    <w:locked/>
    <w:rsid w:val="00630F5C"/>
    <w:rPr>
      <w:b/>
      <w:bCs/>
      <w:color w:val="4F81BD" w:themeColor="accent1"/>
      <w:sz w:val="18"/>
      <w:szCs w:val="18"/>
    </w:rPr>
  </w:style>
  <w:style w:type="paragraph" w:customStyle="1" w:styleId="font5">
    <w:name w:val="font5"/>
    <w:basedOn w:val="Navaden"/>
    <w:rsid w:val="005A5A99"/>
    <w:pPr>
      <w:spacing w:before="100" w:beforeAutospacing="1" w:after="100" w:afterAutospacing="1"/>
    </w:pPr>
    <w:rPr>
      <w:rFonts w:eastAsia="Arial Unicode MS"/>
      <w:b/>
      <w:bCs/>
      <w:noProof/>
      <w:sz w:val="20"/>
      <w:szCs w:val="20"/>
      <w:lang w:val="de-DE"/>
    </w:rPr>
  </w:style>
  <w:style w:type="paragraph" w:customStyle="1" w:styleId="Tekst">
    <w:name w:val="Tekst"/>
    <w:basedOn w:val="Navaden"/>
    <w:rsid w:val="005A5A99"/>
    <w:pPr>
      <w:suppressAutoHyphens/>
      <w:overflowPunct w:val="0"/>
      <w:autoSpaceDE w:val="0"/>
      <w:textAlignment w:val="baseline"/>
    </w:pPr>
    <w:rPr>
      <w:rFonts w:ascii="Arial" w:hAnsi="Arial" w:cs="Arial"/>
      <w:sz w:val="22"/>
      <w:szCs w:val="22"/>
      <w:lang w:val="en-US" w:eastAsia="ar-SA"/>
    </w:rPr>
  </w:style>
  <w:style w:type="table" w:styleId="Svetlosenenjepoudarek2">
    <w:name w:val="Light Shading Accent 2"/>
    <w:basedOn w:val="Navadnatabela"/>
    <w:uiPriority w:val="60"/>
    <w:rsid w:val="006C5D7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MILOVANTEKSTI">
    <w:name w:val="MILOVAN_TEKSTI"/>
    <w:basedOn w:val="Telobesedila3"/>
    <w:rsid w:val="00141C26"/>
    <w:pPr>
      <w:spacing w:after="0" w:line="240" w:lineRule="auto"/>
      <w:ind w:right="-6"/>
      <w:jc w:val="both"/>
    </w:pPr>
    <w:rPr>
      <w:rFonts w:ascii="Arial" w:eastAsia="Times New Roman" w:hAnsi="Arial" w:cs="Times New Roman"/>
      <w:sz w:val="24"/>
      <w:szCs w:val="24"/>
    </w:rPr>
  </w:style>
  <w:style w:type="paragraph" w:styleId="Telobesedila3">
    <w:name w:val="Body Text 3"/>
    <w:basedOn w:val="Navaden"/>
    <w:link w:val="Telobesedila3Znak"/>
    <w:uiPriority w:val="99"/>
    <w:semiHidden/>
    <w:unhideWhenUsed/>
    <w:rsid w:val="00141C26"/>
    <w:pPr>
      <w:spacing w:after="120" w:line="276" w:lineRule="auto"/>
    </w:pPr>
    <w:rPr>
      <w:rFonts w:asciiTheme="minorHAnsi" w:eastAsiaTheme="minorEastAsia" w:hAnsiTheme="minorHAnsi" w:cstheme="minorBidi"/>
      <w:sz w:val="16"/>
      <w:szCs w:val="16"/>
    </w:rPr>
  </w:style>
  <w:style w:type="character" w:customStyle="1" w:styleId="Telobesedila3Znak">
    <w:name w:val="Telo besedila 3 Znak"/>
    <w:basedOn w:val="Privzetapisavaodstavka"/>
    <w:link w:val="Telobesedila3"/>
    <w:uiPriority w:val="99"/>
    <w:semiHidden/>
    <w:rsid w:val="00141C26"/>
    <w:rPr>
      <w:sz w:val="16"/>
      <w:szCs w:val="16"/>
    </w:rPr>
  </w:style>
  <w:style w:type="paragraph" w:customStyle="1" w:styleId="MILOVANTEKST">
    <w:name w:val="MILOVAN_TEKST"/>
    <w:basedOn w:val="Telobesedila2"/>
    <w:rsid w:val="00141C26"/>
    <w:pPr>
      <w:spacing w:after="0" w:line="240" w:lineRule="auto"/>
      <w:jc w:val="both"/>
    </w:pPr>
    <w:rPr>
      <w:rFonts w:ascii="Arial" w:eastAsia="Times New Roman" w:hAnsi="Arial" w:cs="Times New Roman"/>
      <w:sz w:val="24"/>
      <w:szCs w:val="20"/>
      <w:lang w:val="en-GB"/>
    </w:rPr>
  </w:style>
  <w:style w:type="paragraph" w:customStyle="1" w:styleId="natevanjevrstineoznake">
    <w:name w:val="naštevanje vrstične oznake"/>
    <w:basedOn w:val="Navaden"/>
    <w:rsid w:val="00291373"/>
    <w:pPr>
      <w:numPr>
        <w:numId w:val="14"/>
      </w:numPr>
      <w:suppressAutoHyphens/>
      <w:jc w:val="both"/>
    </w:pPr>
    <w:rPr>
      <w:rFonts w:ascii="Arial" w:hAnsi="Arial" w:cs="Arial"/>
      <w:sz w:val="22"/>
      <w:szCs w:val="20"/>
      <w:lang w:eastAsia="ar-SA"/>
    </w:rPr>
  </w:style>
  <w:style w:type="paragraph" w:customStyle="1" w:styleId="Tabela-IP">
    <w:name w:val="Tabela-IP"/>
    <w:basedOn w:val="Navaden"/>
    <w:next w:val="Navaden"/>
    <w:autoRedefine/>
    <w:uiPriority w:val="99"/>
    <w:rsid w:val="00D30C88"/>
    <w:pPr>
      <w:spacing w:before="200" w:after="120" w:line="240" w:lineRule="atLeast"/>
      <w:jc w:val="both"/>
    </w:pPr>
    <w:rPr>
      <w:rFonts w:ascii="Arial" w:hAnsi="Arial" w:cs="Arial"/>
      <w:b/>
      <w:sz w:val="22"/>
      <w:szCs w:val="22"/>
    </w:rPr>
  </w:style>
  <w:style w:type="table" w:styleId="Svetlamreapoudarek1">
    <w:name w:val="Light Grid Accent 1"/>
    <w:basedOn w:val="Navadnatabela"/>
    <w:uiPriority w:val="62"/>
    <w:rsid w:val="0029624D"/>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aseznam4poudarek1">
    <w:name w:val="List Table 4 Accent 1"/>
    <w:basedOn w:val="Navadnatabela"/>
    <w:uiPriority w:val="49"/>
    <w:rsid w:val="00E576E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eznam3poudarek1">
    <w:name w:val="List Table 3 Accent 1"/>
    <w:basedOn w:val="Navadnatabela"/>
    <w:uiPriority w:val="48"/>
    <w:rsid w:val="00DB635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IIPNASLOV2">
    <w:name w:val="DIIP NASLOV 2"/>
    <w:basedOn w:val="Naslov1"/>
    <w:qFormat/>
    <w:rsid w:val="00D215B3"/>
    <w:pPr>
      <w:numPr>
        <w:ilvl w:val="1"/>
        <w:numId w:val="21"/>
      </w:numPr>
    </w:pPr>
    <w:rPr>
      <w:sz w:val="24"/>
      <w:lang w:eastAsia="en-US"/>
    </w:rPr>
  </w:style>
  <w:style w:type="paragraph" w:customStyle="1" w:styleId="DIIPNASLOV1">
    <w:name w:val="DIIP NASLOV 1"/>
    <w:basedOn w:val="Naslov1"/>
    <w:qFormat/>
    <w:rsid w:val="00D215B3"/>
    <w:pPr>
      <w:numPr>
        <w:numId w:val="21"/>
      </w:numPr>
    </w:pPr>
    <w:rPr>
      <w:lang w:eastAsia="en-US"/>
    </w:rPr>
  </w:style>
  <w:style w:type="table" w:customStyle="1" w:styleId="Tabelaseznam3poudarek11">
    <w:name w:val="Tabela – seznam 3 (poudarek 1)1"/>
    <w:basedOn w:val="Navadnatabela"/>
    <w:uiPriority w:val="48"/>
    <w:rsid w:val="00C94BB0"/>
    <w:pPr>
      <w:spacing w:after="0" w:line="240" w:lineRule="auto"/>
    </w:pPr>
    <w:rPr>
      <w:rFonts w:eastAsiaTheme="minorHAnsi"/>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UnresolvedMention1">
    <w:name w:val="Unresolved Mention1"/>
    <w:basedOn w:val="Privzetapisavaodstavka"/>
    <w:uiPriority w:val="99"/>
    <w:semiHidden/>
    <w:unhideWhenUsed/>
    <w:rsid w:val="008E6B89"/>
    <w:rPr>
      <w:color w:val="605E5C"/>
      <w:shd w:val="clear" w:color="auto" w:fill="E1DFDD"/>
    </w:rPr>
  </w:style>
  <w:style w:type="character" w:customStyle="1" w:styleId="Nerazreenaomemba1">
    <w:name w:val="Nerazrešena omemba1"/>
    <w:basedOn w:val="Privzetapisavaodstavka"/>
    <w:uiPriority w:val="99"/>
    <w:semiHidden/>
    <w:unhideWhenUsed/>
    <w:rsid w:val="00B16584"/>
    <w:rPr>
      <w:color w:val="605E5C"/>
      <w:shd w:val="clear" w:color="auto" w:fill="E1DFDD"/>
    </w:rPr>
  </w:style>
  <w:style w:type="table" w:styleId="Srednjesenenje1poudarek1">
    <w:name w:val="Medium Shading 1 Accent 1"/>
    <w:basedOn w:val="Navadnatabela"/>
    <w:uiPriority w:val="63"/>
    <w:rsid w:val="00014F7B"/>
    <w:pPr>
      <w:spacing w:after="0" w:line="240" w:lineRule="auto"/>
    </w:pPr>
    <w:rPr>
      <w:rFonts w:eastAsiaTheme="minorHAns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zija">
    <w:name w:val="Revision"/>
    <w:hidden/>
    <w:uiPriority w:val="99"/>
    <w:semiHidden/>
    <w:rsid w:val="00963505"/>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Privzetapisavaodstavka"/>
    <w:uiPriority w:val="99"/>
    <w:semiHidden/>
    <w:unhideWhenUsed/>
    <w:rsid w:val="00F91B23"/>
    <w:rPr>
      <w:color w:val="605E5C"/>
      <w:shd w:val="clear" w:color="auto" w:fill="E1DFDD"/>
    </w:rPr>
  </w:style>
  <w:style w:type="table" w:customStyle="1" w:styleId="MediumShading1-Accent11">
    <w:name w:val="Medium Shading 1 - Accent 11"/>
    <w:basedOn w:val="Navadnatabela"/>
    <w:next w:val="Srednjesenenje1poudarek1"/>
    <w:uiPriority w:val="63"/>
    <w:rsid w:val="008455B0"/>
    <w:pPr>
      <w:spacing w:after="0" w:line="240" w:lineRule="auto"/>
    </w:pPr>
    <w:rPr>
      <w:rFonts w:ascii="Arial" w:eastAsia="Arial" w:hAnsi="Arial" w:cs="Times New Roman"/>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Nerazreenaomemba">
    <w:name w:val="Unresolved Mention"/>
    <w:basedOn w:val="Privzetapisavaodstavka"/>
    <w:uiPriority w:val="99"/>
    <w:semiHidden/>
    <w:unhideWhenUsed/>
    <w:rsid w:val="00752466"/>
    <w:rPr>
      <w:color w:val="605E5C"/>
      <w:shd w:val="clear" w:color="auto" w:fill="E1DFDD"/>
    </w:rPr>
  </w:style>
  <w:style w:type="table" w:customStyle="1" w:styleId="TableNormal1">
    <w:name w:val="Table Normal1"/>
    <w:rsid w:val="006154DD"/>
    <w:rPr>
      <w:rFonts w:ascii="Calibri" w:eastAsia="Calibri" w:hAnsi="Calibri" w:cs="Calibri"/>
    </w:rPr>
    <w:tblPr>
      <w:tblCellMar>
        <w:top w:w="0" w:type="dxa"/>
        <w:left w:w="0" w:type="dxa"/>
        <w:bottom w:w="0" w:type="dxa"/>
        <w:right w:w="0" w:type="dxa"/>
      </w:tblCellMar>
    </w:tblPr>
  </w:style>
  <w:style w:type="table" w:customStyle="1" w:styleId="Svetlosenenjepoudarek13">
    <w:name w:val="Svetlo senčenje – poudarek 13"/>
    <w:basedOn w:val="Navadnatabela"/>
    <w:uiPriority w:val="60"/>
    <w:rsid w:val="006154DD"/>
    <w:pPr>
      <w:spacing w:after="0" w:line="240" w:lineRule="auto"/>
    </w:pPr>
    <w:rPr>
      <w:rFonts w:ascii="Calibri" w:eastAsia="Calibri" w:hAnsi="Calibri" w:cs="Calibr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31">
    <w:name w:val="xl31"/>
    <w:basedOn w:val="Navaden"/>
    <w:rsid w:val="006154DD"/>
    <w:pPr>
      <w:pBdr>
        <w:left w:val="single" w:sz="6" w:space="0" w:color="auto"/>
        <w:bottom w:val="single" w:sz="6" w:space="0" w:color="auto"/>
      </w:pBdr>
      <w:overflowPunct w:val="0"/>
      <w:autoSpaceDE w:val="0"/>
      <w:autoSpaceDN w:val="0"/>
      <w:adjustRightInd w:val="0"/>
      <w:spacing w:before="100" w:after="100"/>
      <w:textAlignment w:val="baseline"/>
    </w:pPr>
    <w:rPr>
      <w:szCs w:val="20"/>
      <w:lang w:eastAsia="en-US"/>
    </w:rPr>
  </w:style>
  <w:style w:type="table" w:customStyle="1" w:styleId="TableGrid">
    <w:name w:val="TableGrid"/>
    <w:rsid w:val="006154DD"/>
    <w:pPr>
      <w:spacing w:after="0" w:line="240" w:lineRule="auto"/>
    </w:pPr>
    <w:rPr>
      <w:rFonts w:ascii="Calibri" w:eastAsia="Calibri" w:hAnsi="Calibri" w:cs="Calibri"/>
    </w:rPr>
    <w:tblPr>
      <w:tblCellMar>
        <w:top w:w="0" w:type="dxa"/>
        <w:left w:w="0" w:type="dxa"/>
        <w:bottom w:w="0" w:type="dxa"/>
        <w:right w:w="0" w:type="dxa"/>
      </w:tblCellMar>
    </w:tblPr>
  </w:style>
  <w:style w:type="table" w:customStyle="1" w:styleId="Tabelamrea1">
    <w:name w:val="Tabela – mreža1"/>
    <w:basedOn w:val="Navadnatabela"/>
    <w:next w:val="Tabelamrea"/>
    <w:uiPriority w:val="59"/>
    <w:rsid w:val="006154DD"/>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sticnaoznaka">
    <w:name w:val="vrsticna oznaka"/>
    <w:basedOn w:val="Navaden"/>
    <w:rsid w:val="006154DD"/>
    <w:pPr>
      <w:numPr>
        <w:numId w:val="156"/>
      </w:numPr>
      <w:jc w:val="both"/>
    </w:pPr>
    <w:rPr>
      <w:rFonts w:ascii="Arial" w:hAnsi="Arial" w:cs="Arial"/>
    </w:rPr>
  </w:style>
  <w:style w:type="paragraph" w:customStyle="1" w:styleId="bodytext">
    <w:name w:val="bodytext"/>
    <w:basedOn w:val="Navaden"/>
    <w:rsid w:val="006154DD"/>
    <w:pPr>
      <w:spacing w:after="300" w:line="270" w:lineRule="atLeast"/>
    </w:pPr>
    <w:rPr>
      <w:color w:val="434E4F"/>
      <w:sz w:val="18"/>
      <w:szCs w:val="18"/>
    </w:rPr>
  </w:style>
  <w:style w:type="character" w:styleId="SledenaHiperpovezava">
    <w:name w:val="FollowedHyperlink"/>
    <w:basedOn w:val="Privzetapisavaodstavka"/>
    <w:uiPriority w:val="99"/>
    <w:semiHidden/>
    <w:unhideWhenUsed/>
    <w:rsid w:val="006154DD"/>
    <w:rPr>
      <w:color w:val="800080" w:themeColor="followedHyperlink"/>
      <w:u w:val="single"/>
    </w:rPr>
  </w:style>
  <w:style w:type="character" w:customStyle="1" w:styleId="lrzxr">
    <w:name w:val="lrzxr"/>
    <w:basedOn w:val="Privzetapisavaodstavka"/>
    <w:rsid w:val="006154DD"/>
  </w:style>
  <w:style w:type="character" w:styleId="tevilkastrani">
    <w:name w:val="page number"/>
    <w:basedOn w:val="Privzetapisavaodstavka"/>
    <w:semiHidden/>
    <w:unhideWhenUsed/>
    <w:rsid w:val="006154DD"/>
  </w:style>
  <w:style w:type="paragraph" w:styleId="Golobesedilo">
    <w:name w:val="Plain Text"/>
    <w:basedOn w:val="Navaden"/>
    <w:link w:val="GolobesediloZnak"/>
    <w:uiPriority w:val="99"/>
    <w:semiHidden/>
    <w:unhideWhenUsed/>
    <w:rsid w:val="006154DD"/>
    <w:pPr>
      <w:spacing w:after="200" w:line="276" w:lineRule="auto"/>
    </w:pPr>
    <w:rPr>
      <w:rFonts w:asciiTheme="minorHAnsi" w:eastAsiaTheme="minorEastAsia" w:hAnsiTheme="minorHAnsi" w:cstheme="minorBidi"/>
      <w:sz w:val="22"/>
      <w:szCs w:val="21"/>
      <w:lang w:val="en-US" w:eastAsia="en-US"/>
    </w:rPr>
  </w:style>
  <w:style w:type="character" w:customStyle="1" w:styleId="GolobesediloZnak">
    <w:name w:val="Golo besedilo Znak"/>
    <w:basedOn w:val="Privzetapisavaodstavka"/>
    <w:link w:val="Golobesedilo"/>
    <w:uiPriority w:val="99"/>
    <w:semiHidden/>
    <w:rsid w:val="006154DD"/>
    <w:rPr>
      <w:szCs w:val="21"/>
      <w:lang w:val="en-US" w:eastAsia="en-US"/>
    </w:rPr>
  </w:style>
  <w:style w:type="paragraph" w:styleId="Konnaopomba-besedilo">
    <w:name w:val="endnote text"/>
    <w:basedOn w:val="Navaden"/>
    <w:link w:val="Konnaopomba-besediloZnak"/>
    <w:uiPriority w:val="99"/>
    <w:semiHidden/>
    <w:unhideWhenUsed/>
    <w:rsid w:val="006154DD"/>
    <w:rPr>
      <w:sz w:val="20"/>
      <w:szCs w:val="20"/>
    </w:rPr>
  </w:style>
  <w:style w:type="character" w:customStyle="1" w:styleId="Konnaopomba-besediloZnak">
    <w:name w:val="Končna opomba - besedilo Znak"/>
    <w:basedOn w:val="Privzetapisavaodstavka"/>
    <w:link w:val="Konnaopomba-besedilo"/>
    <w:uiPriority w:val="99"/>
    <w:semiHidden/>
    <w:rsid w:val="006154DD"/>
    <w:rPr>
      <w:rFonts w:ascii="Times New Roman" w:eastAsia="Times New Roman" w:hAnsi="Times New Roman" w:cs="Times New Roman"/>
      <w:sz w:val="20"/>
      <w:szCs w:val="20"/>
    </w:rPr>
  </w:style>
  <w:style w:type="character" w:styleId="Konnaopomba-sklic">
    <w:name w:val="endnote reference"/>
    <w:basedOn w:val="Privzetapisavaodstavka"/>
    <w:uiPriority w:val="99"/>
    <w:semiHidden/>
    <w:unhideWhenUsed/>
    <w:rsid w:val="006154DD"/>
    <w:rPr>
      <w:vertAlign w:val="superscript"/>
    </w:rPr>
  </w:style>
  <w:style w:type="paragraph" w:styleId="Navaden-zamik">
    <w:name w:val="Normal Indent"/>
    <w:aliases w:val="Normal Indent Char,Normal Indent Char Char,Normal Indent Char1 Char,Normal Indent Char1"/>
    <w:basedOn w:val="Navaden"/>
    <w:uiPriority w:val="99"/>
    <w:rsid w:val="006154DD"/>
    <w:pPr>
      <w:numPr>
        <w:numId w:val="158"/>
      </w:numPr>
      <w:tabs>
        <w:tab w:val="left" w:pos="0"/>
        <w:tab w:val="left" w:pos="567"/>
      </w:tabs>
      <w:overflowPunct w:val="0"/>
      <w:autoSpaceDE w:val="0"/>
      <w:autoSpaceDN w:val="0"/>
      <w:adjustRightInd w:val="0"/>
      <w:spacing w:before="48" w:after="48"/>
      <w:textAlignment w:val="baseline"/>
    </w:pPr>
    <w:rPr>
      <w:rFonts w:ascii="Arial" w:hAnsi="Arial"/>
      <w:sz w:val="16"/>
      <w:szCs w:val="20"/>
      <w:lang w:val="en-GB" w:eastAsia="sr-Cyrl-CS"/>
    </w:rPr>
  </w:style>
  <w:style w:type="paragraph" w:customStyle="1" w:styleId="FSTablica">
    <w:name w:val="FS Tablica"/>
    <w:basedOn w:val="Oznaenseznam"/>
    <w:autoRedefine/>
    <w:qFormat/>
    <w:rsid w:val="006154DD"/>
    <w:pPr>
      <w:numPr>
        <w:numId w:val="0"/>
      </w:numPr>
      <w:tabs>
        <w:tab w:val="left" w:pos="1276"/>
      </w:tabs>
      <w:spacing w:after="0" w:line="240" w:lineRule="auto"/>
      <w:ind w:left="1276" w:hanging="1276"/>
      <w:contextualSpacing w:val="0"/>
    </w:pPr>
    <w:rPr>
      <w:rFonts w:asciiTheme="minorHAnsi" w:eastAsia="Times New Roman" w:hAnsiTheme="minorHAnsi" w:cs="Times New Roman"/>
      <w:bCs/>
      <w:szCs w:val="18"/>
      <w:lang w:eastAsia="hr-HR"/>
    </w:rPr>
  </w:style>
  <w:style w:type="paragraph" w:customStyle="1" w:styleId="msonormal0">
    <w:name w:val="msonormal"/>
    <w:basedOn w:val="Navaden"/>
    <w:rsid w:val="006154DD"/>
    <w:pPr>
      <w:spacing w:before="100" w:beforeAutospacing="1" w:after="100" w:afterAutospacing="1"/>
    </w:pPr>
  </w:style>
  <w:style w:type="paragraph" w:customStyle="1" w:styleId="xl76">
    <w:name w:val="xl76"/>
    <w:basedOn w:val="Navaden"/>
    <w:rsid w:val="006154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77">
    <w:name w:val="xl77"/>
    <w:basedOn w:val="Navaden"/>
    <w:rsid w:val="006154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78">
    <w:name w:val="xl78"/>
    <w:basedOn w:val="Navaden"/>
    <w:rsid w:val="006154DD"/>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79">
    <w:name w:val="xl79"/>
    <w:basedOn w:val="Navaden"/>
    <w:rsid w:val="006154DD"/>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80">
    <w:name w:val="xl80"/>
    <w:basedOn w:val="Navaden"/>
    <w:rsid w:val="006154DD"/>
    <w:pPr>
      <w:pBdr>
        <w:left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81">
    <w:name w:val="xl81"/>
    <w:basedOn w:val="Navaden"/>
    <w:rsid w:val="006154DD"/>
    <w:pPr>
      <w:pBdr>
        <w:left w:val="single" w:sz="4" w:space="0" w:color="auto"/>
        <w:right w:val="single" w:sz="4" w:space="0" w:color="auto"/>
      </w:pBdr>
      <w:shd w:val="clear" w:color="000000" w:fill="D9D9D9"/>
      <w:spacing w:before="100" w:beforeAutospacing="1" w:after="100" w:afterAutospacing="1"/>
      <w:textAlignment w:val="top"/>
    </w:pPr>
    <w:rPr>
      <w:b/>
      <w:bCs/>
      <w:sz w:val="16"/>
      <w:szCs w:val="16"/>
    </w:rPr>
  </w:style>
  <w:style w:type="paragraph" w:customStyle="1" w:styleId="xl82">
    <w:name w:val="xl82"/>
    <w:basedOn w:val="Navaden"/>
    <w:rsid w:val="006154DD"/>
    <w:pPr>
      <w:spacing w:before="100" w:beforeAutospacing="1" w:after="100" w:afterAutospacing="1"/>
      <w:textAlignment w:val="top"/>
    </w:pPr>
    <w:rPr>
      <w:sz w:val="16"/>
      <w:szCs w:val="16"/>
    </w:rPr>
  </w:style>
  <w:style w:type="paragraph" w:customStyle="1" w:styleId="xl83">
    <w:name w:val="xl83"/>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84">
    <w:name w:val="xl84"/>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16"/>
      <w:szCs w:val="16"/>
    </w:rPr>
  </w:style>
  <w:style w:type="paragraph" w:customStyle="1" w:styleId="xl85">
    <w:name w:val="xl85"/>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86">
    <w:name w:val="xl86"/>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87">
    <w:name w:val="xl87"/>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88">
    <w:name w:val="xl88"/>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89">
    <w:name w:val="xl89"/>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90">
    <w:name w:val="xl90"/>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sz w:val="16"/>
      <w:szCs w:val="16"/>
    </w:rPr>
  </w:style>
  <w:style w:type="paragraph" w:customStyle="1" w:styleId="xl91">
    <w:name w:val="xl91"/>
    <w:basedOn w:val="Navaden"/>
    <w:rsid w:val="006154D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top"/>
    </w:pPr>
    <w:rPr>
      <w:b/>
      <w:bCs/>
      <w:sz w:val="16"/>
      <w:szCs w:val="16"/>
    </w:rPr>
  </w:style>
  <w:style w:type="paragraph" w:customStyle="1" w:styleId="xl92">
    <w:name w:val="xl92"/>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16"/>
      <w:szCs w:val="16"/>
    </w:rPr>
  </w:style>
  <w:style w:type="paragraph" w:customStyle="1" w:styleId="xl93">
    <w:name w:val="xl93"/>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16"/>
      <w:szCs w:val="16"/>
    </w:rPr>
  </w:style>
  <w:style w:type="paragraph" w:customStyle="1" w:styleId="xl94">
    <w:name w:val="xl94"/>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i/>
      <w:iCs/>
      <w:sz w:val="16"/>
      <w:szCs w:val="16"/>
    </w:rPr>
  </w:style>
  <w:style w:type="paragraph" w:customStyle="1" w:styleId="xl95">
    <w:name w:val="xl95"/>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4472C4"/>
      <w:sz w:val="16"/>
      <w:szCs w:val="16"/>
    </w:rPr>
  </w:style>
  <w:style w:type="paragraph" w:customStyle="1" w:styleId="xl96">
    <w:name w:val="xl96"/>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sz w:val="16"/>
      <w:szCs w:val="16"/>
    </w:rPr>
  </w:style>
  <w:style w:type="paragraph" w:customStyle="1" w:styleId="xl97">
    <w:name w:val="xl97"/>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sz w:val="16"/>
      <w:szCs w:val="16"/>
    </w:rPr>
  </w:style>
  <w:style w:type="paragraph" w:customStyle="1" w:styleId="xl98">
    <w:name w:val="xl98"/>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9">
    <w:name w:val="xl99"/>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0">
    <w:name w:val="xl100"/>
    <w:basedOn w:val="Navaden"/>
    <w:rsid w:val="006154D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top"/>
    </w:pPr>
    <w:rPr>
      <w:b/>
      <w:bCs/>
      <w:sz w:val="16"/>
      <w:szCs w:val="16"/>
    </w:rPr>
  </w:style>
  <w:style w:type="paragraph" w:customStyle="1" w:styleId="xl101">
    <w:name w:val="xl101"/>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2">
    <w:name w:val="xl102"/>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b/>
      <w:bCs/>
      <w:sz w:val="16"/>
      <w:szCs w:val="16"/>
    </w:rPr>
  </w:style>
  <w:style w:type="paragraph" w:customStyle="1" w:styleId="xl103">
    <w:name w:val="xl103"/>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top"/>
    </w:pPr>
    <w:rPr>
      <w:i/>
      <w:iCs/>
      <w:sz w:val="16"/>
      <w:szCs w:val="16"/>
    </w:rPr>
  </w:style>
  <w:style w:type="paragraph" w:customStyle="1" w:styleId="xl104">
    <w:name w:val="xl104"/>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4472C4"/>
      <w:sz w:val="16"/>
      <w:szCs w:val="16"/>
    </w:rPr>
  </w:style>
  <w:style w:type="paragraph" w:customStyle="1" w:styleId="xl105">
    <w:name w:val="xl105"/>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top"/>
    </w:pPr>
    <w:rPr>
      <w:sz w:val="16"/>
      <w:szCs w:val="16"/>
    </w:rPr>
  </w:style>
  <w:style w:type="paragraph" w:customStyle="1" w:styleId="xl106">
    <w:name w:val="xl106"/>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top"/>
    </w:pPr>
    <w:rPr>
      <w:sz w:val="16"/>
      <w:szCs w:val="16"/>
    </w:rPr>
  </w:style>
  <w:style w:type="paragraph" w:customStyle="1" w:styleId="xl107">
    <w:name w:val="xl107"/>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08">
    <w:name w:val="xl108"/>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top"/>
    </w:pPr>
    <w:rPr>
      <w:b/>
      <w:bCs/>
      <w:sz w:val="16"/>
      <w:szCs w:val="16"/>
    </w:rPr>
  </w:style>
  <w:style w:type="paragraph" w:customStyle="1" w:styleId="xl109">
    <w:name w:val="xl109"/>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top"/>
    </w:pPr>
    <w:rPr>
      <w:b/>
      <w:bCs/>
      <w:sz w:val="16"/>
      <w:szCs w:val="16"/>
    </w:rPr>
  </w:style>
  <w:style w:type="paragraph" w:customStyle="1" w:styleId="xl110">
    <w:name w:val="xl110"/>
    <w:basedOn w:val="Navaden"/>
    <w:rsid w:val="006154D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b/>
      <w:bCs/>
      <w:sz w:val="16"/>
      <w:szCs w:val="16"/>
    </w:rPr>
  </w:style>
  <w:style w:type="paragraph" w:customStyle="1" w:styleId="xl111">
    <w:name w:val="xl111"/>
    <w:basedOn w:val="Navaden"/>
    <w:rsid w:val="006154DD"/>
    <w:pPr>
      <w:pBdr>
        <w:left w:val="single" w:sz="4" w:space="0" w:color="auto"/>
        <w:right w:val="single" w:sz="4" w:space="0" w:color="auto"/>
      </w:pBdr>
      <w:shd w:val="clear" w:color="000000" w:fill="BFBFBF"/>
      <w:spacing w:before="100" w:beforeAutospacing="1" w:after="100" w:afterAutospacing="1"/>
      <w:jc w:val="right"/>
      <w:textAlignment w:val="top"/>
    </w:pPr>
    <w:rPr>
      <w:b/>
      <w:bCs/>
      <w:sz w:val="16"/>
      <w:szCs w:val="16"/>
    </w:rPr>
  </w:style>
  <w:style w:type="paragraph" w:customStyle="1" w:styleId="xl112">
    <w:name w:val="xl112"/>
    <w:basedOn w:val="Navaden"/>
    <w:rsid w:val="006154DD"/>
    <w:pPr>
      <w:pBdr>
        <w:left w:val="single" w:sz="4" w:space="0" w:color="auto"/>
        <w:right w:val="single" w:sz="4" w:space="0" w:color="auto"/>
      </w:pBdr>
      <w:shd w:val="clear" w:color="000000" w:fill="BFBFBF"/>
      <w:spacing w:before="100" w:beforeAutospacing="1" w:after="100" w:afterAutospacing="1"/>
      <w:jc w:val="right"/>
      <w:textAlignment w:val="top"/>
    </w:pPr>
    <w:rPr>
      <w:b/>
      <w:bCs/>
      <w:sz w:val="16"/>
      <w:szCs w:val="16"/>
    </w:rPr>
  </w:style>
  <w:style w:type="paragraph" w:customStyle="1" w:styleId="xl113">
    <w:name w:val="xl113"/>
    <w:basedOn w:val="Navaden"/>
    <w:rsid w:val="006154DD"/>
    <w:pPr>
      <w:pBdr>
        <w:top w:val="single" w:sz="4" w:space="0" w:color="auto"/>
        <w:left w:val="single" w:sz="4" w:space="0" w:color="auto"/>
        <w:bottom w:val="single" w:sz="4" w:space="0" w:color="auto"/>
        <w:right w:val="single" w:sz="4" w:space="0" w:color="auto"/>
      </w:pBdr>
      <w:shd w:val="clear" w:color="000000" w:fill="FFFFA7"/>
      <w:spacing w:before="100" w:beforeAutospacing="1" w:after="100" w:afterAutospacing="1"/>
      <w:textAlignment w:val="top"/>
    </w:pPr>
    <w:rPr>
      <w:b/>
      <w:bCs/>
      <w:sz w:val="16"/>
      <w:szCs w:val="16"/>
    </w:rPr>
  </w:style>
  <w:style w:type="paragraph" w:customStyle="1" w:styleId="xl114">
    <w:name w:val="xl114"/>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top"/>
    </w:pPr>
    <w:rPr>
      <w:b/>
      <w:bCs/>
      <w:sz w:val="16"/>
      <w:szCs w:val="16"/>
    </w:rPr>
  </w:style>
  <w:style w:type="paragraph" w:customStyle="1" w:styleId="xl115">
    <w:name w:val="xl115"/>
    <w:basedOn w:val="Navaden"/>
    <w:rsid w:val="006154DD"/>
    <w:pPr>
      <w:pBdr>
        <w:top w:val="single" w:sz="4" w:space="0" w:color="auto"/>
        <w:left w:val="single" w:sz="4" w:space="0" w:color="auto"/>
        <w:bottom w:val="single" w:sz="4" w:space="0" w:color="auto"/>
        <w:right w:val="single" w:sz="4" w:space="0" w:color="auto"/>
      </w:pBdr>
      <w:shd w:val="clear" w:color="000000" w:fill="FFDC79"/>
      <w:spacing w:before="100" w:beforeAutospacing="1" w:after="100" w:afterAutospacing="1"/>
      <w:textAlignment w:val="top"/>
    </w:pPr>
    <w:rPr>
      <w:b/>
      <w:bCs/>
      <w:sz w:val="16"/>
      <w:szCs w:val="16"/>
    </w:rPr>
  </w:style>
  <w:style w:type="paragraph" w:customStyle="1" w:styleId="xl116">
    <w:name w:val="xl116"/>
    <w:basedOn w:val="Navaden"/>
    <w:rsid w:val="006154D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6"/>
      <w:szCs w:val="16"/>
    </w:rPr>
  </w:style>
  <w:style w:type="paragraph" w:customStyle="1" w:styleId="xl117">
    <w:name w:val="xl117"/>
    <w:basedOn w:val="Navaden"/>
    <w:rsid w:val="006154D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top"/>
    </w:pPr>
    <w:rPr>
      <w:sz w:val="16"/>
      <w:szCs w:val="16"/>
    </w:rPr>
  </w:style>
  <w:style w:type="paragraph" w:customStyle="1" w:styleId="xl118">
    <w:name w:val="xl118"/>
    <w:basedOn w:val="Navaden"/>
    <w:rsid w:val="006154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top"/>
    </w:pPr>
    <w:rPr>
      <w:b/>
      <w:bCs/>
      <w:i/>
      <w:iCs/>
      <w:sz w:val="16"/>
      <w:szCs w:val="16"/>
    </w:rPr>
  </w:style>
  <w:style w:type="paragraph" w:customStyle="1" w:styleId="xl119">
    <w:name w:val="xl119"/>
    <w:basedOn w:val="Navaden"/>
    <w:rsid w:val="006154DD"/>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top"/>
    </w:pPr>
    <w:rPr>
      <w:b/>
      <w:bCs/>
      <w:sz w:val="16"/>
      <w:szCs w:val="16"/>
    </w:rPr>
  </w:style>
  <w:style w:type="paragraph" w:customStyle="1" w:styleId="xl120">
    <w:name w:val="xl120"/>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21">
    <w:name w:val="xl121"/>
    <w:basedOn w:val="Navaden"/>
    <w:rsid w:val="006154DD"/>
    <w:pPr>
      <w:spacing w:before="100" w:beforeAutospacing="1" w:after="100" w:afterAutospacing="1"/>
      <w:textAlignment w:val="top"/>
    </w:pPr>
    <w:rPr>
      <w:sz w:val="16"/>
      <w:szCs w:val="16"/>
    </w:rPr>
  </w:style>
  <w:style w:type="paragraph" w:customStyle="1" w:styleId="xl122">
    <w:name w:val="xl122"/>
    <w:basedOn w:val="Navaden"/>
    <w:rsid w:val="006154DD"/>
    <w:pPr>
      <w:spacing w:before="100" w:beforeAutospacing="1" w:after="100" w:afterAutospacing="1"/>
      <w:textAlignment w:val="top"/>
    </w:pPr>
    <w:rPr>
      <w:sz w:val="16"/>
      <w:szCs w:val="16"/>
    </w:rPr>
  </w:style>
  <w:style w:type="paragraph" w:customStyle="1" w:styleId="Naslov2PodPoglavjePoglavje2">
    <w:name w:val="Naslov 2.PodPoglavje.Poglavje 2"/>
    <w:basedOn w:val="Navaden"/>
    <w:next w:val="Navaden"/>
    <w:rsid w:val="006154DD"/>
    <w:pPr>
      <w:keepNext/>
      <w:numPr>
        <w:numId w:val="159"/>
      </w:numPr>
      <w:autoSpaceDE w:val="0"/>
      <w:autoSpaceDN w:val="0"/>
      <w:jc w:val="center"/>
    </w:pPr>
    <w:rPr>
      <w:b/>
      <w:bCs/>
      <w:sz w:val="36"/>
      <w:szCs w:val="36"/>
    </w:rPr>
  </w:style>
  <w:style w:type="character" w:styleId="Besedilooznabemesta">
    <w:name w:val="Placeholder Text"/>
    <w:basedOn w:val="Privzetapisavaodstavka"/>
    <w:uiPriority w:val="99"/>
    <w:semiHidden/>
    <w:rsid w:val="006154DD"/>
    <w:rPr>
      <w:color w:val="808080"/>
    </w:rPr>
  </w:style>
  <w:style w:type="paragraph" w:customStyle="1" w:styleId="nastevanje3">
    <w:name w:val="nastevanje3"/>
    <w:basedOn w:val="Navaden"/>
    <w:rsid w:val="006154DD"/>
    <w:pPr>
      <w:keepLines/>
      <w:numPr>
        <w:numId w:val="165"/>
      </w:numPr>
      <w:spacing w:after="160" w:line="259" w:lineRule="auto"/>
      <w:jc w:val="both"/>
    </w:pPr>
  </w:style>
  <w:style w:type="table" w:customStyle="1" w:styleId="TableGrid1">
    <w:name w:val="Table Grid1"/>
    <w:basedOn w:val="Navadnatabela"/>
    <w:next w:val="Tabelamrea"/>
    <w:uiPriority w:val="59"/>
    <w:rsid w:val="006154DD"/>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6154DD"/>
    <w:pPr>
      <w:spacing w:after="0" w:line="240" w:lineRule="auto"/>
    </w:pPr>
    <w:rPr>
      <w:rFonts w:ascii="Arial" w:eastAsia="Times New Roman"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svetelseznam1poudarek111">
    <w:name w:val="Tabela – svetel seznam 1 (poudarek 1)11"/>
    <w:basedOn w:val="Navadnatabela"/>
    <w:uiPriority w:val="46"/>
    <w:rsid w:val="006154DD"/>
    <w:pPr>
      <w:spacing w:after="0" w:line="240" w:lineRule="auto"/>
    </w:pPr>
    <w:rPr>
      <w:rFonts w:ascii="Arial" w:eastAsia="Times New Roman" w:hAnsi="Arial" w:cs="Times New Roman"/>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eznam2poudarek112">
    <w:name w:val="Tabela – seznam 2 (poudarek 1)12"/>
    <w:basedOn w:val="Navadnatabela"/>
    <w:uiPriority w:val="47"/>
    <w:rsid w:val="006154DD"/>
    <w:pPr>
      <w:spacing w:after="0" w:line="240" w:lineRule="auto"/>
    </w:pPr>
    <w:rPr>
      <w:rFonts w:ascii="Arial" w:eastAsia="Times New Roman" w:hAnsi="Arial" w:cs="Times New Roma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barvniseznam6poudarek111">
    <w:name w:val="Tabela – barvni seznam 6 (poudarek 1)11"/>
    <w:basedOn w:val="Navadnatabela"/>
    <w:uiPriority w:val="51"/>
    <w:rsid w:val="006154DD"/>
    <w:pPr>
      <w:spacing w:after="0" w:line="240" w:lineRule="auto"/>
    </w:pPr>
    <w:rPr>
      <w:rFonts w:ascii="Arial" w:eastAsia="Times New Roman" w:hAnsi="Arial" w:cs="Times New Roman"/>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111">
    <w:name w:val="Light Shading - Accent 111"/>
    <w:basedOn w:val="Navadnatabela"/>
    <w:uiPriority w:val="60"/>
    <w:rsid w:val="006154DD"/>
    <w:pPr>
      <w:spacing w:after="0" w:line="240" w:lineRule="auto"/>
    </w:pPr>
    <w:rPr>
      <w:rFonts w:ascii="Arial" w:eastAsia="Times New Roman"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losenenjepoudarek121">
    <w:name w:val="Svetlo senčenje – poudarek 121"/>
    <w:basedOn w:val="Navadnatabela"/>
    <w:uiPriority w:val="60"/>
    <w:rsid w:val="006154DD"/>
    <w:pPr>
      <w:spacing w:after="0" w:line="240" w:lineRule="auto"/>
    </w:pPr>
    <w:rPr>
      <w:rFonts w:ascii="Arial" w:eastAsia="Times New Roman"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WWNum351">
    <w:name w:val="WWNum351"/>
    <w:basedOn w:val="Brezseznama"/>
    <w:rsid w:val="006154DD"/>
  </w:style>
  <w:style w:type="numbering" w:customStyle="1" w:styleId="WWNum311">
    <w:name w:val="WWNum311"/>
    <w:basedOn w:val="Brezseznama"/>
    <w:rsid w:val="006154DD"/>
  </w:style>
  <w:style w:type="numbering" w:customStyle="1" w:styleId="WWNum371">
    <w:name w:val="WWNum371"/>
    <w:basedOn w:val="Brezseznama"/>
    <w:rsid w:val="006154DD"/>
  </w:style>
  <w:style w:type="numbering" w:customStyle="1" w:styleId="WWNum71">
    <w:name w:val="WWNum71"/>
    <w:basedOn w:val="Brezseznama"/>
    <w:rsid w:val="006154DD"/>
  </w:style>
  <w:style w:type="numbering" w:customStyle="1" w:styleId="WWNum171">
    <w:name w:val="WWNum171"/>
    <w:basedOn w:val="Brezseznama"/>
    <w:rsid w:val="006154DD"/>
  </w:style>
  <w:style w:type="numbering" w:customStyle="1" w:styleId="WWNum181">
    <w:name w:val="WWNum181"/>
    <w:basedOn w:val="Brezseznama"/>
    <w:rsid w:val="006154DD"/>
  </w:style>
  <w:style w:type="table" w:customStyle="1" w:styleId="Tabelaseznam2poudarek1111">
    <w:name w:val="Tabela – seznam 2 (poudarek 1)111"/>
    <w:basedOn w:val="Navadnatabela"/>
    <w:uiPriority w:val="47"/>
    <w:rsid w:val="006154DD"/>
    <w:pPr>
      <w:spacing w:after="0" w:line="240" w:lineRule="auto"/>
    </w:pPr>
    <w:rPr>
      <w:rFonts w:ascii="Arial" w:eastAsia="Arial" w:hAnsi="Arial" w:cs="Times New Roman"/>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12">
    <w:name w:val="Light Shading - Accent 12"/>
    <w:basedOn w:val="Navadnatabela"/>
    <w:next w:val="Svetlosenenjepoudarek1"/>
    <w:uiPriority w:val="60"/>
    <w:rsid w:val="006154DD"/>
    <w:pPr>
      <w:spacing w:after="0" w:line="240" w:lineRule="auto"/>
    </w:pPr>
    <w:rPr>
      <w:rFonts w:ascii="Arial" w:eastAsia="Times New Roman"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Navadnatabela"/>
    <w:next w:val="Svetlosenenjepoudarek2"/>
    <w:uiPriority w:val="60"/>
    <w:rsid w:val="006154DD"/>
    <w:pPr>
      <w:spacing w:after="0" w:line="240" w:lineRule="auto"/>
    </w:pPr>
    <w:rPr>
      <w:rFonts w:ascii="Arial" w:eastAsia="Times New Roman" w:hAnsi="Arial"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
    <w:name w:val="Light Grid - Accent 11"/>
    <w:basedOn w:val="Navadnatabela"/>
    <w:next w:val="Svetlamreapoudarek1"/>
    <w:uiPriority w:val="62"/>
    <w:rsid w:val="006154DD"/>
    <w:pPr>
      <w:spacing w:after="0" w:line="240" w:lineRule="auto"/>
    </w:pPr>
    <w:rPr>
      <w:rFonts w:ascii="Arial" w:eastAsia="Arial" w:hAnsi="Arial"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w:eastAsia="Times New Roman"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Times New Roman"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Navadnatabela"/>
    <w:next w:val="Svetelseznampoudarek1"/>
    <w:uiPriority w:val="61"/>
    <w:rsid w:val="006154DD"/>
    <w:pPr>
      <w:spacing w:after="0" w:line="240" w:lineRule="auto"/>
    </w:pPr>
    <w:rPr>
      <w:rFonts w:ascii="Arial" w:eastAsia="Arial" w:hAnsi="Arial"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
    <w:name w:val="Colorful Grid - Accent 11"/>
    <w:basedOn w:val="Navadnatabela"/>
    <w:next w:val="Barvnamreapoudarek1"/>
    <w:uiPriority w:val="73"/>
    <w:rsid w:val="006154DD"/>
    <w:pPr>
      <w:spacing w:after="0" w:line="240" w:lineRule="auto"/>
    </w:pPr>
    <w:rPr>
      <w:rFonts w:ascii="Arial" w:eastAsia="Arial" w:hAnsi="Arial" w:cs="Times New Roman"/>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1-Accent11">
    <w:name w:val="Medium List 1 - Accent 11"/>
    <w:basedOn w:val="Navadnatabela"/>
    <w:next w:val="Srednjiseznam1poudarek1"/>
    <w:uiPriority w:val="65"/>
    <w:rsid w:val="006154DD"/>
    <w:pPr>
      <w:spacing w:after="0" w:line="240" w:lineRule="auto"/>
    </w:pPr>
    <w:rPr>
      <w:rFonts w:ascii="Arial" w:eastAsia="Arial" w:hAnsi="Arial" w:cs="Times New Roman"/>
      <w:color w:val="000000"/>
      <w:lang w:eastAsia="en-US"/>
    </w:rPr>
    <w:tblPr>
      <w:tblStyleRowBandSize w:val="1"/>
      <w:tblStyleColBandSize w:val="1"/>
      <w:tblBorders>
        <w:top w:val="single" w:sz="8" w:space="0" w:color="4F81BD"/>
        <w:bottom w:val="single" w:sz="8" w:space="0" w:color="4F81BD"/>
      </w:tblBorders>
    </w:tblPr>
    <w:tblStylePr w:type="firstRow">
      <w:rPr>
        <w:rFonts w:ascii="Arial" w:eastAsia="Times New Roman"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Accent21">
    <w:name w:val="Light List - Accent 21"/>
    <w:basedOn w:val="Navadnatabela"/>
    <w:next w:val="Svetelseznampoudarek2"/>
    <w:uiPriority w:val="61"/>
    <w:rsid w:val="006154DD"/>
    <w:pPr>
      <w:spacing w:after="0" w:line="240" w:lineRule="auto"/>
    </w:pPr>
    <w:rPr>
      <w:rFonts w:ascii="Arial" w:eastAsia="Arial" w:hAnsi="Arial" w:cs="Times New Roman"/>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Slog3">
    <w:name w:val="Slog3"/>
    <w:basedOn w:val="Navaden"/>
    <w:link w:val="Slog3Znak"/>
    <w:qFormat/>
    <w:rsid w:val="006154DD"/>
    <w:pPr>
      <w:tabs>
        <w:tab w:val="num" w:pos="1440"/>
      </w:tabs>
      <w:spacing w:after="300" w:line="288" w:lineRule="auto"/>
      <w:ind w:left="1440" w:hanging="720"/>
      <w:jc w:val="both"/>
    </w:pPr>
    <w:rPr>
      <w:rFonts w:ascii="FFScalaSans" w:hAnsi="FFScalaSans"/>
      <w:b/>
      <w:bCs/>
      <w:color w:val="808080"/>
      <w:spacing w:val="5"/>
      <w:kern w:val="28"/>
      <w:lang w:val="en-US" w:eastAsia="en-US"/>
    </w:rPr>
  </w:style>
  <w:style w:type="character" w:customStyle="1" w:styleId="Slog3Znak">
    <w:name w:val="Slog3 Znak"/>
    <w:link w:val="Slog3"/>
    <w:rsid w:val="006154DD"/>
    <w:rPr>
      <w:rFonts w:ascii="FFScalaSans" w:eastAsia="Times New Roman" w:hAnsi="FFScalaSans" w:cs="Times New Roman"/>
      <w:b/>
      <w:bCs/>
      <w:color w:val="808080"/>
      <w:spacing w:val="5"/>
      <w:kern w:val="28"/>
      <w:sz w:val="24"/>
      <w:szCs w:val="24"/>
      <w:lang w:val="en-US" w:eastAsia="en-US"/>
    </w:rPr>
  </w:style>
  <w:style w:type="table" w:customStyle="1" w:styleId="MediumShading1-Accent12">
    <w:name w:val="Medium Shading 1 - Accent 12"/>
    <w:basedOn w:val="Navadnatabela"/>
    <w:next w:val="Srednjesenenje1poudarek1"/>
    <w:uiPriority w:val="63"/>
    <w:rsid w:val="006154DD"/>
    <w:pPr>
      <w:spacing w:after="0" w:line="240" w:lineRule="auto"/>
    </w:pPr>
    <w:rPr>
      <w:rFonts w:ascii="Arial" w:eastAsia="Arial" w:hAnsi="Arial" w:cs="Times New Roman"/>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m7715964312177854160msolistparagraph">
    <w:name w:val="m_7715964312177854160msolistparagraph"/>
    <w:basedOn w:val="Navaden"/>
    <w:rsid w:val="006154DD"/>
    <w:pPr>
      <w:spacing w:before="100" w:beforeAutospacing="1" w:after="100" w:afterAutospacing="1"/>
    </w:pPr>
  </w:style>
  <w:style w:type="paragraph" w:customStyle="1" w:styleId="Slog9">
    <w:name w:val="Slog9"/>
    <w:basedOn w:val="Navaden"/>
    <w:rsid w:val="006154DD"/>
    <w:pPr>
      <w:keepNext/>
      <w:numPr>
        <w:ilvl w:val="3"/>
        <w:numId w:val="168"/>
      </w:numPr>
      <w:tabs>
        <w:tab w:val="left" w:pos="1134"/>
        <w:tab w:val="left" w:pos="1843"/>
        <w:tab w:val="decimal" w:pos="3686"/>
        <w:tab w:val="decimal" w:pos="5670"/>
      </w:tabs>
      <w:outlineLvl w:val="3"/>
    </w:pPr>
    <w:rPr>
      <w:rFonts w:ascii="Tahoma" w:hAnsi="Tahoma"/>
      <w:b/>
      <w:lang w:eastAsia="de-DE"/>
    </w:rPr>
  </w:style>
  <w:style w:type="paragraph" w:customStyle="1" w:styleId="xl65">
    <w:name w:val="xl65"/>
    <w:basedOn w:val="Navaden"/>
    <w:rsid w:val="006154DD"/>
    <w:pPr>
      <w:spacing w:before="100" w:beforeAutospacing="1" w:after="100" w:afterAutospacing="1"/>
    </w:pPr>
    <w:rPr>
      <w:rFonts w:ascii="Arial" w:hAnsi="Arial" w:cs="Arial"/>
      <w:sz w:val="20"/>
      <w:szCs w:val="20"/>
    </w:rPr>
  </w:style>
  <w:style w:type="paragraph" w:customStyle="1" w:styleId="xl66">
    <w:name w:val="xl66"/>
    <w:basedOn w:val="Navaden"/>
    <w:rsid w:val="006154DD"/>
    <w:pPr>
      <w:spacing w:before="100" w:beforeAutospacing="1" w:after="100" w:afterAutospacing="1"/>
    </w:pPr>
    <w:rPr>
      <w:rFonts w:ascii="Arial" w:hAnsi="Arial" w:cs="Arial"/>
      <w:sz w:val="20"/>
      <w:szCs w:val="20"/>
    </w:rPr>
  </w:style>
  <w:style w:type="paragraph" w:customStyle="1" w:styleId="xl67">
    <w:name w:val="xl67"/>
    <w:basedOn w:val="Navaden"/>
    <w:rsid w:val="006154DD"/>
    <w:pPr>
      <w:spacing w:before="100" w:beforeAutospacing="1" w:after="100" w:afterAutospacing="1"/>
    </w:pPr>
    <w:rPr>
      <w:rFonts w:ascii="Arial" w:hAnsi="Arial" w:cs="Arial"/>
      <w:b/>
      <w:bCs/>
      <w:sz w:val="20"/>
      <w:szCs w:val="20"/>
    </w:rPr>
  </w:style>
  <w:style w:type="paragraph" w:customStyle="1" w:styleId="xl68">
    <w:name w:val="xl68"/>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69">
    <w:name w:val="xl69"/>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0">
    <w:name w:val="xl70"/>
    <w:basedOn w:val="Navaden"/>
    <w:rsid w:val="006154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1">
    <w:name w:val="xl71"/>
    <w:basedOn w:val="Navaden"/>
    <w:rsid w:val="006154D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sz w:val="20"/>
      <w:szCs w:val="20"/>
    </w:rPr>
  </w:style>
  <w:style w:type="paragraph" w:customStyle="1" w:styleId="xl72">
    <w:name w:val="xl72"/>
    <w:basedOn w:val="Navaden"/>
    <w:rsid w:val="006154D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sz w:val="20"/>
      <w:szCs w:val="20"/>
    </w:rPr>
  </w:style>
  <w:style w:type="paragraph" w:customStyle="1" w:styleId="xl73">
    <w:name w:val="xl73"/>
    <w:basedOn w:val="Navaden"/>
    <w:rsid w:val="006154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b/>
      <w:bCs/>
      <w:sz w:val="20"/>
      <w:szCs w:val="20"/>
    </w:rPr>
  </w:style>
  <w:style w:type="paragraph" w:customStyle="1" w:styleId="xl74">
    <w:name w:val="xl74"/>
    <w:basedOn w:val="Navaden"/>
    <w:rsid w:val="006154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b/>
      <w:bCs/>
      <w:sz w:val="20"/>
      <w:szCs w:val="20"/>
    </w:rPr>
  </w:style>
  <w:style w:type="paragraph" w:customStyle="1" w:styleId="xl75">
    <w:name w:val="xl75"/>
    <w:basedOn w:val="Navaden"/>
    <w:rsid w:val="006154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b/>
      <w:bCs/>
      <w:sz w:val="20"/>
      <w:szCs w:val="20"/>
    </w:rPr>
  </w:style>
  <w:style w:type="paragraph" w:customStyle="1" w:styleId="pf0">
    <w:name w:val="pf0"/>
    <w:basedOn w:val="Navaden"/>
    <w:rsid w:val="006154DD"/>
    <w:pPr>
      <w:spacing w:before="100" w:beforeAutospacing="1" w:after="100" w:afterAutospacing="1"/>
      <w:ind w:left="360"/>
    </w:pPr>
  </w:style>
  <w:style w:type="character" w:customStyle="1" w:styleId="cf01">
    <w:name w:val="cf01"/>
    <w:basedOn w:val="Privzetapisavaodstavka"/>
    <w:rsid w:val="006154DD"/>
    <w:rPr>
      <w:rFonts w:ascii="Segoe UI" w:hAnsi="Segoe UI" w:cs="Segoe UI" w:hint="default"/>
      <w:color w:val="111111"/>
      <w:sz w:val="18"/>
      <w:szCs w:val="18"/>
    </w:rPr>
  </w:style>
  <w:style w:type="character" w:customStyle="1" w:styleId="relative">
    <w:name w:val="relative"/>
    <w:basedOn w:val="Privzetapisavaodstavka"/>
    <w:rsid w:val="006154DD"/>
  </w:style>
  <w:style w:type="character" w:customStyle="1" w:styleId="ms-1">
    <w:name w:val="ms-1"/>
    <w:basedOn w:val="Privzetapisavaodstavka"/>
    <w:rsid w:val="006154DD"/>
  </w:style>
  <w:style w:type="character" w:customStyle="1" w:styleId="max-w-full">
    <w:name w:val="max-w-full"/>
    <w:basedOn w:val="Privzetapisavaodstavka"/>
    <w:rsid w:val="006154DD"/>
  </w:style>
  <w:style w:type="table" w:styleId="Svetelseznampoudarek1">
    <w:name w:val="Light List Accent 1"/>
    <w:basedOn w:val="Navadnatabela"/>
    <w:uiPriority w:val="61"/>
    <w:unhideWhenUsed/>
    <w:rsid w:val="006154DD"/>
    <w:pPr>
      <w:spacing w:after="0" w:line="240" w:lineRule="auto"/>
    </w:pPr>
    <w:rPr>
      <w:rFonts w:ascii="Calibri" w:eastAsia="Calibri" w:hAnsi="Calibri" w:cs="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Barvnamreapoudarek1">
    <w:name w:val="Colorful Grid Accent 1"/>
    <w:basedOn w:val="Navadnatabela"/>
    <w:uiPriority w:val="73"/>
    <w:unhideWhenUsed/>
    <w:rsid w:val="006154DD"/>
    <w:pPr>
      <w:spacing w:after="0" w:line="240" w:lineRule="auto"/>
    </w:pPr>
    <w:rPr>
      <w:rFonts w:ascii="Calibri" w:eastAsia="Calibri" w:hAnsi="Calibri" w:cs="Calibr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iseznam1poudarek1">
    <w:name w:val="Medium List 1 Accent 1"/>
    <w:basedOn w:val="Navadnatabela"/>
    <w:uiPriority w:val="65"/>
    <w:unhideWhenUsed/>
    <w:rsid w:val="006154DD"/>
    <w:pPr>
      <w:spacing w:after="0" w:line="240" w:lineRule="auto"/>
    </w:pPr>
    <w:rPr>
      <w:rFonts w:ascii="Calibri" w:eastAsia="Calibri" w:hAnsi="Calibri" w:cs="Calibr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vetelseznampoudarek2">
    <w:name w:val="Light List Accent 2"/>
    <w:basedOn w:val="Navadnatabela"/>
    <w:uiPriority w:val="61"/>
    <w:unhideWhenUsed/>
    <w:rsid w:val="006154DD"/>
    <w:pPr>
      <w:spacing w:after="0" w:line="240" w:lineRule="auto"/>
    </w:pPr>
    <w:rPr>
      <w:rFonts w:ascii="Calibri" w:eastAsia="Calibri" w:hAnsi="Calibri" w:cs="Calibr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196">
      <w:bodyDiv w:val="1"/>
      <w:marLeft w:val="0"/>
      <w:marRight w:val="0"/>
      <w:marTop w:val="0"/>
      <w:marBottom w:val="0"/>
      <w:divBdr>
        <w:top w:val="none" w:sz="0" w:space="0" w:color="auto"/>
        <w:left w:val="none" w:sz="0" w:space="0" w:color="auto"/>
        <w:bottom w:val="none" w:sz="0" w:space="0" w:color="auto"/>
        <w:right w:val="none" w:sz="0" w:space="0" w:color="auto"/>
      </w:divBdr>
    </w:div>
    <w:div w:id="4132026">
      <w:bodyDiv w:val="1"/>
      <w:marLeft w:val="0"/>
      <w:marRight w:val="0"/>
      <w:marTop w:val="0"/>
      <w:marBottom w:val="0"/>
      <w:divBdr>
        <w:top w:val="none" w:sz="0" w:space="0" w:color="auto"/>
        <w:left w:val="none" w:sz="0" w:space="0" w:color="auto"/>
        <w:bottom w:val="none" w:sz="0" w:space="0" w:color="auto"/>
        <w:right w:val="none" w:sz="0" w:space="0" w:color="auto"/>
      </w:divBdr>
    </w:div>
    <w:div w:id="34934236">
      <w:bodyDiv w:val="1"/>
      <w:marLeft w:val="0"/>
      <w:marRight w:val="0"/>
      <w:marTop w:val="0"/>
      <w:marBottom w:val="0"/>
      <w:divBdr>
        <w:top w:val="none" w:sz="0" w:space="0" w:color="auto"/>
        <w:left w:val="none" w:sz="0" w:space="0" w:color="auto"/>
        <w:bottom w:val="none" w:sz="0" w:space="0" w:color="auto"/>
        <w:right w:val="none" w:sz="0" w:space="0" w:color="auto"/>
      </w:divBdr>
    </w:div>
    <w:div w:id="41636888">
      <w:bodyDiv w:val="1"/>
      <w:marLeft w:val="0"/>
      <w:marRight w:val="0"/>
      <w:marTop w:val="0"/>
      <w:marBottom w:val="0"/>
      <w:divBdr>
        <w:top w:val="none" w:sz="0" w:space="0" w:color="auto"/>
        <w:left w:val="none" w:sz="0" w:space="0" w:color="auto"/>
        <w:bottom w:val="none" w:sz="0" w:space="0" w:color="auto"/>
        <w:right w:val="none" w:sz="0" w:space="0" w:color="auto"/>
      </w:divBdr>
    </w:div>
    <w:div w:id="45034484">
      <w:bodyDiv w:val="1"/>
      <w:marLeft w:val="0"/>
      <w:marRight w:val="0"/>
      <w:marTop w:val="0"/>
      <w:marBottom w:val="0"/>
      <w:divBdr>
        <w:top w:val="none" w:sz="0" w:space="0" w:color="auto"/>
        <w:left w:val="none" w:sz="0" w:space="0" w:color="auto"/>
        <w:bottom w:val="none" w:sz="0" w:space="0" w:color="auto"/>
        <w:right w:val="none" w:sz="0" w:space="0" w:color="auto"/>
      </w:divBdr>
    </w:div>
    <w:div w:id="47388393">
      <w:bodyDiv w:val="1"/>
      <w:marLeft w:val="0"/>
      <w:marRight w:val="0"/>
      <w:marTop w:val="0"/>
      <w:marBottom w:val="0"/>
      <w:divBdr>
        <w:top w:val="none" w:sz="0" w:space="0" w:color="auto"/>
        <w:left w:val="none" w:sz="0" w:space="0" w:color="auto"/>
        <w:bottom w:val="none" w:sz="0" w:space="0" w:color="auto"/>
        <w:right w:val="none" w:sz="0" w:space="0" w:color="auto"/>
      </w:divBdr>
    </w:div>
    <w:div w:id="55975131">
      <w:bodyDiv w:val="1"/>
      <w:marLeft w:val="0"/>
      <w:marRight w:val="0"/>
      <w:marTop w:val="0"/>
      <w:marBottom w:val="0"/>
      <w:divBdr>
        <w:top w:val="none" w:sz="0" w:space="0" w:color="auto"/>
        <w:left w:val="none" w:sz="0" w:space="0" w:color="auto"/>
        <w:bottom w:val="none" w:sz="0" w:space="0" w:color="auto"/>
        <w:right w:val="none" w:sz="0" w:space="0" w:color="auto"/>
      </w:divBdr>
    </w:div>
    <w:div w:id="71053630">
      <w:bodyDiv w:val="1"/>
      <w:marLeft w:val="0"/>
      <w:marRight w:val="0"/>
      <w:marTop w:val="0"/>
      <w:marBottom w:val="0"/>
      <w:divBdr>
        <w:top w:val="none" w:sz="0" w:space="0" w:color="auto"/>
        <w:left w:val="none" w:sz="0" w:space="0" w:color="auto"/>
        <w:bottom w:val="none" w:sz="0" w:space="0" w:color="auto"/>
        <w:right w:val="none" w:sz="0" w:space="0" w:color="auto"/>
      </w:divBdr>
    </w:div>
    <w:div w:id="72164184">
      <w:bodyDiv w:val="1"/>
      <w:marLeft w:val="0"/>
      <w:marRight w:val="0"/>
      <w:marTop w:val="0"/>
      <w:marBottom w:val="0"/>
      <w:divBdr>
        <w:top w:val="none" w:sz="0" w:space="0" w:color="auto"/>
        <w:left w:val="none" w:sz="0" w:space="0" w:color="auto"/>
        <w:bottom w:val="none" w:sz="0" w:space="0" w:color="auto"/>
        <w:right w:val="none" w:sz="0" w:space="0" w:color="auto"/>
      </w:divBdr>
    </w:div>
    <w:div w:id="80104517">
      <w:bodyDiv w:val="1"/>
      <w:marLeft w:val="0"/>
      <w:marRight w:val="0"/>
      <w:marTop w:val="0"/>
      <w:marBottom w:val="0"/>
      <w:divBdr>
        <w:top w:val="none" w:sz="0" w:space="0" w:color="auto"/>
        <w:left w:val="none" w:sz="0" w:space="0" w:color="auto"/>
        <w:bottom w:val="none" w:sz="0" w:space="0" w:color="auto"/>
        <w:right w:val="none" w:sz="0" w:space="0" w:color="auto"/>
      </w:divBdr>
    </w:div>
    <w:div w:id="90398951">
      <w:bodyDiv w:val="1"/>
      <w:marLeft w:val="0"/>
      <w:marRight w:val="0"/>
      <w:marTop w:val="0"/>
      <w:marBottom w:val="0"/>
      <w:divBdr>
        <w:top w:val="none" w:sz="0" w:space="0" w:color="auto"/>
        <w:left w:val="none" w:sz="0" w:space="0" w:color="auto"/>
        <w:bottom w:val="none" w:sz="0" w:space="0" w:color="auto"/>
        <w:right w:val="none" w:sz="0" w:space="0" w:color="auto"/>
      </w:divBdr>
    </w:div>
    <w:div w:id="116990316">
      <w:bodyDiv w:val="1"/>
      <w:marLeft w:val="0"/>
      <w:marRight w:val="0"/>
      <w:marTop w:val="0"/>
      <w:marBottom w:val="0"/>
      <w:divBdr>
        <w:top w:val="none" w:sz="0" w:space="0" w:color="auto"/>
        <w:left w:val="none" w:sz="0" w:space="0" w:color="auto"/>
        <w:bottom w:val="none" w:sz="0" w:space="0" w:color="auto"/>
        <w:right w:val="none" w:sz="0" w:space="0" w:color="auto"/>
      </w:divBdr>
    </w:div>
    <w:div w:id="120543599">
      <w:bodyDiv w:val="1"/>
      <w:marLeft w:val="0"/>
      <w:marRight w:val="0"/>
      <w:marTop w:val="0"/>
      <w:marBottom w:val="0"/>
      <w:divBdr>
        <w:top w:val="none" w:sz="0" w:space="0" w:color="auto"/>
        <w:left w:val="none" w:sz="0" w:space="0" w:color="auto"/>
        <w:bottom w:val="none" w:sz="0" w:space="0" w:color="auto"/>
        <w:right w:val="none" w:sz="0" w:space="0" w:color="auto"/>
      </w:divBdr>
    </w:div>
    <w:div w:id="121387921">
      <w:bodyDiv w:val="1"/>
      <w:marLeft w:val="0"/>
      <w:marRight w:val="0"/>
      <w:marTop w:val="0"/>
      <w:marBottom w:val="0"/>
      <w:divBdr>
        <w:top w:val="none" w:sz="0" w:space="0" w:color="auto"/>
        <w:left w:val="none" w:sz="0" w:space="0" w:color="auto"/>
        <w:bottom w:val="none" w:sz="0" w:space="0" w:color="auto"/>
        <w:right w:val="none" w:sz="0" w:space="0" w:color="auto"/>
      </w:divBdr>
    </w:div>
    <w:div w:id="137115331">
      <w:bodyDiv w:val="1"/>
      <w:marLeft w:val="0"/>
      <w:marRight w:val="0"/>
      <w:marTop w:val="0"/>
      <w:marBottom w:val="0"/>
      <w:divBdr>
        <w:top w:val="none" w:sz="0" w:space="0" w:color="auto"/>
        <w:left w:val="none" w:sz="0" w:space="0" w:color="auto"/>
        <w:bottom w:val="none" w:sz="0" w:space="0" w:color="auto"/>
        <w:right w:val="none" w:sz="0" w:space="0" w:color="auto"/>
      </w:divBdr>
    </w:div>
    <w:div w:id="144245523">
      <w:bodyDiv w:val="1"/>
      <w:marLeft w:val="0"/>
      <w:marRight w:val="0"/>
      <w:marTop w:val="0"/>
      <w:marBottom w:val="0"/>
      <w:divBdr>
        <w:top w:val="none" w:sz="0" w:space="0" w:color="auto"/>
        <w:left w:val="none" w:sz="0" w:space="0" w:color="auto"/>
        <w:bottom w:val="none" w:sz="0" w:space="0" w:color="auto"/>
        <w:right w:val="none" w:sz="0" w:space="0" w:color="auto"/>
      </w:divBdr>
    </w:div>
    <w:div w:id="151337422">
      <w:bodyDiv w:val="1"/>
      <w:marLeft w:val="0"/>
      <w:marRight w:val="0"/>
      <w:marTop w:val="0"/>
      <w:marBottom w:val="0"/>
      <w:divBdr>
        <w:top w:val="none" w:sz="0" w:space="0" w:color="auto"/>
        <w:left w:val="none" w:sz="0" w:space="0" w:color="auto"/>
        <w:bottom w:val="none" w:sz="0" w:space="0" w:color="auto"/>
        <w:right w:val="none" w:sz="0" w:space="0" w:color="auto"/>
      </w:divBdr>
    </w:div>
    <w:div w:id="156532080">
      <w:bodyDiv w:val="1"/>
      <w:marLeft w:val="0"/>
      <w:marRight w:val="0"/>
      <w:marTop w:val="0"/>
      <w:marBottom w:val="0"/>
      <w:divBdr>
        <w:top w:val="none" w:sz="0" w:space="0" w:color="auto"/>
        <w:left w:val="none" w:sz="0" w:space="0" w:color="auto"/>
        <w:bottom w:val="none" w:sz="0" w:space="0" w:color="auto"/>
        <w:right w:val="none" w:sz="0" w:space="0" w:color="auto"/>
      </w:divBdr>
    </w:div>
    <w:div w:id="157038136">
      <w:bodyDiv w:val="1"/>
      <w:marLeft w:val="0"/>
      <w:marRight w:val="0"/>
      <w:marTop w:val="0"/>
      <w:marBottom w:val="0"/>
      <w:divBdr>
        <w:top w:val="none" w:sz="0" w:space="0" w:color="auto"/>
        <w:left w:val="none" w:sz="0" w:space="0" w:color="auto"/>
        <w:bottom w:val="none" w:sz="0" w:space="0" w:color="auto"/>
        <w:right w:val="none" w:sz="0" w:space="0" w:color="auto"/>
      </w:divBdr>
    </w:div>
    <w:div w:id="160387462">
      <w:bodyDiv w:val="1"/>
      <w:marLeft w:val="0"/>
      <w:marRight w:val="0"/>
      <w:marTop w:val="0"/>
      <w:marBottom w:val="0"/>
      <w:divBdr>
        <w:top w:val="none" w:sz="0" w:space="0" w:color="auto"/>
        <w:left w:val="none" w:sz="0" w:space="0" w:color="auto"/>
        <w:bottom w:val="none" w:sz="0" w:space="0" w:color="auto"/>
        <w:right w:val="none" w:sz="0" w:space="0" w:color="auto"/>
      </w:divBdr>
    </w:div>
    <w:div w:id="160778909">
      <w:bodyDiv w:val="1"/>
      <w:marLeft w:val="0"/>
      <w:marRight w:val="0"/>
      <w:marTop w:val="0"/>
      <w:marBottom w:val="0"/>
      <w:divBdr>
        <w:top w:val="none" w:sz="0" w:space="0" w:color="auto"/>
        <w:left w:val="none" w:sz="0" w:space="0" w:color="auto"/>
        <w:bottom w:val="none" w:sz="0" w:space="0" w:color="auto"/>
        <w:right w:val="none" w:sz="0" w:space="0" w:color="auto"/>
      </w:divBdr>
    </w:div>
    <w:div w:id="187835395">
      <w:bodyDiv w:val="1"/>
      <w:marLeft w:val="0"/>
      <w:marRight w:val="0"/>
      <w:marTop w:val="0"/>
      <w:marBottom w:val="0"/>
      <w:divBdr>
        <w:top w:val="none" w:sz="0" w:space="0" w:color="auto"/>
        <w:left w:val="none" w:sz="0" w:space="0" w:color="auto"/>
        <w:bottom w:val="none" w:sz="0" w:space="0" w:color="auto"/>
        <w:right w:val="none" w:sz="0" w:space="0" w:color="auto"/>
      </w:divBdr>
    </w:div>
    <w:div w:id="196158535">
      <w:bodyDiv w:val="1"/>
      <w:marLeft w:val="0"/>
      <w:marRight w:val="0"/>
      <w:marTop w:val="0"/>
      <w:marBottom w:val="0"/>
      <w:divBdr>
        <w:top w:val="none" w:sz="0" w:space="0" w:color="auto"/>
        <w:left w:val="none" w:sz="0" w:space="0" w:color="auto"/>
        <w:bottom w:val="none" w:sz="0" w:space="0" w:color="auto"/>
        <w:right w:val="none" w:sz="0" w:space="0" w:color="auto"/>
      </w:divBdr>
    </w:div>
    <w:div w:id="216094326">
      <w:bodyDiv w:val="1"/>
      <w:marLeft w:val="0"/>
      <w:marRight w:val="0"/>
      <w:marTop w:val="0"/>
      <w:marBottom w:val="0"/>
      <w:divBdr>
        <w:top w:val="none" w:sz="0" w:space="0" w:color="auto"/>
        <w:left w:val="none" w:sz="0" w:space="0" w:color="auto"/>
        <w:bottom w:val="none" w:sz="0" w:space="0" w:color="auto"/>
        <w:right w:val="none" w:sz="0" w:space="0" w:color="auto"/>
      </w:divBdr>
    </w:div>
    <w:div w:id="230238092">
      <w:bodyDiv w:val="1"/>
      <w:marLeft w:val="0"/>
      <w:marRight w:val="0"/>
      <w:marTop w:val="0"/>
      <w:marBottom w:val="0"/>
      <w:divBdr>
        <w:top w:val="none" w:sz="0" w:space="0" w:color="auto"/>
        <w:left w:val="none" w:sz="0" w:space="0" w:color="auto"/>
        <w:bottom w:val="none" w:sz="0" w:space="0" w:color="auto"/>
        <w:right w:val="none" w:sz="0" w:space="0" w:color="auto"/>
      </w:divBdr>
    </w:div>
    <w:div w:id="234751606">
      <w:bodyDiv w:val="1"/>
      <w:marLeft w:val="0"/>
      <w:marRight w:val="0"/>
      <w:marTop w:val="0"/>
      <w:marBottom w:val="0"/>
      <w:divBdr>
        <w:top w:val="none" w:sz="0" w:space="0" w:color="auto"/>
        <w:left w:val="none" w:sz="0" w:space="0" w:color="auto"/>
        <w:bottom w:val="none" w:sz="0" w:space="0" w:color="auto"/>
        <w:right w:val="none" w:sz="0" w:space="0" w:color="auto"/>
      </w:divBdr>
      <w:divsChild>
        <w:div w:id="95293938">
          <w:marLeft w:val="-225"/>
          <w:marRight w:val="-225"/>
          <w:marTop w:val="0"/>
          <w:marBottom w:val="120"/>
          <w:divBdr>
            <w:top w:val="none" w:sz="0" w:space="0" w:color="auto"/>
            <w:left w:val="none" w:sz="0" w:space="0" w:color="auto"/>
            <w:bottom w:val="none" w:sz="0" w:space="0" w:color="auto"/>
            <w:right w:val="none" w:sz="0" w:space="0" w:color="auto"/>
          </w:divBdr>
          <w:divsChild>
            <w:div w:id="331103476">
              <w:marLeft w:val="0"/>
              <w:marRight w:val="0"/>
              <w:marTop w:val="0"/>
              <w:marBottom w:val="0"/>
              <w:divBdr>
                <w:top w:val="none" w:sz="0" w:space="0" w:color="auto"/>
                <w:left w:val="none" w:sz="0" w:space="0" w:color="auto"/>
                <w:bottom w:val="none" w:sz="0" w:space="0" w:color="auto"/>
                <w:right w:val="none" w:sz="0" w:space="0" w:color="auto"/>
              </w:divBdr>
              <w:divsChild>
                <w:div w:id="1090662158">
                  <w:marLeft w:val="0"/>
                  <w:marRight w:val="0"/>
                  <w:marTop w:val="0"/>
                  <w:marBottom w:val="0"/>
                  <w:divBdr>
                    <w:top w:val="none" w:sz="0" w:space="0" w:color="auto"/>
                    <w:left w:val="none" w:sz="0" w:space="0" w:color="auto"/>
                    <w:bottom w:val="none" w:sz="0" w:space="0" w:color="auto"/>
                    <w:right w:val="none" w:sz="0" w:space="0" w:color="auto"/>
                  </w:divBdr>
                </w:div>
                <w:div w:id="11265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582">
          <w:marLeft w:val="-225"/>
          <w:marRight w:val="-225"/>
          <w:marTop w:val="0"/>
          <w:marBottom w:val="120"/>
          <w:divBdr>
            <w:top w:val="none" w:sz="0" w:space="0" w:color="auto"/>
            <w:left w:val="none" w:sz="0" w:space="0" w:color="auto"/>
            <w:bottom w:val="none" w:sz="0" w:space="0" w:color="auto"/>
            <w:right w:val="none" w:sz="0" w:space="0" w:color="auto"/>
          </w:divBdr>
          <w:divsChild>
            <w:div w:id="897126261">
              <w:marLeft w:val="0"/>
              <w:marRight w:val="0"/>
              <w:marTop w:val="0"/>
              <w:marBottom w:val="0"/>
              <w:divBdr>
                <w:top w:val="none" w:sz="0" w:space="0" w:color="auto"/>
                <w:left w:val="none" w:sz="0" w:space="0" w:color="auto"/>
                <w:bottom w:val="none" w:sz="0" w:space="0" w:color="auto"/>
                <w:right w:val="none" w:sz="0" w:space="0" w:color="auto"/>
              </w:divBdr>
              <w:divsChild>
                <w:div w:id="1146775018">
                  <w:marLeft w:val="0"/>
                  <w:marRight w:val="0"/>
                  <w:marTop w:val="0"/>
                  <w:marBottom w:val="0"/>
                  <w:divBdr>
                    <w:top w:val="none" w:sz="0" w:space="0" w:color="auto"/>
                    <w:left w:val="none" w:sz="0" w:space="0" w:color="auto"/>
                    <w:bottom w:val="none" w:sz="0" w:space="0" w:color="auto"/>
                    <w:right w:val="none" w:sz="0" w:space="0" w:color="auto"/>
                  </w:divBdr>
                </w:div>
                <w:div w:id="18676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263">
          <w:marLeft w:val="-225"/>
          <w:marRight w:val="-225"/>
          <w:marTop w:val="0"/>
          <w:marBottom w:val="120"/>
          <w:divBdr>
            <w:top w:val="none" w:sz="0" w:space="0" w:color="auto"/>
            <w:left w:val="none" w:sz="0" w:space="0" w:color="auto"/>
            <w:bottom w:val="none" w:sz="0" w:space="0" w:color="auto"/>
            <w:right w:val="none" w:sz="0" w:space="0" w:color="auto"/>
          </w:divBdr>
          <w:divsChild>
            <w:div w:id="1366368642">
              <w:marLeft w:val="0"/>
              <w:marRight w:val="0"/>
              <w:marTop w:val="0"/>
              <w:marBottom w:val="0"/>
              <w:divBdr>
                <w:top w:val="none" w:sz="0" w:space="0" w:color="auto"/>
                <w:left w:val="none" w:sz="0" w:space="0" w:color="auto"/>
                <w:bottom w:val="none" w:sz="0" w:space="0" w:color="auto"/>
                <w:right w:val="none" w:sz="0" w:space="0" w:color="auto"/>
              </w:divBdr>
              <w:divsChild>
                <w:div w:id="100271064">
                  <w:marLeft w:val="0"/>
                  <w:marRight w:val="0"/>
                  <w:marTop w:val="0"/>
                  <w:marBottom w:val="0"/>
                  <w:divBdr>
                    <w:top w:val="none" w:sz="0" w:space="0" w:color="auto"/>
                    <w:left w:val="none" w:sz="0" w:space="0" w:color="auto"/>
                    <w:bottom w:val="none" w:sz="0" w:space="0" w:color="auto"/>
                    <w:right w:val="none" w:sz="0" w:space="0" w:color="auto"/>
                  </w:divBdr>
                </w:div>
                <w:div w:id="19414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7206">
          <w:marLeft w:val="-225"/>
          <w:marRight w:val="-225"/>
          <w:marTop w:val="0"/>
          <w:marBottom w:val="120"/>
          <w:divBdr>
            <w:top w:val="none" w:sz="0" w:space="0" w:color="auto"/>
            <w:left w:val="none" w:sz="0" w:space="0" w:color="auto"/>
            <w:bottom w:val="none" w:sz="0" w:space="0" w:color="auto"/>
            <w:right w:val="none" w:sz="0" w:space="0" w:color="auto"/>
          </w:divBdr>
          <w:divsChild>
            <w:div w:id="179710896">
              <w:marLeft w:val="0"/>
              <w:marRight w:val="0"/>
              <w:marTop w:val="0"/>
              <w:marBottom w:val="0"/>
              <w:divBdr>
                <w:top w:val="none" w:sz="0" w:space="0" w:color="auto"/>
                <w:left w:val="none" w:sz="0" w:space="0" w:color="auto"/>
                <w:bottom w:val="none" w:sz="0" w:space="0" w:color="auto"/>
                <w:right w:val="none" w:sz="0" w:space="0" w:color="auto"/>
              </w:divBdr>
              <w:divsChild>
                <w:div w:id="2086418299">
                  <w:marLeft w:val="0"/>
                  <w:marRight w:val="0"/>
                  <w:marTop w:val="0"/>
                  <w:marBottom w:val="0"/>
                  <w:divBdr>
                    <w:top w:val="none" w:sz="0" w:space="0" w:color="auto"/>
                    <w:left w:val="none" w:sz="0" w:space="0" w:color="auto"/>
                    <w:bottom w:val="none" w:sz="0" w:space="0" w:color="auto"/>
                    <w:right w:val="none" w:sz="0" w:space="0" w:color="auto"/>
                  </w:divBdr>
                </w:div>
                <w:div w:id="20894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48515">
          <w:marLeft w:val="-225"/>
          <w:marRight w:val="-225"/>
          <w:marTop w:val="0"/>
          <w:marBottom w:val="120"/>
          <w:divBdr>
            <w:top w:val="none" w:sz="0" w:space="0" w:color="auto"/>
            <w:left w:val="none" w:sz="0" w:space="0" w:color="auto"/>
            <w:bottom w:val="none" w:sz="0" w:space="0" w:color="auto"/>
            <w:right w:val="none" w:sz="0" w:space="0" w:color="auto"/>
          </w:divBdr>
          <w:divsChild>
            <w:div w:id="1441219072">
              <w:marLeft w:val="0"/>
              <w:marRight w:val="0"/>
              <w:marTop w:val="0"/>
              <w:marBottom w:val="0"/>
              <w:divBdr>
                <w:top w:val="none" w:sz="0" w:space="0" w:color="auto"/>
                <w:left w:val="none" w:sz="0" w:space="0" w:color="auto"/>
                <w:bottom w:val="none" w:sz="0" w:space="0" w:color="auto"/>
                <w:right w:val="none" w:sz="0" w:space="0" w:color="auto"/>
              </w:divBdr>
              <w:divsChild>
                <w:div w:id="124549104">
                  <w:marLeft w:val="0"/>
                  <w:marRight w:val="0"/>
                  <w:marTop w:val="0"/>
                  <w:marBottom w:val="0"/>
                  <w:divBdr>
                    <w:top w:val="none" w:sz="0" w:space="0" w:color="auto"/>
                    <w:left w:val="none" w:sz="0" w:space="0" w:color="auto"/>
                    <w:bottom w:val="none" w:sz="0" w:space="0" w:color="auto"/>
                    <w:right w:val="none" w:sz="0" w:space="0" w:color="auto"/>
                  </w:divBdr>
                </w:div>
                <w:div w:id="18225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8165">
          <w:marLeft w:val="-225"/>
          <w:marRight w:val="-225"/>
          <w:marTop w:val="0"/>
          <w:marBottom w:val="120"/>
          <w:divBdr>
            <w:top w:val="none" w:sz="0" w:space="0" w:color="auto"/>
            <w:left w:val="none" w:sz="0" w:space="0" w:color="auto"/>
            <w:bottom w:val="none" w:sz="0" w:space="0" w:color="auto"/>
            <w:right w:val="none" w:sz="0" w:space="0" w:color="auto"/>
          </w:divBdr>
          <w:divsChild>
            <w:div w:id="2067606194">
              <w:marLeft w:val="0"/>
              <w:marRight w:val="0"/>
              <w:marTop w:val="0"/>
              <w:marBottom w:val="0"/>
              <w:divBdr>
                <w:top w:val="none" w:sz="0" w:space="0" w:color="auto"/>
                <w:left w:val="none" w:sz="0" w:space="0" w:color="auto"/>
                <w:bottom w:val="none" w:sz="0" w:space="0" w:color="auto"/>
                <w:right w:val="none" w:sz="0" w:space="0" w:color="auto"/>
              </w:divBdr>
              <w:divsChild>
                <w:div w:id="959072454">
                  <w:marLeft w:val="0"/>
                  <w:marRight w:val="0"/>
                  <w:marTop w:val="0"/>
                  <w:marBottom w:val="0"/>
                  <w:divBdr>
                    <w:top w:val="none" w:sz="0" w:space="0" w:color="auto"/>
                    <w:left w:val="none" w:sz="0" w:space="0" w:color="auto"/>
                    <w:bottom w:val="none" w:sz="0" w:space="0" w:color="auto"/>
                    <w:right w:val="none" w:sz="0" w:space="0" w:color="auto"/>
                  </w:divBdr>
                </w:div>
                <w:div w:id="12533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0333">
          <w:marLeft w:val="-225"/>
          <w:marRight w:val="-225"/>
          <w:marTop w:val="0"/>
          <w:marBottom w:val="120"/>
          <w:divBdr>
            <w:top w:val="none" w:sz="0" w:space="0" w:color="auto"/>
            <w:left w:val="none" w:sz="0" w:space="0" w:color="auto"/>
            <w:bottom w:val="none" w:sz="0" w:space="0" w:color="auto"/>
            <w:right w:val="none" w:sz="0" w:space="0" w:color="auto"/>
          </w:divBdr>
          <w:divsChild>
            <w:div w:id="1667438731">
              <w:marLeft w:val="0"/>
              <w:marRight w:val="0"/>
              <w:marTop w:val="0"/>
              <w:marBottom w:val="0"/>
              <w:divBdr>
                <w:top w:val="none" w:sz="0" w:space="0" w:color="auto"/>
                <w:left w:val="none" w:sz="0" w:space="0" w:color="auto"/>
                <w:bottom w:val="none" w:sz="0" w:space="0" w:color="auto"/>
                <w:right w:val="none" w:sz="0" w:space="0" w:color="auto"/>
              </w:divBdr>
              <w:divsChild>
                <w:div w:id="1101411317">
                  <w:marLeft w:val="0"/>
                  <w:marRight w:val="0"/>
                  <w:marTop w:val="0"/>
                  <w:marBottom w:val="0"/>
                  <w:divBdr>
                    <w:top w:val="none" w:sz="0" w:space="0" w:color="auto"/>
                    <w:left w:val="none" w:sz="0" w:space="0" w:color="auto"/>
                    <w:bottom w:val="none" w:sz="0" w:space="0" w:color="auto"/>
                    <w:right w:val="none" w:sz="0" w:space="0" w:color="auto"/>
                  </w:divBdr>
                </w:div>
                <w:div w:id="12710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5345">
          <w:marLeft w:val="-225"/>
          <w:marRight w:val="-225"/>
          <w:marTop w:val="0"/>
          <w:marBottom w:val="120"/>
          <w:divBdr>
            <w:top w:val="none" w:sz="0" w:space="0" w:color="auto"/>
            <w:left w:val="none" w:sz="0" w:space="0" w:color="auto"/>
            <w:bottom w:val="none" w:sz="0" w:space="0" w:color="auto"/>
            <w:right w:val="none" w:sz="0" w:space="0" w:color="auto"/>
          </w:divBdr>
          <w:divsChild>
            <w:div w:id="1698702366">
              <w:marLeft w:val="0"/>
              <w:marRight w:val="0"/>
              <w:marTop w:val="0"/>
              <w:marBottom w:val="0"/>
              <w:divBdr>
                <w:top w:val="none" w:sz="0" w:space="0" w:color="auto"/>
                <w:left w:val="none" w:sz="0" w:space="0" w:color="auto"/>
                <w:bottom w:val="none" w:sz="0" w:space="0" w:color="auto"/>
                <w:right w:val="none" w:sz="0" w:space="0" w:color="auto"/>
              </w:divBdr>
              <w:divsChild>
                <w:div w:id="663170881">
                  <w:marLeft w:val="0"/>
                  <w:marRight w:val="0"/>
                  <w:marTop w:val="0"/>
                  <w:marBottom w:val="0"/>
                  <w:divBdr>
                    <w:top w:val="none" w:sz="0" w:space="0" w:color="auto"/>
                    <w:left w:val="none" w:sz="0" w:space="0" w:color="auto"/>
                    <w:bottom w:val="none" w:sz="0" w:space="0" w:color="auto"/>
                    <w:right w:val="none" w:sz="0" w:space="0" w:color="auto"/>
                  </w:divBdr>
                </w:div>
                <w:div w:id="20210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2743">
          <w:marLeft w:val="-225"/>
          <w:marRight w:val="-225"/>
          <w:marTop w:val="0"/>
          <w:marBottom w:val="120"/>
          <w:divBdr>
            <w:top w:val="none" w:sz="0" w:space="0" w:color="auto"/>
            <w:left w:val="none" w:sz="0" w:space="0" w:color="auto"/>
            <w:bottom w:val="none" w:sz="0" w:space="0" w:color="auto"/>
            <w:right w:val="none" w:sz="0" w:space="0" w:color="auto"/>
          </w:divBdr>
          <w:divsChild>
            <w:div w:id="355158416">
              <w:marLeft w:val="0"/>
              <w:marRight w:val="0"/>
              <w:marTop w:val="0"/>
              <w:marBottom w:val="0"/>
              <w:divBdr>
                <w:top w:val="none" w:sz="0" w:space="0" w:color="auto"/>
                <w:left w:val="none" w:sz="0" w:space="0" w:color="auto"/>
                <w:bottom w:val="none" w:sz="0" w:space="0" w:color="auto"/>
                <w:right w:val="none" w:sz="0" w:space="0" w:color="auto"/>
              </w:divBdr>
              <w:divsChild>
                <w:div w:id="1072653119">
                  <w:marLeft w:val="0"/>
                  <w:marRight w:val="0"/>
                  <w:marTop w:val="0"/>
                  <w:marBottom w:val="0"/>
                  <w:divBdr>
                    <w:top w:val="none" w:sz="0" w:space="0" w:color="auto"/>
                    <w:left w:val="none" w:sz="0" w:space="0" w:color="auto"/>
                    <w:bottom w:val="none" w:sz="0" w:space="0" w:color="auto"/>
                    <w:right w:val="none" w:sz="0" w:space="0" w:color="auto"/>
                  </w:divBdr>
                </w:div>
                <w:div w:id="189152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5623">
          <w:marLeft w:val="-225"/>
          <w:marRight w:val="-225"/>
          <w:marTop w:val="0"/>
          <w:marBottom w:val="120"/>
          <w:divBdr>
            <w:top w:val="none" w:sz="0" w:space="0" w:color="auto"/>
            <w:left w:val="none" w:sz="0" w:space="0" w:color="auto"/>
            <w:bottom w:val="none" w:sz="0" w:space="0" w:color="auto"/>
            <w:right w:val="none" w:sz="0" w:space="0" w:color="auto"/>
          </w:divBdr>
          <w:divsChild>
            <w:div w:id="1070151064">
              <w:marLeft w:val="0"/>
              <w:marRight w:val="0"/>
              <w:marTop w:val="0"/>
              <w:marBottom w:val="0"/>
              <w:divBdr>
                <w:top w:val="none" w:sz="0" w:space="0" w:color="auto"/>
                <w:left w:val="none" w:sz="0" w:space="0" w:color="auto"/>
                <w:bottom w:val="none" w:sz="0" w:space="0" w:color="auto"/>
                <w:right w:val="none" w:sz="0" w:space="0" w:color="auto"/>
              </w:divBdr>
              <w:divsChild>
                <w:div w:id="557057756">
                  <w:marLeft w:val="0"/>
                  <w:marRight w:val="0"/>
                  <w:marTop w:val="0"/>
                  <w:marBottom w:val="0"/>
                  <w:divBdr>
                    <w:top w:val="none" w:sz="0" w:space="0" w:color="auto"/>
                    <w:left w:val="none" w:sz="0" w:space="0" w:color="auto"/>
                    <w:bottom w:val="none" w:sz="0" w:space="0" w:color="auto"/>
                    <w:right w:val="none" w:sz="0" w:space="0" w:color="auto"/>
                  </w:divBdr>
                </w:div>
                <w:div w:id="7670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97839">
          <w:marLeft w:val="-225"/>
          <w:marRight w:val="-225"/>
          <w:marTop w:val="0"/>
          <w:marBottom w:val="120"/>
          <w:divBdr>
            <w:top w:val="none" w:sz="0" w:space="0" w:color="auto"/>
            <w:left w:val="none" w:sz="0" w:space="0" w:color="auto"/>
            <w:bottom w:val="none" w:sz="0" w:space="0" w:color="auto"/>
            <w:right w:val="none" w:sz="0" w:space="0" w:color="auto"/>
          </w:divBdr>
          <w:divsChild>
            <w:div w:id="1645507070">
              <w:marLeft w:val="0"/>
              <w:marRight w:val="0"/>
              <w:marTop w:val="0"/>
              <w:marBottom w:val="0"/>
              <w:divBdr>
                <w:top w:val="none" w:sz="0" w:space="0" w:color="auto"/>
                <w:left w:val="none" w:sz="0" w:space="0" w:color="auto"/>
                <w:bottom w:val="none" w:sz="0" w:space="0" w:color="auto"/>
                <w:right w:val="none" w:sz="0" w:space="0" w:color="auto"/>
              </w:divBdr>
              <w:divsChild>
                <w:div w:id="501360552">
                  <w:marLeft w:val="0"/>
                  <w:marRight w:val="0"/>
                  <w:marTop w:val="0"/>
                  <w:marBottom w:val="0"/>
                  <w:divBdr>
                    <w:top w:val="none" w:sz="0" w:space="0" w:color="auto"/>
                    <w:left w:val="none" w:sz="0" w:space="0" w:color="auto"/>
                    <w:bottom w:val="none" w:sz="0" w:space="0" w:color="auto"/>
                    <w:right w:val="none" w:sz="0" w:space="0" w:color="auto"/>
                  </w:divBdr>
                </w:div>
                <w:div w:id="162715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41985">
          <w:marLeft w:val="-225"/>
          <w:marRight w:val="-225"/>
          <w:marTop w:val="0"/>
          <w:marBottom w:val="120"/>
          <w:divBdr>
            <w:top w:val="none" w:sz="0" w:space="0" w:color="auto"/>
            <w:left w:val="none" w:sz="0" w:space="0" w:color="auto"/>
            <w:bottom w:val="none" w:sz="0" w:space="0" w:color="auto"/>
            <w:right w:val="none" w:sz="0" w:space="0" w:color="auto"/>
          </w:divBdr>
          <w:divsChild>
            <w:div w:id="722095414">
              <w:marLeft w:val="0"/>
              <w:marRight w:val="0"/>
              <w:marTop w:val="0"/>
              <w:marBottom w:val="0"/>
              <w:divBdr>
                <w:top w:val="none" w:sz="0" w:space="0" w:color="auto"/>
                <w:left w:val="none" w:sz="0" w:space="0" w:color="auto"/>
                <w:bottom w:val="none" w:sz="0" w:space="0" w:color="auto"/>
                <w:right w:val="none" w:sz="0" w:space="0" w:color="auto"/>
              </w:divBdr>
              <w:divsChild>
                <w:div w:id="999426366">
                  <w:marLeft w:val="0"/>
                  <w:marRight w:val="0"/>
                  <w:marTop w:val="0"/>
                  <w:marBottom w:val="0"/>
                  <w:divBdr>
                    <w:top w:val="none" w:sz="0" w:space="0" w:color="auto"/>
                    <w:left w:val="none" w:sz="0" w:space="0" w:color="auto"/>
                    <w:bottom w:val="none" w:sz="0" w:space="0" w:color="auto"/>
                    <w:right w:val="none" w:sz="0" w:space="0" w:color="auto"/>
                  </w:divBdr>
                </w:div>
                <w:div w:id="126164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7213">
          <w:marLeft w:val="-225"/>
          <w:marRight w:val="-225"/>
          <w:marTop w:val="0"/>
          <w:marBottom w:val="120"/>
          <w:divBdr>
            <w:top w:val="none" w:sz="0" w:space="0" w:color="auto"/>
            <w:left w:val="none" w:sz="0" w:space="0" w:color="auto"/>
            <w:bottom w:val="none" w:sz="0" w:space="0" w:color="auto"/>
            <w:right w:val="none" w:sz="0" w:space="0" w:color="auto"/>
          </w:divBdr>
          <w:divsChild>
            <w:div w:id="456141558">
              <w:marLeft w:val="0"/>
              <w:marRight w:val="0"/>
              <w:marTop w:val="0"/>
              <w:marBottom w:val="0"/>
              <w:divBdr>
                <w:top w:val="none" w:sz="0" w:space="0" w:color="auto"/>
                <w:left w:val="none" w:sz="0" w:space="0" w:color="auto"/>
                <w:bottom w:val="none" w:sz="0" w:space="0" w:color="auto"/>
                <w:right w:val="none" w:sz="0" w:space="0" w:color="auto"/>
              </w:divBdr>
              <w:divsChild>
                <w:div w:id="1616599784">
                  <w:marLeft w:val="0"/>
                  <w:marRight w:val="0"/>
                  <w:marTop w:val="0"/>
                  <w:marBottom w:val="0"/>
                  <w:divBdr>
                    <w:top w:val="none" w:sz="0" w:space="0" w:color="auto"/>
                    <w:left w:val="none" w:sz="0" w:space="0" w:color="auto"/>
                    <w:bottom w:val="none" w:sz="0" w:space="0" w:color="auto"/>
                    <w:right w:val="none" w:sz="0" w:space="0" w:color="auto"/>
                  </w:divBdr>
                </w:div>
                <w:div w:id="192479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75050">
          <w:marLeft w:val="-225"/>
          <w:marRight w:val="-225"/>
          <w:marTop w:val="0"/>
          <w:marBottom w:val="120"/>
          <w:divBdr>
            <w:top w:val="none" w:sz="0" w:space="0" w:color="auto"/>
            <w:left w:val="none" w:sz="0" w:space="0" w:color="auto"/>
            <w:bottom w:val="none" w:sz="0" w:space="0" w:color="auto"/>
            <w:right w:val="none" w:sz="0" w:space="0" w:color="auto"/>
          </w:divBdr>
          <w:divsChild>
            <w:div w:id="596181127">
              <w:marLeft w:val="0"/>
              <w:marRight w:val="0"/>
              <w:marTop w:val="0"/>
              <w:marBottom w:val="0"/>
              <w:divBdr>
                <w:top w:val="none" w:sz="0" w:space="0" w:color="auto"/>
                <w:left w:val="none" w:sz="0" w:space="0" w:color="auto"/>
                <w:bottom w:val="none" w:sz="0" w:space="0" w:color="auto"/>
                <w:right w:val="none" w:sz="0" w:space="0" w:color="auto"/>
              </w:divBdr>
              <w:divsChild>
                <w:div w:id="159543475">
                  <w:marLeft w:val="0"/>
                  <w:marRight w:val="0"/>
                  <w:marTop w:val="0"/>
                  <w:marBottom w:val="0"/>
                  <w:divBdr>
                    <w:top w:val="none" w:sz="0" w:space="0" w:color="auto"/>
                    <w:left w:val="none" w:sz="0" w:space="0" w:color="auto"/>
                    <w:bottom w:val="none" w:sz="0" w:space="0" w:color="auto"/>
                    <w:right w:val="none" w:sz="0" w:space="0" w:color="auto"/>
                  </w:divBdr>
                </w:div>
                <w:div w:id="4048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7385">
          <w:marLeft w:val="-225"/>
          <w:marRight w:val="-225"/>
          <w:marTop w:val="0"/>
          <w:marBottom w:val="120"/>
          <w:divBdr>
            <w:top w:val="none" w:sz="0" w:space="0" w:color="auto"/>
            <w:left w:val="none" w:sz="0" w:space="0" w:color="auto"/>
            <w:bottom w:val="none" w:sz="0" w:space="0" w:color="auto"/>
            <w:right w:val="none" w:sz="0" w:space="0" w:color="auto"/>
          </w:divBdr>
          <w:divsChild>
            <w:div w:id="1544563416">
              <w:marLeft w:val="0"/>
              <w:marRight w:val="0"/>
              <w:marTop w:val="0"/>
              <w:marBottom w:val="0"/>
              <w:divBdr>
                <w:top w:val="none" w:sz="0" w:space="0" w:color="auto"/>
                <w:left w:val="none" w:sz="0" w:space="0" w:color="auto"/>
                <w:bottom w:val="none" w:sz="0" w:space="0" w:color="auto"/>
                <w:right w:val="none" w:sz="0" w:space="0" w:color="auto"/>
              </w:divBdr>
              <w:divsChild>
                <w:div w:id="1264260810">
                  <w:marLeft w:val="0"/>
                  <w:marRight w:val="0"/>
                  <w:marTop w:val="0"/>
                  <w:marBottom w:val="0"/>
                  <w:divBdr>
                    <w:top w:val="none" w:sz="0" w:space="0" w:color="auto"/>
                    <w:left w:val="none" w:sz="0" w:space="0" w:color="auto"/>
                    <w:bottom w:val="none" w:sz="0" w:space="0" w:color="auto"/>
                    <w:right w:val="none" w:sz="0" w:space="0" w:color="auto"/>
                  </w:divBdr>
                </w:div>
                <w:div w:id="16805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4426">
          <w:marLeft w:val="-225"/>
          <w:marRight w:val="-225"/>
          <w:marTop w:val="0"/>
          <w:marBottom w:val="120"/>
          <w:divBdr>
            <w:top w:val="none" w:sz="0" w:space="0" w:color="auto"/>
            <w:left w:val="none" w:sz="0" w:space="0" w:color="auto"/>
            <w:bottom w:val="none" w:sz="0" w:space="0" w:color="auto"/>
            <w:right w:val="none" w:sz="0" w:space="0" w:color="auto"/>
          </w:divBdr>
          <w:divsChild>
            <w:div w:id="1664888457">
              <w:marLeft w:val="0"/>
              <w:marRight w:val="0"/>
              <w:marTop w:val="0"/>
              <w:marBottom w:val="0"/>
              <w:divBdr>
                <w:top w:val="none" w:sz="0" w:space="0" w:color="auto"/>
                <w:left w:val="none" w:sz="0" w:space="0" w:color="auto"/>
                <w:bottom w:val="none" w:sz="0" w:space="0" w:color="auto"/>
                <w:right w:val="none" w:sz="0" w:space="0" w:color="auto"/>
              </w:divBdr>
              <w:divsChild>
                <w:div w:id="276567733">
                  <w:marLeft w:val="0"/>
                  <w:marRight w:val="0"/>
                  <w:marTop w:val="0"/>
                  <w:marBottom w:val="0"/>
                  <w:divBdr>
                    <w:top w:val="none" w:sz="0" w:space="0" w:color="auto"/>
                    <w:left w:val="none" w:sz="0" w:space="0" w:color="auto"/>
                    <w:bottom w:val="none" w:sz="0" w:space="0" w:color="auto"/>
                    <w:right w:val="none" w:sz="0" w:space="0" w:color="auto"/>
                  </w:divBdr>
                </w:div>
                <w:div w:id="6978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459744">
          <w:marLeft w:val="-225"/>
          <w:marRight w:val="-225"/>
          <w:marTop w:val="0"/>
          <w:marBottom w:val="120"/>
          <w:divBdr>
            <w:top w:val="none" w:sz="0" w:space="0" w:color="auto"/>
            <w:left w:val="none" w:sz="0" w:space="0" w:color="auto"/>
            <w:bottom w:val="none" w:sz="0" w:space="0" w:color="auto"/>
            <w:right w:val="none" w:sz="0" w:space="0" w:color="auto"/>
          </w:divBdr>
          <w:divsChild>
            <w:div w:id="1302805213">
              <w:marLeft w:val="0"/>
              <w:marRight w:val="0"/>
              <w:marTop w:val="0"/>
              <w:marBottom w:val="0"/>
              <w:divBdr>
                <w:top w:val="none" w:sz="0" w:space="0" w:color="auto"/>
                <w:left w:val="none" w:sz="0" w:space="0" w:color="auto"/>
                <w:bottom w:val="none" w:sz="0" w:space="0" w:color="auto"/>
                <w:right w:val="none" w:sz="0" w:space="0" w:color="auto"/>
              </w:divBdr>
              <w:divsChild>
                <w:div w:id="247545696">
                  <w:marLeft w:val="0"/>
                  <w:marRight w:val="0"/>
                  <w:marTop w:val="0"/>
                  <w:marBottom w:val="0"/>
                  <w:divBdr>
                    <w:top w:val="none" w:sz="0" w:space="0" w:color="auto"/>
                    <w:left w:val="none" w:sz="0" w:space="0" w:color="auto"/>
                    <w:bottom w:val="none" w:sz="0" w:space="0" w:color="auto"/>
                    <w:right w:val="none" w:sz="0" w:space="0" w:color="auto"/>
                  </w:divBdr>
                </w:div>
                <w:div w:id="20959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8078">
          <w:marLeft w:val="-225"/>
          <w:marRight w:val="-225"/>
          <w:marTop w:val="0"/>
          <w:marBottom w:val="120"/>
          <w:divBdr>
            <w:top w:val="none" w:sz="0" w:space="0" w:color="auto"/>
            <w:left w:val="none" w:sz="0" w:space="0" w:color="auto"/>
            <w:bottom w:val="none" w:sz="0" w:space="0" w:color="auto"/>
            <w:right w:val="none" w:sz="0" w:space="0" w:color="auto"/>
          </w:divBdr>
          <w:divsChild>
            <w:div w:id="681858346">
              <w:marLeft w:val="0"/>
              <w:marRight w:val="0"/>
              <w:marTop w:val="0"/>
              <w:marBottom w:val="0"/>
              <w:divBdr>
                <w:top w:val="none" w:sz="0" w:space="0" w:color="auto"/>
                <w:left w:val="none" w:sz="0" w:space="0" w:color="auto"/>
                <w:bottom w:val="none" w:sz="0" w:space="0" w:color="auto"/>
                <w:right w:val="none" w:sz="0" w:space="0" w:color="auto"/>
              </w:divBdr>
              <w:divsChild>
                <w:div w:id="287202222">
                  <w:marLeft w:val="0"/>
                  <w:marRight w:val="0"/>
                  <w:marTop w:val="0"/>
                  <w:marBottom w:val="0"/>
                  <w:divBdr>
                    <w:top w:val="none" w:sz="0" w:space="0" w:color="auto"/>
                    <w:left w:val="none" w:sz="0" w:space="0" w:color="auto"/>
                    <w:bottom w:val="none" w:sz="0" w:space="0" w:color="auto"/>
                    <w:right w:val="none" w:sz="0" w:space="0" w:color="auto"/>
                  </w:divBdr>
                </w:div>
                <w:div w:id="14325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39103">
          <w:marLeft w:val="-225"/>
          <w:marRight w:val="-225"/>
          <w:marTop w:val="0"/>
          <w:marBottom w:val="120"/>
          <w:divBdr>
            <w:top w:val="none" w:sz="0" w:space="0" w:color="auto"/>
            <w:left w:val="none" w:sz="0" w:space="0" w:color="auto"/>
            <w:bottom w:val="none" w:sz="0" w:space="0" w:color="auto"/>
            <w:right w:val="none" w:sz="0" w:space="0" w:color="auto"/>
          </w:divBdr>
          <w:divsChild>
            <w:div w:id="1103723021">
              <w:marLeft w:val="0"/>
              <w:marRight w:val="0"/>
              <w:marTop w:val="0"/>
              <w:marBottom w:val="0"/>
              <w:divBdr>
                <w:top w:val="none" w:sz="0" w:space="0" w:color="auto"/>
                <w:left w:val="none" w:sz="0" w:space="0" w:color="auto"/>
                <w:bottom w:val="none" w:sz="0" w:space="0" w:color="auto"/>
                <w:right w:val="none" w:sz="0" w:space="0" w:color="auto"/>
              </w:divBdr>
              <w:divsChild>
                <w:div w:id="391970835">
                  <w:marLeft w:val="0"/>
                  <w:marRight w:val="0"/>
                  <w:marTop w:val="0"/>
                  <w:marBottom w:val="0"/>
                  <w:divBdr>
                    <w:top w:val="none" w:sz="0" w:space="0" w:color="auto"/>
                    <w:left w:val="none" w:sz="0" w:space="0" w:color="auto"/>
                    <w:bottom w:val="none" w:sz="0" w:space="0" w:color="auto"/>
                    <w:right w:val="none" w:sz="0" w:space="0" w:color="auto"/>
                  </w:divBdr>
                </w:div>
                <w:div w:id="150995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98566">
          <w:marLeft w:val="-225"/>
          <w:marRight w:val="-225"/>
          <w:marTop w:val="0"/>
          <w:marBottom w:val="120"/>
          <w:divBdr>
            <w:top w:val="none" w:sz="0" w:space="0" w:color="auto"/>
            <w:left w:val="none" w:sz="0" w:space="0" w:color="auto"/>
            <w:bottom w:val="none" w:sz="0" w:space="0" w:color="auto"/>
            <w:right w:val="none" w:sz="0" w:space="0" w:color="auto"/>
          </w:divBdr>
          <w:divsChild>
            <w:div w:id="2130733807">
              <w:marLeft w:val="0"/>
              <w:marRight w:val="0"/>
              <w:marTop w:val="0"/>
              <w:marBottom w:val="0"/>
              <w:divBdr>
                <w:top w:val="none" w:sz="0" w:space="0" w:color="auto"/>
                <w:left w:val="none" w:sz="0" w:space="0" w:color="auto"/>
                <w:bottom w:val="none" w:sz="0" w:space="0" w:color="auto"/>
                <w:right w:val="none" w:sz="0" w:space="0" w:color="auto"/>
              </w:divBdr>
              <w:divsChild>
                <w:div w:id="1241135157">
                  <w:marLeft w:val="0"/>
                  <w:marRight w:val="0"/>
                  <w:marTop w:val="0"/>
                  <w:marBottom w:val="0"/>
                  <w:divBdr>
                    <w:top w:val="none" w:sz="0" w:space="0" w:color="auto"/>
                    <w:left w:val="none" w:sz="0" w:space="0" w:color="auto"/>
                    <w:bottom w:val="none" w:sz="0" w:space="0" w:color="auto"/>
                    <w:right w:val="none" w:sz="0" w:space="0" w:color="auto"/>
                  </w:divBdr>
                </w:div>
                <w:div w:id="14716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09780">
          <w:marLeft w:val="-225"/>
          <w:marRight w:val="-225"/>
          <w:marTop w:val="0"/>
          <w:marBottom w:val="120"/>
          <w:divBdr>
            <w:top w:val="none" w:sz="0" w:space="0" w:color="auto"/>
            <w:left w:val="none" w:sz="0" w:space="0" w:color="auto"/>
            <w:bottom w:val="none" w:sz="0" w:space="0" w:color="auto"/>
            <w:right w:val="none" w:sz="0" w:space="0" w:color="auto"/>
          </w:divBdr>
          <w:divsChild>
            <w:div w:id="1444883095">
              <w:marLeft w:val="0"/>
              <w:marRight w:val="0"/>
              <w:marTop w:val="0"/>
              <w:marBottom w:val="0"/>
              <w:divBdr>
                <w:top w:val="none" w:sz="0" w:space="0" w:color="auto"/>
                <w:left w:val="none" w:sz="0" w:space="0" w:color="auto"/>
                <w:bottom w:val="none" w:sz="0" w:space="0" w:color="auto"/>
                <w:right w:val="none" w:sz="0" w:space="0" w:color="auto"/>
              </w:divBdr>
              <w:divsChild>
                <w:div w:id="529880893">
                  <w:marLeft w:val="0"/>
                  <w:marRight w:val="0"/>
                  <w:marTop w:val="0"/>
                  <w:marBottom w:val="0"/>
                  <w:divBdr>
                    <w:top w:val="none" w:sz="0" w:space="0" w:color="auto"/>
                    <w:left w:val="none" w:sz="0" w:space="0" w:color="auto"/>
                    <w:bottom w:val="none" w:sz="0" w:space="0" w:color="auto"/>
                    <w:right w:val="none" w:sz="0" w:space="0" w:color="auto"/>
                  </w:divBdr>
                </w:div>
                <w:div w:id="5954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09528">
          <w:marLeft w:val="-225"/>
          <w:marRight w:val="-225"/>
          <w:marTop w:val="0"/>
          <w:marBottom w:val="120"/>
          <w:divBdr>
            <w:top w:val="none" w:sz="0" w:space="0" w:color="auto"/>
            <w:left w:val="none" w:sz="0" w:space="0" w:color="auto"/>
            <w:bottom w:val="none" w:sz="0" w:space="0" w:color="auto"/>
            <w:right w:val="none" w:sz="0" w:space="0" w:color="auto"/>
          </w:divBdr>
          <w:divsChild>
            <w:div w:id="506870498">
              <w:marLeft w:val="0"/>
              <w:marRight w:val="0"/>
              <w:marTop w:val="0"/>
              <w:marBottom w:val="0"/>
              <w:divBdr>
                <w:top w:val="none" w:sz="0" w:space="0" w:color="auto"/>
                <w:left w:val="none" w:sz="0" w:space="0" w:color="auto"/>
                <w:bottom w:val="none" w:sz="0" w:space="0" w:color="auto"/>
                <w:right w:val="none" w:sz="0" w:space="0" w:color="auto"/>
              </w:divBdr>
              <w:divsChild>
                <w:div w:id="14318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1839">
      <w:bodyDiv w:val="1"/>
      <w:marLeft w:val="0"/>
      <w:marRight w:val="0"/>
      <w:marTop w:val="0"/>
      <w:marBottom w:val="0"/>
      <w:divBdr>
        <w:top w:val="none" w:sz="0" w:space="0" w:color="auto"/>
        <w:left w:val="none" w:sz="0" w:space="0" w:color="auto"/>
        <w:bottom w:val="none" w:sz="0" w:space="0" w:color="auto"/>
        <w:right w:val="none" w:sz="0" w:space="0" w:color="auto"/>
      </w:divBdr>
    </w:div>
    <w:div w:id="241722119">
      <w:bodyDiv w:val="1"/>
      <w:marLeft w:val="0"/>
      <w:marRight w:val="0"/>
      <w:marTop w:val="0"/>
      <w:marBottom w:val="0"/>
      <w:divBdr>
        <w:top w:val="none" w:sz="0" w:space="0" w:color="auto"/>
        <w:left w:val="none" w:sz="0" w:space="0" w:color="auto"/>
        <w:bottom w:val="none" w:sz="0" w:space="0" w:color="auto"/>
        <w:right w:val="none" w:sz="0" w:space="0" w:color="auto"/>
      </w:divBdr>
    </w:div>
    <w:div w:id="244416123">
      <w:bodyDiv w:val="1"/>
      <w:marLeft w:val="0"/>
      <w:marRight w:val="0"/>
      <w:marTop w:val="0"/>
      <w:marBottom w:val="0"/>
      <w:divBdr>
        <w:top w:val="none" w:sz="0" w:space="0" w:color="auto"/>
        <w:left w:val="none" w:sz="0" w:space="0" w:color="auto"/>
        <w:bottom w:val="none" w:sz="0" w:space="0" w:color="auto"/>
        <w:right w:val="none" w:sz="0" w:space="0" w:color="auto"/>
      </w:divBdr>
    </w:div>
    <w:div w:id="251475737">
      <w:bodyDiv w:val="1"/>
      <w:marLeft w:val="0"/>
      <w:marRight w:val="0"/>
      <w:marTop w:val="0"/>
      <w:marBottom w:val="0"/>
      <w:divBdr>
        <w:top w:val="none" w:sz="0" w:space="0" w:color="auto"/>
        <w:left w:val="none" w:sz="0" w:space="0" w:color="auto"/>
        <w:bottom w:val="none" w:sz="0" w:space="0" w:color="auto"/>
        <w:right w:val="none" w:sz="0" w:space="0" w:color="auto"/>
      </w:divBdr>
    </w:div>
    <w:div w:id="284846689">
      <w:bodyDiv w:val="1"/>
      <w:marLeft w:val="0"/>
      <w:marRight w:val="0"/>
      <w:marTop w:val="0"/>
      <w:marBottom w:val="0"/>
      <w:divBdr>
        <w:top w:val="none" w:sz="0" w:space="0" w:color="auto"/>
        <w:left w:val="none" w:sz="0" w:space="0" w:color="auto"/>
        <w:bottom w:val="none" w:sz="0" w:space="0" w:color="auto"/>
        <w:right w:val="none" w:sz="0" w:space="0" w:color="auto"/>
      </w:divBdr>
    </w:div>
    <w:div w:id="292251271">
      <w:bodyDiv w:val="1"/>
      <w:marLeft w:val="0"/>
      <w:marRight w:val="0"/>
      <w:marTop w:val="0"/>
      <w:marBottom w:val="0"/>
      <w:divBdr>
        <w:top w:val="none" w:sz="0" w:space="0" w:color="auto"/>
        <w:left w:val="none" w:sz="0" w:space="0" w:color="auto"/>
        <w:bottom w:val="none" w:sz="0" w:space="0" w:color="auto"/>
        <w:right w:val="none" w:sz="0" w:space="0" w:color="auto"/>
      </w:divBdr>
    </w:div>
    <w:div w:id="300040013">
      <w:bodyDiv w:val="1"/>
      <w:marLeft w:val="0"/>
      <w:marRight w:val="0"/>
      <w:marTop w:val="0"/>
      <w:marBottom w:val="0"/>
      <w:divBdr>
        <w:top w:val="none" w:sz="0" w:space="0" w:color="auto"/>
        <w:left w:val="none" w:sz="0" w:space="0" w:color="auto"/>
        <w:bottom w:val="none" w:sz="0" w:space="0" w:color="auto"/>
        <w:right w:val="none" w:sz="0" w:space="0" w:color="auto"/>
      </w:divBdr>
    </w:div>
    <w:div w:id="307177155">
      <w:bodyDiv w:val="1"/>
      <w:marLeft w:val="0"/>
      <w:marRight w:val="0"/>
      <w:marTop w:val="0"/>
      <w:marBottom w:val="0"/>
      <w:divBdr>
        <w:top w:val="none" w:sz="0" w:space="0" w:color="auto"/>
        <w:left w:val="none" w:sz="0" w:space="0" w:color="auto"/>
        <w:bottom w:val="none" w:sz="0" w:space="0" w:color="auto"/>
        <w:right w:val="none" w:sz="0" w:space="0" w:color="auto"/>
      </w:divBdr>
    </w:div>
    <w:div w:id="309604789">
      <w:bodyDiv w:val="1"/>
      <w:marLeft w:val="0"/>
      <w:marRight w:val="0"/>
      <w:marTop w:val="0"/>
      <w:marBottom w:val="0"/>
      <w:divBdr>
        <w:top w:val="none" w:sz="0" w:space="0" w:color="auto"/>
        <w:left w:val="none" w:sz="0" w:space="0" w:color="auto"/>
        <w:bottom w:val="none" w:sz="0" w:space="0" w:color="auto"/>
        <w:right w:val="none" w:sz="0" w:space="0" w:color="auto"/>
      </w:divBdr>
      <w:divsChild>
        <w:div w:id="1415127072">
          <w:marLeft w:val="0"/>
          <w:marRight w:val="0"/>
          <w:marTop w:val="0"/>
          <w:marBottom w:val="0"/>
          <w:divBdr>
            <w:top w:val="none" w:sz="0" w:space="0" w:color="auto"/>
            <w:left w:val="none" w:sz="0" w:space="0" w:color="auto"/>
            <w:bottom w:val="none" w:sz="0" w:space="0" w:color="auto"/>
            <w:right w:val="none" w:sz="0" w:space="0" w:color="auto"/>
          </w:divBdr>
        </w:div>
      </w:divsChild>
    </w:div>
    <w:div w:id="311564687">
      <w:bodyDiv w:val="1"/>
      <w:marLeft w:val="0"/>
      <w:marRight w:val="0"/>
      <w:marTop w:val="0"/>
      <w:marBottom w:val="0"/>
      <w:divBdr>
        <w:top w:val="none" w:sz="0" w:space="0" w:color="auto"/>
        <w:left w:val="none" w:sz="0" w:space="0" w:color="auto"/>
        <w:bottom w:val="none" w:sz="0" w:space="0" w:color="auto"/>
        <w:right w:val="none" w:sz="0" w:space="0" w:color="auto"/>
      </w:divBdr>
    </w:div>
    <w:div w:id="351028867">
      <w:bodyDiv w:val="1"/>
      <w:marLeft w:val="0"/>
      <w:marRight w:val="0"/>
      <w:marTop w:val="0"/>
      <w:marBottom w:val="0"/>
      <w:divBdr>
        <w:top w:val="none" w:sz="0" w:space="0" w:color="auto"/>
        <w:left w:val="none" w:sz="0" w:space="0" w:color="auto"/>
        <w:bottom w:val="none" w:sz="0" w:space="0" w:color="auto"/>
        <w:right w:val="none" w:sz="0" w:space="0" w:color="auto"/>
      </w:divBdr>
    </w:div>
    <w:div w:id="352994631">
      <w:bodyDiv w:val="1"/>
      <w:marLeft w:val="0"/>
      <w:marRight w:val="0"/>
      <w:marTop w:val="0"/>
      <w:marBottom w:val="0"/>
      <w:divBdr>
        <w:top w:val="none" w:sz="0" w:space="0" w:color="auto"/>
        <w:left w:val="none" w:sz="0" w:space="0" w:color="auto"/>
        <w:bottom w:val="none" w:sz="0" w:space="0" w:color="auto"/>
        <w:right w:val="none" w:sz="0" w:space="0" w:color="auto"/>
      </w:divBdr>
    </w:div>
    <w:div w:id="356199168">
      <w:bodyDiv w:val="1"/>
      <w:marLeft w:val="0"/>
      <w:marRight w:val="0"/>
      <w:marTop w:val="0"/>
      <w:marBottom w:val="0"/>
      <w:divBdr>
        <w:top w:val="none" w:sz="0" w:space="0" w:color="auto"/>
        <w:left w:val="none" w:sz="0" w:space="0" w:color="auto"/>
        <w:bottom w:val="none" w:sz="0" w:space="0" w:color="auto"/>
        <w:right w:val="none" w:sz="0" w:space="0" w:color="auto"/>
      </w:divBdr>
    </w:div>
    <w:div w:id="357783248">
      <w:bodyDiv w:val="1"/>
      <w:marLeft w:val="0"/>
      <w:marRight w:val="0"/>
      <w:marTop w:val="0"/>
      <w:marBottom w:val="0"/>
      <w:divBdr>
        <w:top w:val="none" w:sz="0" w:space="0" w:color="auto"/>
        <w:left w:val="none" w:sz="0" w:space="0" w:color="auto"/>
        <w:bottom w:val="none" w:sz="0" w:space="0" w:color="auto"/>
        <w:right w:val="none" w:sz="0" w:space="0" w:color="auto"/>
      </w:divBdr>
    </w:div>
    <w:div w:id="366181889">
      <w:bodyDiv w:val="1"/>
      <w:marLeft w:val="0"/>
      <w:marRight w:val="0"/>
      <w:marTop w:val="0"/>
      <w:marBottom w:val="0"/>
      <w:divBdr>
        <w:top w:val="none" w:sz="0" w:space="0" w:color="auto"/>
        <w:left w:val="none" w:sz="0" w:space="0" w:color="auto"/>
        <w:bottom w:val="none" w:sz="0" w:space="0" w:color="auto"/>
        <w:right w:val="none" w:sz="0" w:space="0" w:color="auto"/>
      </w:divBdr>
    </w:div>
    <w:div w:id="429665272">
      <w:bodyDiv w:val="1"/>
      <w:marLeft w:val="0"/>
      <w:marRight w:val="0"/>
      <w:marTop w:val="0"/>
      <w:marBottom w:val="0"/>
      <w:divBdr>
        <w:top w:val="none" w:sz="0" w:space="0" w:color="auto"/>
        <w:left w:val="none" w:sz="0" w:space="0" w:color="auto"/>
        <w:bottom w:val="none" w:sz="0" w:space="0" w:color="auto"/>
        <w:right w:val="none" w:sz="0" w:space="0" w:color="auto"/>
      </w:divBdr>
    </w:div>
    <w:div w:id="436294277">
      <w:bodyDiv w:val="1"/>
      <w:marLeft w:val="0"/>
      <w:marRight w:val="0"/>
      <w:marTop w:val="0"/>
      <w:marBottom w:val="0"/>
      <w:divBdr>
        <w:top w:val="none" w:sz="0" w:space="0" w:color="auto"/>
        <w:left w:val="none" w:sz="0" w:space="0" w:color="auto"/>
        <w:bottom w:val="none" w:sz="0" w:space="0" w:color="auto"/>
        <w:right w:val="none" w:sz="0" w:space="0" w:color="auto"/>
      </w:divBdr>
    </w:div>
    <w:div w:id="514418115">
      <w:bodyDiv w:val="1"/>
      <w:marLeft w:val="0"/>
      <w:marRight w:val="0"/>
      <w:marTop w:val="0"/>
      <w:marBottom w:val="0"/>
      <w:divBdr>
        <w:top w:val="none" w:sz="0" w:space="0" w:color="auto"/>
        <w:left w:val="none" w:sz="0" w:space="0" w:color="auto"/>
        <w:bottom w:val="none" w:sz="0" w:space="0" w:color="auto"/>
        <w:right w:val="none" w:sz="0" w:space="0" w:color="auto"/>
      </w:divBdr>
    </w:div>
    <w:div w:id="568420449">
      <w:bodyDiv w:val="1"/>
      <w:marLeft w:val="0"/>
      <w:marRight w:val="0"/>
      <w:marTop w:val="0"/>
      <w:marBottom w:val="0"/>
      <w:divBdr>
        <w:top w:val="none" w:sz="0" w:space="0" w:color="auto"/>
        <w:left w:val="none" w:sz="0" w:space="0" w:color="auto"/>
        <w:bottom w:val="none" w:sz="0" w:space="0" w:color="auto"/>
        <w:right w:val="none" w:sz="0" w:space="0" w:color="auto"/>
      </w:divBdr>
    </w:div>
    <w:div w:id="570846827">
      <w:bodyDiv w:val="1"/>
      <w:marLeft w:val="0"/>
      <w:marRight w:val="0"/>
      <w:marTop w:val="0"/>
      <w:marBottom w:val="0"/>
      <w:divBdr>
        <w:top w:val="none" w:sz="0" w:space="0" w:color="auto"/>
        <w:left w:val="none" w:sz="0" w:space="0" w:color="auto"/>
        <w:bottom w:val="none" w:sz="0" w:space="0" w:color="auto"/>
        <w:right w:val="none" w:sz="0" w:space="0" w:color="auto"/>
      </w:divBdr>
    </w:div>
    <w:div w:id="572277130">
      <w:bodyDiv w:val="1"/>
      <w:marLeft w:val="0"/>
      <w:marRight w:val="0"/>
      <w:marTop w:val="0"/>
      <w:marBottom w:val="0"/>
      <w:divBdr>
        <w:top w:val="none" w:sz="0" w:space="0" w:color="auto"/>
        <w:left w:val="none" w:sz="0" w:space="0" w:color="auto"/>
        <w:bottom w:val="none" w:sz="0" w:space="0" w:color="auto"/>
        <w:right w:val="none" w:sz="0" w:space="0" w:color="auto"/>
      </w:divBdr>
    </w:div>
    <w:div w:id="575628719">
      <w:bodyDiv w:val="1"/>
      <w:marLeft w:val="0"/>
      <w:marRight w:val="0"/>
      <w:marTop w:val="0"/>
      <w:marBottom w:val="0"/>
      <w:divBdr>
        <w:top w:val="none" w:sz="0" w:space="0" w:color="auto"/>
        <w:left w:val="none" w:sz="0" w:space="0" w:color="auto"/>
        <w:bottom w:val="none" w:sz="0" w:space="0" w:color="auto"/>
        <w:right w:val="none" w:sz="0" w:space="0" w:color="auto"/>
      </w:divBdr>
    </w:div>
    <w:div w:id="578173487">
      <w:bodyDiv w:val="1"/>
      <w:marLeft w:val="0"/>
      <w:marRight w:val="0"/>
      <w:marTop w:val="0"/>
      <w:marBottom w:val="0"/>
      <w:divBdr>
        <w:top w:val="none" w:sz="0" w:space="0" w:color="auto"/>
        <w:left w:val="none" w:sz="0" w:space="0" w:color="auto"/>
        <w:bottom w:val="none" w:sz="0" w:space="0" w:color="auto"/>
        <w:right w:val="none" w:sz="0" w:space="0" w:color="auto"/>
      </w:divBdr>
    </w:div>
    <w:div w:id="589390792">
      <w:bodyDiv w:val="1"/>
      <w:marLeft w:val="0"/>
      <w:marRight w:val="0"/>
      <w:marTop w:val="0"/>
      <w:marBottom w:val="0"/>
      <w:divBdr>
        <w:top w:val="none" w:sz="0" w:space="0" w:color="auto"/>
        <w:left w:val="none" w:sz="0" w:space="0" w:color="auto"/>
        <w:bottom w:val="none" w:sz="0" w:space="0" w:color="auto"/>
        <w:right w:val="none" w:sz="0" w:space="0" w:color="auto"/>
      </w:divBdr>
    </w:div>
    <w:div w:id="589775699">
      <w:bodyDiv w:val="1"/>
      <w:marLeft w:val="0"/>
      <w:marRight w:val="0"/>
      <w:marTop w:val="0"/>
      <w:marBottom w:val="0"/>
      <w:divBdr>
        <w:top w:val="none" w:sz="0" w:space="0" w:color="auto"/>
        <w:left w:val="none" w:sz="0" w:space="0" w:color="auto"/>
        <w:bottom w:val="none" w:sz="0" w:space="0" w:color="auto"/>
        <w:right w:val="none" w:sz="0" w:space="0" w:color="auto"/>
      </w:divBdr>
    </w:div>
    <w:div w:id="602539415">
      <w:bodyDiv w:val="1"/>
      <w:marLeft w:val="0"/>
      <w:marRight w:val="0"/>
      <w:marTop w:val="0"/>
      <w:marBottom w:val="0"/>
      <w:divBdr>
        <w:top w:val="none" w:sz="0" w:space="0" w:color="auto"/>
        <w:left w:val="none" w:sz="0" w:space="0" w:color="auto"/>
        <w:bottom w:val="none" w:sz="0" w:space="0" w:color="auto"/>
        <w:right w:val="none" w:sz="0" w:space="0" w:color="auto"/>
      </w:divBdr>
    </w:div>
    <w:div w:id="621573949">
      <w:bodyDiv w:val="1"/>
      <w:marLeft w:val="0"/>
      <w:marRight w:val="0"/>
      <w:marTop w:val="0"/>
      <w:marBottom w:val="0"/>
      <w:divBdr>
        <w:top w:val="none" w:sz="0" w:space="0" w:color="auto"/>
        <w:left w:val="none" w:sz="0" w:space="0" w:color="auto"/>
        <w:bottom w:val="none" w:sz="0" w:space="0" w:color="auto"/>
        <w:right w:val="none" w:sz="0" w:space="0" w:color="auto"/>
      </w:divBdr>
    </w:div>
    <w:div w:id="623122849">
      <w:bodyDiv w:val="1"/>
      <w:marLeft w:val="0"/>
      <w:marRight w:val="0"/>
      <w:marTop w:val="0"/>
      <w:marBottom w:val="0"/>
      <w:divBdr>
        <w:top w:val="none" w:sz="0" w:space="0" w:color="auto"/>
        <w:left w:val="none" w:sz="0" w:space="0" w:color="auto"/>
        <w:bottom w:val="none" w:sz="0" w:space="0" w:color="auto"/>
        <w:right w:val="none" w:sz="0" w:space="0" w:color="auto"/>
      </w:divBdr>
    </w:div>
    <w:div w:id="628781961">
      <w:bodyDiv w:val="1"/>
      <w:marLeft w:val="0"/>
      <w:marRight w:val="0"/>
      <w:marTop w:val="0"/>
      <w:marBottom w:val="0"/>
      <w:divBdr>
        <w:top w:val="none" w:sz="0" w:space="0" w:color="auto"/>
        <w:left w:val="none" w:sz="0" w:space="0" w:color="auto"/>
        <w:bottom w:val="none" w:sz="0" w:space="0" w:color="auto"/>
        <w:right w:val="none" w:sz="0" w:space="0" w:color="auto"/>
      </w:divBdr>
    </w:div>
    <w:div w:id="667442750">
      <w:bodyDiv w:val="1"/>
      <w:marLeft w:val="0"/>
      <w:marRight w:val="0"/>
      <w:marTop w:val="0"/>
      <w:marBottom w:val="0"/>
      <w:divBdr>
        <w:top w:val="none" w:sz="0" w:space="0" w:color="auto"/>
        <w:left w:val="none" w:sz="0" w:space="0" w:color="auto"/>
        <w:bottom w:val="none" w:sz="0" w:space="0" w:color="auto"/>
        <w:right w:val="none" w:sz="0" w:space="0" w:color="auto"/>
      </w:divBdr>
    </w:div>
    <w:div w:id="671907724">
      <w:bodyDiv w:val="1"/>
      <w:marLeft w:val="0"/>
      <w:marRight w:val="0"/>
      <w:marTop w:val="0"/>
      <w:marBottom w:val="0"/>
      <w:divBdr>
        <w:top w:val="none" w:sz="0" w:space="0" w:color="auto"/>
        <w:left w:val="none" w:sz="0" w:space="0" w:color="auto"/>
        <w:bottom w:val="none" w:sz="0" w:space="0" w:color="auto"/>
        <w:right w:val="none" w:sz="0" w:space="0" w:color="auto"/>
      </w:divBdr>
    </w:div>
    <w:div w:id="672999009">
      <w:bodyDiv w:val="1"/>
      <w:marLeft w:val="0"/>
      <w:marRight w:val="0"/>
      <w:marTop w:val="0"/>
      <w:marBottom w:val="0"/>
      <w:divBdr>
        <w:top w:val="none" w:sz="0" w:space="0" w:color="auto"/>
        <w:left w:val="none" w:sz="0" w:space="0" w:color="auto"/>
        <w:bottom w:val="none" w:sz="0" w:space="0" w:color="auto"/>
        <w:right w:val="none" w:sz="0" w:space="0" w:color="auto"/>
      </w:divBdr>
    </w:div>
    <w:div w:id="674917482">
      <w:bodyDiv w:val="1"/>
      <w:marLeft w:val="0"/>
      <w:marRight w:val="0"/>
      <w:marTop w:val="0"/>
      <w:marBottom w:val="0"/>
      <w:divBdr>
        <w:top w:val="none" w:sz="0" w:space="0" w:color="auto"/>
        <w:left w:val="none" w:sz="0" w:space="0" w:color="auto"/>
        <w:bottom w:val="none" w:sz="0" w:space="0" w:color="auto"/>
        <w:right w:val="none" w:sz="0" w:space="0" w:color="auto"/>
      </w:divBdr>
    </w:div>
    <w:div w:id="690649250">
      <w:bodyDiv w:val="1"/>
      <w:marLeft w:val="0"/>
      <w:marRight w:val="0"/>
      <w:marTop w:val="0"/>
      <w:marBottom w:val="0"/>
      <w:divBdr>
        <w:top w:val="none" w:sz="0" w:space="0" w:color="auto"/>
        <w:left w:val="none" w:sz="0" w:space="0" w:color="auto"/>
        <w:bottom w:val="none" w:sz="0" w:space="0" w:color="auto"/>
        <w:right w:val="none" w:sz="0" w:space="0" w:color="auto"/>
      </w:divBdr>
    </w:div>
    <w:div w:id="703678030">
      <w:bodyDiv w:val="1"/>
      <w:marLeft w:val="0"/>
      <w:marRight w:val="0"/>
      <w:marTop w:val="0"/>
      <w:marBottom w:val="0"/>
      <w:divBdr>
        <w:top w:val="none" w:sz="0" w:space="0" w:color="auto"/>
        <w:left w:val="none" w:sz="0" w:space="0" w:color="auto"/>
        <w:bottom w:val="none" w:sz="0" w:space="0" w:color="auto"/>
        <w:right w:val="none" w:sz="0" w:space="0" w:color="auto"/>
      </w:divBdr>
      <w:divsChild>
        <w:div w:id="1732197024">
          <w:marLeft w:val="0"/>
          <w:marRight w:val="0"/>
          <w:marTop w:val="0"/>
          <w:marBottom w:val="120"/>
          <w:divBdr>
            <w:top w:val="none" w:sz="0" w:space="0" w:color="auto"/>
            <w:left w:val="none" w:sz="0" w:space="0" w:color="auto"/>
            <w:bottom w:val="none" w:sz="0" w:space="0" w:color="auto"/>
            <w:right w:val="none" w:sz="0" w:space="0" w:color="auto"/>
          </w:divBdr>
        </w:div>
        <w:div w:id="612907294">
          <w:marLeft w:val="0"/>
          <w:marRight w:val="0"/>
          <w:marTop w:val="0"/>
          <w:marBottom w:val="120"/>
          <w:divBdr>
            <w:top w:val="none" w:sz="0" w:space="0" w:color="auto"/>
            <w:left w:val="none" w:sz="0" w:space="0" w:color="auto"/>
            <w:bottom w:val="none" w:sz="0" w:space="0" w:color="auto"/>
            <w:right w:val="none" w:sz="0" w:space="0" w:color="auto"/>
          </w:divBdr>
        </w:div>
        <w:div w:id="1184441792">
          <w:marLeft w:val="0"/>
          <w:marRight w:val="0"/>
          <w:marTop w:val="0"/>
          <w:marBottom w:val="120"/>
          <w:divBdr>
            <w:top w:val="none" w:sz="0" w:space="0" w:color="auto"/>
            <w:left w:val="none" w:sz="0" w:space="0" w:color="auto"/>
            <w:bottom w:val="none" w:sz="0" w:space="0" w:color="auto"/>
            <w:right w:val="none" w:sz="0" w:space="0" w:color="auto"/>
          </w:divBdr>
        </w:div>
        <w:div w:id="1321537605">
          <w:marLeft w:val="0"/>
          <w:marRight w:val="0"/>
          <w:marTop w:val="0"/>
          <w:marBottom w:val="120"/>
          <w:divBdr>
            <w:top w:val="none" w:sz="0" w:space="0" w:color="auto"/>
            <w:left w:val="none" w:sz="0" w:space="0" w:color="auto"/>
            <w:bottom w:val="none" w:sz="0" w:space="0" w:color="auto"/>
            <w:right w:val="none" w:sz="0" w:space="0" w:color="auto"/>
          </w:divBdr>
        </w:div>
        <w:div w:id="1000544892">
          <w:marLeft w:val="0"/>
          <w:marRight w:val="0"/>
          <w:marTop w:val="0"/>
          <w:marBottom w:val="120"/>
          <w:divBdr>
            <w:top w:val="none" w:sz="0" w:space="0" w:color="auto"/>
            <w:left w:val="none" w:sz="0" w:space="0" w:color="auto"/>
            <w:bottom w:val="none" w:sz="0" w:space="0" w:color="auto"/>
            <w:right w:val="none" w:sz="0" w:space="0" w:color="auto"/>
          </w:divBdr>
        </w:div>
      </w:divsChild>
    </w:div>
    <w:div w:id="709843501">
      <w:bodyDiv w:val="1"/>
      <w:marLeft w:val="0"/>
      <w:marRight w:val="0"/>
      <w:marTop w:val="0"/>
      <w:marBottom w:val="0"/>
      <w:divBdr>
        <w:top w:val="none" w:sz="0" w:space="0" w:color="auto"/>
        <w:left w:val="none" w:sz="0" w:space="0" w:color="auto"/>
        <w:bottom w:val="none" w:sz="0" w:space="0" w:color="auto"/>
        <w:right w:val="none" w:sz="0" w:space="0" w:color="auto"/>
      </w:divBdr>
    </w:div>
    <w:div w:id="716053105">
      <w:bodyDiv w:val="1"/>
      <w:marLeft w:val="0"/>
      <w:marRight w:val="0"/>
      <w:marTop w:val="0"/>
      <w:marBottom w:val="0"/>
      <w:divBdr>
        <w:top w:val="none" w:sz="0" w:space="0" w:color="auto"/>
        <w:left w:val="none" w:sz="0" w:space="0" w:color="auto"/>
        <w:bottom w:val="none" w:sz="0" w:space="0" w:color="auto"/>
        <w:right w:val="none" w:sz="0" w:space="0" w:color="auto"/>
      </w:divBdr>
    </w:div>
    <w:div w:id="729572622">
      <w:bodyDiv w:val="1"/>
      <w:marLeft w:val="0"/>
      <w:marRight w:val="0"/>
      <w:marTop w:val="0"/>
      <w:marBottom w:val="0"/>
      <w:divBdr>
        <w:top w:val="none" w:sz="0" w:space="0" w:color="auto"/>
        <w:left w:val="none" w:sz="0" w:space="0" w:color="auto"/>
        <w:bottom w:val="none" w:sz="0" w:space="0" w:color="auto"/>
        <w:right w:val="none" w:sz="0" w:space="0" w:color="auto"/>
      </w:divBdr>
    </w:div>
    <w:div w:id="734595229">
      <w:bodyDiv w:val="1"/>
      <w:marLeft w:val="0"/>
      <w:marRight w:val="0"/>
      <w:marTop w:val="0"/>
      <w:marBottom w:val="0"/>
      <w:divBdr>
        <w:top w:val="none" w:sz="0" w:space="0" w:color="auto"/>
        <w:left w:val="none" w:sz="0" w:space="0" w:color="auto"/>
        <w:bottom w:val="none" w:sz="0" w:space="0" w:color="auto"/>
        <w:right w:val="none" w:sz="0" w:space="0" w:color="auto"/>
      </w:divBdr>
    </w:div>
    <w:div w:id="736903292">
      <w:bodyDiv w:val="1"/>
      <w:marLeft w:val="0"/>
      <w:marRight w:val="0"/>
      <w:marTop w:val="0"/>
      <w:marBottom w:val="0"/>
      <w:divBdr>
        <w:top w:val="none" w:sz="0" w:space="0" w:color="auto"/>
        <w:left w:val="none" w:sz="0" w:space="0" w:color="auto"/>
        <w:bottom w:val="none" w:sz="0" w:space="0" w:color="auto"/>
        <w:right w:val="none" w:sz="0" w:space="0" w:color="auto"/>
      </w:divBdr>
    </w:div>
    <w:div w:id="737050151">
      <w:bodyDiv w:val="1"/>
      <w:marLeft w:val="0"/>
      <w:marRight w:val="0"/>
      <w:marTop w:val="0"/>
      <w:marBottom w:val="0"/>
      <w:divBdr>
        <w:top w:val="none" w:sz="0" w:space="0" w:color="auto"/>
        <w:left w:val="none" w:sz="0" w:space="0" w:color="auto"/>
        <w:bottom w:val="none" w:sz="0" w:space="0" w:color="auto"/>
        <w:right w:val="none" w:sz="0" w:space="0" w:color="auto"/>
      </w:divBdr>
    </w:div>
    <w:div w:id="745614632">
      <w:bodyDiv w:val="1"/>
      <w:marLeft w:val="0"/>
      <w:marRight w:val="0"/>
      <w:marTop w:val="0"/>
      <w:marBottom w:val="0"/>
      <w:divBdr>
        <w:top w:val="none" w:sz="0" w:space="0" w:color="auto"/>
        <w:left w:val="none" w:sz="0" w:space="0" w:color="auto"/>
        <w:bottom w:val="none" w:sz="0" w:space="0" w:color="auto"/>
        <w:right w:val="none" w:sz="0" w:space="0" w:color="auto"/>
      </w:divBdr>
    </w:div>
    <w:div w:id="754979800">
      <w:bodyDiv w:val="1"/>
      <w:marLeft w:val="0"/>
      <w:marRight w:val="0"/>
      <w:marTop w:val="0"/>
      <w:marBottom w:val="0"/>
      <w:divBdr>
        <w:top w:val="none" w:sz="0" w:space="0" w:color="auto"/>
        <w:left w:val="none" w:sz="0" w:space="0" w:color="auto"/>
        <w:bottom w:val="none" w:sz="0" w:space="0" w:color="auto"/>
        <w:right w:val="none" w:sz="0" w:space="0" w:color="auto"/>
      </w:divBdr>
    </w:div>
    <w:div w:id="783504894">
      <w:bodyDiv w:val="1"/>
      <w:marLeft w:val="0"/>
      <w:marRight w:val="0"/>
      <w:marTop w:val="0"/>
      <w:marBottom w:val="0"/>
      <w:divBdr>
        <w:top w:val="none" w:sz="0" w:space="0" w:color="auto"/>
        <w:left w:val="none" w:sz="0" w:space="0" w:color="auto"/>
        <w:bottom w:val="none" w:sz="0" w:space="0" w:color="auto"/>
        <w:right w:val="none" w:sz="0" w:space="0" w:color="auto"/>
      </w:divBdr>
    </w:div>
    <w:div w:id="793866972">
      <w:bodyDiv w:val="1"/>
      <w:marLeft w:val="0"/>
      <w:marRight w:val="0"/>
      <w:marTop w:val="0"/>
      <w:marBottom w:val="0"/>
      <w:divBdr>
        <w:top w:val="none" w:sz="0" w:space="0" w:color="auto"/>
        <w:left w:val="none" w:sz="0" w:space="0" w:color="auto"/>
        <w:bottom w:val="none" w:sz="0" w:space="0" w:color="auto"/>
        <w:right w:val="none" w:sz="0" w:space="0" w:color="auto"/>
      </w:divBdr>
    </w:div>
    <w:div w:id="800924262">
      <w:bodyDiv w:val="1"/>
      <w:marLeft w:val="0"/>
      <w:marRight w:val="0"/>
      <w:marTop w:val="0"/>
      <w:marBottom w:val="0"/>
      <w:divBdr>
        <w:top w:val="none" w:sz="0" w:space="0" w:color="auto"/>
        <w:left w:val="none" w:sz="0" w:space="0" w:color="auto"/>
        <w:bottom w:val="none" w:sz="0" w:space="0" w:color="auto"/>
        <w:right w:val="none" w:sz="0" w:space="0" w:color="auto"/>
      </w:divBdr>
    </w:div>
    <w:div w:id="807478509">
      <w:bodyDiv w:val="1"/>
      <w:marLeft w:val="0"/>
      <w:marRight w:val="0"/>
      <w:marTop w:val="0"/>
      <w:marBottom w:val="0"/>
      <w:divBdr>
        <w:top w:val="none" w:sz="0" w:space="0" w:color="auto"/>
        <w:left w:val="none" w:sz="0" w:space="0" w:color="auto"/>
        <w:bottom w:val="none" w:sz="0" w:space="0" w:color="auto"/>
        <w:right w:val="none" w:sz="0" w:space="0" w:color="auto"/>
      </w:divBdr>
    </w:div>
    <w:div w:id="847213078">
      <w:bodyDiv w:val="1"/>
      <w:marLeft w:val="0"/>
      <w:marRight w:val="0"/>
      <w:marTop w:val="0"/>
      <w:marBottom w:val="0"/>
      <w:divBdr>
        <w:top w:val="none" w:sz="0" w:space="0" w:color="auto"/>
        <w:left w:val="none" w:sz="0" w:space="0" w:color="auto"/>
        <w:bottom w:val="none" w:sz="0" w:space="0" w:color="auto"/>
        <w:right w:val="none" w:sz="0" w:space="0" w:color="auto"/>
      </w:divBdr>
    </w:div>
    <w:div w:id="869105037">
      <w:bodyDiv w:val="1"/>
      <w:marLeft w:val="0"/>
      <w:marRight w:val="0"/>
      <w:marTop w:val="0"/>
      <w:marBottom w:val="0"/>
      <w:divBdr>
        <w:top w:val="none" w:sz="0" w:space="0" w:color="auto"/>
        <w:left w:val="none" w:sz="0" w:space="0" w:color="auto"/>
        <w:bottom w:val="none" w:sz="0" w:space="0" w:color="auto"/>
        <w:right w:val="none" w:sz="0" w:space="0" w:color="auto"/>
      </w:divBdr>
    </w:div>
    <w:div w:id="889221238">
      <w:bodyDiv w:val="1"/>
      <w:marLeft w:val="0"/>
      <w:marRight w:val="0"/>
      <w:marTop w:val="0"/>
      <w:marBottom w:val="0"/>
      <w:divBdr>
        <w:top w:val="none" w:sz="0" w:space="0" w:color="auto"/>
        <w:left w:val="none" w:sz="0" w:space="0" w:color="auto"/>
        <w:bottom w:val="none" w:sz="0" w:space="0" w:color="auto"/>
        <w:right w:val="none" w:sz="0" w:space="0" w:color="auto"/>
      </w:divBdr>
    </w:div>
    <w:div w:id="930312439">
      <w:bodyDiv w:val="1"/>
      <w:marLeft w:val="0"/>
      <w:marRight w:val="0"/>
      <w:marTop w:val="0"/>
      <w:marBottom w:val="0"/>
      <w:divBdr>
        <w:top w:val="none" w:sz="0" w:space="0" w:color="auto"/>
        <w:left w:val="none" w:sz="0" w:space="0" w:color="auto"/>
        <w:bottom w:val="none" w:sz="0" w:space="0" w:color="auto"/>
        <w:right w:val="none" w:sz="0" w:space="0" w:color="auto"/>
      </w:divBdr>
    </w:div>
    <w:div w:id="937375447">
      <w:bodyDiv w:val="1"/>
      <w:marLeft w:val="0"/>
      <w:marRight w:val="0"/>
      <w:marTop w:val="0"/>
      <w:marBottom w:val="0"/>
      <w:divBdr>
        <w:top w:val="none" w:sz="0" w:space="0" w:color="auto"/>
        <w:left w:val="none" w:sz="0" w:space="0" w:color="auto"/>
        <w:bottom w:val="none" w:sz="0" w:space="0" w:color="auto"/>
        <w:right w:val="none" w:sz="0" w:space="0" w:color="auto"/>
      </w:divBdr>
    </w:div>
    <w:div w:id="938954622">
      <w:bodyDiv w:val="1"/>
      <w:marLeft w:val="0"/>
      <w:marRight w:val="0"/>
      <w:marTop w:val="0"/>
      <w:marBottom w:val="0"/>
      <w:divBdr>
        <w:top w:val="none" w:sz="0" w:space="0" w:color="auto"/>
        <w:left w:val="none" w:sz="0" w:space="0" w:color="auto"/>
        <w:bottom w:val="none" w:sz="0" w:space="0" w:color="auto"/>
        <w:right w:val="none" w:sz="0" w:space="0" w:color="auto"/>
      </w:divBdr>
      <w:divsChild>
        <w:div w:id="1520195955">
          <w:marLeft w:val="45"/>
          <w:marRight w:val="45"/>
          <w:marTop w:val="15"/>
          <w:marBottom w:val="0"/>
          <w:divBdr>
            <w:top w:val="none" w:sz="0" w:space="0" w:color="auto"/>
            <w:left w:val="none" w:sz="0" w:space="0" w:color="auto"/>
            <w:bottom w:val="none" w:sz="0" w:space="0" w:color="auto"/>
            <w:right w:val="none" w:sz="0" w:space="0" w:color="auto"/>
          </w:divBdr>
          <w:divsChild>
            <w:div w:id="13646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8695">
      <w:bodyDiv w:val="1"/>
      <w:marLeft w:val="0"/>
      <w:marRight w:val="0"/>
      <w:marTop w:val="0"/>
      <w:marBottom w:val="0"/>
      <w:divBdr>
        <w:top w:val="none" w:sz="0" w:space="0" w:color="auto"/>
        <w:left w:val="none" w:sz="0" w:space="0" w:color="auto"/>
        <w:bottom w:val="none" w:sz="0" w:space="0" w:color="auto"/>
        <w:right w:val="none" w:sz="0" w:space="0" w:color="auto"/>
      </w:divBdr>
    </w:div>
    <w:div w:id="994189684">
      <w:bodyDiv w:val="1"/>
      <w:marLeft w:val="0"/>
      <w:marRight w:val="0"/>
      <w:marTop w:val="0"/>
      <w:marBottom w:val="0"/>
      <w:divBdr>
        <w:top w:val="none" w:sz="0" w:space="0" w:color="auto"/>
        <w:left w:val="none" w:sz="0" w:space="0" w:color="auto"/>
        <w:bottom w:val="none" w:sz="0" w:space="0" w:color="auto"/>
        <w:right w:val="none" w:sz="0" w:space="0" w:color="auto"/>
      </w:divBdr>
    </w:div>
    <w:div w:id="1000277998">
      <w:bodyDiv w:val="1"/>
      <w:marLeft w:val="0"/>
      <w:marRight w:val="0"/>
      <w:marTop w:val="0"/>
      <w:marBottom w:val="0"/>
      <w:divBdr>
        <w:top w:val="none" w:sz="0" w:space="0" w:color="auto"/>
        <w:left w:val="none" w:sz="0" w:space="0" w:color="auto"/>
        <w:bottom w:val="none" w:sz="0" w:space="0" w:color="auto"/>
        <w:right w:val="none" w:sz="0" w:space="0" w:color="auto"/>
      </w:divBdr>
    </w:div>
    <w:div w:id="1006707399">
      <w:bodyDiv w:val="1"/>
      <w:marLeft w:val="0"/>
      <w:marRight w:val="0"/>
      <w:marTop w:val="0"/>
      <w:marBottom w:val="0"/>
      <w:divBdr>
        <w:top w:val="none" w:sz="0" w:space="0" w:color="auto"/>
        <w:left w:val="none" w:sz="0" w:space="0" w:color="auto"/>
        <w:bottom w:val="none" w:sz="0" w:space="0" w:color="auto"/>
        <w:right w:val="none" w:sz="0" w:space="0" w:color="auto"/>
      </w:divBdr>
    </w:div>
    <w:div w:id="1014964840">
      <w:bodyDiv w:val="1"/>
      <w:marLeft w:val="0"/>
      <w:marRight w:val="0"/>
      <w:marTop w:val="0"/>
      <w:marBottom w:val="0"/>
      <w:divBdr>
        <w:top w:val="none" w:sz="0" w:space="0" w:color="auto"/>
        <w:left w:val="none" w:sz="0" w:space="0" w:color="auto"/>
        <w:bottom w:val="none" w:sz="0" w:space="0" w:color="auto"/>
        <w:right w:val="none" w:sz="0" w:space="0" w:color="auto"/>
      </w:divBdr>
    </w:div>
    <w:div w:id="1045760548">
      <w:bodyDiv w:val="1"/>
      <w:marLeft w:val="0"/>
      <w:marRight w:val="0"/>
      <w:marTop w:val="0"/>
      <w:marBottom w:val="0"/>
      <w:divBdr>
        <w:top w:val="none" w:sz="0" w:space="0" w:color="auto"/>
        <w:left w:val="none" w:sz="0" w:space="0" w:color="auto"/>
        <w:bottom w:val="none" w:sz="0" w:space="0" w:color="auto"/>
        <w:right w:val="none" w:sz="0" w:space="0" w:color="auto"/>
      </w:divBdr>
    </w:div>
    <w:div w:id="1054500968">
      <w:bodyDiv w:val="1"/>
      <w:marLeft w:val="0"/>
      <w:marRight w:val="0"/>
      <w:marTop w:val="0"/>
      <w:marBottom w:val="0"/>
      <w:divBdr>
        <w:top w:val="none" w:sz="0" w:space="0" w:color="auto"/>
        <w:left w:val="none" w:sz="0" w:space="0" w:color="auto"/>
        <w:bottom w:val="none" w:sz="0" w:space="0" w:color="auto"/>
        <w:right w:val="none" w:sz="0" w:space="0" w:color="auto"/>
      </w:divBdr>
    </w:div>
    <w:div w:id="1079256995">
      <w:bodyDiv w:val="1"/>
      <w:marLeft w:val="0"/>
      <w:marRight w:val="0"/>
      <w:marTop w:val="0"/>
      <w:marBottom w:val="0"/>
      <w:divBdr>
        <w:top w:val="none" w:sz="0" w:space="0" w:color="auto"/>
        <w:left w:val="none" w:sz="0" w:space="0" w:color="auto"/>
        <w:bottom w:val="none" w:sz="0" w:space="0" w:color="auto"/>
        <w:right w:val="none" w:sz="0" w:space="0" w:color="auto"/>
      </w:divBdr>
    </w:div>
    <w:div w:id="1079907583">
      <w:bodyDiv w:val="1"/>
      <w:marLeft w:val="0"/>
      <w:marRight w:val="0"/>
      <w:marTop w:val="0"/>
      <w:marBottom w:val="0"/>
      <w:divBdr>
        <w:top w:val="none" w:sz="0" w:space="0" w:color="auto"/>
        <w:left w:val="none" w:sz="0" w:space="0" w:color="auto"/>
        <w:bottom w:val="none" w:sz="0" w:space="0" w:color="auto"/>
        <w:right w:val="none" w:sz="0" w:space="0" w:color="auto"/>
      </w:divBdr>
    </w:div>
    <w:div w:id="1086998881">
      <w:bodyDiv w:val="1"/>
      <w:marLeft w:val="0"/>
      <w:marRight w:val="0"/>
      <w:marTop w:val="0"/>
      <w:marBottom w:val="0"/>
      <w:divBdr>
        <w:top w:val="none" w:sz="0" w:space="0" w:color="auto"/>
        <w:left w:val="none" w:sz="0" w:space="0" w:color="auto"/>
        <w:bottom w:val="none" w:sz="0" w:space="0" w:color="auto"/>
        <w:right w:val="none" w:sz="0" w:space="0" w:color="auto"/>
      </w:divBdr>
    </w:div>
    <w:div w:id="1101610636">
      <w:bodyDiv w:val="1"/>
      <w:marLeft w:val="0"/>
      <w:marRight w:val="0"/>
      <w:marTop w:val="0"/>
      <w:marBottom w:val="0"/>
      <w:divBdr>
        <w:top w:val="none" w:sz="0" w:space="0" w:color="auto"/>
        <w:left w:val="none" w:sz="0" w:space="0" w:color="auto"/>
        <w:bottom w:val="none" w:sz="0" w:space="0" w:color="auto"/>
        <w:right w:val="none" w:sz="0" w:space="0" w:color="auto"/>
      </w:divBdr>
    </w:div>
    <w:div w:id="1118723478">
      <w:bodyDiv w:val="1"/>
      <w:marLeft w:val="0"/>
      <w:marRight w:val="0"/>
      <w:marTop w:val="0"/>
      <w:marBottom w:val="0"/>
      <w:divBdr>
        <w:top w:val="none" w:sz="0" w:space="0" w:color="auto"/>
        <w:left w:val="none" w:sz="0" w:space="0" w:color="auto"/>
        <w:bottom w:val="none" w:sz="0" w:space="0" w:color="auto"/>
        <w:right w:val="none" w:sz="0" w:space="0" w:color="auto"/>
      </w:divBdr>
    </w:div>
    <w:div w:id="1123038816">
      <w:bodyDiv w:val="1"/>
      <w:marLeft w:val="0"/>
      <w:marRight w:val="0"/>
      <w:marTop w:val="0"/>
      <w:marBottom w:val="0"/>
      <w:divBdr>
        <w:top w:val="none" w:sz="0" w:space="0" w:color="auto"/>
        <w:left w:val="none" w:sz="0" w:space="0" w:color="auto"/>
        <w:bottom w:val="none" w:sz="0" w:space="0" w:color="auto"/>
        <w:right w:val="none" w:sz="0" w:space="0" w:color="auto"/>
      </w:divBdr>
    </w:div>
    <w:div w:id="1128469514">
      <w:bodyDiv w:val="1"/>
      <w:marLeft w:val="0"/>
      <w:marRight w:val="0"/>
      <w:marTop w:val="0"/>
      <w:marBottom w:val="0"/>
      <w:divBdr>
        <w:top w:val="none" w:sz="0" w:space="0" w:color="auto"/>
        <w:left w:val="none" w:sz="0" w:space="0" w:color="auto"/>
        <w:bottom w:val="none" w:sz="0" w:space="0" w:color="auto"/>
        <w:right w:val="none" w:sz="0" w:space="0" w:color="auto"/>
      </w:divBdr>
    </w:div>
    <w:div w:id="1134910460">
      <w:bodyDiv w:val="1"/>
      <w:marLeft w:val="0"/>
      <w:marRight w:val="0"/>
      <w:marTop w:val="0"/>
      <w:marBottom w:val="0"/>
      <w:divBdr>
        <w:top w:val="none" w:sz="0" w:space="0" w:color="auto"/>
        <w:left w:val="none" w:sz="0" w:space="0" w:color="auto"/>
        <w:bottom w:val="none" w:sz="0" w:space="0" w:color="auto"/>
        <w:right w:val="none" w:sz="0" w:space="0" w:color="auto"/>
      </w:divBdr>
    </w:div>
    <w:div w:id="1142232034">
      <w:bodyDiv w:val="1"/>
      <w:marLeft w:val="0"/>
      <w:marRight w:val="0"/>
      <w:marTop w:val="0"/>
      <w:marBottom w:val="0"/>
      <w:divBdr>
        <w:top w:val="none" w:sz="0" w:space="0" w:color="auto"/>
        <w:left w:val="none" w:sz="0" w:space="0" w:color="auto"/>
        <w:bottom w:val="none" w:sz="0" w:space="0" w:color="auto"/>
        <w:right w:val="none" w:sz="0" w:space="0" w:color="auto"/>
      </w:divBdr>
    </w:div>
    <w:div w:id="1144588911">
      <w:bodyDiv w:val="1"/>
      <w:marLeft w:val="0"/>
      <w:marRight w:val="0"/>
      <w:marTop w:val="0"/>
      <w:marBottom w:val="0"/>
      <w:divBdr>
        <w:top w:val="none" w:sz="0" w:space="0" w:color="auto"/>
        <w:left w:val="none" w:sz="0" w:space="0" w:color="auto"/>
        <w:bottom w:val="none" w:sz="0" w:space="0" w:color="auto"/>
        <w:right w:val="none" w:sz="0" w:space="0" w:color="auto"/>
      </w:divBdr>
    </w:div>
    <w:div w:id="1153334580">
      <w:bodyDiv w:val="1"/>
      <w:marLeft w:val="0"/>
      <w:marRight w:val="0"/>
      <w:marTop w:val="0"/>
      <w:marBottom w:val="0"/>
      <w:divBdr>
        <w:top w:val="none" w:sz="0" w:space="0" w:color="auto"/>
        <w:left w:val="none" w:sz="0" w:space="0" w:color="auto"/>
        <w:bottom w:val="none" w:sz="0" w:space="0" w:color="auto"/>
        <w:right w:val="none" w:sz="0" w:space="0" w:color="auto"/>
      </w:divBdr>
    </w:div>
    <w:div w:id="1154100185">
      <w:bodyDiv w:val="1"/>
      <w:marLeft w:val="0"/>
      <w:marRight w:val="0"/>
      <w:marTop w:val="0"/>
      <w:marBottom w:val="0"/>
      <w:divBdr>
        <w:top w:val="none" w:sz="0" w:space="0" w:color="auto"/>
        <w:left w:val="none" w:sz="0" w:space="0" w:color="auto"/>
        <w:bottom w:val="none" w:sz="0" w:space="0" w:color="auto"/>
        <w:right w:val="none" w:sz="0" w:space="0" w:color="auto"/>
      </w:divBdr>
    </w:div>
    <w:div w:id="1155030246">
      <w:bodyDiv w:val="1"/>
      <w:marLeft w:val="0"/>
      <w:marRight w:val="0"/>
      <w:marTop w:val="0"/>
      <w:marBottom w:val="0"/>
      <w:divBdr>
        <w:top w:val="none" w:sz="0" w:space="0" w:color="auto"/>
        <w:left w:val="none" w:sz="0" w:space="0" w:color="auto"/>
        <w:bottom w:val="none" w:sz="0" w:space="0" w:color="auto"/>
        <w:right w:val="none" w:sz="0" w:space="0" w:color="auto"/>
      </w:divBdr>
    </w:div>
    <w:div w:id="1211574708">
      <w:bodyDiv w:val="1"/>
      <w:marLeft w:val="0"/>
      <w:marRight w:val="0"/>
      <w:marTop w:val="0"/>
      <w:marBottom w:val="0"/>
      <w:divBdr>
        <w:top w:val="none" w:sz="0" w:space="0" w:color="auto"/>
        <w:left w:val="none" w:sz="0" w:space="0" w:color="auto"/>
        <w:bottom w:val="none" w:sz="0" w:space="0" w:color="auto"/>
        <w:right w:val="none" w:sz="0" w:space="0" w:color="auto"/>
      </w:divBdr>
    </w:div>
    <w:div w:id="1222984886">
      <w:bodyDiv w:val="1"/>
      <w:marLeft w:val="0"/>
      <w:marRight w:val="0"/>
      <w:marTop w:val="0"/>
      <w:marBottom w:val="0"/>
      <w:divBdr>
        <w:top w:val="none" w:sz="0" w:space="0" w:color="auto"/>
        <w:left w:val="none" w:sz="0" w:space="0" w:color="auto"/>
        <w:bottom w:val="none" w:sz="0" w:space="0" w:color="auto"/>
        <w:right w:val="none" w:sz="0" w:space="0" w:color="auto"/>
      </w:divBdr>
    </w:div>
    <w:div w:id="1235121847">
      <w:bodyDiv w:val="1"/>
      <w:marLeft w:val="0"/>
      <w:marRight w:val="0"/>
      <w:marTop w:val="0"/>
      <w:marBottom w:val="0"/>
      <w:divBdr>
        <w:top w:val="none" w:sz="0" w:space="0" w:color="auto"/>
        <w:left w:val="none" w:sz="0" w:space="0" w:color="auto"/>
        <w:bottom w:val="none" w:sz="0" w:space="0" w:color="auto"/>
        <w:right w:val="none" w:sz="0" w:space="0" w:color="auto"/>
      </w:divBdr>
    </w:div>
    <w:div w:id="1237279688">
      <w:bodyDiv w:val="1"/>
      <w:marLeft w:val="0"/>
      <w:marRight w:val="0"/>
      <w:marTop w:val="0"/>
      <w:marBottom w:val="0"/>
      <w:divBdr>
        <w:top w:val="none" w:sz="0" w:space="0" w:color="auto"/>
        <w:left w:val="none" w:sz="0" w:space="0" w:color="auto"/>
        <w:bottom w:val="none" w:sz="0" w:space="0" w:color="auto"/>
        <w:right w:val="none" w:sz="0" w:space="0" w:color="auto"/>
      </w:divBdr>
    </w:div>
    <w:div w:id="1262294384">
      <w:bodyDiv w:val="1"/>
      <w:marLeft w:val="0"/>
      <w:marRight w:val="0"/>
      <w:marTop w:val="0"/>
      <w:marBottom w:val="0"/>
      <w:divBdr>
        <w:top w:val="none" w:sz="0" w:space="0" w:color="auto"/>
        <w:left w:val="none" w:sz="0" w:space="0" w:color="auto"/>
        <w:bottom w:val="none" w:sz="0" w:space="0" w:color="auto"/>
        <w:right w:val="none" w:sz="0" w:space="0" w:color="auto"/>
      </w:divBdr>
    </w:div>
    <w:div w:id="1269463487">
      <w:bodyDiv w:val="1"/>
      <w:marLeft w:val="0"/>
      <w:marRight w:val="0"/>
      <w:marTop w:val="0"/>
      <w:marBottom w:val="0"/>
      <w:divBdr>
        <w:top w:val="none" w:sz="0" w:space="0" w:color="auto"/>
        <w:left w:val="none" w:sz="0" w:space="0" w:color="auto"/>
        <w:bottom w:val="none" w:sz="0" w:space="0" w:color="auto"/>
        <w:right w:val="none" w:sz="0" w:space="0" w:color="auto"/>
      </w:divBdr>
    </w:div>
    <w:div w:id="1301183173">
      <w:bodyDiv w:val="1"/>
      <w:marLeft w:val="0"/>
      <w:marRight w:val="0"/>
      <w:marTop w:val="0"/>
      <w:marBottom w:val="0"/>
      <w:divBdr>
        <w:top w:val="none" w:sz="0" w:space="0" w:color="auto"/>
        <w:left w:val="none" w:sz="0" w:space="0" w:color="auto"/>
        <w:bottom w:val="none" w:sz="0" w:space="0" w:color="auto"/>
        <w:right w:val="none" w:sz="0" w:space="0" w:color="auto"/>
      </w:divBdr>
    </w:div>
    <w:div w:id="1304968468">
      <w:bodyDiv w:val="1"/>
      <w:marLeft w:val="0"/>
      <w:marRight w:val="0"/>
      <w:marTop w:val="0"/>
      <w:marBottom w:val="0"/>
      <w:divBdr>
        <w:top w:val="none" w:sz="0" w:space="0" w:color="auto"/>
        <w:left w:val="none" w:sz="0" w:space="0" w:color="auto"/>
        <w:bottom w:val="none" w:sz="0" w:space="0" w:color="auto"/>
        <w:right w:val="none" w:sz="0" w:space="0" w:color="auto"/>
      </w:divBdr>
    </w:div>
    <w:div w:id="1325667055">
      <w:bodyDiv w:val="1"/>
      <w:marLeft w:val="0"/>
      <w:marRight w:val="0"/>
      <w:marTop w:val="0"/>
      <w:marBottom w:val="0"/>
      <w:divBdr>
        <w:top w:val="none" w:sz="0" w:space="0" w:color="auto"/>
        <w:left w:val="none" w:sz="0" w:space="0" w:color="auto"/>
        <w:bottom w:val="none" w:sz="0" w:space="0" w:color="auto"/>
        <w:right w:val="none" w:sz="0" w:space="0" w:color="auto"/>
      </w:divBdr>
    </w:div>
    <w:div w:id="1330720460">
      <w:bodyDiv w:val="1"/>
      <w:marLeft w:val="0"/>
      <w:marRight w:val="0"/>
      <w:marTop w:val="0"/>
      <w:marBottom w:val="0"/>
      <w:divBdr>
        <w:top w:val="none" w:sz="0" w:space="0" w:color="auto"/>
        <w:left w:val="none" w:sz="0" w:space="0" w:color="auto"/>
        <w:bottom w:val="none" w:sz="0" w:space="0" w:color="auto"/>
        <w:right w:val="none" w:sz="0" w:space="0" w:color="auto"/>
      </w:divBdr>
    </w:div>
    <w:div w:id="1345594921">
      <w:bodyDiv w:val="1"/>
      <w:marLeft w:val="0"/>
      <w:marRight w:val="0"/>
      <w:marTop w:val="0"/>
      <w:marBottom w:val="0"/>
      <w:divBdr>
        <w:top w:val="none" w:sz="0" w:space="0" w:color="auto"/>
        <w:left w:val="none" w:sz="0" w:space="0" w:color="auto"/>
        <w:bottom w:val="none" w:sz="0" w:space="0" w:color="auto"/>
        <w:right w:val="none" w:sz="0" w:space="0" w:color="auto"/>
      </w:divBdr>
    </w:div>
    <w:div w:id="1369795882">
      <w:bodyDiv w:val="1"/>
      <w:marLeft w:val="0"/>
      <w:marRight w:val="0"/>
      <w:marTop w:val="0"/>
      <w:marBottom w:val="0"/>
      <w:divBdr>
        <w:top w:val="none" w:sz="0" w:space="0" w:color="auto"/>
        <w:left w:val="none" w:sz="0" w:space="0" w:color="auto"/>
        <w:bottom w:val="none" w:sz="0" w:space="0" w:color="auto"/>
        <w:right w:val="none" w:sz="0" w:space="0" w:color="auto"/>
      </w:divBdr>
    </w:div>
    <w:div w:id="1373771793">
      <w:bodyDiv w:val="1"/>
      <w:marLeft w:val="0"/>
      <w:marRight w:val="0"/>
      <w:marTop w:val="0"/>
      <w:marBottom w:val="0"/>
      <w:divBdr>
        <w:top w:val="none" w:sz="0" w:space="0" w:color="auto"/>
        <w:left w:val="none" w:sz="0" w:space="0" w:color="auto"/>
        <w:bottom w:val="none" w:sz="0" w:space="0" w:color="auto"/>
        <w:right w:val="none" w:sz="0" w:space="0" w:color="auto"/>
      </w:divBdr>
    </w:div>
    <w:div w:id="1379478040">
      <w:bodyDiv w:val="1"/>
      <w:marLeft w:val="0"/>
      <w:marRight w:val="0"/>
      <w:marTop w:val="0"/>
      <w:marBottom w:val="0"/>
      <w:divBdr>
        <w:top w:val="none" w:sz="0" w:space="0" w:color="auto"/>
        <w:left w:val="none" w:sz="0" w:space="0" w:color="auto"/>
        <w:bottom w:val="none" w:sz="0" w:space="0" w:color="auto"/>
        <w:right w:val="none" w:sz="0" w:space="0" w:color="auto"/>
      </w:divBdr>
    </w:div>
    <w:div w:id="1403989139">
      <w:bodyDiv w:val="1"/>
      <w:marLeft w:val="0"/>
      <w:marRight w:val="0"/>
      <w:marTop w:val="0"/>
      <w:marBottom w:val="0"/>
      <w:divBdr>
        <w:top w:val="none" w:sz="0" w:space="0" w:color="auto"/>
        <w:left w:val="none" w:sz="0" w:space="0" w:color="auto"/>
        <w:bottom w:val="none" w:sz="0" w:space="0" w:color="auto"/>
        <w:right w:val="none" w:sz="0" w:space="0" w:color="auto"/>
      </w:divBdr>
    </w:div>
    <w:div w:id="1441141872">
      <w:bodyDiv w:val="1"/>
      <w:marLeft w:val="0"/>
      <w:marRight w:val="0"/>
      <w:marTop w:val="0"/>
      <w:marBottom w:val="0"/>
      <w:divBdr>
        <w:top w:val="none" w:sz="0" w:space="0" w:color="auto"/>
        <w:left w:val="none" w:sz="0" w:space="0" w:color="auto"/>
        <w:bottom w:val="none" w:sz="0" w:space="0" w:color="auto"/>
        <w:right w:val="none" w:sz="0" w:space="0" w:color="auto"/>
      </w:divBdr>
    </w:div>
    <w:div w:id="1441602529">
      <w:bodyDiv w:val="1"/>
      <w:marLeft w:val="0"/>
      <w:marRight w:val="0"/>
      <w:marTop w:val="0"/>
      <w:marBottom w:val="0"/>
      <w:divBdr>
        <w:top w:val="none" w:sz="0" w:space="0" w:color="auto"/>
        <w:left w:val="none" w:sz="0" w:space="0" w:color="auto"/>
        <w:bottom w:val="none" w:sz="0" w:space="0" w:color="auto"/>
        <w:right w:val="none" w:sz="0" w:space="0" w:color="auto"/>
      </w:divBdr>
    </w:div>
    <w:div w:id="1443916996">
      <w:bodyDiv w:val="1"/>
      <w:marLeft w:val="0"/>
      <w:marRight w:val="0"/>
      <w:marTop w:val="0"/>
      <w:marBottom w:val="0"/>
      <w:divBdr>
        <w:top w:val="none" w:sz="0" w:space="0" w:color="auto"/>
        <w:left w:val="none" w:sz="0" w:space="0" w:color="auto"/>
        <w:bottom w:val="none" w:sz="0" w:space="0" w:color="auto"/>
        <w:right w:val="none" w:sz="0" w:space="0" w:color="auto"/>
      </w:divBdr>
    </w:div>
    <w:div w:id="1456675696">
      <w:bodyDiv w:val="1"/>
      <w:marLeft w:val="0"/>
      <w:marRight w:val="0"/>
      <w:marTop w:val="0"/>
      <w:marBottom w:val="0"/>
      <w:divBdr>
        <w:top w:val="none" w:sz="0" w:space="0" w:color="auto"/>
        <w:left w:val="none" w:sz="0" w:space="0" w:color="auto"/>
        <w:bottom w:val="none" w:sz="0" w:space="0" w:color="auto"/>
        <w:right w:val="none" w:sz="0" w:space="0" w:color="auto"/>
      </w:divBdr>
    </w:div>
    <w:div w:id="1461150954">
      <w:bodyDiv w:val="1"/>
      <w:marLeft w:val="0"/>
      <w:marRight w:val="0"/>
      <w:marTop w:val="0"/>
      <w:marBottom w:val="0"/>
      <w:divBdr>
        <w:top w:val="none" w:sz="0" w:space="0" w:color="auto"/>
        <w:left w:val="none" w:sz="0" w:space="0" w:color="auto"/>
        <w:bottom w:val="none" w:sz="0" w:space="0" w:color="auto"/>
        <w:right w:val="none" w:sz="0" w:space="0" w:color="auto"/>
      </w:divBdr>
    </w:div>
    <w:div w:id="1478839968">
      <w:bodyDiv w:val="1"/>
      <w:marLeft w:val="0"/>
      <w:marRight w:val="0"/>
      <w:marTop w:val="0"/>
      <w:marBottom w:val="0"/>
      <w:divBdr>
        <w:top w:val="none" w:sz="0" w:space="0" w:color="auto"/>
        <w:left w:val="none" w:sz="0" w:space="0" w:color="auto"/>
        <w:bottom w:val="none" w:sz="0" w:space="0" w:color="auto"/>
        <w:right w:val="none" w:sz="0" w:space="0" w:color="auto"/>
      </w:divBdr>
    </w:div>
    <w:div w:id="1479495740">
      <w:bodyDiv w:val="1"/>
      <w:marLeft w:val="0"/>
      <w:marRight w:val="0"/>
      <w:marTop w:val="0"/>
      <w:marBottom w:val="0"/>
      <w:divBdr>
        <w:top w:val="none" w:sz="0" w:space="0" w:color="auto"/>
        <w:left w:val="none" w:sz="0" w:space="0" w:color="auto"/>
        <w:bottom w:val="none" w:sz="0" w:space="0" w:color="auto"/>
        <w:right w:val="none" w:sz="0" w:space="0" w:color="auto"/>
      </w:divBdr>
    </w:div>
    <w:div w:id="1481120981">
      <w:bodyDiv w:val="1"/>
      <w:marLeft w:val="0"/>
      <w:marRight w:val="0"/>
      <w:marTop w:val="0"/>
      <w:marBottom w:val="0"/>
      <w:divBdr>
        <w:top w:val="none" w:sz="0" w:space="0" w:color="auto"/>
        <w:left w:val="none" w:sz="0" w:space="0" w:color="auto"/>
        <w:bottom w:val="none" w:sz="0" w:space="0" w:color="auto"/>
        <w:right w:val="none" w:sz="0" w:space="0" w:color="auto"/>
      </w:divBdr>
    </w:div>
    <w:div w:id="1490752772">
      <w:bodyDiv w:val="1"/>
      <w:marLeft w:val="0"/>
      <w:marRight w:val="0"/>
      <w:marTop w:val="0"/>
      <w:marBottom w:val="0"/>
      <w:divBdr>
        <w:top w:val="none" w:sz="0" w:space="0" w:color="auto"/>
        <w:left w:val="none" w:sz="0" w:space="0" w:color="auto"/>
        <w:bottom w:val="none" w:sz="0" w:space="0" w:color="auto"/>
        <w:right w:val="none" w:sz="0" w:space="0" w:color="auto"/>
      </w:divBdr>
    </w:div>
    <w:div w:id="1492452585">
      <w:bodyDiv w:val="1"/>
      <w:marLeft w:val="0"/>
      <w:marRight w:val="0"/>
      <w:marTop w:val="0"/>
      <w:marBottom w:val="0"/>
      <w:divBdr>
        <w:top w:val="none" w:sz="0" w:space="0" w:color="auto"/>
        <w:left w:val="none" w:sz="0" w:space="0" w:color="auto"/>
        <w:bottom w:val="none" w:sz="0" w:space="0" w:color="auto"/>
        <w:right w:val="none" w:sz="0" w:space="0" w:color="auto"/>
      </w:divBdr>
    </w:div>
    <w:div w:id="1496720975">
      <w:bodyDiv w:val="1"/>
      <w:marLeft w:val="0"/>
      <w:marRight w:val="0"/>
      <w:marTop w:val="0"/>
      <w:marBottom w:val="0"/>
      <w:divBdr>
        <w:top w:val="none" w:sz="0" w:space="0" w:color="auto"/>
        <w:left w:val="none" w:sz="0" w:space="0" w:color="auto"/>
        <w:bottom w:val="none" w:sz="0" w:space="0" w:color="auto"/>
        <w:right w:val="none" w:sz="0" w:space="0" w:color="auto"/>
      </w:divBdr>
    </w:div>
    <w:div w:id="1501963974">
      <w:bodyDiv w:val="1"/>
      <w:marLeft w:val="0"/>
      <w:marRight w:val="0"/>
      <w:marTop w:val="0"/>
      <w:marBottom w:val="0"/>
      <w:divBdr>
        <w:top w:val="none" w:sz="0" w:space="0" w:color="auto"/>
        <w:left w:val="none" w:sz="0" w:space="0" w:color="auto"/>
        <w:bottom w:val="none" w:sz="0" w:space="0" w:color="auto"/>
        <w:right w:val="none" w:sz="0" w:space="0" w:color="auto"/>
      </w:divBdr>
    </w:div>
    <w:div w:id="1528451057">
      <w:bodyDiv w:val="1"/>
      <w:marLeft w:val="0"/>
      <w:marRight w:val="0"/>
      <w:marTop w:val="0"/>
      <w:marBottom w:val="0"/>
      <w:divBdr>
        <w:top w:val="none" w:sz="0" w:space="0" w:color="auto"/>
        <w:left w:val="none" w:sz="0" w:space="0" w:color="auto"/>
        <w:bottom w:val="none" w:sz="0" w:space="0" w:color="auto"/>
        <w:right w:val="none" w:sz="0" w:space="0" w:color="auto"/>
      </w:divBdr>
    </w:div>
    <w:div w:id="1532038077">
      <w:bodyDiv w:val="1"/>
      <w:marLeft w:val="0"/>
      <w:marRight w:val="0"/>
      <w:marTop w:val="0"/>
      <w:marBottom w:val="0"/>
      <w:divBdr>
        <w:top w:val="none" w:sz="0" w:space="0" w:color="auto"/>
        <w:left w:val="none" w:sz="0" w:space="0" w:color="auto"/>
        <w:bottom w:val="none" w:sz="0" w:space="0" w:color="auto"/>
        <w:right w:val="none" w:sz="0" w:space="0" w:color="auto"/>
      </w:divBdr>
    </w:div>
    <w:div w:id="1532376177">
      <w:bodyDiv w:val="1"/>
      <w:marLeft w:val="0"/>
      <w:marRight w:val="0"/>
      <w:marTop w:val="0"/>
      <w:marBottom w:val="0"/>
      <w:divBdr>
        <w:top w:val="none" w:sz="0" w:space="0" w:color="auto"/>
        <w:left w:val="none" w:sz="0" w:space="0" w:color="auto"/>
        <w:bottom w:val="none" w:sz="0" w:space="0" w:color="auto"/>
        <w:right w:val="none" w:sz="0" w:space="0" w:color="auto"/>
      </w:divBdr>
    </w:div>
    <w:div w:id="1536969489">
      <w:bodyDiv w:val="1"/>
      <w:marLeft w:val="0"/>
      <w:marRight w:val="0"/>
      <w:marTop w:val="0"/>
      <w:marBottom w:val="0"/>
      <w:divBdr>
        <w:top w:val="none" w:sz="0" w:space="0" w:color="auto"/>
        <w:left w:val="none" w:sz="0" w:space="0" w:color="auto"/>
        <w:bottom w:val="none" w:sz="0" w:space="0" w:color="auto"/>
        <w:right w:val="none" w:sz="0" w:space="0" w:color="auto"/>
      </w:divBdr>
    </w:div>
    <w:div w:id="1544636616">
      <w:bodyDiv w:val="1"/>
      <w:marLeft w:val="0"/>
      <w:marRight w:val="0"/>
      <w:marTop w:val="0"/>
      <w:marBottom w:val="0"/>
      <w:divBdr>
        <w:top w:val="none" w:sz="0" w:space="0" w:color="auto"/>
        <w:left w:val="none" w:sz="0" w:space="0" w:color="auto"/>
        <w:bottom w:val="none" w:sz="0" w:space="0" w:color="auto"/>
        <w:right w:val="none" w:sz="0" w:space="0" w:color="auto"/>
      </w:divBdr>
    </w:div>
    <w:div w:id="1548882188">
      <w:bodyDiv w:val="1"/>
      <w:marLeft w:val="0"/>
      <w:marRight w:val="0"/>
      <w:marTop w:val="0"/>
      <w:marBottom w:val="0"/>
      <w:divBdr>
        <w:top w:val="none" w:sz="0" w:space="0" w:color="auto"/>
        <w:left w:val="none" w:sz="0" w:space="0" w:color="auto"/>
        <w:bottom w:val="none" w:sz="0" w:space="0" w:color="auto"/>
        <w:right w:val="none" w:sz="0" w:space="0" w:color="auto"/>
      </w:divBdr>
    </w:div>
    <w:div w:id="1567060137">
      <w:bodyDiv w:val="1"/>
      <w:marLeft w:val="0"/>
      <w:marRight w:val="0"/>
      <w:marTop w:val="0"/>
      <w:marBottom w:val="0"/>
      <w:divBdr>
        <w:top w:val="none" w:sz="0" w:space="0" w:color="auto"/>
        <w:left w:val="none" w:sz="0" w:space="0" w:color="auto"/>
        <w:bottom w:val="none" w:sz="0" w:space="0" w:color="auto"/>
        <w:right w:val="none" w:sz="0" w:space="0" w:color="auto"/>
      </w:divBdr>
    </w:div>
    <w:div w:id="1567834869">
      <w:bodyDiv w:val="1"/>
      <w:marLeft w:val="0"/>
      <w:marRight w:val="0"/>
      <w:marTop w:val="0"/>
      <w:marBottom w:val="0"/>
      <w:divBdr>
        <w:top w:val="none" w:sz="0" w:space="0" w:color="auto"/>
        <w:left w:val="none" w:sz="0" w:space="0" w:color="auto"/>
        <w:bottom w:val="none" w:sz="0" w:space="0" w:color="auto"/>
        <w:right w:val="none" w:sz="0" w:space="0" w:color="auto"/>
      </w:divBdr>
    </w:div>
    <w:div w:id="1574899307">
      <w:bodyDiv w:val="1"/>
      <w:marLeft w:val="0"/>
      <w:marRight w:val="0"/>
      <w:marTop w:val="0"/>
      <w:marBottom w:val="0"/>
      <w:divBdr>
        <w:top w:val="none" w:sz="0" w:space="0" w:color="auto"/>
        <w:left w:val="none" w:sz="0" w:space="0" w:color="auto"/>
        <w:bottom w:val="none" w:sz="0" w:space="0" w:color="auto"/>
        <w:right w:val="none" w:sz="0" w:space="0" w:color="auto"/>
      </w:divBdr>
    </w:div>
    <w:div w:id="1595867500">
      <w:bodyDiv w:val="1"/>
      <w:marLeft w:val="0"/>
      <w:marRight w:val="0"/>
      <w:marTop w:val="0"/>
      <w:marBottom w:val="0"/>
      <w:divBdr>
        <w:top w:val="none" w:sz="0" w:space="0" w:color="auto"/>
        <w:left w:val="none" w:sz="0" w:space="0" w:color="auto"/>
        <w:bottom w:val="none" w:sz="0" w:space="0" w:color="auto"/>
        <w:right w:val="none" w:sz="0" w:space="0" w:color="auto"/>
      </w:divBdr>
    </w:div>
    <w:div w:id="1599604804">
      <w:bodyDiv w:val="1"/>
      <w:marLeft w:val="0"/>
      <w:marRight w:val="0"/>
      <w:marTop w:val="0"/>
      <w:marBottom w:val="0"/>
      <w:divBdr>
        <w:top w:val="none" w:sz="0" w:space="0" w:color="auto"/>
        <w:left w:val="none" w:sz="0" w:space="0" w:color="auto"/>
        <w:bottom w:val="none" w:sz="0" w:space="0" w:color="auto"/>
        <w:right w:val="none" w:sz="0" w:space="0" w:color="auto"/>
      </w:divBdr>
    </w:div>
    <w:div w:id="1606158698">
      <w:bodyDiv w:val="1"/>
      <w:marLeft w:val="0"/>
      <w:marRight w:val="0"/>
      <w:marTop w:val="0"/>
      <w:marBottom w:val="0"/>
      <w:divBdr>
        <w:top w:val="none" w:sz="0" w:space="0" w:color="auto"/>
        <w:left w:val="none" w:sz="0" w:space="0" w:color="auto"/>
        <w:bottom w:val="none" w:sz="0" w:space="0" w:color="auto"/>
        <w:right w:val="none" w:sz="0" w:space="0" w:color="auto"/>
      </w:divBdr>
    </w:div>
    <w:div w:id="1610694438">
      <w:bodyDiv w:val="1"/>
      <w:marLeft w:val="0"/>
      <w:marRight w:val="0"/>
      <w:marTop w:val="0"/>
      <w:marBottom w:val="0"/>
      <w:divBdr>
        <w:top w:val="none" w:sz="0" w:space="0" w:color="auto"/>
        <w:left w:val="none" w:sz="0" w:space="0" w:color="auto"/>
        <w:bottom w:val="none" w:sz="0" w:space="0" w:color="auto"/>
        <w:right w:val="none" w:sz="0" w:space="0" w:color="auto"/>
      </w:divBdr>
    </w:div>
    <w:div w:id="1617447814">
      <w:bodyDiv w:val="1"/>
      <w:marLeft w:val="0"/>
      <w:marRight w:val="0"/>
      <w:marTop w:val="0"/>
      <w:marBottom w:val="0"/>
      <w:divBdr>
        <w:top w:val="none" w:sz="0" w:space="0" w:color="auto"/>
        <w:left w:val="none" w:sz="0" w:space="0" w:color="auto"/>
        <w:bottom w:val="none" w:sz="0" w:space="0" w:color="auto"/>
        <w:right w:val="none" w:sz="0" w:space="0" w:color="auto"/>
      </w:divBdr>
    </w:div>
    <w:div w:id="1620188161">
      <w:bodyDiv w:val="1"/>
      <w:marLeft w:val="0"/>
      <w:marRight w:val="0"/>
      <w:marTop w:val="0"/>
      <w:marBottom w:val="0"/>
      <w:divBdr>
        <w:top w:val="none" w:sz="0" w:space="0" w:color="auto"/>
        <w:left w:val="none" w:sz="0" w:space="0" w:color="auto"/>
        <w:bottom w:val="none" w:sz="0" w:space="0" w:color="auto"/>
        <w:right w:val="none" w:sz="0" w:space="0" w:color="auto"/>
      </w:divBdr>
    </w:div>
    <w:div w:id="1626809188">
      <w:bodyDiv w:val="1"/>
      <w:marLeft w:val="0"/>
      <w:marRight w:val="0"/>
      <w:marTop w:val="0"/>
      <w:marBottom w:val="0"/>
      <w:divBdr>
        <w:top w:val="none" w:sz="0" w:space="0" w:color="auto"/>
        <w:left w:val="none" w:sz="0" w:space="0" w:color="auto"/>
        <w:bottom w:val="none" w:sz="0" w:space="0" w:color="auto"/>
        <w:right w:val="none" w:sz="0" w:space="0" w:color="auto"/>
      </w:divBdr>
    </w:div>
    <w:div w:id="1632395475">
      <w:bodyDiv w:val="1"/>
      <w:marLeft w:val="0"/>
      <w:marRight w:val="0"/>
      <w:marTop w:val="0"/>
      <w:marBottom w:val="0"/>
      <w:divBdr>
        <w:top w:val="none" w:sz="0" w:space="0" w:color="auto"/>
        <w:left w:val="none" w:sz="0" w:space="0" w:color="auto"/>
        <w:bottom w:val="none" w:sz="0" w:space="0" w:color="auto"/>
        <w:right w:val="none" w:sz="0" w:space="0" w:color="auto"/>
      </w:divBdr>
    </w:div>
    <w:div w:id="1634753600">
      <w:bodyDiv w:val="1"/>
      <w:marLeft w:val="0"/>
      <w:marRight w:val="0"/>
      <w:marTop w:val="0"/>
      <w:marBottom w:val="0"/>
      <w:divBdr>
        <w:top w:val="none" w:sz="0" w:space="0" w:color="auto"/>
        <w:left w:val="none" w:sz="0" w:space="0" w:color="auto"/>
        <w:bottom w:val="none" w:sz="0" w:space="0" w:color="auto"/>
        <w:right w:val="none" w:sz="0" w:space="0" w:color="auto"/>
      </w:divBdr>
    </w:div>
    <w:div w:id="1645740760">
      <w:bodyDiv w:val="1"/>
      <w:marLeft w:val="0"/>
      <w:marRight w:val="0"/>
      <w:marTop w:val="0"/>
      <w:marBottom w:val="0"/>
      <w:divBdr>
        <w:top w:val="none" w:sz="0" w:space="0" w:color="auto"/>
        <w:left w:val="none" w:sz="0" w:space="0" w:color="auto"/>
        <w:bottom w:val="none" w:sz="0" w:space="0" w:color="auto"/>
        <w:right w:val="none" w:sz="0" w:space="0" w:color="auto"/>
      </w:divBdr>
    </w:div>
    <w:div w:id="1646348322">
      <w:bodyDiv w:val="1"/>
      <w:marLeft w:val="0"/>
      <w:marRight w:val="0"/>
      <w:marTop w:val="0"/>
      <w:marBottom w:val="0"/>
      <w:divBdr>
        <w:top w:val="none" w:sz="0" w:space="0" w:color="auto"/>
        <w:left w:val="none" w:sz="0" w:space="0" w:color="auto"/>
        <w:bottom w:val="none" w:sz="0" w:space="0" w:color="auto"/>
        <w:right w:val="none" w:sz="0" w:space="0" w:color="auto"/>
      </w:divBdr>
    </w:div>
    <w:div w:id="1650136222">
      <w:bodyDiv w:val="1"/>
      <w:marLeft w:val="0"/>
      <w:marRight w:val="0"/>
      <w:marTop w:val="0"/>
      <w:marBottom w:val="0"/>
      <w:divBdr>
        <w:top w:val="none" w:sz="0" w:space="0" w:color="auto"/>
        <w:left w:val="none" w:sz="0" w:space="0" w:color="auto"/>
        <w:bottom w:val="none" w:sz="0" w:space="0" w:color="auto"/>
        <w:right w:val="none" w:sz="0" w:space="0" w:color="auto"/>
      </w:divBdr>
    </w:div>
    <w:div w:id="1652784211">
      <w:bodyDiv w:val="1"/>
      <w:marLeft w:val="0"/>
      <w:marRight w:val="0"/>
      <w:marTop w:val="0"/>
      <w:marBottom w:val="0"/>
      <w:divBdr>
        <w:top w:val="none" w:sz="0" w:space="0" w:color="auto"/>
        <w:left w:val="none" w:sz="0" w:space="0" w:color="auto"/>
        <w:bottom w:val="none" w:sz="0" w:space="0" w:color="auto"/>
        <w:right w:val="none" w:sz="0" w:space="0" w:color="auto"/>
      </w:divBdr>
    </w:div>
    <w:div w:id="1653484717">
      <w:bodyDiv w:val="1"/>
      <w:marLeft w:val="0"/>
      <w:marRight w:val="0"/>
      <w:marTop w:val="0"/>
      <w:marBottom w:val="0"/>
      <w:divBdr>
        <w:top w:val="none" w:sz="0" w:space="0" w:color="auto"/>
        <w:left w:val="none" w:sz="0" w:space="0" w:color="auto"/>
        <w:bottom w:val="none" w:sz="0" w:space="0" w:color="auto"/>
        <w:right w:val="none" w:sz="0" w:space="0" w:color="auto"/>
      </w:divBdr>
    </w:div>
    <w:div w:id="1658413884">
      <w:bodyDiv w:val="1"/>
      <w:marLeft w:val="0"/>
      <w:marRight w:val="0"/>
      <w:marTop w:val="0"/>
      <w:marBottom w:val="0"/>
      <w:divBdr>
        <w:top w:val="none" w:sz="0" w:space="0" w:color="auto"/>
        <w:left w:val="none" w:sz="0" w:space="0" w:color="auto"/>
        <w:bottom w:val="none" w:sz="0" w:space="0" w:color="auto"/>
        <w:right w:val="none" w:sz="0" w:space="0" w:color="auto"/>
      </w:divBdr>
    </w:div>
    <w:div w:id="1665863072">
      <w:bodyDiv w:val="1"/>
      <w:marLeft w:val="0"/>
      <w:marRight w:val="0"/>
      <w:marTop w:val="0"/>
      <w:marBottom w:val="0"/>
      <w:divBdr>
        <w:top w:val="none" w:sz="0" w:space="0" w:color="auto"/>
        <w:left w:val="none" w:sz="0" w:space="0" w:color="auto"/>
        <w:bottom w:val="none" w:sz="0" w:space="0" w:color="auto"/>
        <w:right w:val="none" w:sz="0" w:space="0" w:color="auto"/>
      </w:divBdr>
    </w:div>
    <w:div w:id="1676030140">
      <w:bodyDiv w:val="1"/>
      <w:marLeft w:val="0"/>
      <w:marRight w:val="0"/>
      <w:marTop w:val="0"/>
      <w:marBottom w:val="0"/>
      <w:divBdr>
        <w:top w:val="none" w:sz="0" w:space="0" w:color="auto"/>
        <w:left w:val="none" w:sz="0" w:space="0" w:color="auto"/>
        <w:bottom w:val="none" w:sz="0" w:space="0" w:color="auto"/>
        <w:right w:val="none" w:sz="0" w:space="0" w:color="auto"/>
      </w:divBdr>
    </w:div>
    <w:div w:id="1705204942">
      <w:bodyDiv w:val="1"/>
      <w:marLeft w:val="0"/>
      <w:marRight w:val="0"/>
      <w:marTop w:val="0"/>
      <w:marBottom w:val="0"/>
      <w:divBdr>
        <w:top w:val="none" w:sz="0" w:space="0" w:color="auto"/>
        <w:left w:val="none" w:sz="0" w:space="0" w:color="auto"/>
        <w:bottom w:val="none" w:sz="0" w:space="0" w:color="auto"/>
        <w:right w:val="none" w:sz="0" w:space="0" w:color="auto"/>
      </w:divBdr>
    </w:div>
    <w:div w:id="1709799448">
      <w:bodyDiv w:val="1"/>
      <w:marLeft w:val="0"/>
      <w:marRight w:val="0"/>
      <w:marTop w:val="0"/>
      <w:marBottom w:val="0"/>
      <w:divBdr>
        <w:top w:val="none" w:sz="0" w:space="0" w:color="auto"/>
        <w:left w:val="none" w:sz="0" w:space="0" w:color="auto"/>
        <w:bottom w:val="none" w:sz="0" w:space="0" w:color="auto"/>
        <w:right w:val="none" w:sz="0" w:space="0" w:color="auto"/>
      </w:divBdr>
    </w:div>
    <w:div w:id="1713650278">
      <w:bodyDiv w:val="1"/>
      <w:marLeft w:val="0"/>
      <w:marRight w:val="0"/>
      <w:marTop w:val="0"/>
      <w:marBottom w:val="0"/>
      <w:divBdr>
        <w:top w:val="none" w:sz="0" w:space="0" w:color="auto"/>
        <w:left w:val="none" w:sz="0" w:space="0" w:color="auto"/>
        <w:bottom w:val="none" w:sz="0" w:space="0" w:color="auto"/>
        <w:right w:val="none" w:sz="0" w:space="0" w:color="auto"/>
      </w:divBdr>
    </w:div>
    <w:div w:id="1718897502">
      <w:bodyDiv w:val="1"/>
      <w:marLeft w:val="0"/>
      <w:marRight w:val="0"/>
      <w:marTop w:val="0"/>
      <w:marBottom w:val="0"/>
      <w:divBdr>
        <w:top w:val="none" w:sz="0" w:space="0" w:color="auto"/>
        <w:left w:val="none" w:sz="0" w:space="0" w:color="auto"/>
        <w:bottom w:val="none" w:sz="0" w:space="0" w:color="auto"/>
        <w:right w:val="none" w:sz="0" w:space="0" w:color="auto"/>
      </w:divBdr>
    </w:div>
    <w:div w:id="1782841731">
      <w:bodyDiv w:val="1"/>
      <w:marLeft w:val="0"/>
      <w:marRight w:val="0"/>
      <w:marTop w:val="0"/>
      <w:marBottom w:val="0"/>
      <w:divBdr>
        <w:top w:val="none" w:sz="0" w:space="0" w:color="auto"/>
        <w:left w:val="none" w:sz="0" w:space="0" w:color="auto"/>
        <w:bottom w:val="none" w:sz="0" w:space="0" w:color="auto"/>
        <w:right w:val="none" w:sz="0" w:space="0" w:color="auto"/>
      </w:divBdr>
    </w:div>
    <w:div w:id="1838956733">
      <w:bodyDiv w:val="1"/>
      <w:marLeft w:val="0"/>
      <w:marRight w:val="0"/>
      <w:marTop w:val="0"/>
      <w:marBottom w:val="0"/>
      <w:divBdr>
        <w:top w:val="none" w:sz="0" w:space="0" w:color="auto"/>
        <w:left w:val="none" w:sz="0" w:space="0" w:color="auto"/>
        <w:bottom w:val="none" w:sz="0" w:space="0" w:color="auto"/>
        <w:right w:val="none" w:sz="0" w:space="0" w:color="auto"/>
      </w:divBdr>
    </w:div>
    <w:div w:id="1880972135">
      <w:bodyDiv w:val="1"/>
      <w:marLeft w:val="0"/>
      <w:marRight w:val="0"/>
      <w:marTop w:val="0"/>
      <w:marBottom w:val="0"/>
      <w:divBdr>
        <w:top w:val="none" w:sz="0" w:space="0" w:color="auto"/>
        <w:left w:val="none" w:sz="0" w:space="0" w:color="auto"/>
        <w:bottom w:val="none" w:sz="0" w:space="0" w:color="auto"/>
        <w:right w:val="none" w:sz="0" w:space="0" w:color="auto"/>
      </w:divBdr>
    </w:div>
    <w:div w:id="1892378766">
      <w:bodyDiv w:val="1"/>
      <w:marLeft w:val="0"/>
      <w:marRight w:val="0"/>
      <w:marTop w:val="0"/>
      <w:marBottom w:val="0"/>
      <w:divBdr>
        <w:top w:val="none" w:sz="0" w:space="0" w:color="auto"/>
        <w:left w:val="none" w:sz="0" w:space="0" w:color="auto"/>
        <w:bottom w:val="none" w:sz="0" w:space="0" w:color="auto"/>
        <w:right w:val="none" w:sz="0" w:space="0" w:color="auto"/>
      </w:divBdr>
    </w:div>
    <w:div w:id="1898083296">
      <w:bodyDiv w:val="1"/>
      <w:marLeft w:val="0"/>
      <w:marRight w:val="0"/>
      <w:marTop w:val="0"/>
      <w:marBottom w:val="0"/>
      <w:divBdr>
        <w:top w:val="none" w:sz="0" w:space="0" w:color="auto"/>
        <w:left w:val="none" w:sz="0" w:space="0" w:color="auto"/>
        <w:bottom w:val="none" w:sz="0" w:space="0" w:color="auto"/>
        <w:right w:val="none" w:sz="0" w:space="0" w:color="auto"/>
      </w:divBdr>
    </w:div>
    <w:div w:id="1898779840">
      <w:bodyDiv w:val="1"/>
      <w:marLeft w:val="0"/>
      <w:marRight w:val="0"/>
      <w:marTop w:val="0"/>
      <w:marBottom w:val="0"/>
      <w:divBdr>
        <w:top w:val="none" w:sz="0" w:space="0" w:color="auto"/>
        <w:left w:val="none" w:sz="0" w:space="0" w:color="auto"/>
        <w:bottom w:val="none" w:sz="0" w:space="0" w:color="auto"/>
        <w:right w:val="none" w:sz="0" w:space="0" w:color="auto"/>
      </w:divBdr>
    </w:div>
    <w:div w:id="1917668945">
      <w:bodyDiv w:val="1"/>
      <w:marLeft w:val="0"/>
      <w:marRight w:val="0"/>
      <w:marTop w:val="0"/>
      <w:marBottom w:val="0"/>
      <w:divBdr>
        <w:top w:val="none" w:sz="0" w:space="0" w:color="auto"/>
        <w:left w:val="none" w:sz="0" w:space="0" w:color="auto"/>
        <w:bottom w:val="none" w:sz="0" w:space="0" w:color="auto"/>
        <w:right w:val="none" w:sz="0" w:space="0" w:color="auto"/>
      </w:divBdr>
    </w:div>
    <w:div w:id="1924800509">
      <w:bodyDiv w:val="1"/>
      <w:marLeft w:val="0"/>
      <w:marRight w:val="0"/>
      <w:marTop w:val="0"/>
      <w:marBottom w:val="0"/>
      <w:divBdr>
        <w:top w:val="none" w:sz="0" w:space="0" w:color="auto"/>
        <w:left w:val="none" w:sz="0" w:space="0" w:color="auto"/>
        <w:bottom w:val="none" w:sz="0" w:space="0" w:color="auto"/>
        <w:right w:val="none" w:sz="0" w:space="0" w:color="auto"/>
      </w:divBdr>
    </w:div>
    <w:div w:id="1932198654">
      <w:bodyDiv w:val="1"/>
      <w:marLeft w:val="0"/>
      <w:marRight w:val="0"/>
      <w:marTop w:val="0"/>
      <w:marBottom w:val="0"/>
      <w:divBdr>
        <w:top w:val="none" w:sz="0" w:space="0" w:color="auto"/>
        <w:left w:val="none" w:sz="0" w:space="0" w:color="auto"/>
        <w:bottom w:val="none" w:sz="0" w:space="0" w:color="auto"/>
        <w:right w:val="none" w:sz="0" w:space="0" w:color="auto"/>
      </w:divBdr>
    </w:div>
    <w:div w:id="2011517664">
      <w:bodyDiv w:val="1"/>
      <w:marLeft w:val="0"/>
      <w:marRight w:val="0"/>
      <w:marTop w:val="0"/>
      <w:marBottom w:val="0"/>
      <w:divBdr>
        <w:top w:val="none" w:sz="0" w:space="0" w:color="auto"/>
        <w:left w:val="none" w:sz="0" w:space="0" w:color="auto"/>
        <w:bottom w:val="none" w:sz="0" w:space="0" w:color="auto"/>
        <w:right w:val="none" w:sz="0" w:space="0" w:color="auto"/>
      </w:divBdr>
    </w:div>
    <w:div w:id="2018194526">
      <w:bodyDiv w:val="1"/>
      <w:marLeft w:val="0"/>
      <w:marRight w:val="0"/>
      <w:marTop w:val="0"/>
      <w:marBottom w:val="0"/>
      <w:divBdr>
        <w:top w:val="none" w:sz="0" w:space="0" w:color="auto"/>
        <w:left w:val="none" w:sz="0" w:space="0" w:color="auto"/>
        <w:bottom w:val="none" w:sz="0" w:space="0" w:color="auto"/>
        <w:right w:val="none" w:sz="0" w:space="0" w:color="auto"/>
      </w:divBdr>
    </w:div>
    <w:div w:id="2027708980">
      <w:bodyDiv w:val="1"/>
      <w:marLeft w:val="0"/>
      <w:marRight w:val="0"/>
      <w:marTop w:val="0"/>
      <w:marBottom w:val="0"/>
      <w:divBdr>
        <w:top w:val="none" w:sz="0" w:space="0" w:color="auto"/>
        <w:left w:val="none" w:sz="0" w:space="0" w:color="auto"/>
        <w:bottom w:val="none" w:sz="0" w:space="0" w:color="auto"/>
        <w:right w:val="none" w:sz="0" w:space="0" w:color="auto"/>
      </w:divBdr>
    </w:div>
    <w:div w:id="2032753751">
      <w:bodyDiv w:val="1"/>
      <w:marLeft w:val="0"/>
      <w:marRight w:val="0"/>
      <w:marTop w:val="0"/>
      <w:marBottom w:val="0"/>
      <w:divBdr>
        <w:top w:val="none" w:sz="0" w:space="0" w:color="auto"/>
        <w:left w:val="none" w:sz="0" w:space="0" w:color="auto"/>
        <w:bottom w:val="none" w:sz="0" w:space="0" w:color="auto"/>
        <w:right w:val="none" w:sz="0" w:space="0" w:color="auto"/>
      </w:divBdr>
    </w:div>
    <w:div w:id="2041084210">
      <w:bodyDiv w:val="1"/>
      <w:marLeft w:val="0"/>
      <w:marRight w:val="0"/>
      <w:marTop w:val="0"/>
      <w:marBottom w:val="0"/>
      <w:divBdr>
        <w:top w:val="none" w:sz="0" w:space="0" w:color="auto"/>
        <w:left w:val="none" w:sz="0" w:space="0" w:color="auto"/>
        <w:bottom w:val="none" w:sz="0" w:space="0" w:color="auto"/>
        <w:right w:val="none" w:sz="0" w:space="0" w:color="auto"/>
      </w:divBdr>
    </w:div>
    <w:div w:id="2046101269">
      <w:bodyDiv w:val="1"/>
      <w:marLeft w:val="0"/>
      <w:marRight w:val="0"/>
      <w:marTop w:val="0"/>
      <w:marBottom w:val="0"/>
      <w:divBdr>
        <w:top w:val="none" w:sz="0" w:space="0" w:color="auto"/>
        <w:left w:val="none" w:sz="0" w:space="0" w:color="auto"/>
        <w:bottom w:val="none" w:sz="0" w:space="0" w:color="auto"/>
        <w:right w:val="none" w:sz="0" w:space="0" w:color="auto"/>
      </w:divBdr>
    </w:div>
    <w:div w:id="2047679775">
      <w:bodyDiv w:val="1"/>
      <w:marLeft w:val="0"/>
      <w:marRight w:val="0"/>
      <w:marTop w:val="0"/>
      <w:marBottom w:val="0"/>
      <w:divBdr>
        <w:top w:val="none" w:sz="0" w:space="0" w:color="auto"/>
        <w:left w:val="none" w:sz="0" w:space="0" w:color="auto"/>
        <w:bottom w:val="none" w:sz="0" w:space="0" w:color="auto"/>
        <w:right w:val="none" w:sz="0" w:space="0" w:color="auto"/>
      </w:divBdr>
    </w:div>
    <w:div w:id="2059160051">
      <w:bodyDiv w:val="1"/>
      <w:marLeft w:val="0"/>
      <w:marRight w:val="0"/>
      <w:marTop w:val="0"/>
      <w:marBottom w:val="0"/>
      <w:divBdr>
        <w:top w:val="none" w:sz="0" w:space="0" w:color="auto"/>
        <w:left w:val="none" w:sz="0" w:space="0" w:color="auto"/>
        <w:bottom w:val="none" w:sz="0" w:space="0" w:color="auto"/>
        <w:right w:val="none" w:sz="0" w:space="0" w:color="auto"/>
      </w:divBdr>
    </w:div>
    <w:div w:id="2062246065">
      <w:bodyDiv w:val="1"/>
      <w:marLeft w:val="0"/>
      <w:marRight w:val="0"/>
      <w:marTop w:val="0"/>
      <w:marBottom w:val="0"/>
      <w:divBdr>
        <w:top w:val="none" w:sz="0" w:space="0" w:color="auto"/>
        <w:left w:val="none" w:sz="0" w:space="0" w:color="auto"/>
        <w:bottom w:val="none" w:sz="0" w:space="0" w:color="auto"/>
        <w:right w:val="none" w:sz="0" w:space="0" w:color="auto"/>
      </w:divBdr>
    </w:div>
    <w:div w:id="2126844381">
      <w:bodyDiv w:val="1"/>
      <w:marLeft w:val="0"/>
      <w:marRight w:val="0"/>
      <w:marTop w:val="0"/>
      <w:marBottom w:val="0"/>
      <w:divBdr>
        <w:top w:val="none" w:sz="0" w:space="0" w:color="auto"/>
        <w:left w:val="none" w:sz="0" w:space="0" w:color="auto"/>
        <w:bottom w:val="none" w:sz="0" w:space="0" w:color="auto"/>
        <w:right w:val="none" w:sz="0" w:space="0" w:color="auto"/>
      </w:divBdr>
    </w:div>
    <w:div w:id="2135634434">
      <w:bodyDiv w:val="1"/>
      <w:marLeft w:val="0"/>
      <w:marRight w:val="0"/>
      <w:marTop w:val="0"/>
      <w:marBottom w:val="0"/>
      <w:divBdr>
        <w:top w:val="none" w:sz="0" w:space="0" w:color="auto"/>
        <w:left w:val="none" w:sz="0" w:space="0" w:color="auto"/>
        <w:bottom w:val="none" w:sz="0" w:space="0" w:color="auto"/>
        <w:right w:val="none" w:sz="0" w:space="0" w:color="auto"/>
      </w:divBdr>
    </w:div>
    <w:div w:id="21402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bcina-ig.si/index.php?option=com_content&amp;view=article&amp;id=63&amp;Itemid=91&amp;lang=sl" TargetMode="External"/><Relationship Id="rId21" Type="http://schemas.openxmlformats.org/officeDocument/2006/relationships/hyperlink" Target="http://www.obcina-ig.si/index.php?option=com_content&amp;view=article&amp;id=67&amp;Itemid=95&amp;lang=sl" TargetMode="External"/><Relationship Id="rId42" Type="http://schemas.openxmlformats.org/officeDocument/2006/relationships/hyperlink" Target="http://www.obcina-ig.si/index.php?option=com_content&amp;view=article&amp;id=65&amp;Itemid=93&amp;lang=sl" TargetMode="External"/><Relationship Id="rId47" Type="http://schemas.openxmlformats.org/officeDocument/2006/relationships/hyperlink" Target="http://www.obcina-ig.si/index.php?option=com_content&amp;view=article&amp;id=58&amp;Itemid=86&amp;lang=sl" TargetMode="External"/><Relationship Id="rId63" Type="http://schemas.openxmlformats.org/officeDocument/2006/relationships/image" Target="media/image19.png"/><Relationship Id="rId68" Type="http://schemas.openxmlformats.org/officeDocument/2006/relationships/image" Target="media/image24.png"/><Relationship Id="rId84" Type="http://schemas.openxmlformats.org/officeDocument/2006/relationships/hyperlink" Target="https://www.uradni-list.si/glasilo-uradni-list-rs/vsebina/2024-01-3310" TargetMode="External"/><Relationship Id="rId89" Type="http://schemas.openxmlformats.org/officeDocument/2006/relationships/header" Target="header3.xml"/><Relationship Id="rId112" Type="http://schemas.openxmlformats.org/officeDocument/2006/relationships/header" Target="header14.xml"/><Relationship Id="rId16" Type="http://schemas.openxmlformats.org/officeDocument/2006/relationships/footer" Target="footer1.xml"/><Relationship Id="rId107" Type="http://schemas.openxmlformats.org/officeDocument/2006/relationships/image" Target="media/image39.png"/><Relationship Id="rId11" Type="http://schemas.openxmlformats.org/officeDocument/2006/relationships/image" Target="media/image3.png"/><Relationship Id="rId32" Type="http://schemas.openxmlformats.org/officeDocument/2006/relationships/hyperlink" Target="http://www.obcina-ig.si/index.php?option=com_content&amp;view=article&amp;id=62&amp;Itemid=90&amp;lang=sl" TargetMode="External"/><Relationship Id="rId53" Type="http://schemas.openxmlformats.org/officeDocument/2006/relationships/header" Target="header2.xml"/><Relationship Id="rId58" Type="http://schemas.openxmlformats.org/officeDocument/2006/relationships/image" Target="media/image14.png"/><Relationship Id="rId74" Type="http://schemas.openxmlformats.org/officeDocument/2006/relationships/hyperlink" Target="https://www.uradni-list.si/glasilo-uradni-list-rs/vsebina/2014-01-3486" TargetMode="External"/><Relationship Id="rId79" Type="http://schemas.openxmlformats.org/officeDocument/2006/relationships/hyperlink" Target="https://www.uradni-list.si/glasilo-uradni-list-rs/vsebina/2021-01-3898" TargetMode="External"/><Relationship Id="rId102" Type="http://schemas.openxmlformats.org/officeDocument/2006/relationships/header" Target="header9.xml"/><Relationship Id="rId5" Type="http://schemas.openxmlformats.org/officeDocument/2006/relationships/settings" Target="settings.xml"/><Relationship Id="rId90" Type="http://schemas.openxmlformats.org/officeDocument/2006/relationships/header" Target="header4.xml"/><Relationship Id="rId95" Type="http://schemas.openxmlformats.org/officeDocument/2006/relationships/image" Target="media/image32.emf"/><Relationship Id="rId22" Type="http://schemas.openxmlformats.org/officeDocument/2006/relationships/hyperlink" Target="http://www.obcina-ig.si/index.php?option=com_content&amp;view=article&amp;id=48&amp;Itemid=80&amp;lang=sl" TargetMode="External"/><Relationship Id="rId27" Type="http://schemas.openxmlformats.org/officeDocument/2006/relationships/hyperlink" Target="http://www.obcina-ig.si/index.php?option=com_content&amp;view=article&amp;id=59&amp;Itemid=87&amp;lang=sl" TargetMode="External"/><Relationship Id="rId43" Type="http://schemas.openxmlformats.org/officeDocument/2006/relationships/hyperlink" Target="http://www.obcina-ig.si/index.php?option=com_content&amp;view=article&amp;id=63&amp;Itemid=91&amp;lang=sl" TargetMode="External"/><Relationship Id="rId48" Type="http://schemas.openxmlformats.org/officeDocument/2006/relationships/hyperlink" Target="http://www.obcina-ig.si/index.php?option=com_content&amp;view=article&amp;id=61&amp;Itemid=89&amp;lang=sl" TargetMode="External"/><Relationship Id="rId64" Type="http://schemas.openxmlformats.org/officeDocument/2006/relationships/image" Target="media/image20.png"/><Relationship Id="rId69" Type="http://schemas.openxmlformats.org/officeDocument/2006/relationships/hyperlink" Target="https://www.uradni-list.si/glasilo-uradni-list-rs/vsebina/2011-01-0554" TargetMode="External"/><Relationship Id="rId113" Type="http://schemas.openxmlformats.org/officeDocument/2006/relationships/header" Target="header15.xml"/><Relationship Id="rId80" Type="http://schemas.openxmlformats.org/officeDocument/2006/relationships/hyperlink" Target="https://www.uradni-list.si/glasilo-uradni-list-rs/vsebina/2022-01-0015" TargetMode="External"/><Relationship Id="rId85" Type="http://schemas.openxmlformats.org/officeDocument/2006/relationships/image" Target="media/image25.png"/><Relationship Id="rId12" Type="http://schemas.openxmlformats.org/officeDocument/2006/relationships/image" Target="media/image4.emf"/><Relationship Id="rId17" Type="http://schemas.openxmlformats.org/officeDocument/2006/relationships/footer" Target="footer2.xml"/><Relationship Id="rId33" Type="http://schemas.openxmlformats.org/officeDocument/2006/relationships/hyperlink" Target="http://www.obcina-ig.si/index.php?option=com_content&amp;view=article&amp;id=66&amp;Itemid=94&amp;lang=sl" TargetMode="External"/><Relationship Id="rId38" Type="http://schemas.openxmlformats.org/officeDocument/2006/relationships/hyperlink" Target="http://www.obcina-ig.si/index.php?option=com_content&amp;view=article&amp;id=67&amp;Itemid=95&amp;lang=sl" TargetMode="External"/><Relationship Id="rId59" Type="http://schemas.openxmlformats.org/officeDocument/2006/relationships/image" Target="media/image15.jpg"/><Relationship Id="rId103" Type="http://schemas.openxmlformats.org/officeDocument/2006/relationships/image" Target="media/image36.emf"/><Relationship Id="rId108" Type="http://schemas.openxmlformats.org/officeDocument/2006/relationships/header" Target="header10.xml"/><Relationship Id="rId54" Type="http://schemas.openxmlformats.org/officeDocument/2006/relationships/image" Target="media/image10.jpeg"/><Relationship Id="rId70" Type="http://schemas.openxmlformats.org/officeDocument/2006/relationships/hyperlink" Target="https://www.uradni-list.si/glasilo-uradni-list-rs/vsebina/2011-01-0765" TargetMode="External"/><Relationship Id="rId75" Type="http://schemas.openxmlformats.org/officeDocument/2006/relationships/hyperlink" Target="https://www.uradni-list.si/glasilo-uradni-list-rs/vsebina/2015-01-3505" TargetMode="External"/><Relationship Id="rId91" Type="http://schemas.openxmlformats.org/officeDocument/2006/relationships/header" Target="header5.xml"/><Relationship Id="rId96"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obcina-ig.si/index.php?option=com_content&amp;view=article&amp;id=49&amp;Itemid=81&amp;lang=sl" TargetMode="External"/><Relationship Id="rId28" Type="http://schemas.openxmlformats.org/officeDocument/2006/relationships/hyperlink" Target="http://www.obcina-ig.si/index.php?option=com_content&amp;view=article&amp;id=64&amp;Itemid=92&amp;lang=sl" TargetMode="External"/><Relationship Id="rId49" Type="http://schemas.openxmlformats.org/officeDocument/2006/relationships/hyperlink" Target="http://www.obcina-ig.si/index.php?option=com_content&amp;view=article&amp;id=62&amp;Itemid=90&amp;lang=sl" TargetMode="External"/><Relationship Id="rId57" Type="http://schemas.openxmlformats.org/officeDocument/2006/relationships/image" Target="media/image13.png"/><Relationship Id="rId106" Type="http://schemas.openxmlformats.org/officeDocument/2006/relationships/oleObject" Target="embeddings/oleObject1.bin"/><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www.obcina-ig.si/index.php?option=com_content&amp;view=article&amp;id=61&amp;Itemid=89&amp;lang=sl" TargetMode="External"/><Relationship Id="rId44" Type="http://schemas.openxmlformats.org/officeDocument/2006/relationships/hyperlink" Target="http://www.obcina-ig.si/index.php?option=com_content&amp;view=article&amp;id=59&amp;Itemid=87&amp;lang=sl" TargetMode="External"/><Relationship Id="rId52" Type="http://schemas.openxmlformats.org/officeDocument/2006/relationships/header" Target="header1.xml"/><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hyperlink" Target="https://www.uradni-list.si/glasilo-uradni-list-rs/vsebina/2012-01-3288" TargetMode="External"/><Relationship Id="rId78" Type="http://schemas.openxmlformats.org/officeDocument/2006/relationships/hyperlink" Target="https://www.uradni-list.si/glasilo-uradni-list-rs/vsebina/2019-01-3208" TargetMode="External"/><Relationship Id="rId81" Type="http://schemas.openxmlformats.org/officeDocument/2006/relationships/hyperlink" Target="https://www.uradni-list.si/glasilo-uradni-list-rs/vsebina/2022-01-0554" TargetMode="External"/><Relationship Id="rId86" Type="http://schemas.openxmlformats.org/officeDocument/2006/relationships/image" Target="media/image26.png"/><Relationship Id="rId94" Type="http://schemas.openxmlformats.org/officeDocument/2006/relationships/image" Target="media/image31.emf"/><Relationship Id="rId99" Type="http://schemas.openxmlformats.org/officeDocument/2006/relationships/header" Target="header7.xml"/><Relationship Id="rId101"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customXml" Target="ink/ink1.xml"/><Relationship Id="rId39" Type="http://schemas.openxmlformats.org/officeDocument/2006/relationships/hyperlink" Target="http://www.obcina-ig.si/index.php?option=com_content&amp;view=article&amp;id=48&amp;Itemid=80&amp;lang=sl" TargetMode="External"/><Relationship Id="rId109" Type="http://schemas.openxmlformats.org/officeDocument/2006/relationships/header" Target="header11.xml"/><Relationship Id="rId50" Type="http://schemas.openxmlformats.org/officeDocument/2006/relationships/hyperlink" Target="http://www.obcina-ig.si/index.php?option=com_content&amp;view=article&amp;id=66&amp;Itemid=94&amp;lang=sl" TargetMode="External"/><Relationship Id="rId55" Type="http://schemas.openxmlformats.org/officeDocument/2006/relationships/image" Target="media/image11.png"/><Relationship Id="rId76" Type="http://schemas.openxmlformats.org/officeDocument/2006/relationships/hyperlink" Target="https://www.uradni-list.si/glasilo-uradni-list-rs/vsebina/2018-01-3755" TargetMode="External"/><Relationship Id="rId97" Type="http://schemas.openxmlformats.org/officeDocument/2006/relationships/image" Target="media/image34.jpeg"/><Relationship Id="rId104" Type="http://schemas.openxmlformats.org/officeDocument/2006/relationships/image" Target="media/image37.emf"/><Relationship Id="rId7" Type="http://schemas.openxmlformats.org/officeDocument/2006/relationships/footnotes" Target="footnotes.xml"/><Relationship Id="rId71" Type="http://schemas.openxmlformats.org/officeDocument/2006/relationships/hyperlink" Target="https://www.uradni-list.si/glasilo-uradni-list-rs/vsebina/2011-01-3294" TargetMode="External"/><Relationship Id="rId92" Type="http://schemas.openxmlformats.org/officeDocument/2006/relationships/image" Target="media/image29.emf"/><Relationship Id="rId2" Type="http://schemas.openxmlformats.org/officeDocument/2006/relationships/customXml" Target="../customXml/item2.xml"/><Relationship Id="rId29" Type="http://schemas.openxmlformats.org/officeDocument/2006/relationships/hyperlink" Target="http://www.obcina-ig.si/index.php?option=com_content&amp;view=article&amp;id=58&amp;Itemid=86&amp;lang=sl" TargetMode="External"/><Relationship Id="rId24" Type="http://schemas.openxmlformats.org/officeDocument/2006/relationships/hyperlink" Target="http://www.obcina-ig.si/index.php?option=com_content&amp;view=article&amp;id=57&amp;Itemid=85&amp;lang=sl" TargetMode="External"/><Relationship Id="rId40" Type="http://schemas.openxmlformats.org/officeDocument/2006/relationships/hyperlink" Target="http://www.obcina-ig.si/index.php?option=com_content&amp;view=article&amp;id=49&amp;Itemid=81&amp;lang=sl" TargetMode="External"/><Relationship Id="rId45" Type="http://schemas.openxmlformats.org/officeDocument/2006/relationships/hyperlink" Target="http://www.obcina-ig.si/index.php?option=com_content&amp;view=article&amp;id=64&amp;Itemid=92&amp;lang=sl" TargetMode="External"/><Relationship Id="rId66" Type="http://schemas.openxmlformats.org/officeDocument/2006/relationships/image" Target="media/image22.jpeg"/><Relationship Id="rId87" Type="http://schemas.openxmlformats.org/officeDocument/2006/relationships/image" Target="media/image27.png"/><Relationship Id="rId110" Type="http://schemas.openxmlformats.org/officeDocument/2006/relationships/header" Target="header12.xml"/><Relationship Id="rId115" Type="http://schemas.openxmlformats.org/officeDocument/2006/relationships/theme" Target="theme/theme1.xml"/><Relationship Id="rId61" Type="http://schemas.openxmlformats.org/officeDocument/2006/relationships/image" Target="media/image17.png"/><Relationship Id="rId82" Type="http://schemas.openxmlformats.org/officeDocument/2006/relationships/hyperlink" Target="https://www.uradni-list.si/glasilo-uradni-list-rs/vsebina/2023-01-1127" TargetMode="External"/><Relationship Id="rId19" Type="http://schemas.openxmlformats.org/officeDocument/2006/relationships/image" Target="media/image8.png"/><Relationship Id="rId14" Type="http://schemas.openxmlformats.org/officeDocument/2006/relationships/image" Target="media/image6.jpg"/><Relationship Id="rId30" Type="http://schemas.openxmlformats.org/officeDocument/2006/relationships/hyperlink" Target="http://www.obcina-ig.si/index.php?option=com_content&amp;view=article&amp;id=58&amp;Itemid=86&amp;lang=sl" TargetMode="External"/><Relationship Id="rId56" Type="http://schemas.openxmlformats.org/officeDocument/2006/relationships/image" Target="media/image12.png"/><Relationship Id="rId77" Type="http://schemas.openxmlformats.org/officeDocument/2006/relationships/hyperlink" Target="https://www.uradni-list.si/glasilo-uradni-list-rs/vsebina/2019-01-2612" TargetMode="External"/><Relationship Id="rId100" Type="http://schemas.openxmlformats.org/officeDocument/2006/relationships/image" Target="media/image35.emf"/><Relationship Id="rId105" Type="http://schemas.openxmlformats.org/officeDocument/2006/relationships/image" Target="media/image38.png"/><Relationship Id="rId8" Type="http://schemas.openxmlformats.org/officeDocument/2006/relationships/endnotes" Target="endnotes.xml"/><Relationship Id="rId51" Type="http://schemas.openxmlformats.org/officeDocument/2006/relationships/hyperlink" Target="https://www.obcina-ig.si/obcina/katalog-informacij-javnega-znacaja/" TargetMode="External"/><Relationship Id="rId72" Type="http://schemas.openxmlformats.org/officeDocument/2006/relationships/hyperlink" Target="https://www.uradni-list.si/glasilo-uradni-list-rs/vsebina/2012-01-1628" TargetMode="External"/><Relationship Id="rId93" Type="http://schemas.openxmlformats.org/officeDocument/2006/relationships/image" Target="media/image30.emf"/><Relationship Id="rId98" Type="http://schemas.openxmlformats.org/officeDocument/2006/relationships/header" Target="header6.xml"/><Relationship Id="rId3" Type="http://schemas.openxmlformats.org/officeDocument/2006/relationships/numbering" Target="numbering.xml"/><Relationship Id="rId25" Type="http://schemas.openxmlformats.org/officeDocument/2006/relationships/hyperlink" Target="http://www.obcina-ig.si/index.php?option=com_content&amp;view=article&amp;id=65&amp;Itemid=93&amp;lang=sl" TargetMode="External"/><Relationship Id="rId46" Type="http://schemas.openxmlformats.org/officeDocument/2006/relationships/hyperlink" Target="http://www.obcina-ig.si/index.php?option=com_content&amp;view=article&amp;id=58&amp;Itemid=86&amp;lang=sl" TargetMode="External"/><Relationship Id="rId67" Type="http://schemas.openxmlformats.org/officeDocument/2006/relationships/image" Target="media/image23.png"/><Relationship Id="rId20" Type="http://schemas.openxmlformats.org/officeDocument/2006/relationships/image" Target="media/image9.png"/><Relationship Id="rId41" Type="http://schemas.openxmlformats.org/officeDocument/2006/relationships/hyperlink" Target="http://www.obcina-ig.si/index.php?option=com_content&amp;view=article&amp;id=57&amp;Itemid=85&amp;lang=sl" TargetMode="External"/><Relationship Id="rId62" Type="http://schemas.openxmlformats.org/officeDocument/2006/relationships/image" Target="media/image18.png"/><Relationship Id="rId83" Type="http://schemas.openxmlformats.org/officeDocument/2006/relationships/hyperlink" Target="https://www.uradni-list.si/glasilo-uradni-list-rs/vsebina/2023-01-3589" TargetMode="External"/><Relationship Id="rId88" Type="http://schemas.openxmlformats.org/officeDocument/2006/relationships/image" Target="media/image28.jpeg"/><Relationship Id="rId111" Type="http://schemas.openxmlformats.org/officeDocument/2006/relationships/header" Target="header1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1T08:17:42.485"/>
    </inkml:context>
    <inkml:brush xml:id="br0">
      <inkml:brushProperty name="width" value="0.35" units="cm"/>
      <inkml:brushProperty name="height" value="0.35" units="cm"/>
      <inkml:brushProperty name="color" value="#FFFFFF"/>
    </inkml:brush>
  </inkml:definitions>
  <inkml:trace contextRef="#ctx0" brushRef="#br0">0 1 24575</inkml:trace>
  <inkml:trace contextRef="#ctx0" brushRef="#br0" timeOffset="2285.69">1727 177 24575,'-26'-2'0,"-37"-5"0,-17-2 0,-417 7 0,257 4 0,76-2-1365</inkml:trace>
  <inkml:trace contextRef="#ctx0" brushRef="#br0" timeOffset="3368.45">528 89 24575,'14'0'0,"-1"2"0,1-1 0,-1 2 0,0 0 0,15 5 0,62 28 0,-82-33 0,0 1 0,-1-1 0,1 1 0,-1 0 0,0 0 0,0 1 0,8 7 0,-14-11 0,0 0 0,0 0 0,0 0 0,0 0 0,0 0 0,-1 1 0,1-1 0,0 0 0,-1 1 0,1-1 0,-1 0 0,1 1 0,-1-1 0,0 0 0,0 1 0,1-1 0,-1 1 0,0 1 0,-1-1 0,1 0 0,-1 0 0,0 0 0,0-1 0,0 1 0,0 0 0,0 0 0,0 0 0,0-1 0,0 1 0,-1-1 0,1 1 0,-1-1 0,1 1 0,-1-1 0,-2 2 0,-7 5 0,-1-1 0,0 0 0,-1 0 0,1-2 0,-16 6 0,-72 17 0,63-19 0,-40 16 0,71-23 0,-39 18 0,42-19 0,1 1 0,-1-1 0,0 1 0,0 0 0,1 0 0,-1 0 0,1 0 0,-1 1 0,1-1 0,-4 6 0,6-8 0,0 0 0,0 1 0,0-1 0,0 0 0,0 1 0,0-1 0,-1 0 0,1 1 0,0-1 0,1 0 0,-1 1 0,0-1 0,0 0 0,0 0 0,0 1 0,0-1 0,0 0 0,0 1 0,0-1 0,1 0 0,-1 1 0,0-1 0,0 0 0,0 0 0,1 1 0,-1-1 0,0 0 0,0 0 0,1 1 0,-1-1 0,0 0 0,0 0 0,1 0 0,-1 0 0,0 0 0,1 1 0,-1-1 0,0 0 0,1 0 0,-1 0 0,1 0 0,16 4 0,-14-4 0,19 4-1365</inkml:trace>
</inkml:ink>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70F74-5C2F-4294-8F0F-D4C1C7EC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141</Pages>
  <Words>45922</Words>
  <Characters>261762</Characters>
  <Application>Microsoft Office Word</Application>
  <DocSecurity>0</DocSecurity>
  <Lines>2181</Lines>
  <Paragraphs>614</Paragraphs>
  <ScaleCrop>false</ScaleCrop>
  <HeadingPairs>
    <vt:vector size="6" baseType="variant">
      <vt:variant>
        <vt:lpstr>Naslov</vt:lpstr>
      </vt:variant>
      <vt:variant>
        <vt:i4>1</vt:i4>
      </vt:variant>
      <vt:variant>
        <vt:lpstr>Title</vt:lpstr>
      </vt:variant>
      <vt:variant>
        <vt:i4>1</vt:i4>
      </vt:variant>
      <vt:variant>
        <vt:lpstr>Headings</vt:lpstr>
      </vt:variant>
      <vt:variant>
        <vt:i4>42</vt:i4>
      </vt:variant>
    </vt:vector>
  </HeadingPairs>
  <TitlesOfParts>
    <vt:vector size="44" baseType="lpstr">
      <vt:lpstr>INVESTICIJSKI PROGRAM: SPA MAESTOSO</vt:lpstr>
      <vt:lpstr>INVESTICIJSKI PROGRAM: SPA MAESTOSO</vt:lpstr>
      <vt:lpstr>UVODNO POJASNILO</vt:lpstr>
      <vt:lpstr>    O investitorju</vt:lpstr>
      <vt:lpstr>    O upravljavcu</vt:lpstr>
      <vt:lpstr>    Predstavitev izdelovalca investicijskega programa</vt:lpstr>
      <vt:lpstr>    Namen in cilj investicijskega projekta</vt:lpstr>
      <vt:lpstr>    Obdelava variant</vt:lpstr>
      <vt:lpstr>    Varianta »brez investicije«</vt:lpstr>
      <vt:lpstr>    Varianta »z investicijo«</vt:lpstr>
      <vt:lpstr>    Povzetek dokumenta identifikacije investicijskega projekta</vt:lpstr>
      <vt:lpstr>    Povzetek predinvesticijske zasnove</vt:lpstr>
      <vt:lpstr>    Spremembe v fazi izdelave investicijske dokumentacije</vt:lpstr>
      <vt:lpstr>POVZETEK INVESTICIJSKEGA PROGRAMA</vt:lpstr>
      <vt:lpstr>    Namen in cilji investicije </vt:lpstr>
      <vt:lpstr>    Spisek strokovnih podlag</vt:lpstr>
      <vt:lpstr>    Opredelitev vrste projekta </vt:lpstr>
      <vt:lpstr>    Opredelitev vrste investicijskega naročila (ukrepa) </vt:lpstr>
      <vt:lpstr>    Navedba odgovornih oseb</vt:lpstr>
      <vt:lpstr>    Predvidena organizacija in izvedba projekta</vt:lpstr>
      <vt:lpstr>    Prikaz ocenjene vrednosti investicije ter predvidena finančna konstrukcija </vt:lpstr>
      <vt:lpstr>    Način in postopek izbire izvajalcev</vt:lpstr>
      <vt:lpstr>    Časovni načrt vseh aktivnosti</vt:lpstr>
      <vt:lpstr>    Seznam že pripravljene in potrebne dokumentacije</vt:lpstr>
      <vt:lpstr>    Način končnega prevzema in vzpostavitve obratovanja in vzdrževanja</vt:lpstr>
      <vt:lpstr>    Zbirni prikaz rezultatov izračunov ter utemeljitev upravičenosti investicijskega</vt:lpstr>
      <vt:lpstr>OSNOVNI PODATKI O INVESTITORJU IN UPRAVLJAVCU, PARTNERJU IN IZDELOVALCU INVESTIC</vt:lpstr>
      <vt:lpstr>    Osnovni podatki o investitorju</vt:lpstr>
      <vt:lpstr>    Osnovni podatki o naročniku in upravljavcu</vt:lpstr>
      <vt:lpstr>    Osnovni podatki o izdelovalcu investicijske dokumentacije </vt:lpstr>
      <vt:lpstr>ANALIZA OBSTOJEČEGA STANJA </vt:lpstr>
      <vt:lpstr>    Analiza stanja turizma v Sloveniji </vt:lpstr>
      <vt:lpstr>    Analiza stanja turizma v Obalno-kraški regiji </vt:lpstr>
      <vt:lpstr>OSNOVNI PODATKI O KOBILARNI LIPICA </vt:lpstr>
      <vt:lpstr>    Obstoječe stanje hotela Maestoso</vt:lpstr>
      <vt:lpstr>    Razlogi za investicijsko namero in prikaz potreb, ki jih bo zadovoljevala invest</vt:lpstr>
      <vt:lpstr>    Usklajenosti investicijskega projekta z državnim strateškim razvojnim dokumentom</vt:lpstr>
      <vt:lpstr>    Strategija razvoja Slovenije 2030</vt:lpstr>
      <vt:lpstr>    Strategija slovenskega turizma 2022-2028 </vt:lpstr>
      <vt:lpstr>    Vizija Slovenije 2050</vt:lpstr>
      <vt:lpstr>    Strategija prostorskega razvoja Slovenije (SPRS)</vt:lpstr>
      <vt:lpstr>    Strategija razvoja in trženja turizma destinacije Kras in Brkini 2022–2028</vt:lpstr>
      <vt:lpstr>ANALIZA TRŽNIH MOŽNOSTI </vt:lpstr>
      <vt:lpstr>TEHNIČNO-TEHNOLOŠKI DEL</vt:lpstr>
    </vt:vector>
  </TitlesOfParts>
  <Company/>
  <LinksUpToDate>false</LinksUpToDate>
  <CharactersWithSpaces>307070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INVESTICIJSKI PROGRAM: SPA MAESTOSO</dc:title>
  <dc:subject>RAZVOJ IN VZDRŽEVANJE APLIKACIJE SOCIALNA AKTIVACIJA</dc:subject>
  <dc:creator>Martina Magajna</dc:creator>
  <cp:lastModifiedBy>Marjetka Pintarič Župec</cp:lastModifiedBy>
  <cp:revision>2</cp:revision>
  <cp:lastPrinted>2026-06-02T12:40:00Z</cp:lastPrinted>
  <dcterms:created xsi:type="dcterms:W3CDTF">2026-06-02T13:44:00Z</dcterms:created>
  <dcterms:modified xsi:type="dcterms:W3CDTF">2026-06-02T13:44:00Z</dcterms:modified>
</cp:coreProperties>
</file>