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172085802" w:displacedByCustomXml="next"/>
    <w:bookmarkStart w:id="1" w:name="_Toc167653118" w:displacedByCustomXml="next"/>
    <w:bookmarkStart w:id="2" w:name="_Toc126050693" w:displacedByCustomXml="next"/>
    <w:bookmarkStart w:id="3" w:name="_Toc125867336" w:displacedByCustomXml="next"/>
    <w:bookmarkStart w:id="4" w:name="_Toc527818794" w:displacedByCustomXml="next"/>
    <w:bookmarkStart w:id="5" w:name="_Toc527818356" w:displacedByCustomXml="next"/>
    <w:sdt>
      <w:sdtPr>
        <w:rPr>
          <w:rFonts w:ascii="Arial" w:hAnsi="Arial" w:cs="Arial"/>
          <w:color w:val="000000"/>
          <w:sz w:val="32"/>
          <w:szCs w:val="32"/>
        </w:rPr>
        <w:id w:val="1545025346"/>
        <w:docPartObj>
          <w:docPartGallery w:val="Cover Pages"/>
          <w:docPartUnique/>
        </w:docPartObj>
      </w:sdtPr>
      <w:sdtEndPr>
        <w:rPr>
          <w:color w:val="auto"/>
          <w:sz w:val="24"/>
          <w:szCs w:val="24"/>
        </w:rPr>
      </w:sdtEndPr>
      <w:sdtContent>
        <w:p w14:paraId="11682A71" w14:textId="77777777" w:rsidR="001277E9" w:rsidRPr="006B1969" w:rsidRDefault="001277E9" w:rsidP="001277E9">
          <w:pPr>
            <w:spacing w:line="276" w:lineRule="auto"/>
            <w:jc w:val="right"/>
            <w:rPr>
              <w:rFonts w:ascii="Arial" w:hAnsi="Arial" w:cs="Arial"/>
              <w:color w:val="000000"/>
              <w:sz w:val="32"/>
              <w:szCs w:val="32"/>
            </w:rPr>
          </w:pPr>
          <w:r w:rsidRPr="006B1969">
            <w:rPr>
              <w:rFonts w:ascii="Arial" w:hAnsi="Arial" w:cs="Arial"/>
              <w:noProof/>
            </w:rPr>
            <w:drawing>
              <wp:anchor distT="0" distB="0" distL="114300" distR="114300" simplePos="0" relativeHeight="251659776" behindDoc="1" locked="0" layoutInCell="1" allowOverlap="1" wp14:anchorId="4546CB79" wp14:editId="66F09349">
                <wp:simplePos x="0" y="0"/>
                <wp:positionH relativeFrom="column">
                  <wp:posOffset>-4445</wp:posOffset>
                </wp:positionH>
                <wp:positionV relativeFrom="paragraph">
                  <wp:posOffset>-547370</wp:posOffset>
                </wp:positionV>
                <wp:extent cx="5761355" cy="5121275"/>
                <wp:effectExtent l="1028700" t="0" r="868045" b="3175"/>
                <wp:wrapNone/>
                <wp:docPr id="281544873" name="Picture 19"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44873" name="Picture 19" descr="A map of a city&#10;&#10;AI-generated content may be incorrec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5121275"/>
                        </a:xfrm>
                        <a:prstGeom prst="rect">
                          <a:avLst/>
                        </a:prstGeom>
                        <a:noFill/>
                        <a:effectLst>
                          <a:outerShdw blurRad="76200" dir="18900000" sy="23000" kx="-1200000" algn="bl" rotWithShape="0">
                            <a:prstClr val="black">
                              <a:alpha val="20000"/>
                            </a:prstClr>
                          </a:outerShdw>
                        </a:effectLst>
                        <a:scene3d>
                          <a:camera prst="isometricBottomDown"/>
                          <a:lightRig rig="threePt" dir="t"/>
                        </a:scene3d>
                      </pic:spPr>
                    </pic:pic>
                  </a:graphicData>
                </a:graphic>
                <wp14:sizeRelH relativeFrom="margin">
                  <wp14:pctWidth>0</wp14:pctWidth>
                </wp14:sizeRelH>
                <wp14:sizeRelV relativeFrom="margin">
                  <wp14:pctHeight>0</wp14:pctHeight>
                </wp14:sizeRelV>
              </wp:anchor>
            </w:drawing>
          </w:r>
          <w:r w:rsidRPr="006B1969">
            <w:rPr>
              <w:rFonts w:ascii="Arial" w:hAnsi="Arial" w:cs="Arial"/>
              <w:noProof/>
              <w:color w:val="EEECE1"/>
              <w:sz w:val="32"/>
              <w:szCs w:val="32"/>
            </w:rPr>
            <mc:AlternateContent>
              <mc:Choice Requires="wps">
                <w:drawing>
                  <wp:anchor distT="0" distB="0" distL="114300" distR="114300" simplePos="0" relativeHeight="251658752" behindDoc="0" locked="0" layoutInCell="0" allowOverlap="1" wp14:anchorId="2B28E109" wp14:editId="5A4DD68F">
                    <wp:simplePos x="0" y="0"/>
                    <wp:positionH relativeFrom="margin">
                      <wp:posOffset>-617220</wp:posOffset>
                    </wp:positionH>
                    <wp:positionV relativeFrom="page">
                      <wp:posOffset>5252085</wp:posOffset>
                    </wp:positionV>
                    <wp:extent cx="6995160" cy="2635885"/>
                    <wp:effectExtent l="0" t="0" r="0" b="0"/>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2635885"/>
                            </a:xfrm>
                            <a:prstGeom prst="rect">
                              <a:avLst/>
                            </a:prstGeom>
                            <a:solidFill>
                              <a:srgbClr val="A5A5A5">
                                <a:alpha val="89999"/>
                              </a:srgbClr>
                            </a:solidFill>
                            <a:extLst>
                              <a:ext uri="{91240B29-F687-4F45-9708-019B960494DF}">
                                <a14:hiddenLine xmlns:a14="http://schemas.microsoft.com/office/drawing/2010/main" w="9525">
                                  <a:solidFill>
                                    <a:srgbClr val="000000"/>
                                  </a:solidFill>
                                  <a:miter lim="800000"/>
                                  <a:headEnd/>
                                  <a:tailEnd/>
                                </a14:hiddenLine>
                              </a:ext>
                            </a:extLst>
                          </wps:spPr>
                          <wps:txbx>
                            <w:txbxContent>
                              <w:tbl>
                                <w:tblPr>
                                  <w:tblW w:w="5000" w:type="pct"/>
                                  <w:tblCellMar>
                                    <w:left w:w="360" w:type="dxa"/>
                                    <w:right w:w="360" w:type="dxa"/>
                                  </w:tblCellMar>
                                  <w:tblLook w:val="04A0" w:firstRow="1" w:lastRow="0" w:firstColumn="1" w:lastColumn="0" w:noHBand="0" w:noVBand="1"/>
                                </w:tblPr>
                                <w:tblGrid>
                                  <w:gridCol w:w="1999"/>
                                  <w:gridCol w:w="7996"/>
                                </w:tblGrid>
                                <w:tr w:rsidR="001277E9" w14:paraId="0BFAD7E9" w14:textId="77777777" w:rsidTr="006B1969">
                                  <w:trPr>
                                    <w:trHeight w:val="1080"/>
                                  </w:trPr>
                                  <w:sdt>
                                    <w:sdtPr>
                                      <w:rPr>
                                        <w:smallCaps/>
                                        <w:sz w:val="40"/>
                                        <w:szCs w:val="40"/>
                                      </w:rPr>
                                      <w:alias w:val="Company"/>
                                      <w:id w:val="-2130157940"/>
                                      <w:showingPlcHdr/>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vAlign w:val="center"/>
                                        </w:tcPr>
                                        <w:p w14:paraId="7CC68B77" w14:textId="77777777" w:rsidR="001277E9" w:rsidRDefault="001277E9" w:rsidP="003509F8">
                                          <w:pPr>
                                            <w:pStyle w:val="Brezrazmikov"/>
                                            <w:rPr>
                                              <w:smallCaps/>
                                              <w:sz w:val="40"/>
                                              <w:szCs w:val="40"/>
                                            </w:rPr>
                                          </w:pPr>
                                          <w:r>
                                            <w:rPr>
                                              <w:smallCaps/>
                                              <w:sz w:val="40"/>
                                              <w:szCs w:val="40"/>
                                            </w:rPr>
                                            <w:t xml:space="preserve">     </w:t>
                                          </w:r>
                                        </w:p>
                                      </w:tc>
                                    </w:sdtContent>
                                  </w:sdt>
                                  <w:tc>
                                    <w:tcPr>
                                      <w:tcW w:w="4000" w:type="pct"/>
                                      <w:vAlign w:val="center"/>
                                    </w:tcPr>
                                    <w:p w14:paraId="67E15D6C" w14:textId="46CFA3D1" w:rsidR="001277E9" w:rsidRPr="006B1969" w:rsidRDefault="00DE0D0F" w:rsidP="003509F8">
                                      <w:pPr>
                                        <w:pStyle w:val="Brezrazmikov"/>
                                        <w:jc w:val="center"/>
                                        <w:rPr>
                                          <w:rFonts w:ascii="Arial" w:hAnsi="Arial" w:cs="Arial"/>
                                          <w:smallCaps/>
                                          <w:color w:val="FFFFFF"/>
                                          <w:sz w:val="40"/>
                                          <w:szCs w:val="40"/>
                                        </w:rPr>
                                      </w:pPr>
                                      <w:r>
                                        <w:rPr>
                                          <w:rFonts w:ascii="Arial" w:hAnsi="Arial" w:cs="Arial"/>
                                          <w:smallCaps/>
                                          <w:color w:val="FFFFFF"/>
                                          <w:sz w:val="40"/>
                                          <w:szCs w:val="40"/>
                                        </w:rPr>
                                        <w:t>INVESTICIJSKI PROGRAM</w:t>
                                      </w:r>
                                      <w:r w:rsidR="001277E9" w:rsidRPr="00A22298">
                                        <w:rPr>
                                          <w:rFonts w:ascii="Arial" w:hAnsi="Arial" w:cs="Arial"/>
                                          <w:smallCaps/>
                                          <w:color w:val="FFFFFF"/>
                                          <w:sz w:val="40"/>
                                          <w:szCs w:val="40"/>
                                        </w:rPr>
                                        <w:t>:</w:t>
                                      </w:r>
                                    </w:p>
                                    <w:p w14:paraId="4BC9E88D" w14:textId="77777777" w:rsidR="001277E9" w:rsidRPr="006B1969" w:rsidRDefault="001277E9" w:rsidP="003509F8">
                                      <w:pPr>
                                        <w:pStyle w:val="Brezrazmikov"/>
                                        <w:jc w:val="center"/>
                                        <w:rPr>
                                          <w:rFonts w:ascii="Arial" w:hAnsi="Arial" w:cs="Arial"/>
                                          <w:smallCaps/>
                                          <w:color w:val="FFFFFF"/>
                                          <w:sz w:val="40"/>
                                          <w:szCs w:val="40"/>
                                        </w:rPr>
                                      </w:pPr>
                                    </w:p>
                                    <w:p w14:paraId="1BEB4DC7" w14:textId="77777777" w:rsidR="001277E9" w:rsidRPr="006B1969" w:rsidRDefault="001277E9" w:rsidP="006A68A6">
                                      <w:pPr>
                                        <w:pStyle w:val="Brezrazmikov"/>
                                        <w:jc w:val="center"/>
                                        <w:rPr>
                                          <w:rFonts w:ascii="Arial" w:hAnsi="Arial" w:cs="Arial"/>
                                          <w:b/>
                                          <w:smallCaps/>
                                          <w:color w:val="FFFFFF"/>
                                          <w:sz w:val="40"/>
                                          <w:szCs w:val="40"/>
                                        </w:rPr>
                                      </w:pPr>
                                      <w:r w:rsidRPr="006B1969">
                                        <w:rPr>
                                          <w:rFonts w:ascii="Arial" w:hAnsi="Arial" w:cs="Arial"/>
                                          <w:b/>
                                          <w:smallCaps/>
                                          <w:color w:val="FFFFFF"/>
                                          <w:sz w:val="40"/>
                                          <w:szCs w:val="40"/>
                                        </w:rPr>
                                        <w:t>CELOVITA UREDITEV CENTRA IG – UKREPI TRAJNOSTNE MOBILNOSTI</w:t>
                                      </w:r>
                                    </w:p>
                                    <w:p w14:paraId="2D139BFE" w14:textId="77777777" w:rsidR="001277E9" w:rsidRPr="006B1969" w:rsidRDefault="001277E9" w:rsidP="006A68A6">
                                      <w:pPr>
                                        <w:pStyle w:val="Brezrazmikov"/>
                                        <w:jc w:val="center"/>
                                        <w:rPr>
                                          <w:rFonts w:ascii="Arial" w:hAnsi="Arial" w:cs="Arial"/>
                                          <w:b/>
                                          <w:smallCaps/>
                                          <w:color w:val="FFFFFF"/>
                                          <w:sz w:val="40"/>
                                          <w:szCs w:val="40"/>
                                        </w:rPr>
                                      </w:pPr>
                                    </w:p>
                                    <w:p w14:paraId="64542ACD" w14:textId="77777777" w:rsidR="001277E9" w:rsidRPr="006B1969" w:rsidRDefault="001277E9" w:rsidP="006A68A6">
                                      <w:pPr>
                                        <w:pStyle w:val="Brezrazmikov"/>
                                        <w:jc w:val="center"/>
                                        <w:rPr>
                                          <w:rFonts w:ascii="Arial" w:hAnsi="Arial" w:cs="Arial"/>
                                          <w:smallCaps/>
                                          <w:color w:val="FFFFFF"/>
                                          <w:sz w:val="40"/>
                                          <w:szCs w:val="40"/>
                                        </w:rPr>
                                      </w:pPr>
                                    </w:p>
                                  </w:tc>
                                </w:tr>
                              </w:tbl>
                              <w:p w14:paraId="3139CC87" w14:textId="77777777" w:rsidR="001277E9" w:rsidRDefault="001277E9" w:rsidP="001277E9">
                                <w:pPr>
                                  <w:pStyle w:val="Brezrazmikov"/>
                                  <w:spacing w:line="14" w:lineRule="exact"/>
                                </w:pPr>
                              </w:p>
                            </w:txbxContent>
                          </wps:txbx>
                          <wps:bodyPr rot="0" vert="horz" wrap="square" lIns="228600" tIns="0" rIns="228600" bIns="0" anchor="t" anchorCtr="0" upright="1">
                            <a:noAutofit/>
                          </wps:bodyPr>
                        </wps:wsp>
                      </a:graphicData>
                    </a:graphic>
                    <wp14:sizeRelH relativeFrom="page">
                      <wp14:pctWidth>90000</wp14:pctWidth>
                    </wp14:sizeRelH>
                    <wp14:sizeRelV relativeFrom="page">
                      <wp14:pctHeight>0</wp14:pctHeight>
                    </wp14:sizeRelV>
                  </wp:anchor>
                </w:drawing>
              </mc:Choice>
              <mc:Fallback>
                <w:pict>
                  <v:rect w14:anchorId="2B28E109" id="Rectangle 42" o:spid="_x0000_s1026" style="position:absolute;left:0;text-align:left;margin-left:-48.6pt;margin-top:413.55pt;width:550.8pt;height:207.55pt;z-index:251658752;visibility:visible;mso-wrap-style:square;mso-width-percent:900;mso-height-percent:0;mso-wrap-distance-left:9pt;mso-wrap-distance-top:0;mso-wrap-distance-right:9pt;mso-wrap-distance-bottom:0;mso-position-horizontal:absolute;mso-position-horizontal-relative:margin;mso-position-vertical:absolute;mso-position-vertical-relative:page;mso-width-percent:9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" o:allowincell="f" fillcolor="#a5a5a5" stroked="f">
                    <v:fill opacity="58853f"/>
                    <v:textbox inset="18pt,0,18pt,0">
                      <w:txbxContent>
                        <w:tbl>
                          <w:tblPr>
                            <w:tblW w:w="5000" w:type="pct"/>
                            <w:tblCellMar>
                              <w:left w:w="360" w:type="dxa"/>
                              <w:right w:w="360" w:type="dxa"/>
                            </w:tblCellMar>
                            <w:tblLook w:val="04A0" w:firstRow="1" w:lastRow="0" w:firstColumn="1" w:lastColumn="0" w:noHBand="0" w:noVBand="1"/>
                          </w:tblPr>
                          <w:tblGrid>
                            <w:gridCol w:w="1999"/>
                            <w:gridCol w:w="7996"/>
                          </w:tblGrid>
                          <w:tr w:rsidR="001277E9" w14:paraId="0BFAD7E9" w14:textId="77777777" w:rsidTr="006B1969">
                            <w:trPr>
                              <w:trHeight w:val="1080"/>
                            </w:trPr>
                            <w:sdt>
                              <w:sdtPr>
                                <w:rPr>
                                  <w:smallCaps/>
                                  <w:sz w:val="40"/>
                                  <w:szCs w:val="40"/>
                                </w:rPr>
                                <w:alias w:val="Company"/>
                                <w:id w:val="-2130157940"/>
                                <w:showingPlcHdr/>
                                <w:dataBinding w:prefixMappings="xmlns:ns0='http://schemas.openxmlformats.org/officeDocument/2006/extended-properties'" w:xpath="/ns0:Properties[1]/ns0:Company[1]" w:storeItemID="{6668398D-A668-4E3E-A5EB-62B293D839F1}"/>
                                <w:text/>
                              </w:sdtPr>
                              <w:sdtEndPr/>
                              <w:sdtContent>
                                <w:tc>
                                  <w:tcPr>
                                    <w:tcW w:w="1000" w:type="pct"/>
                                    <w:shd w:val="clear" w:color="auto" w:fill="000000"/>
                                    <w:vAlign w:val="center"/>
                                  </w:tcPr>
                                  <w:p w14:paraId="7CC68B77" w14:textId="77777777" w:rsidR="001277E9" w:rsidRDefault="001277E9" w:rsidP="003509F8">
                                    <w:pPr>
                                      <w:pStyle w:val="Brezrazmikov"/>
                                      <w:rPr>
                                        <w:smallCaps/>
                                        <w:sz w:val="40"/>
                                        <w:szCs w:val="40"/>
                                      </w:rPr>
                                    </w:pPr>
                                    <w:r>
                                      <w:rPr>
                                        <w:smallCaps/>
                                        <w:sz w:val="40"/>
                                        <w:szCs w:val="40"/>
                                      </w:rPr>
                                      <w:t xml:space="preserve">     </w:t>
                                    </w:r>
                                  </w:p>
                                </w:tc>
                              </w:sdtContent>
                            </w:sdt>
                            <w:tc>
                              <w:tcPr>
                                <w:tcW w:w="4000" w:type="pct"/>
                                <w:vAlign w:val="center"/>
                              </w:tcPr>
                              <w:p w14:paraId="67E15D6C" w14:textId="46CFA3D1" w:rsidR="001277E9" w:rsidRPr="006B1969" w:rsidRDefault="00DE0D0F" w:rsidP="003509F8">
                                <w:pPr>
                                  <w:pStyle w:val="Brezrazmikov"/>
                                  <w:jc w:val="center"/>
                                  <w:rPr>
                                    <w:rFonts w:ascii="Arial" w:hAnsi="Arial" w:cs="Arial"/>
                                    <w:smallCaps/>
                                    <w:color w:val="FFFFFF"/>
                                    <w:sz w:val="40"/>
                                    <w:szCs w:val="40"/>
                                  </w:rPr>
                                </w:pPr>
                                <w:r>
                                  <w:rPr>
                                    <w:rFonts w:ascii="Arial" w:hAnsi="Arial" w:cs="Arial"/>
                                    <w:smallCaps/>
                                    <w:color w:val="FFFFFF"/>
                                    <w:sz w:val="40"/>
                                    <w:szCs w:val="40"/>
                                  </w:rPr>
                                  <w:t>INVESTICIJSKI PROGRAM</w:t>
                                </w:r>
                                <w:r w:rsidR="001277E9" w:rsidRPr="00A22298">
                                  <w:rPr>
                                    <w:rFonts w:ascii="Arial" w:hAnsi="Arial" w:cs="Arial"/>
                                    <w:smallCaps/>
                                    <w:color w:val="FFFFFF"/>
                                    <w:sz w:val="40"/>
                                    <w:szCs w:val="40"/>
                                  </w:rPr>
                                  <w:t>:</w:t>
                                </w:r>
                              </w:p>
                              <w:p w14:paraId="4BC9E88D" w14:textId="77777777" w:rsidR="001277E9" w:rsidRPr="006B1969" w:rsidRDefault="001277E9" w:rsidP="003509F8">
                                <w:pPr>
                                  <w:pStyle w:val="Brezrazmikov"/>
                                  <w:jc w:val="center"/>
                                  <w:rPr>
                                    <w:rFonts w:ascii="Arial" w:hAnsi="Arial" w:cs="Arial"/>
                                    <w:smallCaps/>
                                    <w:color w:val="FFFFFF"/>
                                    <w:sz w:val="40"/>
                                    <w:szCs w:val="40"/>
                                  </w:rPr>
                                </w:pPr>
                              </w:p>
                              <w:p w14:paraId="1BEB4DC7" w14:textId="77777777" w:rsidR="001277E9" w:rsidRPr="006B1969" w:rsidRDefault="001277E9" w:rsidP="006A68A6">
                                <w:pPr>
                                  <w:pStyle w:val="Brezrazmikov"/>
                                  <w:jc w:val="center"/>
                                  <w:rPr>
                                    <w:rFonts w:ascii="Arial" w:hAnsi="Arial" w:cs="Arial"/>
                                    <w:b/>
                                    <w:smallCaps/>
                                    <w:color w:val="FFFFFF"/>
                                    <w:sz w:val="40"/>
                                    <w:szCs w:val="40"/>
                                  </w:rPr>
                                </w:pPr>
                                <w:r w:rsidRPr="006B1969">
                                  <w:rPr>
                                    <w:rFonts w:ascii="Arial" w:hAnsi="Arial" w:cs="Arial"/>
                                    <w:b/>
                                    <w:smallCaps/>
                                    <w:color w:val="FFFFFF"/>
                                    <w:sz w:val="40"/>
                                    <w:szCs w:val="40"/>
                                  </w:rPr>
                                  <w:t>CELOVITA UREDITEV CENTRA IG – UKREPI TRAJNOSTNE MOBILNOSTI</w:t>
                                </w:r>
                              </w:p>
                              <w:p w14:paraId="2D139BFE" w14:textId="77777777" w:rsidR="001277E9" w:rsidRPr="006B1969" w:rsidRDefault="001277E9" w:rsidP="006A68A6">
                                <w:pPr>
                                  <w:pStyle w:val="Brezrazmikov"/>
                                  <w:jc w:val="center"/>
                                  <w:rPr>
                                    <w:rFonts w:ascii="Arial" w:hAnsi="Arial" w:cs="Arial"/>
                                    <w:b/>
                                    <w:smallCaps/>
                                    <w:color w:val="FFFFFF"/>
                                    <w:sz w:val="40"/>
                                    <w:szCs w:val="40"/>
                                  </w:rPr>
                                </w:pPr>
                              </w:p>
                              <w:p w14:paraId="64542ACD" w14:textId="77777777" w:rsidR="001277E9" w:rsidRPr="006B1969" w:rsidRDefault="001277E9" w:rsidP="006A68A6">
                                <w:pPr>
                                  <w:pStyle w:val="Brezrazmikov"/>
                                  <w:jc w:val="center"/>
                                  <w:rPr>
                                    <w:rFonts w:ascii="Arial" w:hAnsi="Arial" w:cs="Arial"/>
                                    <w:smallCaps/>
                                    <w:color w:val="FFFFFF"/>
                                    <w:sz w:val="40"/>
                                    <w:szCs w:val="40"/>
                                  </w:rPr>
                                </w:pPr>
                              </w:p>
                            </w:tc>
                          </w:tr>
                        </w:tbl>
                        <w:p w14:paraId="3139CC87" w14:textId="77777777" w:rsidR="001277E9" w:rsidRDefault="001277E9" w:rsidP="001277E9">
                          <w:pPr>
                            <w:pStyle w:val="Brezrazmikov"/>
                            <w:spacing w:line="14" w:lineRule="exact"/>
                          </w:pPr>
                        </w:p>
                      </w:txbxContent>
                    </v:textbox>
                    <w10:wrap anchorx="margin" anchory="page"/>
                  </v:rect>
                </w:pict>
              </mc:Fallback>
            </mc:AlternateContent>
          </w:r>
          <w:r w:rsidRPr="006B1969">
            <w:rPr>
              <w:rFonts w:ascii="Arial" w:hAnsi="Arial" w:cs="Arial"/>
              <w:noProof/>
              <w:color w:val="EEECE1"/>
              <w:sz w:val="32"/>
              <w:szCs w:val="32"/>
            </w:rPr>
            <mc:AlternateContent>
              <mc:Choice Requires="wpg">
                <w:drawing>
                  <wp:anchor distT="0" distB="0" distL="114300" distR="114300" simplePos="0" relativeHeight="251656704" behindDoc="1" locked="0" layoutInCell="0" allowOverlap="1" wp14:anchorId="772CFFF1" wp14:editId="1463B225">
                    <wp:simplePos x="0" y="0"/>
                    <wp:positionH relativeFrom="page">
                      <wp:posOffset>-59377</wp:posOffset>
                    </wp:positionH>
                    <wp:positionV relativeFrom="page">
                      <wp:align>center</wp:align>
                    </wp:positionV>
                    <wp:extent cx="7772400" cy="10058400"/>
                    <wp:effectExtent l="0" t="0" r="2540" b="0"/>
                    <wp:wrapNone/>
                    <wp:docPr id="38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84" name="Rectangle 40"/>
                            <wps:cNvSpPr>
                              <a:spLocks noChangeArrowheads="1"/>
                            </wps:cNvSpPr>
                            <wps:spPr bwMode="auto">
                              <a:xfrm>
                                <a:off x="0" y="0"/>
                                <a:ext cx="12240" cy="15840"/>
                              </a:xfrm>
                              <a:prstGeom prst="rect">
                                <a:avLst/>
                              </a:prstGeom>
                              <a:solidFill>
                                <a:srgbClr val="4F81BD">
                                  <a:lumMod val="40000"/>
                                  <a:lumOff val="60000"/>
                                </a:srgb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Rectangle 41"/>
                            <wps:cNvSpPr>
                              <a:spLocks noChangeArrowheads="1"/>
                            </wps:cNvSpPr>
                            <wps:spPr bwMode="auto">
                              <a:xfrm>
                                <a:off x="612" y="638"/>
                                <a:ext cx="11016" cy="14564"/>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w14:anchorId="0D022D04" id="Group 39" o:spid="_x0000_s1026" style="position:absolute;margin-left:-4.7pt;margin-top:0;width:612pt;height:11in;z-index:-251657216;mso-width-percent:1000;mso-height-percent:1000;mso-position-horizontal-relative:page;mso-position-vertical:center;mso-position-vertical-relative:page;mso-width-percent:1000;mso-height-percent:1000"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" o:allowincell="f">
                    <v:rect id="Rectangle 40" o:spid="_x0000_s1027" style="position:absolute;width:12240;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" fillcolor="#b9cde5" stroked="f"/>
                    <v:rect id="Rectangle 41" o:spid="_x0000_s1028" style="position:absolute;left:612;top:638;width:11016;height:14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" stroked="f"/>
                    <w10:wrap anchorx="page" anchory="page"/>
                  </v:group>
                </w:pict>
              </mc:Fallback>
            </mc:AlternateContent>
          </w:r>
        </w:p>
        <w:tbl>
          <w:tblPr>
            <w:tblpPr w:leftFromText="187" w:rightFromText="187" w:horzAnchor="margin" w:tblpXSpec="center" w:tblpYSpec="bottom"/>
            <w:tblOverlap w:val="never"/>
            <w:tblW w:w="0" w:type="auto"/>
            <w:tblLook w:val="04A0" w:firstRow="1" w:lastRow="0" w:firstColumn="1" w:lastColumn="0" w:noHBand="0" w:noVBand="1"/>
          </w:tblPr>
          <w:tblGrid>
            <w:gridCol w:w="9072"/>
          </w:tblGrid>
          <w:tr w:rsidR="001277E9" w:rsidRPr="006B1969" w14:paraId="43B035B9" w14:textId="77777777" w:rsidTr="0093689D">
            <w:trPr>
              <w:trHeight w:val="360"/>
            </w:trPr>
            <w:tc>
              <w:tcPr>
                <w:tcW w:w="9072" w:type="dxa"/>
              </w:tcPr>
              <w:p w14:paraId="6430EAE5" w14:textId="77777777" w:rsidR="001277E9" w:rsidRPr="006B1969" w:rsidRDefault="001277E9" w:rsidP="0093689D">
                <w:pPr>
                  <w:spacing w:line="276" w:lineRule="auto"/>
                  <w:jc w:val="center"/>
                  <w:rPr>
                    <w:rFonts w:ascii="Arial" w:hAnsi="Arial" w:cs="Arial"/>
                    <w:color w:val="000000"/>
                    <w:sz w:val="32"/>
                    <w:szCs w:val="32"/>
                    <w:lang w:eastAsia="zh-TW"/>
                  </w:rPr>
                </w:pPr>
                <w:r w:rsidRPr="006B1969">
                  <w:rPr>
                    <w:rFonts w:ascii="Arial" w:hAnsi="Arial" w:cs="Arial"/>
                    <w:color w:val="000000"/>
                    <w:sz w:val="32"/>
                    <w:szCs w:val="32"/>
                    <w:lang w:eastAsia="zh-TW"/>
                  </w:rPr>
                  <w:t xml:space="preserve">Naročnik: </w:t>
                </w:r>
                <w:r w:rsidRPr="006B1969">
                  <w:rPr>
                    <w:rFonts w:ascii="Arial" w:hAnsi="Arial" w:cs="Arial"/>
                    <w:b/>
                    <w:color w:val="000000"/>
                    <w:sz w:val="32"/>
                    <w:szCs w:val="32"/>
                    <w:lang w:eastAsia="zh-TW"/>
                  </w:rPr>
                  <w:t>OBČINA IG</w:t>
                </w:r>
                <w:r w:rsidRPr="006B1969">
                  <w:rPr>
                    <w:rFonts w:ascii="Arial" w:hAnsi="Arial" w:cs="Arial"/>
                    <w:color w:val="000000"/>
                    <w:sz w:val="32"/>
                    <w:szCs w:val="32"/>
                    <w:lang w:eastAsia="zh-TW"/>
                  </w:rPr>
                  <w:t>, Govekarjeva cesta 6, 1292 Ig</w:t>
                </w:r>
              </w:p>
            </w:tc>
          </w:tr>
        </w:tbl>
        <w:p w14:paraId="5A09CE93" w14:textId="77777777" w:rsidR="001277E9" w:rsidRPr="006B1969" w:rsidRDefault="001277E9" w:rsidP="001277E9">
          <w:pPr>
            <w:spacing w:line="276" w:lineRule="auto"/>
            <w:rPr>
              <w:rFonts w:ascii="Arial" w:hAnsi="Arial" w:cs="Arial"/>
            </w:rPr>
          </w:pPr>
          <w:r w:rsidRPr="006B1969">
            <w:rPr>
              <w:rFonts w:ascii="Arial" w:hAnsi="Arial" w:cs="Arial"/>
            </w:rPr>
            <w:br w:type="page"/>
          </w:r>
        </w:p>
      </w:sdtContent>
    </w:sdt>
    <w:bookmarkEnd w:id="5"/>
    <w:bookmarkEnd w:id="4"/>
    <w:bookmarkEnd w:id="3"/>
    <w:bookmarkEnd w:id="2"/>
    <w:bookmarkEnd w:id="1"/>
    <w:bookmarkEnd w:id="0"/>
    <w:p w14:paraId="3AEF574C" w14:textId="77777777" w:rsidR="005972E8" w:rsidRPr="005972E8" w:rsidRDefault="005972E8" w:rsidP="005972E8">
      <w:pPr>
        <w:rPr>
          <w:rFonts w:ascii="Arial" w:hAnsi="Arial" w:cs="Arial"/>
        </w:rPr>
      </w:pPr>
    </w:p>
    <w:p w14:paraId="0AF4E351" w14:textId="77777777" w:rsidR="005972E8" w:rsidRPr="005972E8" w:rsidRDefault="005972E8" w:rsidP="005972E8">
      <w:pPr>
        <w:jc w:val="center"/>
        <w:rPr>
          <w:rFonts w:ascii="Arial" w:hAnsi="Arial" w:cs="Arial"/>
          <w:highlight w:val="yellow"/>
        </w:rPr>
        <w:sectPr w:rsidR="005972E8" w:rsidRPr="005972E8" w:rsidSect="005972E8">
          <w:footerReference w:type="default" r:id="rId10"/>
          <w:pgSz w:w="11906" w:h="16838"/>
          <w:pgMar w:top="1417" w:right="1417" w:bottom="1417" w:left="1417" w:header="708" w:footer="708" w:gutter="0"/>
          <w:cols w:space="708"/>
          <w:titlePg/>
          <w:docGrid w:linePitch="360"/>
        </w:sectPr>
      </w:pPr>
    </w:p>
    <w:p w14:paraId="6FC152B2" w14:textId="77777777" w:rsidR="005972E8" w:rsidRPr="005972E8" w:rsidRDefault="005972E8" w:rsidP="005972E8">
      <w:pPr>
        <w:spacing w:line="276" w:lineRule="auto"/>
        <w:rPr>
          <w:rFonts w:ascii="Arial" w:hAnsi="Arial" w:cs="Arial"/>
          <w:highlight w:val="yellow"/>
        </w:rPr>
      </w:pPr>
    </w:p>
    <w:p w14:paraId="668E6050" w14:textId="77777777" w:rsidR="005972E8" w:rsidRPr="005972E8" w:rsidRDefault="005972E8" w:rsidP="005972E8">
      <w:pPr>
        <w:spacing w:line="276" w:lineRule="auto"/>
        <w:rPr>
          <w:rFonts w:ascii="Arial" w:hAnsi="Arial" w:cs="Arial"/>
          <w:highlight w:val="yellow"/>
        </w:rPr>
      </w:pPr>
    </w:p>
    <w:p w14:paraId="7F11BB65" w14:textId="77777777" w:rsidR="005972E8" w:rsidRPr="005972E8" w:rsidRDefault="005972E8" w:rsidP="005972E8">
      <w:pPr>
        <w:spacing w:line="276" w:lineRule="auto"/>
        <w:rPr>
          <w:rFonts w:ascii="Arial" w:hAnsi="Arial" w:cs="Arial"/>
          <w:highlight w:val="yellow"/>
        </w:rPr>
      </w:pPr>
    </w:p>
    <w:p w14:paraId="664F05D4" w14:textId="77777777" w:rsidR="005972E8" w:rsidRPr="005972E8" w:rsidRDefault="005972E8" w:rsidP="005972E8">
      <w:pPr>
        <w:spacing w:line="276" w:lineRule="auto"/>
        <w:rPr>
          <w:rFonts w:ascii="Arial" w:hAnsi="Arial" w:cs="Arial"/>
          <w:highlight w:val="yellow"/>
        </w:rPr>
      </w:pPr>
    </w:p>
    <w:p w14:paraId="009F84D7" w14:textId="77777777" w:rsidR="005972E8" w:rsidRPr="005972E8" w:rsidRDefault="005972E8" w:rsidP="005972E8">
      <w:pPr>
        <w:spacing w:line="276" w:lineRule="auto"/>
        <w:rPr>
          <w:rFonts w:ascii="Arial" w:hAnsi="Arial" w:cs="Arial"/>
          <w:highlight w:val="yellow"/>
        </w:rPr>
      </w:pPr>
    </w:p>
    <w:p w14:paraId="02B7D206" w14:textId="77777777" w:rsidR="005972E8" w:rsidRPr="005972E8" w:rsidRDefault="005972E8" w:rsidP="005972E8">
      <w:pPr>
        <w:spacing w:line="276" w:lineRule="auto"/>
        <w:rPr>
          <w:rFonts w:ascii="Arial" w:hAnsi="Arial" w:cs="Arial"/>
          <w:highlight w:val="yellow"/>
        </w:rPr>
      </w:pPr>
    </w:p>
    <w:p w14:paraId="6100E035" w14:textId="77777777" w:rsidR="005972E8" w:rsidRPr="005972E8" w:rsidRDefault="005972E8" w:rsidP="005972E8">
      <w:pPr>
        <w:spacing w:line="276" w:lineRule="auto"/>
        <w:rPr>
          <w:rFonts w:ascii="Arial" w:hAnsi="Arial" w:cs="Arial"/>
          <w:highlight w:val="yellow"/>
        </w:rPr>
      </w:pPr>
    </w:p>
    <w:p w14:paraId="79A64726" w14:textId="77777777" w:rsidR="005972E8" w:rsidRPr="005972E8" w:rsidRDefault="005972E8" w:rsidP="005972E8">
      <w:pPr>
        <w:spacing w:line="276" w:lineRule="auto"/>
        <w:rPr>
          <w:rFonts w:ascii="Arial" w:hAnsi="Arial" w:cs="Arial"/>
          <w:highlight w:val="yellow"/>
        </w:rPr>
      </w:pPr>
    </w:p>
    <w:p w14:paraId="7B0471FD" w14:textId="77777777" w:rsidR="005972E8" w:rsidRPr="005972E8" w:rsidRDefault="005972E8" w:rsidP="005972E8">
      <w:pPr>
        <w:spacing w:line="276" w:lineRule="auto"/>
        <w:rPr>
          <w:rFonts w:ascii="Arial" w:hAnsi="Arial" w:cs="Arial"/>
          <w:highlight w:val="yellow"/>
        </w:rPr>
      </w:pPr>
    </w:p>
    <w:p w14:paraId="7495FA68" w14:textId="77777777" w:rsidR="005972E8" w:rsidRPr="005972E8" w:rsidRDefault="005972E8" w:rsidP="005972E8">
      <w:pPr>
        <w:spacing w:line="276" w:lineRule="auto"/>
        <w:rPr>
          <w:rFonts w:ascii="Arial" w:hAnsi="Arial" w:cs="Arial"/>
          <w:highlight w:val="yellow"/>
        </w:rPr>
      </w:pPr>
    </w:p>
    <w:p w14:paraId="38B45F98" w14:textId="77777777" w:rsidR="005972E8" w:rsidRPr="005972E8" w:rsidRDefault="005972E8" w:rsidP="005972E8">
      <w:pPr>
        <w:spacing w:line="276" w:lineRule="auto"/>
        <w:rPr>
          <w:rFonts w:ascii="Arial" w:hAnsi="Arial" w:cs="Arial"/>
          <w:highlight w:val="yellow"/>
        </w:rPr>
      </w:pPr>
    </w:p>
    <w:p w14:paraId="7AC40EC6" w14:textId="77777777" w:rsidR="005972E8" w:rsidRPr="005972E8" w:rsidRDefault="005972E8" w:rsidP="005972E8">
      <w:pPr>
        <w:spacing w:line="276" w:lineRule="auto"/>
        <w:rPr>
          <w:rFonts w:ascii="Arial" w:hAnsi="Arial" w:cs="Arial"/>
          <w:highlight w:val="yellow"/>
        </w:rPr>
      </w:pPr>
    </w:p>
    <w:p w14:paraId="4E77C9D9" w14:textId="77777777" w:rsidR="005972E8" w:rsidRPr="005972E8" w:rsidRDefault="005972E8" w:rsidP="005972E8">
      <w:pPr>
        <w:spacing w:line="276" w:lineRule="auto"/>
        <w:rPr>
          <w:rFonts w:ascii="Arial" w:hAnsi="Arial" w:cs="Arial"/>
          <w:highlight w:val="yellow"/>
        </w:rPr>
      </w:pPr>
    </w:p>
    <w:p w14:paraId="648776DA" w14:textId="77777777" w:rsidR="005972E8" w:rsidRPr="005972E8" w:rsidRDefault="005972E8" w:rsidP="005972E8">
      <w:pPr>
        <w:spacing w:line="276" w:lineRule="auto"/>
        <w:rPr>
          <w:rFonts w:ascii="Arial" w:hAnsi="Arial" w:cs="Arial"/>
          <w:highlight w:val="yellow"/>
        </w:rPr>
      </w:pPr>
    </w:p>
    <w:p w14:paraId="3BE76E0D" w14:textId="77777777" w:rsidR="005972E8" w:rsidRPr="005972E8" w:rsidRDefault="005972E8" w:rsidP="005972E8">
      <w:pPr>
        <w:spacing w:line="276" w:lineRule="auto"/>
        <w:rPr>
          <w:rFonts w:ascii="Arial" w:hAnsi="Arial" w:cs="Arial"/>
          <w:highlight w:val="yellow"/>
        </w:rPr>
      </w:pPr>
    </w:p>
    <w:p w14:paraId="3875AEEE" w14:textId="77777777" w:rsidR="005972E8" w:rsidRPr="005972E8" w:rsidRDefault="005972E8" w:rsidP="005972E8">
      <w:pPr>
        <w:spacing w:line="276" w:lineRule="auto"/>
        <w:rPr>
          <w:rFonts w:ascii="Arial" w:hAnsi="Arial" w:cs="Arial"/>
          <w:highlight w:val="yellow"/>
        </w:rPr>
      </w:pPr>
    </w:p>
    <w:p w14:paraId="15C4C1DF" w14:textId="77777777" w:rsidR="005972E8" w:rsidRPr="005972E8" w:rsidRDefault="005972E8" w:rsidP="005972E8">
      <w:pPr>
        <w:spacing w:line="276" w:lineRule="auto"/>
        <w:rPr>
          <w:rFonts w:ascii="Arial" w:hAnsi="Arial" w:cs="Arial"/>
          <w:highlight w:val="yellow"/>
        </w:rPr>
      </w:pPr>
    </w:p>
    <w:p w14:paraId="384E4095" w14:textId="77777777" w:rsidR="005972E8" w:rsidRPr="005972E8" w:rsidRDefault="005972E8" w:rsidP="005972E8">
      <w:pPr>
        <w:spacing w:line="276" w:lineRule="auto"/>
        <w:rPr>
          <w:rFonts w:ascii="Arial" w:hAnsi="Arial" w:cs="Arial"/>
          <w:highlight w:val="yellow"/>
        </w:rPr>
      </w:pPr>
    </w:p>
    <w:p w14:paraId="2D10734A" w14:textId="77777777" w:rsidR="005972E8" w:rsidRPr="005972E8" w:rsidRDefault="005972E8" w:rsidP="005972E8">
      <w:pPr>
        <w:spacing w:line="276" w:lineRule="auto"/>
        <w:rPr>
          <w:rFonts w:ascii="Arial" w:hAnsi="Arial" w:cs="Arial"/>
          <w:highlight w:val="yellow"/>
        </w:rPr>
      </w:pPr>
    </w:p>
    <w:p w14:paraId="6B23AB95" w14:textId="77777777" w:rsidR="005972E8" w:rsidRPr="005972E8" w:rsidRDefault="005972E8" w:rsidP="005972E8">
      <w:pPr>
        <w:spacing w:line="276" w:lineRule="auto"/>
        <w:rPr>
          <w:rFonts w:ascii="Arial" w:hAnsi="Arial" w:cs="Arial"/>
          <w:highlight w:val="yellow"/>
        </w:rPr>
      </w:pPr>
    </w:p>
    <w:p w14:paraId="527A5AD4" w14:textId="77777777" w:rsidR="005972E8" w:rsidRPr="005972E8" w:rsidRDefault="005972E8" w:rsidP="005972E8">
      <w:pPr>
        <w:spacing w:line="276" w:lineRule="auto"/>
        <w:rPr>
          <w:rFonts w:ascii="Arial" w:hAnsi="Arial" w:cs="Arial"/>
          <w:highlight w:val="yellow"/>
        </w:rPr>
      </w:pPr>
    </w:p>
    <w:p w14:paraId="3AFB5FD7" w14:textId="77777777" w:rsidR="005972E8" w:rsidRPr="005972E8" w:rsidRDefault="005972E8" w:rsidP="005972E8">
      <w:pPr>
        <w:spacing w:line="276" w:lineRule="auto"/>
        <w:rPr>
          <w:rFonts w:ascii="Arial" w:hAnsi="Arial" w:cs="Arial"/>
          <w:highlight w:val="yellow"/>
        </w:rPr>
      </w:pPr>
    </w:p>
    <w:p w14:paraId="5898995D" w14:textId="77777777" w:rsidR="005972E8" w:rsidRPr="005972E8" w:rsidRDefault="005972E8" w:rsidP="005972E8">
      <w:pPr>
        <w:spacing w:line="276" w:lineRule="auto"/>
        <w:rPr>
          <w:rFonts w:ascii="Arial" w:hAnsi="Arial" w:cs="Arial"/>
          <w:highlight w:val="yellow"/>
        </w:rPr>
      </w:pPr>
    </w:p>
    <w:p w14:paraId="714071F4" w14:textId="77777777" w:rsidR="005972E8" w:rsidRPr="005972E8" w:rsidRDefault="005972E8" w:rsidP="005972E8">
      <w:pPr>
        <w:spacing w:line="276" w:lineRule="auto"/>
        <w:rPr>
          <w:rFonts w:ascii="Arial" w:hAnsi="Arial" w:cs="Arial"/>
          <w:highlight w:val="yellow"/>
        </w:rPr>
      </w:pPr>
    </w:p>
    <w:p w14:paraId="5060906E" w14:textId="77777777" w:rsidR="005972E8" w:rsidRPr="005972E8" w:rsidRDefault="005972E8" w:rsidP="005972E8">
      <w:pPr>
        <w:spacing w:line="276" w:lineRule="auto"/>
        <w:rPr>
          <w:rFonts w:ascii="Arial" w:hAnsi="Arial" w:cs="Arial"/>
          <w:highlight w:val="yellow"/>
        </w:rPr>
      </w:pPr>
    </w:p>
    <w:p w14:paraId="2391B04B" w14:textId="77777777" w:rsidR="005972E8" w:rsidRPr="005972E8" w:rsidRDefault="005972E8" w:rsidP="005972E8">
      <w:pPr>
        <w:spacing w:line="276" w:lineRule="auto"/>
        <w:rPr>
          <w:rFonts w:ascii="Arial" w:hAnsi="Arial" w:cs="Arial"/>
          <w:highlight w:val="yellow"/>
        </w:rPr>
      </w:pPr>
    </w:p>
    <w:p w14:paraId="2724E90A" w14:textId="77777777" w:rsidR="005972E8" w:rsidRPr="005972E8" w:rsidRDefault="005972E8" w:rsidP="005972E8">
      <w:pPr>
        <w:spacing w:line="276" w:lineRule="auto"/>
        <w:rPr>
          <w:rFonts w:ascii="Arial" w:hAnsi="Arial" w:cs="Arial"/>
          <w:highlight w:val="yellow"/>
        </w:rPr>
      </w:pPr>
    </w:p>
    <w:p w14:paraId="4E0CFC86" w14:textId="77777777" w:rsidR="005972E8" w:rsidRPr="005972E8" w:rsidRDefault="005972E8" w:rsidP="005972E8">
      <w:pPr>
        <w:spacing w:line="276" w:lineRule="auto"/>
        <w:rPr>
          <w:rFonts w:ascii="Arial" w:hAnsi="Arial" w:cs="Arial"/>
          <w:highlight w:val="yellow"/>
        </w:rPr>
      </w:pPr>
    </w:p>
    <w:p w14:paraId="63407CFD" w14:textId="77777777" w:rsidR="005972E8" w:rsidRPr="005972E8" w:rsidRDefault="005972E8" w:rsidP="005972E8">
      <w:pPr>
        <w:spacing w:line="276" w:lineRule="auto"/>
        <w:rPr>
          <w:rFonts w:ascii="Arial" w:hAnsi="Arial" w:cs="Arial"/>
          <w:highlight w:val="yellow"/>
        </w:rPr>
      </w:pPr>
    </w:p>
    <w:p w14:paraId="3C07EDB9" w14:textId="77777777" w:rsidR="005972E8" w:rsidRPr="005972E8" w:rsidRDefault="005972E8" w:rsidP="005972E8">
      <w:pPr>
        <w:spacing w:line="276" w:lineRule="auto"/>
        <w:rPr>
          <w:rFonts w:ascii="Arial" w:hAnsi="Arial" w:cs="Arial"/>
        </w:rPr>
      </w:pPr>
    </w:p>
    <w:p w14:paraId="173796B2" w14:textId="77777777" w:rsidR="005972E8" w:rsidRPr="005972E8" w:rsidRDefault="005972E8" w:rsidP="005972E8">
      <w:pPr>
        <w:spacing w:line="276" w:lineRule="auto"/>
        <w:rPr>
          <w:rFonts w:ascii="Arial" w:hAnsi="Arial" w:cs="Arial"/>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437"/>
        <w:gridCol w:w="4625"/>
      </w:tblGrid>
      <w:tr w:rsidR="005972E8" w:rsidRPr="005972E8" w14:paraId="7A9BAE0B" w14:textId="77777777" w:rsidTr="0093689D">
        <w:tc>
          <w:tcPr>
            <w:tcW w:w="4555" w:type="dxa"/>
          </w:tcPr>
          <w:p w14:paraId="4A9CDEE4" w14:textId="77777777" w:rsidR="005972E8" w:rsidRPr="005972E8" w:rsidRDefault="005972E8" w:rsidP="005972E8">
            <w:pPr>
              <w:spacing w:line="276" w:lineRule="auto"/>
              <w:jc w:val="center"/>
              <w:rPr>
                <w:rFonts w:ascii="Arial" w:hAnsi="Arial" w:cs="Arial"/>
                <w:i/>
              </w:rPr>
            </w:pPr>
            <w:r w:rsidRPr="005972E8">
              <w:rPr>
                <w:rFonts w:ascii="Arial" w:hAnsi="Arial" w:cs="Arial"/>
                <w:i/>
              </w:rPr>
              <w:t>Naročnik dokumenta:</w:t>
            </w:r>
          </w:p>
        </w:tc>
        <w:tc>
          <w:tcPr>
            <w:tcW w:w="4733" w:type="dxa"/>
          </w:tcPr>
          <w:p w14:paraId="7F1F9B74" w14:textId="77777777" w:rsidR="005972E8" w:rsidRPr="005972E8" w:rsidRDefault="005972E8" w:rsidP="005972E8">
            <w:pPr>
              <w:spacing w:line="276" w:lineRule="auto"/>
              <w:jc w:val="center"/>
              <w:rPr>
                <w:rFonts w:ascii="Arial" w:hAnsi="Arial" w:cs="Arial"/>
                <w:i/>
              </w:rPr>
            </w:pPr>
            <w:r w:rsidRPr="005972E8">
              <w:rPr>
                <w:rFonts w:ascii="Arial" w:hAnsi="Arial" w:cs="Arial"/>
                <w:i/>
              </w:rPr>
              <w:t>Izdelovalec dokumenta:</w:t>
            </w:r>
          </w:p>
        </w:tc>
      </w:tr>
      <w:tr w:rsidR="005972E8" w:rsidRPr="005972E8" w14:paraId="2FE56B2A" w14:textId="77777777" w:rsidTr="0093689D">
        <w:tc>
          <w:tcPr>
            <w:tcW w:w="4555" w:type="dxa"/>
          </w:tcPr>
          <w:p w14:paraId="4170D468" w14:textId="77777777" w:rsidR="005972E8" w:rsidRPr="005972E8" w:rsidRDefault="005972E8" w:rsidP="005972E8">
            <w:pPr>
              <w:spacing w:line="276" w:lineRule="auto"/>
              <w:jc w:val="center"/>
              <w:rPr>
                <w:rFonts w:ascii="Arial" w:hAnsi="Arial" w:cs="Arial"/>
                <w:b/>
              </w:rPr>
            </w:pPr>
            <w:r w:rsidRPr="005972E8">
              <w:rPr>
                <w:rFonts w:ascii="Arial" w:hAnsi="Arial" w:cs="Arial"/>
                <w:b/>
              </w:rPr>
              <w:t xml:space="preserve">OBČINA IG, Govekarjeva cesta 6, 1292 Ig </w:t>
            </w:r>
          </w:p>
        </w:tc>
        <w:tc>
          <w:tcPr>
            <w:tcW w:w="4733" w:type="dxa"/>
          </w:tcPr>
          <w:p w14:paraId="20916FBA" w14:textId="77777777" w:rsidR="005972E8" w:rsidRPr="005972E8" w:rsidRDefault="005972E8" w:rsidP="005972E8">
            <w:pPr>
              <w:spacing w:line="276" w:lineRule="auto"/>
              <w:jc w:val="center"/>
              <w:rPr>
                <w:rFonts w:ascii="Arial" w:hAnsi="Arial" w:cs="Arial"/>
                <w:b/>
              </w:rPr>
            </w:pPr>
            <w:r w:rsidRPr="005972E8">
              <w:rPr>
                <w:rFonts w:ascii="Arial" w:hAnsi="Arial" w:cs="Arial"/>
                <w:b/>
                <w:noProof/>
              </w:rPr>
              <w:drawing>
                <wp:inline distT="0" distB="0" distL="0" distR="0" wp14:anchorId="2EC4842D" wp14:editId="440F7FE6">
                  <wp:extent cx="1176793" cy="527304"/>
                  <wp:effectExtent l="0" t="0" r="444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382" t="5051" r="73343" b="12145"/>
                          <a:stretch/>
                        </pic:blipFill>
                        <pic:spPr bwMode="auto">
                          <a:xfrm>
                            <a:off x="0" y="0"/>
                            <a:ext cx="1184632" cy="530817"/>
                          </a:xfrm>
                          <a:prstGeom prst="rect">
                            <a:avLst/>
                          </a:prstGeom>
                          <a:noFill/>
                          <a:ln>
                            <a:noFill/>
                          </a:ln>
                          <a:extLst>
                            <a:ext uri="{53640926-AAD7-44D8-BBD7-CCE9431645EC}">
                              <a14:shadowObscured xmlns:a14="http://schemas.microsoft.com/office/drawing/2010/main"/>
                            </a:ext>
                          </a:extLst>
                        </pic:spPr>
                      </pic:pic>
                    </a:graphicData>
                  </a:graphic>
                </wp:inline>
              </w:drawing>
            </w:r>
          </w:p>
          <w:p w14:paraId="0677F32A" w14:textId="77777777" w:rsidR="005972E8" w:rsidRPr="005972E8" w:rsidRDefault="005972E8" w:rsidP="005972E8">
            <w:pPr>
              <w:spacing w:line="276" w:lineRule="auto"/>
              <w:jc w:val="center"/>
              <w:rPr>
                <w:rFonts w:ascii="Arial" w:hAnsi="Arial" w:cs="Arial"/>
                <w:b/>
              </w:rPr>
            </w:pPr>
            <w:proofErr w:type="spellStart"/>
            <w:r w:rsidRPr="005972E8">
              <w:rPr>
                <w:rFonts w:ascii="Arial" w:hAnsi="Arial" w:cs="Arial"/>
                <w:b/>
              </w:rPr>
              <w:t>ProSVET</w:t>
            </w:r>
            <w:proofErr w:type="spellEnd"/>
            <w:r w:rsidRPr="005972E8">
              <w:rPr>
                <w:rFonts w:ascii="Arial" w:hAnsi="Arial" w:cs="Arial"/>
                <w:b/>
              </w:rPr>
              <w:t xml:space="preserve">, Martina Magajna </w:t>
            </w:r>
            <w:proofErr w:type="spellStart"/>
            <w:r w:rsidRPr="005972E8">
              <w:rPr>
                <w:rFonts w:ascii="Arial" w:hAnsi="Arial" w:cs="Arial"/>
                <w:b/>
              </w:rPr>
              <w:t>s.p</w:t>
            </w:r>
            <w:proofErr w:type="spellEnd"/>
            <w:r w:rsidRPr="005972E8">
              <w:rPr>
                <w:rFonts w:ascii="Arial" w:hAnsi="Arial" w:cs="Arial"/>
                <w:b/>
              </w:rPr>
              <w:t>.</w:t>
            </w:r>
          </w:p>
          <w:p w14:paraId="42B83566" w14:textId="77777777" w:rsidR="005972E8" w:rsidRPr="005972E8" w:rsidRDefault="005972E8" w:rsidP="005972E8">
            <w:pPr>
              <w:spacing w:line="276" w:lineRule="auto"/>
              <w:jc w:val="center"/>
              <w:rPr>
                <w:rFonts w:ascii="Arial" w:hAnsi="Arial" w:cs="Arial"/>
                <w:b/>
              </w:rPr>
            </w:pPr>
            <w:r w:rsidRPr="005972E8">
              <w:rPr>
                <w:rFonts w:ascii="Arial" w:hAnsi="Arial" w:cs="Arial"/>
                <w:b/>
              </w:rPr>
              <w:t>Dilce 40, 6230 Postojna</w:t>
            </w:r>
          </w:p>
        </w:tc>
      </w:tr>
      <w:tr w:rsidR="005972E8" w:rsidRPr="005972E8" w14:paraId="4D5C7ABE" w14:textId="77777777" w:rsidTr="0093689D">
        <w:tc>
          <w:tcPr>
            <w:tcW w:w="4555" w:type="dxa"/>
          </w:tcPr>
          <w:p w14:paraId="0F4CED52" w14:textId="77777777" w:rsidR="005972E8" w:rsidRPr="005972E8" w:rsidRDefault="005972E8" w:rsidP="005972E8">
            <w:pPr>
              <w:spacing w:line="276" w:lineRule="auto"/>
              <w:jc w:val="center"/>
              <w:rPr>
                <w:rFonts w:ascii="Arial" w:hAnsi="Arial" w:cs="Arial"/>
              </w:rPr>
            </w:pPr>
          </w:p>
        </w:tc>
        <w:tc>
          <w:tcPr>
            <w:tcW w:w="4733" w:type="dxa"/>
            <w:vAlign w:val="center"/>
          </w:tcPr>
          <w:p w14:paraId="15392C12" w14:textId="77777777" w:rsidR="005972E8" w:rsidRPr="005972E8" w:rsidRDefault="005972E8" w:rsidP="005972E8">
            <w:pPr>
              <w:spacing w:line="276" w:lineRule="auto"/>
              <w:jc w:val="center"/>
              <w:rPr>
                <w:rFonts w:ascii="Arial" w:hAnsi="Arial" w:cs="Arial"/>
              </w:rPr>
            </w:pPr>
          </w:p>
        </w:tc>
      </w:tr>
    </w:tbl>
    <w:p w14:paraId="6FDD9A72" w14:textId="77777777" w:rsidR="005972E8" w:rsidRPr="005972E8" w:rsidRDefault="005972E8" w:rsidP="005972E8">
      <w:pPr>
        <w:spacing w:line="276" w:lineRule="auto"/>
        <w:jc w:val="center"/>
        <w:rPr>
          <w:rFonts w:ascii="Arial" w:hAnsi="Arial" w:cs="Arial"/>
        </w:rPr>
      </w:pPr>
    </w:p>
    <w:p w14:paraId="237AF5EF" w14:textId="6408D5FA" w:rsidR="005972E8" w:rsidRPr="005972E8" w:rsidRDefault="005972E8" w:rsidP="005972E8">
      <w:pPr>
        <w:spacing w:line="276" w:lineRule="auto"/>
        <w:jc w:val="center"/>
        <w:rPr>
          <w:rFonts w:ascii="Arial" w:hAnsi="Arial" w:cs="Arial"/>
        </w:rPr>
      </w:pPr>
      <w:r w:rsidRPr="005972E8">
        <w:rPr>
          <w:rFonts w:ascii="Arial" w:hAnsi="Arial" w:cs="Arial"/>
        </w:rPr>
        <w:t xml:space="preserve">Datum izdelave: </w:t>
      </w:r>
      <w:r w:rsidR="00DE0D0F">
        <w:rPr>
          <w:rFonts w:ascii="Arial" w:hAnsi="Arial" w:cs="Arial"/>
        </w:rPr>
        <w:t>september</w:t>
      </w:r>
      <w:r w:rsidRPr="005972E8">
        <w:rPr>
          <w:rFonts w:ascii="Arial" w:hAnsi="Arial" w:cs="Arial"/>
        </w:rPr>
        <w:t xml:space="preserve"> 2025</w:t>
      </w:r>
    </w:p>
    <w:p w14:paraId="3F39A8AB" w14:textId="77777777" w:rsidR="005972E8" w:rsidRPr="005972E8" w:rsidRDefault="005972E8" w:rsidP="005972E8">
      <w:pPr>
        <w:spacing w:line="276" w:lineRule="auto"/>
        <w:jc w:val="center"/>
        <w:rPr>
          <w:rFonts w:ascii="Arial" w:hAnsi="Arial" w:cs="Arial"/>
        </w:rPr>
      </w:pPr>
    </w:p>
    <w:p w14:paraId="22086F9B" w14:textId="77777777" w:rsidR="005972E8" w:rsidRPr="005972E8" w:rsidRDefault="005972E8" w:rsidP="005972E8">
      <w:pPr>
        <w:spacing w:after="200" w:line="276" w:lineRule="auto"/>
        <w:rPr>
          <w:rFonts w:ascii="Arial" w:hAnsi="Arial" w:cs="Arial"/>
          <w:b/>
          <w:bCs/>
          <w:color w:val="244061"/>
          <w:szCs w:val="26"/>
          <w:lang w:eastAsia="zh-TW"/>
        </w:rPr>
      </w:pPr>
      <w:r w:rsidRPr="005972E8">
        <w:rPr>
          <w:rFonts w:ascii="Arial" w:hAnsi="Arial" w:cs="Arial"/>
          <w:color w:val="244061"/>
        </w:rPr>
        <w:br w:type="page"/>
      </w:r>
    </w:p>
    <w:p w14:paraId="38AE4BBA" w14:textId="77777777" w:rsidR="005972E8" w:rsidRPr="005972E8" w:rsidRDefault="005972E8" w:rsidP="005972E8">
      <w:pPr>
        <w:keepNext/>
        <w:keepLines/>
        <w:spacing w:before="120" w:after="120" w:line="276" w:lineRule="auto"/>
        <w:ind w:left="576" w:hanging="576"/>
        <w:jc w:val="both"/>
        <w:outlineLvl w:val="1"/>
        <w:rPr>
          <w:rFonts w:ascii="Arial" w:hAnsi="Arial" w:cs="Arial"/>
          <w:b/>
          <w:bCs/>
          <w:color w:val="244061"/>
          <w:szCs w:val="26"/>
          <w:lang w:eastAsia="zh-TW"/>
        </w:rPr>
      </w:pPr>
      <w:bookmarkStart w:id="6" w:name="_Toc174967845"/>
      <w:bookmarkStart w:id="7" w:name="_Toc207218338"/>
      <w:bookmarkStart w:id="8" w:name="_Toc207740020"/>
      <w:bookmarkStart w:id="9" w:name="_Toc209026533"/>
      <w:bookmarkStart w:id="10" w:name="_Toc209029117"/>
      <w:bookmarkStart w:id="11" w:name="_Toc209277115"/>
      <w:bookmarkStart w:id="12" w:name="_Toc209365789"/>
      <w:bookmarkStart w:id="13" w:name="_Toc209528167"/>
      <w:bookmarkStart w:id="14" w:name="_Toc210033758"/>
      <w:r w:rsidRPr="005972E8">
        <w:rPr>
          <w:rFonts w:ascii="Arial" w:hAnsi="Arial" w:cs="Arial"/>
          <w:b/>
          <w:bCs/>
          <w:color w:val="244061"/>
          <w:szCs w:val="26"/>
          <w:lang w:eastAsia="zh-TW"/>
        </w:rPr>
        <w:lastRenderedPageBreak/>
        <w:t>Naročnik, investitor in upravljavec:</w:t>
      </w:r>
      <w:bookmarkEnd w:id="6"/>
      <w:bookmarkEnd w:id="7"/>
      <w:bookmarkEnd w:id="8"/>
      <w:bookmarkEnd w:id="9"/>
      <w:bookmarkEnd w:id="10"/>
      <w:bookmarkEnd w:id="11"/>
      <w:bookmarkEnd w:id="12"/>
      <w:bookmarkEnd w:id="13"/>
      <w:bookmarkEnd w:id="14"/>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528"/>
        <w:gridCol w:w="4498"/>
      </w:tblGrid>
      <w:tr w:rsidR="005972E8" w:rsidRPr="005972E8" w14:paraId="2002E5AC" w14:textId="77777777" w:rsidTr="0093689D">
        <w:tc>
          <w:tcPr>
            <w:tcW w:w="4747" w:type="dxa"/>
            <w:shd w:val="clear" w:color="auto" w:fill="DBE5F1"/>
          </w:tcPr>
          <w:p w14:paraId="119BDDD0" w14:textId="77777777" w:rsidR="005972E8" w:rsidRPr="005972E8" w:rsidRDefault="005972E8" w:rsidP="005972E8">
            <w:pPr>
              <w:spacing w:line="276" w:lineRule="auto"/>
              <w:rPr>
                <w:rFonts w:ascii="Arial" w:hAnsi="Arial" w:cs="Arial"/>
                <w:b/>
              </w:rPr>
            </w:pPr>
            <w:r w:rsidRPr="005972E8">
              <w:rPr>
                <w:rFonts w:ascii="Arial" w:hAnsi="Arial" w:cs="Arial"/>
                <w:b/>
              </w:rPr>
              <w:t>OBČINA IG</w:t>
            </w:r>
          </w:p>
        </w:tc>
        <w:tc>
          <w:tcPr>
            <w:tcW w:w="4748" w:type="dxa"/>
            <w:shd w:val="clear" w:color="auto" w:fill="DBE5F1"/>
          </w:tcPr>
          <w:p w14:paraId="239933BB" w14:textId="77777777" w:rsidR="005972E8" w:rsidRPr="005972E8" w:rsidRDefault="005972E8" w:rsidP="005972E8">
            <w:pPr>
              <w:spacing w:line="276" w:lineRule="auto"/>
              <w:rPr>
                <w:rFonts w:ascii="Arial" w:hAnsi="Arial" w:cs="Arial"/>
                <w:b/>
              </w:rPr>
            </w:pPr>
            <w:r w:rsidRPr="005972E8">
              <w:rPr>
                <w:rFonts w:ascii="Arial" w:hAnsi="Arial" w:cs="Arial"/>
                <w:b/>
              </w:rPr>
              <w:t xml:space="preserve">Odgovorna oseba: </w:t>
            </w:r>
          </w:p>
          <w:p w14:paraId="47624521" w14:textId="77777777" w:rsidR="005972E8" w:rsidRPr="005972E8" w:rsidRDefault="005972E8" w:rsidP="005972E8">
            <w:pPr>
              <w:spacing w:line="276" w:lineRule="auto"/>
              <w:rPr>
                <w:rFonts w:ascii="Arial" w:hAnsi="Arial" w:cs="Arial"/>
                <w:b/>
              </w:rPr>
            </w:pPr>
            <w:r w:rsidRPr="005972E8">
              <w:rPr>
                <w:rFonts w:ascii="Arial" w:hAnsi="Arial" w:cs="Arial"/>
                <w:b/>
              </w:rPr>
              <w:t>Zlatko Usenik, župan</w:t>
            </w:r>
          </w:p>
        </w:tc>
      </w:tr>
      <w:tr w:rsidR="005972E8" w:rsidRPr="005972E8" w14:paraId="538B6BB9" w14:textId="77777777" w:rsidTr="0093689D">
        <w:tc>
          <w:tcPr>
            <w:tcW w:w="4747" w:type="dxa"/>
          </w:tcPr>
          <w:p w14:paraId="2A31B36E" w14:textId="77777777" w:rsidR="005972E8" w:rsidRPr="005972E8" w:rsidRDefault="005972E8" w:rsidP="005972E8">
            <w:pPr>
              <w:spacing w:line="276" w:lineRule="auto"/>
              <w:rPr>
                <w:rFonts w:ascii="Arial" w:hAnsi="Arial" w:cs="Arial"/>
              </w:rPr>
            </w:pPr>
            <w:r w:rsidRPr="005972E8">
              <w:rPr>
                <w:rFonts w:ascii="Arial" w:hAnsi="Arial" w:cs="Arial"/>
              </w:rPr>
              <w:t>Govekarjeva cesta 6, 1292 Ig</w:t>
            </w:r>
          </w:p>
        </w:tc>
        <w:tc>
          <w:tcPr>
            <w:tcW w:w="4748" w:type="dxa"/>
            <w:vMerge w:val="restart"/>
          </w:tcPr>
          <w:p w14:paraId="4FBD426D" w14:textId="77777777" w:rsidR="005972E8" w:rsidRPr="005972E8" w:rsidRDefault="005972E8" w:rsidP="005972E8">
            <w:pPr>
              <w:spacing w:before="120" w:line="276" w:lineRule="auto"/>
              <w:jc w:val="center"/>
              <w:rPr>
                <w:rFonts w:ascii="Arial" w:hAnsi="Arial" w:cs="Arial"/>
              </w:rPr>
            </w:pPr>
            <w:r w:rsidRPr="005972E8">
              <w:rPr>
                <w:rFonts w:ascii="Arial" w:hAnsi="Arial" w:cs="Arial"/>
              </w:rPr>
              <w:t>(podpis in žig)</w:t>
            </w:r>
          </w:p>
          <w:p w14:paraId="2AAA23AB" w14:textId="77777777" w:rsidR="005972E8" w:rsidRPr="005972E8" w:rsidRDefault="005972E8" w:rsidP="005972E8">
            <w:pPr>
              <w:spacing w:line="276" w:lineRule="auto"/>
              <w:jc w:val="center"/>
              <w:rPr>
                <w:rFonts w:ascii="Arial" w:hAnsi="Arial" w:cs="Arial"/>
              </w:rPr>
            </w:pPr>
          </w:p>
          <w:p w14:paraId="5C272951" w14:textId="77777777" w:rsidR="005972E8" w:rsidRPr="005972E8" w:rsidRDefault="005972E8" w:rsidP="005972E8">
            <w:pPr>
              <w:spacing w:line="276" w:lineRule="auto"/>
              <w:jc w:val="center"/>
              <w:rPr>
                <w:rFonts w:ascii="Arial" w:hAnsi="Arial" w:cs="Arial"/>
              </w:rPr>
            </w:pPr>
          </w:p>
          <w:p w14:paraId="6568EC3A" w14:textId="77777777" w:rsidR="005972E8" w:rsidRPr="005972E8" w:rsidRDefault="005972E8" w:rsidP="005972E8">
            <w:pPr>
              <w:spacing w:line="276" w:lineRule="auto"/>
              <w:jc w:val="center"/>
              <w:rPr>
                <w:rFonts w:ascii="Arial" w:hAnsi="Arial" w:cs="Arial"/>
              </w:rPr>
            </w:pPr>
          </w:p>
          <w:p w14:paraId="053B6B2E" w14:textId="77777777" w:rsidR="005972E8" w:rsidRPr="005972E8" w:rsidRDefault="005972E8" w:rsidP="005972E8">
            <w:pPr>
              <w:spacing w:line="276" w:lineRule="auto"/>
              <w:jc w:val="center"/>
              <w:rPr>
                <w:rFonts w:ascii="Arial" w:hAnsi="Arial" w:cs="Arial"/>
              </w:rPr>
            </w:pPr>
          </w:p>
        </w:tc>
      </w:tr>
      <w:tr w:rsidR="005972E8" w:rsidRPr="005972E8" w14:paraId="70F82083" w14:textId="77777777" w:rsidTr="0093689D">
        <w:tc>
          <w:tcPr>
            <w:tcW w:w="4747" w:type="dxa"/>
          </w:tcPr>
          <w:p w14:paraId="26B071E6" w14:textId="77777777" w:rsidR="005972E8" w:rsidRPr="005972E8" w:rsidRDefault="005972E8" w:rsidP="005972E8">
            <w:pPr>
              <w:spacing w:before="120" w:line="276" w:lineRule="auto"/>
              <w:jc w:val="center"/>
              <w:rPr>
                <w:rFonts w:ascii="Arial" w:hAnsi="Arial" w:cs="Arial"/>
              </w:rPr>
            </w:pPr>
            <w:r w:rsidRPr="005972E8">
              <w:rPr>
                <w:rFonts w:ascii="Arial" w:hAnsi="Arial" w:cs="Arial"/>
                <w:noProof/>
              </w:rPr>
              <w:drawing>
                <wp:inline distT="0" distB="0" distL="0" distR="0" wp14:anchorId="21AA7452" wp14:editId="233D387F">
                  <wp:extent cx="1061720" cy="1262197"/>
                  <wp:effectExtent l="0" t="0" r="5080" b="0"/>
                  <wp:docPr id="1814597049" name="Picture 6" descr="Nov grb in zastava občine Ig | Občina Ig | MojaObčin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v grb in zastava občine Ig | Občina Ig | MojaObčina.s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846" cy="1276613"/>
                          </a:xfrm>
                          <a:prstGeom prst="rect">
                            <a:avLst/>
                          </a:prstGeom>
                          <a:noFill/>
                          <a:ln>
                            <a:noFill/>
                          </a:ln>
                        </pic:spPr>
                      </pic:pic>
                    </a:graphicData>
                  </a:graphic>
                </wp:inline>
              </w:drawing>
            </w:r>
          </w:p>
        </w:tc>
        <w:tc>
          <w:tcPr>
            <w:tcW w:w="4748" w:type="dxa"/>
            <w:vMerge/>
          </w:tcPr>
          <w:p w14:paraId="5A0E484A" w14:textId="77777777" w:rsidR="005972E8" w:rsidRPr="005972E8" w:rsidRDefault="005972E8" w:rsidP="005972E8">
            <w:pPr>
              <w:spacing w:line="276" w:lineRule="auto"/>
              <w:jc w:val="center"/>
              <w:rPr>
                <w:rFonts w:ascii="Arial" w:hAnsi="Arial" w:cs="Arial"/>
              </w:rPr>
            </w:pPr>
          </w:p>
        </w:tc>
      </w:tr>
    </w:tbl>
    <w:p w14:paraId="7A04356D" w14:textId="77777777" w:rsidR="005972E8" w:rsidRPr="005972E8" w:rsidRDefault="005972E8" w:rsidP="005972E8">
      <w:pPr>
        <w:spacing w:line="276" w:lineRule="auto"/>
        <w:rPr>
          <w:rFonts w:ascii="Arial" w:hAnsi="Arial" w:cs="Arial"/>
        </w:rPr>
      </w:pPr>
    </w:p>
    <w:p w14:paraId="0E828FE9" w14:textId="77777777" w:rsidR="005972E8" w:rsidRPr="005972E8" w:rsidRDefault="005972E8" w:rsidP="005972E8">
      <w:pPr>
        <w:keepNext/>
        <w:keepLines/>
        <w:spacing w:before="120" w:after="120" w:line="276" w:lineRule="auto"/>
        <w:ind w:left="576" w:hanging="576"/>
        <w:jc w:val="both"/>
        <w:outlineLvl w:val="1"/>
        <w:rPr>
          <w:rFonts w:ascii="Arial" w:hAnsi="Arial" w:cs="Arial"/>
          <w:b/>
          <w:bCs/>
          <w:color w:val="244061"/>
          <w:szCs w:val="26"/>
          <w:lang w:eastAsia="zh-TW"/>
        </w:rPr>
      </w:pPr>
      <w:bookmarkStart w:id="15" w:name="_Toc174914298"/>
      <w:bookmarkStart w:id="16" w:name="_Toc174967846"/>
      <w:bookmarkStart w:id="17" w:name="_Toc207218339"/>
      <w:bookmarkStart w:id="18" w:name="_Toc207740021"/>
      <w:bookmarkStart w:id="19" w:name="_Toc209026534"/>
      <w:bookmarkStart w:id="20" w:name="_Toc209029118"/>
      <w:bookmarkStart w:id="21" w:name="_Toc209277116"/>
      <w:bookmarkStart w:id="22" w:name="_Toc209365790"/>
      <w:bookmarkStart w:id="23" w:name="_Toc209528168"/>
      <w:bookmarkStart w:id="24" w:name="_Toc210033759"/>
      <w:r w:rsidRPr="005972E8">
        <w:rPr>
          <w:rFonts w:ascii="Arial" w:hAnsi="Arial" w:cs="Arial"/>
          <w:b/>
          <w:bCs/>
          <w:color w:val="244061"/>
          <w:szCs w:val="26"/>
          <w:lang w:eastAsia="zh-TW"/>
        </w:rPr>
        <w:t>Izdelovalec investicijske dokumentacije</w:t>
      </w:r>
      <w:bookmarkEnd w:id="15"/>
      <w:bookmarkEnd w:id="16"/>
      <w:bookmarkEnd w:id="17"/>
      <w:bookmarkEnd w:id="18"/>
      <w:bookmarkEnd w:id="19"/>
      <w:bookmarkEnd w:id="20"/>
      <w:bookmarkEnd w:id="21"/>
      <w:bookmarkEnd w:id="22"/>
      <w:bookmarkEnd w:id="23"/>
      <w:bookmarkEnd w:id="24"/>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643"/>
        <w:gridCol w:w="4383"/>
      </w:tblGrid>
      <w:tr w:rsidR="005972E8" w:rsidRPr="005972E8" w14:paraId="1D3CD152" w14:textId="77777777" w:rsidTr="0093689D">
        <w:tc>
          <w:tcPr>
            <w:tcW w:w="4770" w:type="dxa"/>
            <w:shd w:val="clear" w:color="auto" w:fill="DBE5F1"/>
          </w:tcPr>
          <w:p w14:paraId="41D7941E" w14:textId="77777777" w:rsidR="005972E8" w:rsidRPr="005972E8" w:rsidRDefault="005972E8" w:rsidP="005972E8">
            <w:pPr>
              <w:spacing w:line="276" w:lineRule="auto"/>
              <w:rPr>
                <w:rFonts w:ascii="Arial" w:hAnsi="Arial" w:cs="Arial"/>
                <w:b/>
              </w:rPr>
            </w:pPr>
            <w:proofErr w:type="spellStart"/>
            <w:r w:rsidRPr="005972E8">
              <w:rPr>
                <w:rFonts w:ascii="Arial" w:hAnsi="Arial" w:cs="Arial"/>
                <w:b/>
              </w:rPr>
              <w:t>ProSVET</w:t>
            </w:r>
            <w:proofErr w:type="spellEnd"/>
            <w:r w:rsidRPr="005972E8">
              <w:rPr>
                <w:rFonts w:ascii="Arial" w:hAnsi="Arial" w:cs="Arial"/>
                <w:b/>
              </w:rPr>
              <w:t xml:space="preserve">, Martina Magajna </w:t>
            </w:r>
            <w:proofErr w:type="spellStart"/>
            <w:r w:rsidRPr="005972E8">
              <w:rPr>
                <w:rFonts w:ascii="Arial" w:hAnsi="Arial" w:cs="Arial"/>
                <w:b/>
              </w:rPr>
              <w:t>s.p</w:t>
            </w:r>
            <w:proofErr w:type="spellEnd"/>
            <w:r w:rsidRPr="005972E8">
              <w:rPr>
                <w:rFonts w:ascii="Arial" w:hAnsi="Arial" w:cs="Arial"/>
                <w:b/>
              </w:rPr>
              <w:t>.</w:t>
            </w:r>
          </w:p>
        </w:tc>
        <w:tc>
          <w:tcPr>
            <w:tcW w:w="4518" w:type="dxa"/>
            <w:shd w:val="clear" w:color="auto" w:fill="DBE5F1"/>
          </w:tcPr>
          <w:p w14:paraId="065A1EC4" w14:textId="77777777" w:rsidR="005972E8" w:rsidRPr="005972E8" w:rsidRDefault="005972E8" w:rsidP="005972E8">
            <w:pPr>
              <w:spacing w:line="276" w:lineRule="auto"/>
              <w:rPr>
                <w:rFonts w:ascii="Arial" w:hAnsi="Arial" w:cs="Arial"/>
                <w:b/>
              </w:rPr>
            </w:pPr>
            <w:r w:rsidRPr="005972E8">
              <w:rPr>
                <w:rFonts w:ascii="Arial" w:hAnsi="Arial" w:cs="Arial"/>
                <w:b/>
              </w:rPr>
              <w:t xml:space="preserve">Odgovorna oseba: </w:t>
            </w:r>
          </w:p>
          <w:p w14:paraId="4A5AECD7" w14:textId="77777777" w:rsidR="005972E8" w:rsidRPr="005972E8" w:rsidRDefault="005972E8" w:rsidP="005972E8">
            <w:pPr>
              <w:spacing w:line="276" w:lineRule="auto"/>
              <w:rPr>
                <w:rFonts w:ascii="Arial" w:hAnsi="Arial" w:cs="Arial"/>
                <w:b/>
                <w:sz w:val="18"/>
                <w:szCs w:val="18"/>
              </w:rPr>
            </w:pPr>
            <w:r w:rsidRPr="005972E8">
              <w:rPr>
                <w:rFonts w:ascii="Arial" w:hAnsi="Arial" w:cs="Arial"/>
                <w:b/>
              </w:rPr>
              <w:t>Martina Magajna, direktorica</w:t>
            </w:r>
          </w:p>
        </w:tc>
      </w:tr>
      <w:tr w:rsidR="005972E8" w:rsidRPr="005972E8" w14:paraId="3C5CF8B4" w14:textId="77777777" w:rsidTr="0093689D">
        <w:tc>
          <w:tcPr>
            <w:tcW w:w="4770" w:type="dxa"/>
          </w:tcPr>
          <w:p w14:paraId="4136E8C4" w14:textId="77777777" w:rsidR="005972E8" w:rsidRPr="005972E8" w:rsidRDefault="005972E8" w:rsidP="005972E8">
            <w:pPr>
              <w:spacing w:line="276" w:lineRule="auto"/>
              <w:rPr>
                <w:rFonts w:ascii="Arial" w:hAnsi="Arial" w:cs="Arial"/>
              </w:rPr>
            </w:pPr>
            <w:r w:rsidRPr="005972E8">
              <w:rPr>
                <w:rFonts w:ascii="Arial" w:hAnsi="Arial" w:cs="Arial"/>
              </w:rPr>
              <w:t>Dilce 40, 6230 Postojna</w:t>
            </w:r>
          </w:p>
        </w:tc>
        <w:tc>
          <w:tcPr>
            <w:tcW w:w="4518" w:type="dxa"/>
            <w:vMerge w:val="restart"/>
          </w:tcPr>
          <w:p w14:paraId="728C86F5" w14:textId="77777777" w:rsidR="005972E8" w:rsidRPr="005972E8" w:rsidRDefault="005972E8" w:rsidP="005972E8">
            <w:pPr>
              <w:spacing w:before="120" w:line="276" w:lineRule="auto"/>
              <w:jc w:val="center"/>
              <w:rPr>
                <w:rFonts w:ascii="Arial" w:hAnsi="Arial" w:cs="Arial"/>
              </w:rPr>
            </w:pPr>
            <w:r w:rsidRPr="005972E8">
              <w:rPr>
                <w:rFonts w:ascii="Arial" w:hAnsi="Arial" w:cs="Arial"/>
              </w:rPr>
              <w:t>(podpis in žig)</w:t>
            </w:r>
          </w:p>
          <w:p w14:paraId="14226A74" w14:textId="77777777" w:rsidR="005972E8" w:rsidRPr="005972E8" w:rsidRDefault="005972E8" w:rsidP="005972E8">
            <w:pPr>
              <w:spacing w:line="276" w:lineRule="auto"/>
              <w:jc w:val="center"/>
              <w:rPr>
                <w:rFonts w:ascii="Arial" w:hAnsi="Arial" w:cs="Arial"/>
              </w:rPr>
            </w:pPr>
            <w:r w:rsidRPr="005972E8">
              <w:rPr>
                <w:rFonts w:ascii="Arial" w:hAnsi="Arial" w:cs="Arial"/>
                <w:noProof/>
              </w:rPr>
              <w:drawing>
                <wp:inline distT="0" distB="0" distL="0" distR="0" wp14:anchorId="7EAD1748" wp14:editId="5163195F">
                  <wp:extent cx="2547635" cy="1095375"/>
                  <wp:effectExtent l="0" t="0" r="5080" b="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rotWithShape="1">
                          <a:blip r:embed="rId13">
                            <a:extLst>
                              <a:ext uri="{28A0092B-C50C-407E-A947-70E740481C1C}">
                                <a14:useLocalDpi xmlns:a14="http://schemas.microsoft.com/office/drawing/2010/main" val="0"/>
                              </a:ext>
                            </a:extLst>
                          </a:blip>
                          <a:srcRect r="6151"/>
                          <a:stretch/>
                        </pic:blipFill>
                        <pic:spPr bwMode="auto">
                          <a:xfrm>
                            <a:off x="0" y="0"/>
                            <a:ext cx="2547635" cy="1095375"/>
                          </a:xfrm>
                          <a:prstGeom prst="rect">
                            <a:avLst/>
                          </a:prstGeom>
                          <a:ln>
                            <a:noFill/>
                          </a:ln>
                          <a:extLst>
                            <a:ext uri="{53640926-AAD7-44D8-BBD7-CCE9431645EC}">
                              <a14:shadowObscured xmlns:a14="http://schemas.microsoft.com/office/drawing/2010/main"/>
                            </a:ext>
                          </a:extLst>
                        </pic:spPr>
                      </pic:pic>
                    </a:graphicData>
                  </a:graphic>
                </wp:inline>
              </w:drawing>
            </w:r>
          </w:p>
          <w:p w14:paraId="075AAAF4" w14:textId="77777777" w:rsidR="005972E8" w:rsidRPr="005972E8" w:rsidRDefault="005972E8" w:rsidP="005972E8">
            <w:pPr>
              <w:spacing w:line="276" w:lineRule="auto"/>
              <w:jc w:val="center"/>
              <w:rPr>
                <w:rFonts w:ascii="Arial" w:hAnsi="Arial" w:cs="Arial"/>
              </w:rPr>
            </w:pPr>
          </w:p>
        </w:tc>
      </w:tr>
      <w:tr w:rsidR="005972E8" w:rsidRPr="005972E8" w14:paraId="36DEBE66" w14:textId="77777777" w:rsidTr="0093689D">
        <w:tc>
          <w:tcPr>
            <w:tcW w:w="4770" w:type="dxa"/>
          </w:tcPr>
          <w:p w14:paraId="55BDF5B8" w14:textId="77777777" w:rsidR="005972E8" w:rsidRPr="005972E8" w:rsidRDefault="005972E8" w:rsidP="005972E8">
            <w:pPr>
              <w:spacing w:line="276" w:lineRule="auto"/>
              <w:jc w:val="center"/>
              <w:rPr>
                <w:rFonts w:ascii="Arial" w:hAnsi="Arial" w:cs="Arial"/>
              </w:rPr>
            </w:pPr>
          </w:p>
          <w:p w14:paraId="738875FF" w14:textId="77777777" w:rsidR="005972E8" w:rsidRPr="005972E8" w:rsidRDefault="005972E8" w:rsidP="005972E8">
            <w:pPr>
              <w:spacing w:line="276" w:lineRule="auto"/>
              <w:rPr>
                <w:rFonts w:ascii="Arial" w:hAnsi="Arial" w:cs="Arial"/>
                <w:sz w:val="8"/>
                <w:szCs w:val="8"/>
              </w:rPr>
            </w:pPr>
          </w:p>
          <w:p w14:paraId="5523B5E4" w14:textId="77777777" w:rsidR="005972E8" w:rsidRPr="005972E8" w:rsidRDefault="005972E8" w:rsidP="005972E8">
            <w:pPr>
              <w:spacing w:line="276" w:lineRule="auto"/>
              <w:jc w:val="center"/>
              <w:rPr>
                <w:rFonts w:ascii="Arial" w:hAnsi="Arial" w:cs="Arial"/>
              </w:rPr>
            </w:pPr>
            <w:r w:rsidRPr="005972E8">
              <w:rPr>
                <w:rFonts w:ascii="Arial" w:hAnsi="Arial" w:cs="Arial"/>
                <w:noProof/>
              </w:rPr>
              <w:drawing>
                <wp:inline distT="0" distB="0" distL="0" distR="0" wp14:anchorId="61D120DC" wp14:editId="2EE67F79">
                  <wp:extent cx="2695575" cy="809625"/>
                  <wp:effectExtent l="19050" t="0" r="9525" b="0"/>
                  <wp:docPr id="5" name="Picture 2" descr="proSvet log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Svet logo +.jpg"/>
                          <pic:cNvPicPr/>
                        </pic:nvPicPr>
                        <pic:blipFill>
                          <a:blip r:embed="rId14" cstate="print"/>
                          <a:srcRect b="35606"/>
                          <a:stretch>
                            <a:fillRect/>
                          </a:stretch>
                        </pic:blipFill>
                        <pic:spPr>
                          <a:xfrm>
                            <a:off x="0" y="0"/>
                            <a:ext cx="2695575" cy="809625"/>
                          </a:xfrm>
                          <a:prstGeom prst="rect">
                            <a:avLst/>
                          </a:prstGeom>
                        </pic:spPr>
                      </pic:pic>
                    </a:graphicData>
                  </a:graphic>
                </wp:inline>
              </w:drawing>
            </w:r>
          </w:p>
        </w:tc>
        <w:tc>
          <w:tcPr>
            <w:tcW w:w="4518" w:type="dxa"/>
            <w:vMerge/>
          </w:tcPr>
          <w:p w14:paraId="5605C837" w14:textId="77777777" w:rsidR="005972E8" w:rsidRPr="005972E8" w:rsidRDefault="005972E8" w:rsidP="005972E8">
            <w:pPr>
              <w:spacing w:line="276" w:lineRule="auto"/>
              <w:jc w:val="center"/>
              <w:rPr>
                <w:rFonts w:ascii="Arial" w:hAnsi="Arial" w:cs="Arial"/>
              </w:rPr>
            </w:pPr>
          </w:p>
        </w:tc>
      </w:tr>
    </w:tbl>
    <w:p w14:paraId="1A3B0F6C" w14:textId="77777777" w:rsidR="005972E8" w:rsidRPr="005972E8" w:rsidRDefault="005972E8" w:rsidP="005972E8">
      <w:pPr>
        <w:spacing w:line="276" w:lineRule="auto"/>
        <w:rPr>
          <w:rFonts w:ascii="Arial" w:hAnsi="Arial" w:cs="Arial"/>
          <w:highlight w:val="yellow"/>
        </w:rPr>
      </w:pPr>
    </w:p>
    <w:p w14:paraId="66CB56D5" w14:textId="77777777" w:rsidR="005972E8" w:rsidRPr="005972E8" w:rsidRDefault="005972E8" w:rsidP="005972E8">
      <w:pPr>
        <w:keepNext/>
        <w:keepLines/>
        <w:spacing w:before="120" w:after="120" w:line="276" w:lineRule="auto"/>
        <w:jc w:val="both"/>
        <w:outlineLvl w:val="1"/>
        <w:rPr>
          <w:rFonts w:ascii="Arial" w:hAnsi="Arial" w:cs="Arial"/>
          <w:b/>
          <w:bCs/>
          <w:color w:val="244061"/>
          <w:szCs w:val="26"/>
          <w:lang w:eastAsia="zh-TW"/>
        </w:rPr>
      </w:pPr>
      <w:bookmarkStart w:id="25" w:name="_Toc174914299"/>
      <w:bookmarkStart w:id="26" w:name="_Toc174967847"/>
      <w:bookmarkStart w:id="27" w:name="_Toc207218340"/>
      <w:bookmarkStart w:id="28" w:name="_Toc207740022"/>
      <w:bookmarkStart w:id="29" w:name="_Toc209026535"/>
      <w:bookmarkStart w:id="30" w:name="_Toc209029119"/>
      <w:bookmarkStart w:id="31" w:name="_Toc209277117"/>
      <w:bookmarkStart w:id="32" w:name="_Toc209365791"/>
      <w:bookmarkStart w:id="33" w:name="_Toc209528169"/>
      <w:bookmarkStart w:id="34" w:name="_Toc210033760"/>
      <w:r w:rsidRPr="005972E8">
        <w:rPr>
          <w:rFonts w:ascii="Arial" w:hAnsi="Arial" w:cs="Arial"/>
          <w:b/>
          <w:bCs/>
          <w:color w:val="244061"/>
          <w:szCs w:val="26"/>
          <w:lang w:eastAsia="zh-TW"/>
        </w:rPr>
        <w:t>Osebe odgovorne za pripravo in nadzor nad pripravo ustrezne investicijske, projektne, tehnične in druge dokumentacije</w:t>
      </w:r>
      <w:bookmarkEnd w:id="25"/>
      <w:bookmarkEnd w:id="26"/>
      <w:bookmarkEnd w:id="27"/>
      <w:bookmarkEnd w:id="28"/>
      <w:bookmarkEnd w:id="29"/>
      <w:bookmarkEnd w:id="30"/>
      <w:bookmarkEnd w:id="31"/>
      <w:bookmarkEnd w:id="32"/>
      <w:bookmarkEnd w:id="33"/>
      <w:bookmarkEnd w:id="34"/>
    </w:p>
    <w:tbl>
      <w:tblPr>
        <w:tblW w:w="0" w:type="auto"/>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528"/>
        <w:gridCol w:w="4498"/>
      </w:tblGrid>
      <w:tr w:rsidR="005972E8" w:rsidRPr="005972E8" w14:paraId="60FE20D1" w14:textId="77777777" w:rsidTr="0093689D">
        <w:tc>
          <w:tcPr>
            <w:tcW w:w="4747" w:type="dxa"/>
            <w:shd w:val="clear" w:color="auto" w:fill="DBE5F1"/>
          </w:tcPr>
          <w:p w14:paraId="21CF16DA" w14:textId="77777777" w:rsidR="005972E8" w:rsidRPr="005972E8" w:rsidRDefault="005972E8" w:rsidP="005972E8">
            <w:pPr>
              <w:spacing w:line="276" w:lineRule="auto"/>
              <w:rPr>
                <w:rFonts w:ascii="Arial" w:hAnsi="Arial" w:cs="Arial"/>
                <w:b/>
              </w:rPr>
            </w:pPr>
            <w:r w:rsidRPr="005972E8">
              <w:rPr>
                <w:rFonts w:ascii="Arial" w:hAnsi="Arial" w:cs="Arial"/>
                <w:b/>
              </w:rPr>
              <w:t>OBČINA IG</w:t>
            </w:r>
          </w:p>
        </w:tc>
        <w:tc>
          <w:tcPr>
            <w:tcW w:w="4748" w:type="dxa"/>
            <w:shd w:val="clear" w:color="auto" w:fill="DBE5F1"/>
          </w:tcPr>
          <w:p w14:paraId="20AC6B22" w14:textId="77777777" w:rsidR="005972E8" w:rsidRPr="005972E8" w:rsidRDefault="005972E8" w:rsidP="005972E8">
            <w:pPr>
              <w:spacing w:line="276" w:lineRule="auto"/>
              <w:rPr>
                <w:rFonts w:ascii="Arial" w:hAnsi="Arial" w:cs="Arial"/>
                <w:b/>
              </w:rPr>
            </w:pPr>
            <w:r w:rsidRPr="005972E8">
              <w:rPr>
                <w:rFonts w:ascii="Arial" w:hAnsi="Arial" w:cs="Arial"/>
                <w:b/>
              </w:rPr>
              <w:t xml:space="preserve">Odgovorna oseba: </w:t>
            </w:r>
          </w:p>
          <w:p w14:paraId="1196CB33" w14:textId="77777777" w:rsidR="005972E8" w:rsidRPr="005972E8" w:rsidRDefault="005972E8" w:rsidP="005972E8">
            <w:pPr>
              <w:spacing w:line="276" w:lineRule="auto"/>
              <w:rPr>
                <w:rFonts w:ascii="Arial" w:hAnsi="Arial" w:cs="Arial"/>
                <w:b/>
              </w:rPr>
            </w:pPr>
            <w:r w:rsidRPr="005972E8">
              <w:rPr>
                <w:rFonts w:ascii="Arial" w:hAnsi="Arial" w:cs="Arial"/>
                <w:b/>
              </w:rPr>
              <w:t>Marjetka Pintarič Župec, višja svetovalka</w:t>
            </w:r>
          </w:p>
        </w:tc>
      </w:tr>
      <w:tr w:rsidR="005972E8" w:rsidRPr="005972E8" w14:paraId="26F3B033" w14:textId="77777777" w:rsidTr="0093689D">
        <w:tc>
          <w:tcPr>
            <w:tcW w:w="4747" w:type="dxa"/>
          </w:tcPr>
          <w:p w14:paraId="103DE219" w14:textId="77777777" w:rsidR="005972E8" w:rsidRPr="005972E8" w:rsidRDefault="005972E8" w:rsidP="005972E8">
            <w:pPr>
              <w:spacing w:line="276" w:lineRule="auto"/>
              <w:rPr>
                <w:rFonts w:ascii="Arial" w:hAnsi="Arial" w:cs="Arial"/>
              </w:rPr>
            </w:pPr>
            <w:r w:rsidRPr="005972E8">
              <w:rPr>
                <w:rFonts w:ascii="Arial" w:hAnsi="Arial" w:cs="Arial"/>
              </w:rPr>
              <w:t>Govekarjeva cesta 6, 1292 Ig</w:t>
            </w:r>
          </w:p>
        </w:tc>
        <w:tc>
          <w:tcPr>
            <w:tcW w:w="4748" w:type="dxa"/>
            <w:vMerge w:val="restart"/>
          </w:tcPr>
          <w:p w14:paraId="31178956" w14:textId="77777777" w:rsidR="005972E8" w:rsidRPr="005972E8" w:rsidRDefault="005972E8" w:rsidP="005972E8">
            <w:pPr>
              <w:spacing w:before="120" w:line="276" w:lineRule="auto"/>
              <w:jc w:val="center"/>
              <w:rPr>
                <w:rFonts w:ascii="Arial" w:hAnsi="Arial" w:cs="Arial"/>
              </w:rPr>
            </w:pPr>
            <w:r w:rsidRPr="005972E8">
              <w:rPr>
                <w:rFonts w:ascii="Arial" w:hAnsi="Arial" w:cs="Arial"/>
              </w:rPr>
              <w:t>(podpis in žig)</w:t>
            </w:r>
          </w:p>
          <w:p w14:paraId="6EFC812E" w14:textId="77777777" w:rsidR="005972E8" w:rsidRPr="005972E8" w:rsidRDefault="005972E8" w:rsidP="005972E8">
            <w:pPr>
              <w:spacing w:line="276" w:lineRule="auto"/>
              <w:jc w:val="center"/>
              <w:rPr>
                <w:rFonts w:ascii="Arial" w:hAnsi="Arial" w:cs="Arial"/>
              </w:rPr>
            </w:pPr>
          </w:p>
          <w:p w14:paraId="67F4B2DA" w14:textId="77777777" w:rsidR="005972E8" w:rsidRPr="005972E8" w:rsidRDefault="005972E8" w:rsidP="005972E8">
            <w:pPr>
              <w:spacing w:line="276" w:lineRule="auto"/>
              <w:jc w:val="center"/>
              <w:rPr>
                <w:rFonts w:ascii="Arial" w:hAnsi="Arial" w:cs="Arial"/>
              </w:rPr>
            </w:pPr>
          </w:p>
          <w:p w14:paraId="317E39D3" w14:textId="77777777" w:rsidR="005972E8" w:rsidRPr="005972E8" w:rsidRDefault="005972E8" w:rsidP="005972E8">
            <w:pPr>
              <w:spacing w:line="276" w:lineRule="auto"/>
              <w:jc w:val="center"/>
              <w:rPr>
                <w:rFonts w:ascii="Arial" w:hAnsi="Arial" w:cs="Arial"/>
              </w:rPr>
            </w:pPr>
          </w:p>
          <w:p w14:paraId="527D2B51" w14:textId="77777777" w:rsidR="005972E8" w:rsidRPr="005972E8" w:rsidRDefault="005972E8" w:rsidP="005972E8">
            <w:pPr>
              <w:spacing w:line="276" w:lineRule="auto"/>
              <w:jc w:val="center"/>
              <w:rPr>
                <w:rFonts w:ascii="Arial" w:hAnsi="Arial" w:cs="Arial"/>
              </w:rPr>
            </w:pPr>
          </w:p>
        </w:tc>
      </w:tr>
      <w:tr w:rsidR="005972E8" w:rsidRPr="005972E8" w14:paraId="545BBEF0" w14:textId="77777777" w:rsidTr="0093689D">
        <w:tc>
          <w:tcPr>
            <w:tcW w:w="4747" w:type="dxa"/>
          </w:tcPr>
          <w:p w14:paraId="6DBB4BF9" w14:textId="77777777" w:rsidR="005972E8" w:rsidRPr="005972E8" w:rsidRDefault="005972E8" w:rsidP="005972E8">
            <w:pPr>
              <w:spacing w:before="120" w:line="276" w:lineRule="auto"/>
              <w:jc w:val="center"/>
              <w:rPr>
                <w:rFonts w:ascii="Arial" w:hAnsi="Arial" w:cs="Arial"/>
              </w:rPr>
            </w:pPr>
            <w:r w:rsidRPr="005972E8">
              <w:rPr>
                <w:rFonts w:ascii="Arial" w:hAnsi="Arial" w:cs="Arial"/>
                <w:noProof/>
              </w:rPr>
              <w:drawing>
                <wp:inline distT="0" distB="0" distL="0" distR="0" wp14:anchorId="5BB51FD8" wp14:editId="4E9387F8">
                  <wp:extent cx="1061720" cy="1262197"/>
                  <wp:effectExtent l="0" t="0" r="5080" b="0"/>
                  <wp:docPr id="1722615334" name="Picture 6" descr="Nov grb in zastava občine Ig | Občina Ig | MojaObčina.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v grb in zastava občine Ig | Občina Ig | MojaObčina.s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846" cy="1276613"/>
                          </a:xfrm>
                          <a:prstGeom prst="rect">
                            <a:avLst/>
                          </a:prstGeom>
                          <a:noFill/>
                          <a:ln>
                            <a:noFill/>
                          </a:ln>
                        </pic:spPr>
                      </pic:pic>
                    </a:graphicData>
                  </a:graphic>
                </wp:inline>
              </w:drawing>
            </w:r>
          </w:p>
        </w:tc>
        <w:tc>
          <w:tcPr>
            <w:tcW w:w="4748" w:type="dxa"/>
            <w:vMerge/>
          </w:tcPr>
          <w:p w14:paraId="455E792E" w14:textId="77777777" w:rsidR="005972E8" w:rsidRPr="005972E8" w:rsidRDefault="005972E8" w:rsidP="005972E8">
            <w:pPr>
              <w:spacing w:line="276" w:lineRule="auto"/>
              <w:jc w:val="center"/>
              <w:rPr>
                <w:rFonts w:ascii="Arial" w:hAnsi="Arial" w:cs="Arial"/>
              </w:rPr>
            </w:pPr>
          </w:p>
        </w:tc>
      </w:tr>
    </w:tbl>
    <w:p w14:paraId="5EB8E63C" w14:textId="77777777" w:rsidR="005972E8" w:rsidRPr="005972E8" w:rsidRDefault="005972E8" w:rsidP="005972E8">
      <w:pPr>
        <w:rPr>
          <w:rFonts w:ascii="Arial" w:eastAsia="Arial" w:hAnsi="Arial" w:cs="Arial"/>
          <w:b/>
          <w:color w:val="366091"/>
        </w:rPr>
      </w:pPr>
    </w:p>
    <w:p w14:paraId="76657EF5" w14:textId="77777777" w:rsidR="005972E8" w:rsidRPr="005972E8" w:rsidRDefault="005972E8" w:rsidP="005972E8">
      <w:pPr>
        <w:spacing w:after="200" w:line="276" w:lineRule="auto"/>
        <w:rPr>
          <w:rFonts w:ascii="Arial" w:eastAsia="Arial" w:hAnsi="Arial" w:cs="Arial"/>
          <w:b/>
          <w:color w:val="366091"/>
        </w:rPr>
      </w:pPr>
      <w:r w:rsidRPr="005972E8">
        <w:rPr>
          <w:rFonts w:ascii="Arial" w:eastAsia="Arial" w:hAnsi="Arial" w:cs="Arial"/>
          <w:b/>
          <w:color w:val="366091"/>
        </w:rPr>
        <w:br w:type="page"/>
      </w:r>
    </w:p>
    <w:p w14:paraId="144475C4" w14:textId="77777777" w:rsidR="008B6353" w:rsidRPr="00F11127" w:rsidRDefault="008B6353" w:rsidP="00BD1D20">
      <w:pPr>
        <w:spacing w:line="276" w:lineRule="auto"/>
        <w:rPr>
          <w:rFonts w:asciiTheme="majorHAnsi" w:hAnsiTheme="majorHAnsi" w:cstheme="majorHAnsi"/>
          <w:highlight w:val="yellow"/>
        </w:rPr>
      </w:pPr>
    </w:p>
    <w:p w14:paraId="4D2455CF" w14:textId="77777777" w:rsidR="003836D1" w:rsidRPr="00F11127" w:rsidRDefault="003836D1" w:rsidP="00BD1D20">
      <w:pPr>
        <w:spacing w:line="276" w:lineRule="auto"/>
        <w:rPr>
          <w:rFonts w:asciiTheme="majorHAnsi" w:hAnsiTheme="majorHAnsi" w:cstheme="majorHAnsi"/>
          <w:highlight w:val="yellow"/>
        </w:rPr>
        <w:sectPr w:rsidR="003836D1" w:rsidRPr="00F11127" w:rsidSect="00480057">
          <w:footerReference w:type="first" r:id="rId15"/>
          <w:pgSz w:w="11906" w:h="16838"/>
          <w:pgMar w:top="1417" w:right="1417" w:bottom="1417" w:left="1417" w:header="708" w:footer="708" w:gutter="0"/>
          <w:cols w:space="708"/>
          <w:titlePg/>
          <w:docGrid w:linePitch="360"/>
        </w:sectPr>
      </w:pPr>
    </w:p>
    <w:sdt>
      <w:sdtPr>
        <w:rPr>
          <w:rFonts w:ascii="Times New Roman" w:eastAsiaTheme="minorHAnsi" w:hAnsi="Times New Roman" w:cstheme="majorHAnsi"/>
          <w:b w:val="0"/>
          <w:bCs w:val="0"/>
          <w:color w:val="auto"/>
          <w:sz w:val="22"/>
          <w:szCs w:val="22"/>
          <w:lang w:val="sl-SI"/>
        </w:rPr>
        <w:id w:val="101358167"/>
        <w:docPartObj>
          <w:docPartGallery w:val="Table of Contents"/>
          <w:docPartUnique/>
        </w:docPartObj>
      </w:sdtPr>
      <w:sdtEndPr>
        <w:rPr>
          <w:rFonts w:eastAsia="Times New Roman"/>
          <w:sz w:val="24"/>
          <w:szCs w:val="24"/>
        </w:rPr>
      </w:sdtEndPr>
      <w:sdtContent>
        <w:p w14:paraId="05FCBB52" w14:textId="77777777" w:rsidR="003836D1" w:rsidRPr="00F11127" w:rsidRDefault="003836D1" w:rsidP="00BD1D20">
          <w:pPr>
            <w:pStyle w:val="NaslovTOC"/>
            <w:spacing w:before="0"/>
            <w:rPr>
              <w:rFonts w:cstheme="majorHAnsi"/>
              <w:lang w:val="sl-SI"/>
            </w:rPr>
          </w:pPr>
          <w:r w:rsidRPr="00F11127">
            <w:rPr>
              <w:rFonts w:cstheme="majorHAnsi"/>
              <w:sz w:val="24"/>
              <w:szCs w:val="24"/>
              <w:lang w:val="sl-SI"/>
            </w:rPr>
            <w:t>KAZALO VSEBINE</w:t>
          </w:r>
        </w:p>
        <w:p w14:paraId="5A766FA8" w14:textId="27110FBA" w:rsidR="002C0380" w:rsidRDefault="00050C93" w:rsidP="002C0380">
          <w:pPr>
            <w:pStyle w:val="Kazalovsebine2"/>
            <w:tabs>
              <w:tab w:val="right" w:leader="dot" w:pos="9062"/>
            </w:tabs>
            <w:rPr>
              <w:smallCaps w:val="0"/>
              <w:noProof/>
              <w:kern w:val="2"/>
              <w:sz w:val="24"/>
              <w:szCs w:val="24"/>
              <w:lang w:eastAsia="sl-SI"/>
              <w14:ligatures w14:val="standardContextual"/>
            </w:rPr>
          </w:pPr>
          <w:r w:rsidRPr="00D2136F">
            <w:rPr>
              <w:rFonts w:asciiTheme="majorHAnsi" w:hAnsiTheme="majorHAnsi" w:cstheme="majorHAnsi"/>
              <w:b/>
              <w:bCs/>
              <w:caps/>
            </w:rPr>
            <w:fldChar w:fldCharType="begin"/>
          </w:r>
          <w:r w:rsidR="003836D1" w:rsidRPr="00D2136F">
            <w:rPr>
              <w:rFonts w:asciiTheme="majorHAnsi" w:hAnsiTheme="majorHAnsi" w:cstheme="majorHAnsi"/>
            </w:rPr>
            <w:instrText xml:space="preserve"> TOC \o "1-3" \h \z \u </w:instrText>
          </w:r>
          <w:r w:rsidRPr="00D2136F">
            <w:rPr>
              <w:rFonts w:asciiTheme="majorHAnsi" w:hAnsiTheme="majorHAnsi" w:cstheme="majorHAnsi"/>
              <w:b/>
              <w:bCs/>
              <w:caps/>
            </w:rPr>
            <w:fldChar w:fldCharType="separate"/>
          </w:r>
        </w:p>
        <w:p w14:paraId="0CA66B7B" w14:textId="23EB2877"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761" w:history="1">
            <w:r w:rsidRPr="000C0121">
              <w:rPr>
                <w:rStyle w:val="Hiperpovezava"/>
                <w:rFonts w:cstheme="majorHAnsi"/>
                <w:noProof/>
              </w:rPr>
              <w:t>1</w:t>
            </w:r>
            <w:r>
              <w:rPr>
                <w:b w:val="0"/>
                <w:bCs w:val="0"/>
                <w:caps w:val="0"/>
                <w:noProof/>
                <w:kern w:val="2"/>
                <w:sz w:val="24"/>
                <w:szCs w:val="24"/>
                <w:lang w:eastAsia="sl-SI"/>
                <w14:ligatures w14:val="standardContextual"/>
              </w:rPr>
              <w:tab/>
            </w:r>
            <w:r w:rsidRPr="000C0121">
              <w:rPr>
                <w:rStyle w:val="Hiperpovezava"/>
                <w:rFonts w:cstheme="majorHAnsi"/>
                <w:noProof/>
              </w:rPr>
              <w:t>UVODNO POJASNILO</w:t>
            </w:r>
            <w:r>
              <w:rPr>
                <w:noProof/>
                <w:webHidden/>
              </w:rPr>
              <w:tab/>
            </w:r>
            <w:r>
              <w:rPr>
                <w:noProof/>
                <w:webHidden/>
              </w:rPr>
              <w:fldChar w:fldCharType="begin"/>
            </w:r>
            <w:r>
              <w:rPr>
                <w:noProof/>
                <w:webHidden/>
              </w:rPr>
              <w:instrText xml:space="preserve"> PAGEREF _Toc210033761 \h </w:instrText>
            </w:r>
            <w:r>
              <w:rPr>
                <w:noProof/>
                <w:webHidden/>
              </w:rPr>
            </w:r>
            <w:r>
              <w:rPr>
                <w:noProof/>
                <w:webHidden/>
              </w:rPr>
              <w:fldChar w:fldCharType="separate"/>
            </w:r>
            <w:r>
              <w:rPr>
                <w:noProof/>
                <w:webHidden/>
              </w:rPr>
              <w:t>10</w:t>
            </w:r>
            <w:r>
              <w:rPr>
                <w:noProof/>
                <w:webHidden/>
              </w:rPr>
              <w:fldChar w:fldCharType="end"/>
            </w:r>
          </w:hyperlink>
        </w:p>
        <w:p w14:paraId="6776134A" w14:textId="291A9914"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62" w:history="1">
            <w:r w:rsidRPr="000C0121">
              <w:rPr>
                <w:rStyle w:val="Hiperpovezava"/>
                <w:rFonts w:asciiTheme="majorHAnsi" w:eastAsiaTheme="majorEastAsia" w:hAnsiTheme="majorHAnsi" w:cstheme="majorHAnsi"/>
                <w:noProof/>
              </w:rPr>
              <w:t>1.1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 investitorju, upravljavcu in naročniku</w:t>
            </w:r>
            <w:r>
              <w:rPr>
                <w:noProof/>
                <w:webHidden/>
              </w:rPr>
              <w:tab/>
            </w:r>
            <w:r>
              <w:rPr>
                <w:noProof/>
                <w:webHidden/>
              </w:rPr>
              <w:fldChar w:fldCharType="begin"/>
            </w:r>
            <w:r>
              <w:rPr>
                <w:noProof/>
                <w:webHidden/>
              </w:rPr>
              <w:instrText xml:space="preserve"> PAGEREF _Toc210033762 \h </w:instrText>
            </w:r>
            <w:r>
              <w:rPr>
                <w:noProof/>
                <w:webHidden/>
              </w:rPr>
            </w:r>
            <w:r>
              <w:rPr>
                <w:noProof/>
                <w:webHidden/>
              </w:rPr>
              <w:fldChar w:fldCharType="separate"/>
            </w:r>
            <w:r>
              <w:rPr>
                <w:noProof/>
                <w:webHidden/>
              </w:rPr>
              <w:t>19</w:t>
            </w:r>
            <w:r>
              <w:rPr>
                <w:noProof/>
                <w:webHidden/>
              </w:rPr>
              <w:fldChar w:fldCharType="end"/>
            </w:r>
          </w:hyperlink>
        </w:p>
        <w:p w14:paraId="37CEF445" w14:textId="56D7B666"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63" w:history="1">
            <w:r w:rsidRPr="000C0121">
              <w:rPr>
                <w:rStyle w:val="Hiperpovezava"/>
                <w:rFonts w:asciiTheme="majorHAnsi" w:eastAsiaTheme="majorEastAsia" w:hAnsiTheme="majorHAnsi" w:cstheme="majorHAnsi"/>
                <w:noProof/>
              </w:rPr>
              <w:t>1.2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Predstavitev izdelovalca investicijskega programa</w:t>
            </w:r>
            <w:r>
              <w:rPr>
                <w:noProof/>
                <w:webHidden/>
              </w:rPr>
              <w:tab/>
            </w:r>
            <w:r>
              <w:rPr>
                <w:noProof/>
                <w:webHidden/>
              </w:rPr>
              <w:fldChar w:fldCharType="begin"/>
            </w:r>
            <w:r>
              <w:rPr>
                <w:noProof/>
                <w:webHidden/>
              </w:rPr>
              <w:instrText xml:space="preserve"> PAGEREF _Toc210033763 \h </w:instrText>
            </w:r>
            <w:r>
              <w:rPr>
                <w:noProof/>
                <w:webHidden/>
              </w:rPr>
            </w:r>
            <w:r>
              <w:rPr>
                <w:noProof/>
                <w:webHidden/>
              </w:rPr>
              <w:fldChar w:fldCharType="separate"/>
            </w:r>
            <w:r>
              <w:rPr>
                <w:noProof/>
                <w:webHidden/>
              </w:rPr>
              <w:t>20</w:t>
            </w:r>
            <w:r>
              <w:rPr>
                <w:noProof/>
                <w:webHidden/>
              </w:rPr>
              <w:fldChar w:fldCharType="end"/>
            </w:r>
          </w:hyperlink>
        </w:p>
        <w:p w14:paraId="197DD49C" w14:textId="5C23E361"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64" w:history="1">
            <w:r w:rsidRPr="000C0121">
              <w:rPr>
                <w:rStyle w:val="Hiperpovezava"/>
                <w:rFonts w:asciiTheme="majorHAnsi" w:eastAsiaTheme="majorEastAsia" w:hAnsiTheme="majorHAnsi" w:cstheme="majorHAnsi"/>
                <w:noProof/>
              </w:rPr>
              <w:t>1.3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Namen in cilj investicijskega projekta</w:t>
            </w:r>
            <w:r>
              <w:rPr>
                <w:noProof/>
                <w:webHidden/>
              </w:rPr>
              <w:tab/>
            </w:r>
            <w:r>
              <w:rPr>
                <w:noProof/>
                <w:webHidden/>
              </w:rPr>
              <w:fldChar w:fldCharType="begin"/>
            </w:r>
            <w:r>
              <w:rPr>
                <w:noProof/>
                <w:webHidden/>
              </w:rPr>
              <w:instrText xml:space="preserve"> PAGEREF _Toc210033764 \h </w:instrText>
            </w:r>
            <w:r>
              <w:rPr>
                <w:noProof/>
                <w:webHidden/>
              </w:rPr>
            </w:r>
            <w:r>
              <w:rPr>
                <w:noProof/>
                <w:webHidden/>
              </w:rPr>
              <w:fldChar w:fldCharType="separate"/>
            </w:r>
            <w:r>
              <w:rPr>
                <w:noProof/>
                <w:webHidden/>
              </w:rPr>
              <w:t>21</w:t>
            </w:r>
            <w:r>
              <w:rPr>
                <w:noProof/>
                <w:webHidden/>
              </w:rPr>
              <w:fldChar w:fldCharType="end"/>
            </w:r>
          </w:hyperlink>
        </w:p>
        <w:p w14:paraId="0B521A79" w14:textId="3AE0274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65" w:history="1">
            <w:r w:rsidRPr="000C0121">
              <w:rPr>
                <w:rStyle w:val="Hiperpovezava"/>
                <w:rFonts w:asciiTheme="majorHAnsi" w:eastAsiaTheme="majorEastAsia" w:hAnsiTheme="majorHAnsi" w:cstheme="majorHAnsi"/>
                <w:noProof/>
              </w:rPr>
              <w:t>1.4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Obdelava variant</w:t>
            </w:r>
            <w:r>
              <w:rPr>
                <w:noProof/>
                <w:webHidden/>
              </w:rPr>
              <w:tab/>
            </w:r>
            <w:r>
              <w:rPr>
                <w:noProof/>
                <w:webHidden/>
              </w:rPr>
              <w:fldChar w:fldCharType="begin"/>
            </w:r>
            <w:r>
              <w:rPr>
                <w:noProof/>
                <w:webHidden/>
              </w:rPr>
              <w:instrText xml:space="preserve"> PAGEREF _Toc210033765 \h </w:instrText>
            </w:r>
            <w:r>
              <w:rPr>
                <w:noProof/>
                <w:webHidden/>
              </w:rPr>
            </w:r>
            <w:r>
              <w:rPr>
                <w:noProof/>
                <w:webHidden/>
              </w:rPr>
              <w:fldChar w:fldCharType="separate"/>
            </w:r>
            <w:r>
              <w:rPr>
                <w:noProof/>
                <w:webHidden/>
              </w:rPr>
              <w:t>25</w:t>
            </w:r>
            <w:r>
              <w:rPr>
                <w:noProof/>
                <w:webHidden/>
              </w:rPr>
              <w:fldChar w:fldCharType="end"/>
            </w:r>
          </w:hyperlink>
        </w:p>
        <w:p w14:paraId="67CE5777" w14:textId="28062962"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66" w:history="1">
            <w:r w:rsidRPr="000C0121">
              <w:rPr>
                <w:rStyle w:val="Hiperpovezava"/>
                <w:rFonts w:asciiTheme="majorHAnsi" w:eastAsiaTheme="majorEastAsia" w:hAnsiTheme="majorHAnsi" w:cstheme="majorHAnsi"/>
                <w:noProof/>
              </w:rPr>
              <w:t>1.4.1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Varianta 0 – brez projekta</w:t>
            </w:r>
            <w:r>
              <w:rPr>
                <w:noProof/>
                <w:webHidden/>
              </w:rPr>
              <w:tab/>
            </w:r>
            <w:r>
              <w:rPr>
                <w:noProof/>
                <w:webHidden/>
              </w:rPr>
              <w:fldChar w:fldCharType="begin"/>
            </w:r>
            <w:r>
              <w:rPr>
                <w:noProof/>
                <w:webHidden/>
              </w:rPr>
              <w:instrText xml:space="preserve"> PAGEREF _Toc210033766 \h </w:instrText>
            </w:r>
            <w:r>
              <w:rPr>
                <w:noProof/>
                <w:webHidden/>
              </w:rPr>
            </w:r>
            <w:r>
              <w:rPr>
                <w:noProof/>
                <w:webHidden/>
              </w:rPr>
              <w:fldChar w:fldCharType="separate"/>
            </w:r>
            <w:r>
              <w:rPr>
                <w:noProof/>
                <w:webHidden/>
              </w:rPr>
              <w:t>25</w:t>
            </w:r>
            <w:r>
              <w:rPr>
                <w:noProof/>
                <w:webHidden/>
              </w:rPr>
              <w:fldChar w:fldCharType="end"/>
            </w:r>
          </w:hyperlink>
        </w:p>
        <w:p w14:paraId="71FE6351" w14:textId="1A7E7780"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67" w:history="1">
            <w:r w:rsidRPr="000C0121">
              <w:rPr>
                <w:rStyle w:val="Hiperpovezava"/>
                <w:rFonts w:asciiTheme="majorHAnsi" w:eastAsiaTheme="majorEastAsia" w:hAnsiTheme="majorHAnsi" w:cstheme="majorHAnsi"/>
                <w:noProof/>
              </w:rPr>
              <w:t>1.4.2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Varianta 1 – izvedba projekta z nepovratnimi sredstvi</w:t>
            </w:r>
            <w:r>
              <w:rPr>
                <w:noProof/>
                <w:webHidden/>
              </w:rPr>
              <w:tab/>
            </w:r>
            <w:r>
              <w:rPr>
                <w:noProof/>
                <w:webHidden/>
              </w:rPr>
              <w:fldChar w:fldCharType="begin"/>
            </w:r>
            <w:r>
              <w:rPr>
                <w:noProof/>
                <w:webHidden/>
              </w:rPr>
              <w:instrText xml:space="preserve"> PAGEREF _Toc210033767 \h </w:instrText>
            </w:r>
            <w:r>
              <w:rPr>
                <w:noProof/>
                <w:webHidden/>
              </w:rPr>
            </w:r>
            <w:r>
              <w:rPr>
                <w:noProof/>
                <w:webHidden/>
              </w:rPr>
              <w:fldChar w:fldCharType="separate"/>
            </w:r>
            <w:r>
              <w:rPr>
                <w:noProof/>
                <w:webHidden/>
              </w:rPr>
              <w:t>25</w:t>
            </w:r>
            <w:r>
              <w:rPr>
                <w:noProof/>
                <w:webHidden/>
              </w:rPr>
              <w:fldChar w:fldCharType="end"/>
            </w:r>
          </w:hyperlink>
        </w:p>
        <w:p w14:paraId="47351AA1" w14:textId="28F6CA98"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68" w:history="1">
            <w:r w:rsidRPr="000C0121">
              <w:rPr>
                <w:rStyle w:val="Hiperpovezava"/>
                <w:rFonts w:asciiTheme="majorHAnsi" w:eastAsiaTheme="majorEastAsia" w:hAnsiTheme="majorHAnsi" w:cstheme="majorHAnsi"/>
                <w:noProof/>
              </w:rPr>
              <w:t>1.4.3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Varianta 2 – izvedba projekta z lastnimi sredstvi</w:t>
            </w:r>
            <w:r>
              <w:rPr>
                <w:noProof/>
                <w:webHidden/>
              </w:rPr>
              <w:tab/>
            </w:r>
            <w:r>
              <w:rPr>
                <w:noProof/>
                <w:webHidden/>
              </w:rPr>
              <w:fldChar w:fldCharType="begin"/>
            </w:r>
            <w:r>
              <w:rPr>
                <w:noProof/>
                <w:webHidden/>
              </w:rPr>
              <w:instrText xml:space="preserve"> PAGEREF _Toc210033768 \h </w:instrText>
            </w:r>
            <w:r>
              <w:rPr>
                <w:noProof/>
                <w:webHidden/>
              </w:rPr>
            </w:r>
            <w:r>
              <w:rPr>
                <w:noProof/>
                <w:webHidden/>
              </w:rPr>
              <w:fldChar w:fldCharType="separate"/>
            </w:r>
            <w:r>
              <w:rPr>
                <w:noProof/>
                <w:webHidden/>
              </w:rPr>
              <w:t>26</w:t>
            </w:r>
            <w:r>
              <w:rPr>
                <w:noProof/>
                <w:webHidden/>
              </w:rPr>
              <w:fldChar w:fldCharType="end"/>
            </w:r>
          </w:hyperlink>
        </w:p>
        <w:p w14:paraId="5B4B643C" w14:textId="4F1BA9AE"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69" w:history="1">
            <w:r w:rsidRPr="000C0121">
              <w:rPr>
                <w:rStyle w:val="Hiperpovezava"/>
                <w:rFonts w:asciiTheme="majorHAnsi" w:eastAsiaTheme="majorEastAsia" w:hAnsiTheme="majorHAnsi" w:cstheme="majorHAnsi"/>
                <w:noProof/>
              </w:rPr>
              <w:t>1.5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Povzetek dokumenta identifikacije investicijskega projekta</w:t>
            </w:r>
            <w:r>
              <w:rPr>
                <w:noProof/>
                <w:webHidden/>
              </w:rPr>
              <w:tab/>
            </w:r>
            <w:r>
              <w:rPr>
                <w:noProof/>
                <w:webHidden/>
              </w:rPr>
              <w:fldChar w:fldCharType="begin"/>
            </w:r>
            <w:r>
              <w:rPr>
                <w:noProof/>
                <w:webHidden/>
              </w:rPr>
              <w:instrText xml:space="preserve"> PAGEREF _Toc210033769 \h </w:instrText>
            </w:r>
            <w:r>
              <w:rPr>
                <w:noProof/>
                <w:webHidden/>
              </w:rPr>
            </w:r>
            <w:r>
              <w:rPr>
                <w:noProof/>
                <w:webHidden/>
              </w:rPr>
              <w:fldChar w:fldCharType="separate"/>
            </w:r>
            <w:r>
              <w:rPr>
                <w:noProof/>
                <w:webHidden/>
              </w:rPr>
              <w:t>26</w:t>
            </w:r>
            <w:r>
              <w:rPr>
                <w:noProof/>
                <w:webHidden/>
              </w:rPr>
              <w:fldChar w:fldCharType="end"/>
            </w:r>
          </w:hyperlink>
        </w:p>
        <w:p w14:paraId="76513227" w14:textId="606E8C64"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0" w:history="1">
            <w:r w:rsidRPr="000C0121">
              <w:rPr>
                <w:rStyle w:val="Hiperpovezava"/>
                <w:rFonts w:asciiTheme="majorHAnsi" w:eastAsiaTheme="majorEastAsia" w:hAnsiTheme="majorHAnsi" w:cstheme="majorHAnsi"/>
                <w:noProof/>
              </w:rPr>
              <w:t>1.6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Povzetek predinvesticijske zasnove</w:t>
            </w:r>
            <w:r>
              <w:rPr>
                <w:noProof/>
                <w:webHidden/>
              </w:rPr>
              <w:tab/>
            </w:r>
            <w:r>
              <w:rPr>
                <w:noProof/>
                <w:webHidden/>
              </w:rPr>
              <w:fldChar w:fldCharType="begin"/>
            </w:r>
            <w:r>
              <w:rPr>
                <w:noProof/>
                <w:webHidden/>
              </w:rPr>
              <w:instrText xml:space="preserve"> PAGEREF _Toc210033770 \h </w:instrText>
            </w:r>
            <w:r>
              <w:rPr>
                <w:noProof/>
                <w:webHidden/>
              </w:rPr>
            </w:r>
            <w:r>
              <w:rPr>
                <w:noProof/>
                <w:webHidden/>
              </w:rPr>
              <w:fldChar w:fldCharType="separate"/>
            </w:r>
            <w:r>
              <w:rPr>
                <w:noProof/>
                <w:webHidden/>
              </w:rPr>
              <w:t>27</w:t>
            </w:r>
            <w:r>
              <w:rPr>
                <w:noProof/>
                <w:webHidden/>
              </w:rPr>
              <w:fldChar w:fldCharType="end"/>
            </w:r>
          </w:hyperlink>
        </w:p>
        <w:p w14:paraId="23FDF2A3" w14:textId="5EA5E715"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1" w:history="1">
            <w:r w:rsidRPr="000C0121">
              <w:rPr>
                <w:rStyle w:val="Hiperpovezava"/>
                <w:rFonts w:asciiTheme="majorHAnsi" w:eastAsiaTheme="majorEastAsia" w:hAnsiTheme="majorHAnsi" w:cstheme="majorHAnsi"/>
                <w:noProof/>
              </w:rPr>
              <w:t>1.7</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Spremembe v fazi izdelave investicijske dokumentacije</w:t>
            </w:r>
            <w:r>
              <w:rPr>
                <w:noProof/>
                <w:webHidden/>
              </w:rPr>
              <w:tab/>
            </w:r>
            <w:r>
              <w:rPr>
                <w:noProof/>
                <w:webHidden/>
              </w:rPr>
              <w:fldChar w:fldCharType="begin"/>
            </w:r>
            <w:r>
              <w:rPr>
                <w:noProof/>
                <w:webHidden/>
              </w:rPr>
              <w:instrText xml:space="preserve"> PAGEREF _Toc210033771 \h </w:instrText>
            </w:r>
            <w:r>
              <w:rPr>
                <w:noProof/>
                <w:webHidden/>
              </w:rPr>
            </w:r>
            <w:r>
              <w:rPr>
                <w:noProof/>
                <w:webHidden/>
              </w:rPr>
              <w:fldChar w:fldCharType="separate"/>
            </w:r>
            <w:r>
              <w:rPr>
                <w:noProof/>
                <w:webHidden/>
              </w:rPr>
              <w:t>28</w:t>
            </w:r>
            <w:r>
              <w:rPr>
                <w:noProof/>
                <w:webHidden/>
              </w:rPr>
              <w:fldChar w:fldCharType="end"/>
            </w:r>
          </w:hyperlink>
        </w:p>
        <w:p w14:paraId="6052236A" w14:textId="795E582B"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772" w:history="1">
            <w:r w:rsidRPr="000C0121">
              <w:rPr>
                <w:rStyle w:val="Hiperpovezava"/>
                <w:rFonts w:cstheme="majorHAnsi"/>
                <w:noProof/>
              </w:rPr>
              <w:t>2</w:t>
            </w:r>
            <w:r>
              <w:rPr>
                <w:b w:val="0"/>
                <w:bCs w:val="0"/>
                <w:caps w:val="0"/>
                <w:noProof/>
                <w:kern w:val="2"/>
                <w:sz w:val="24"/>
                <w:szCs w:val="24"/>
                <w:lang w:eastAsia="sl-SI"/>
                <w14:ligatures w14:val="standardContextual"/>
              </w:rPr>
              <w:tab/>
            </w:r>
            <w:r w:rsidRPr="000C0121">
              <w:rPr>
                <w:rStyle w:val="Hiperpovezava"/>
                <w:rFonts w:cstheme="majorHAnsi"/>
                <w:noProof/>
              </w:rPr>
              <w:t>POVZETEK INVESTICIJSKEGA PROGRAMA</w:t>
            </w:r>
            <w:r>
              <w:rPr>
                <w:noProof/>
                <w:webHidden/>
              </w:rPr>
              <w:tab/>
            </w:r>
            <w:r>
              <w:rPr>
                <w:noProof/>
                <w:webHidden/>
              </w:rPr>
              <w:fldChar w:fldCharType="begin"/>
            </w:r>
            <w:r>
              <w:rPr>
                <w:noProof/>
                <w:webHidden/>
              </w:rPr>
              <w:instrText xml:space="preserve"> PAGEREF _Toc210033772 \h </w:instrText>
            </w:r>
            <w:r>
              <w:rPr>
                <w:noProof/>
                <w:webHidden/>
              </w:rPr>
            </w:r>
            <w:r>
              <w:rPr>
                <w:noProof/>
                <w:webHidden/>
              </w:rPr>
              <w:fldChar w:fldCharType="separate"/>
            </w:r>
            <w:r>
              <w:rPr>
                <w:noProof/>
                <w:webHidden/>
              </w:rPr>
              <w:t>29</w:t>
            </w:r>
            <w:r>
              <w:rPr>
                <w:noProof/>
                <w:webHidden/>
              </w:rPr>
              <w:fldChar w:fldCharType="end"/>
            </w:r>
          </w:hyperlink>
        </w:p>
        <w:p w14:paraId="4A258F4B" w14:textId="6F5B0665"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3" w:history="1">
            <w:r w:rsidRPr="000C0121">
              <w:rPr>
                <w:rStyle w:val="Hiperpovezava"/>
                <w:rFonts w:asciiTheme="majorHAnsi" w:eastAsiaTheme="majorEastAsia" w:hAnsiTheme="majorHAnsi" w:cstheme="majorHAnsi"/>
                <w:noProof/>
              </w:rPr>
              <w:t>2.1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Spisek strokovnih podlag</w:t>
            </w:r>
            <w:r>
              <w:rPr>
                <w:noProof/>
                <w:webHidden/>
              </w:rPr>
              <w:tab/>
            </w:r>
            <w:r>
              <w:rPr>
                <w:noProof/>
                <w:webHidden/>
              </w:rPr>
              <w:fldChar w:fldCharType="begin"/>
            </w:r>
            <w:r>
              <w:rPr>
                <w:noProof/>
                <w:webHidden/>
              </w:rPr>
              <w:instrText xml:space="preserve"> PAGEREF _Toc210033773 \h </w:instrText>
            </w:r>
            <w:r>
              <w:rPr>
                <w:noProof/>
                <w:webHidden/>
              </w:rPr>
            </w:r>
            <w:r>
              <w:rPr>
                <w:noProof/>
                <w:webHidden/>
              </w:rPr>
              <w:fldChar w:fldCharType="separate"/>
            </w:r>
            <w:r>
              <w:rPr>
                <w:noProof/>
                <w:webHidden/>
              </w:rPr>
              <w:t>29</w:t>
            </w:r>
            <w:r>
              <w:rPr>
                <w:noProof/>
                <w:webHidden/>
              </w:rPr>
              <w:fldChar w:fldCharType="end"/>
            </w:r>
          </w:hyperlink>
        </w:p>
        <w:p w14:paraId="1DF71EC5" w14:textId="3BACE649"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4" w:history="1">
            <w:r w:rsidRPr="000C0121">
              <w:rPr>
                <w:rStyle w:val="Hiperpovezava"/>
                <w:rFonts w:asciiTheme="majorHAnsi" w:eastAsiaTheme="majorEastAsia" w:hAnsiTheme="majorHAnsi" w:cstheme="majorHAnsi"/>
                <w:noProof/>
              </w:rPr>
              <w:t>2.2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Opredelitev vrste projekta</w:t>
            </w:r>
            <w:r>
              <w:rPr>
                <w:noProof/>
                <w:webHidden/>
              </w:rPr>
              <w:tab/>
            </w:r>
            <w:r>
              <w:rPr>
                <w:noProof/>
                <w:webHidden/>
              </w:rPr>
              <w:fldChar w:fldCharType="begin"/>
            </w:r>
            <w:r>
              <w:rPr>
                <w:noProof/>
                <w:webHidden/>
              </w:rPr>
              <w:instrText xml:space="preserve"> PAGEREF _Toc210033774 \h </w:instrText>
            </w:r>
            <w:r>
              <w:rPr>
                <w:noProof/>
                <w:webHidden/>
              </w:rPr>
            </w:r>
            <w:r>
              <w:rPr>
                <w:noProof/>
                <w:webHidden/>
              </w:rPr>
              <w:fldChar w:fldCharType="separate"/>
            </w:r>
            <w:r>
              <w:rPr>
                <w:noProof/>
                <w:webHidden/>
              </w:rPr>
              <w:t>30</w:t>
            </w:r>
            <w:r>
              <w:rPr>
                <w:noProof/>
                <w:webHidden/>
              </w:rPr>
              <w:fldChar w:fldCharType="end"/>
            </w:r>
          </w:hyperlink>
        </w:p>
        <w:p w14:paraId="2C641BF9" w14:textId="1197DDA5"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75" w:history="1">
            <w:r w:rsidRPr="000C0121">
              <w:rPr>
                <w:rStyle w:val="Hiperpovezava"/>
                <w:rFonts w:asciiTheme="majorHAnsi" w:eastAsiaTheme="majorEastAsia" w:hAnsiTheme="majorHAnsi" w:cstheme="majorHAnsi"/>
                <w:noProof/>
              </w:rPr>
              <w:t>2.2.1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Opredelitev vrste investicijskega naročila (ukrepa)</w:t>
            </w:r>
            <w:r>
              <w:rPr>
                <w:noProof/>
                <w:webHidden/>
              </w:rPr>
              <w:tab/>
            </w:r>
            <w:r>
              <w:rPr>
                <w:noProof/>
                <w:webHidden/>
              </w:rPr>
              <w:fldChar w:fldCharType="begin"/>
            </w:r>
            <w:r>
              <w:rPr>
                <w:noProof/>
                <w:webHidden/>
              </w:rPr>
              <w:instrText xml:space="preserve"> PAGEREF _Toc210033775 \h </w:instrText>
            </w:r>
            <w:r>
              <w:rPr>
                <w:noProof/>
                <w:webHidden/>
              </w:rPr>
            </w:r>
            <w:r>
              <w:rPr>
                <w:noProof/>
                <w:webHidden/>
              </w:rPr>
              <w:fldChar w:fldCharType="separate"/>
            </w:r>
            <w:r>
              <w:rPr>
                <w:noProof/>
                <w:webHidden/>
              </w:rPr>
              <w:t>30</w:t>
            </w:r>
            <w:r>
              <w:rPr>
                <w:noProof/>
                <w:webHidden/>
              </w:rPr>
              <w:fldChar w:fldCharType="end"/>
            </w:r>
          </w:hyperlink>
        </w:p>
        <w:p w14:paraId="1791DFF9" w14:textId="5931A28E"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6" w:history="1">
            <w:r w:rsidRPr="000C0121">
              <w:rPr>
                <w:rStyle w:val="Hiperpovezava"/>
                <w:rFonts w:asciiTheme="majorHAnsi" w:eastAsiaTheme="majorEastAsia" w:hAnsiTheme="majorHAnsi" w:cstheme="majorHAnsi"/>
                <w:noProof/>
              </w:rPr>
              <w:t>2.3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Navedba odgovornih oseb</w:t>
            </w:r>
            <w:r>
              <w:rPr>
                <w:noProof/>
                <w:webHidden/>
              </w:rPr>
              <w:tab/>
            </w:r>
            <w:r>
              <w:rPr>
                <w:noProof/>
                <w:webHidden/>
              </w:rPr>
              <w:fldChar w:fldCharType="begin"/>
            </w:r>
            <w:r>
              <w:rPr>
                <w:noProof/>
                <w:webHidden/>
              </w:rPr>
              <w:instrText xml:space="preserve"> PAGEREF _Toc210033776 \h </w:instrText>
            </w:r>
            <w:r>
              <w:rPr>
                <w:noProof/>
                <w:webHidden/>
              </w:rPr>
            </w:r>
            <w:r>
              <w:rPr>
                <w:noProof/>
                <w:webHidden/>
              </w:rPr>
              <w:fldChar w:fldCharType="separate"/>
            </w:r>
            <w:r>
              <w:rPr>
                <w:noProof/>
                <w:webHidden/>
              </w:rPr>
              <w:t>30</w:t>
            </w:r>
            <w:r>
              <w:rPr>
                <w:noProof/>
                <w:webHidden/>
              </w:rPr>
              <w:fldChar w:fldCharType="end"/>
            </w:r>
          </w:hyperlink>
        </w:p>
        <w:p w14:paraId="524A15FE" w14:textId="1628A62A"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7" w:history="1">
            <w:r w:rsidRPr="000C0121">
              <w:rPr>
                <w:rStyle w:val="Hiperpovezava"/>
                <w:rFonts w:asciiTheme="majorHAnsi" w:eastAsiaTheme="majorEastAsia" w:hAnsiTheme="majorHAnsi" w:cstheme="majorHAnsi"/>
                <w:noProof/>
              </w:rPr>
              <w:t>2.4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Predvidena organizacija in izvedba projekta</w:t>
            </w:r>
            <w:r>
              <w:rPr>
                <w:noProof/>
                <w:webHidden/>
              </w:rPr>
              <w:tab/>
            </w:r>
            <w:r>
              <w:rPr>
                <w:noProof/>
                <w:webHidden/>
              </w:rPr>
              <w:fldChar w:fldCharType="begin"/>
            </w:r>
            <w:r>
              <w:rPr>
                <w:noProof/>
                <w:webHidden/>
              </w:rPr>
              <w:instrText xml:space="preserve"> PAGEREF _Toc210033777 \h </w:instrText>
            </w:r>
            <w:r>
              <w:rPr>
                <w:noProof/>
                <w:webHidden/>
              </w:rPr>
            </w:r>
            <w:r>
              <w:rPr>
                <w:noProof/>
                <w:webHidden/>
              </w:rPr>
              <w:fldChar w:fldCharType="separate"/>
            </w:r>
            <w:r>
              <w:rPr>
                <w:noProof/>
                <w:webHidden/>
              </w:rPr>
              <w:t>30</w:t>
            </w:r>
            <w:r>
              <w:rPr>
                <w:noProof/>
                <w:webHidden/>
              </w:rPr>
              <w:fldChar w:fldCharType="end"/>
            </w:r>
          </w:hyperlink>
        </w:p>
        <w:p w14:paraId="7F3A967F" w14:textId="0563D829"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8" w:history="1">
            <w:r w:rsidRPr="000C0121">
              <w:rPr>
                <w:rStyle w:val="Hiperpovezava"/>
                <w:rFonts w:asciiTheme="majorHAnsi" w:eastAsiaTheme="majorEastAsia" w:hAnsiTheme="majorHAnsi" w:cstheme="majorHAnsi"/>
                <w:noProof/>
              </w:rPr>
              <w:t>2.5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Prikaz ocenjene vrednosti investicije ter predvidena finančna konstrukcija</w:t>
            </w:r>
            <w:r>
              <w:rPr>
                <w:noProof/>
                <w:webHidden/>
              </w:rPr>
              <w:tab/>
            </w:r>
            <w:r>
              <w:rPr>
                <w:noProof/>
                <w:webHidden/>
              </w:rPr>
              <w:fldChar w:fldCharType="begin"/>
            </w:r>
            <w:r>
              <w:rPr>
                <w:noProof/>
                <w:webHidden/>
              </w:rPr>
              <w:instrText xml:space="preserve"> PAGEREF _Toc210033778 \h </w:instrText>
            </w:r>
            <w:r>
              <w:rPr>
                <w:noProof/>
                <w:webHidden/>
              </w:rPr>
            </w:r>
            <w:r>
              <w:rPr>
                <w:noProof/>
                <w:webHidden/>
              </w:rPr>
              <w:fldChar w:fldCharType="separate"/>
            </w:r>
            <w:r>
              <w:rPr>
                <w:noProof/>
                <w:webHidden/>
              </w:rPr>
              <w:t>31</w:t>
            </w:r>
            <w:r>
              <w:rPr>
                <w:noProof/>
                <w:webHidden/>
              </w:rPr>
              <w:fldChar w:fldCharType="end"/>
            </w:r>
          </w:hyperlink>
        </w:p>
        <w:p w14:paraId="05AC958E" w14:textId="59A8FE1C"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79" w:history="1">
            <w:r w:rsidRPr="000C0121">
              <w:rPr>
                <w:rStyle w:val="Hiperpovezava"/>
                <w:rFonts w:asciiTheme="majorHAnsi" w:eastAsiaTheme="majorEastAsia" w:hAnsiTheme="majorHAnsi" w:cstheme="majorHAnsi"/>
                <w:noProof/>
              </w:rPr>
              <w:t>2.6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Način in postopek izbire izvajalcev</w:t>
            </w:r>
            <w:r>
              <w:rPr>
                <w:noProof/>
                <w:webHidden/>
              </w:rPr>
              <w:tab/>
            </w:r>
            <w:r>
              <w:rPr>
                <w:noProof/>
                <w:webHidden/>
              </w:rPr>
              <w:fldChar w:fldCharType="begin"/>
            </w:r>
            <w:r>
              <w:rPr>
                <w:noProof/>
                <w:webHidden/>
              </w:rPr>
              <w:instrText xml:space="preserve"> PAGEREF _Toc210033779 \h </w:instrText>
            </w:r>
            <w:r>
              <w:rPr>
                <w:noProof/>
                <w:webHidden/>
              </w:rPr>
            </w:r>
            <w:r>
              <w:rPr>
                <w:noProof/>
                <w:webHidden/>
              </w:rPr>
              <w:fldChar w:fldCharType="separate"/>
            </w:r>
            <w:r>
              <w:rPr>
                <w:noProof/>
                <w:webHidden/>
              </w:rPr>
              <w:t>33</w:t>
            </w:r>
            <w:r>
              <w:rPr>
                <w:noProof/>
                <w:webHidden/>
              </w:rPr>
              <w:fldChar w:fldCharType="end"/>
            </w:r>
          </w:hyperlink>
        </w:p>
        <w:p w14:paraId="48F20F2C" w14:textId="253BB7BE"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0" w:history="1">
            <w:r w:rsidRPr="000C0121">
              <w:rPr>
                <w:rStyle w:val="Hiperpovezava"/>
                <w:rFonts w:asciiTheme="majorHAnsi" w:eastAsiaTheme="majorEastAsia" w:hAnsiTheme="majorHAnsi" w:cstheme="majorHAnsi"/>
                <w:noProof/>
              </w:rPr>
              <w:t>2.7</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Časovni načrt vseh aktivnosti</w:t>
            </w:r>
            <w:r>
              <w:rPr>
                <w:noProof/>
                <w:webHidden/>
              </w:rPr>
              <w:tab/>
            </w:r>
            <w:r>
              <w:rPr>
                <w:noProof/>
                <w:webHidden/>
              </w:rPr>
              <w:fldChar w:fldCharType="begin"/>
            </w:r>
            <w:r>
              <w:rPr>
                <w:noProof/>
                <w:webHidden/>
              </w:rPr>
              <w:instrText xml:space="preserve"> PAGEREF _Toc210033780 \h </w:instrText>
            </w:r>
            <w:r>
              <w:rPr>
                <w:noProof/>
                <w:webHidden/>
              </w:rPr>
            </w:r>
            <w:r>
              <w:rPr>
                <w:noProof/>
                <w:webHidden/>
              </w:rPr>
              <w:fldChar w:fldCharType="separate"/>
            </w:r>
            <w:r>
              <w:rPr>
                <w:noProof/>
                <w:webHidden/>
              </w:rPr>
              <w:t>33</w:t>
            </w:r>
            <w:r>
              <w:rPr>
                <w:noProof/>
                <w:webHidden/>
              </w:rPr>
              <w:fldChar w:fldCharType="end"/>
            </w:r>
          </w:hyperlink>
        </w:p>
        <w:p w14:paraId="093CF9BB" w14:textId="7596F1C0"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1" w:history="1">
            <w:r w:rsidRPr="000C0121">
              <w:rPr>
                <w:rStyle w:val="Hiperpovezava"/>
                <w:rFonts w:asciiTheme="majorHAnsi" w:eastAsiaTheme="majorEastAsia" w:hAnsiTheme="majorHAnsi" w:cstheme="majorHAnsi"/>
                <w:noProof/>
              </w:rPr>
              <w:t>2.8</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Seznam že pripravljene in potrebne dokumentacije</w:t>
            </w:r>
            <w:r>
              <w:rPr>
                <w:noProof/>
                <w:webHidden/>
              </w:rPr>
              <w:tab/>
            </w:r>
            <w:r>
              <w:rPr>
                <w:noProof/>
                <w:webHidden/>
              </w:rPr>
              <w:fldChar w:fldCharType="begin"/>
            </w:r>
            <w:r>
              <w:rPr>
                <w:noProof/>
                <w:webHidden/>
              </w:rPr>
              <w:instrText xml:space="preserve"> PAGEREF _Toc210033781 \h </w:instrText>
            </w:r>
            <w:r>
              <w:rPr>
                <w:noProof/>
                <w:webHidden/>
              </w:rPr>
            </w:r>
            <w:r>
              <w:rPr>
                <w:noProof/>
                <w:webHidden/>
              </w:rPr>
              <w:fldChar w:fldCharType="separate"/>
            </w:r>
            <w:r>
              <w:rPr>
                <w:noProof/>
                <w:webHidden/>
              </w:rPr>
              <w:t>33</w:t>
            </w:r>
            <w:r>
              <w:rPr>
                <w:noProof/>
                <w:webHidden/>
              </w:rPr>
              <w:fldChar w:fldCharType="end"/>
            </w:r>
          </w:hyperlink>
        </w:p>
        <w:p w14:paraId="0345403F" w14:textId="3B015AF2"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2" w:history="1">
            <w:r w:rsidRPr="000C0121">
              <w:rPr>
                <w:rStyle w:val="Hiperpovezava"/>
                <w:rFonts w:asciiTheme="majorHAnsi" w:eastAsiaTheme="majorEastAsia" w:hAnsiTheme="majorHAnsi" w:cstheme="majorHAnsi"/>
                <w:noProof/>
              </w:rPr>
              <w:t>2.9</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Način končnega prevzema in vzpostavitve obratovanja in vzdrževanja</w:t>
            </w:r>
            <w:r>
              <w:rPr>
                <w:noProof/>
                <w:webHidden/>
              </w:rPr>
              <w:tab/>
            </w:r>
            <w:r>
              <w:rPr>
                <w:noProof/>
                <w:webHidden/>
              </w:rPr>
              <w:fldChar w:fldCharType="begin"/>
            </w:r>
            <w:r>
              <w:rPr>
                <w:noProof/>
                <w:webHidden/>
              </w:rPr>
              <w:instrText xml:space="preserve"> PAGEREF _Toc210033782 \h </w:instrText>
            </w:r>
            <w:r>
              <w:rPr>
                <w:noProof/>
                <w:webHidden/>
              </w:rPr>
            </w:r>
            <w:r>
              <w:rPr>
                <w:noProof/>
                <w:webHidden/>
              </w:rPr>
              <w:fldChar w:fldCharType="separate"/>
            </w:r>
            <w:r>
              <w:rPr>
                <w:noProof/>
                <w:webHidden/>
              </w:rPr>
              <w:t>33</w:t>
            </w:r>
            <w:r>
              <w:rPr>
                <w:noProof/>
                <w:webHidden/>
              </w:rPr>
              <w:fldChar w:fldCharType="end"/>
            </w:r>
          </w:hyperlink>
        </w:p>
        <w:p w14:paraId="12BE650A" w14:textId="3EE81B4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3" w:history="1">
            <w:r w:rsidRPr="000C0121">
              <w:rPr>
                <w:rStyle w:val="Hiperpovezava"/>
                <w:rFonts w:asciiTheme="majorHAnsi" w:eastAsiaTheme="majorEastAsia" w:hAnsiTheme="majorHAnsi" w:cstheme="majorHAnsi"/>
                <w:noProof/>
              </w:rPr>
              <w:t>2.10</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Zbirni prikaz rezultatov izračunov ter utemeljitev upravičenosti investicijskega projekta</w:t>
            </w:r>
            <w:r>
              <w:rPr>
                <w:noProof/>
                <w:webHidden/>
              </w:rPr>
              <w:tab/>
            </w:r>
            <w:r>
              <w:rPr>
                <w:noProof/>
                <w:webHidden/>
              </w:rPr>
              <w:fldChar w:fldCharType="begin"/>
            </w:r>
            <w:r>
              <w:rPr>
                <w:noProof/>
                <w:webHidden/>
              </w:rPr>
              <w:instrText xml:space="preserve"> PAGEREF _Toc210033783 \h </w:instrText>
            </w:r>
            <w:r>
              <w:rPr>
                <w:noProof/>
                <w:webHidden/>
              </w:rPr>
            </w:r>
            <w:r>
              <w:rPr>
                <w:noProof/>
                <w:webHidden/>
              </w:rPr>
              <w:fldChar w:fldCharType="separate"/>
            </w:r>
            <w:r>
              <w:rPr>
                <w:noProof/>
                <w:webHidden/>
              </w:rPr>
              <w:t>34</w:t>
            </w:r>
            <w:r>
              <w:rPr>
                <w:noProof/>
                <w:webHidden/>
              </w:rPr>
              <w:fldChar w:fldCharType="end"/>
            </w:r>
          </w:hyperlink>
        </w:p>
        <w:p w14:paraId="2D36F44C" w14:textId="3B9FB1F2"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784" w:history="1">
            <w:r w:rsidRPr="000C0121">
              <w:rPr>
                <w:rStyle w:val="Hiperpovezava"/>
                <w:rFonts w:cstheme="majorHAnsi"/>
                <w:noProof/>
              </w:rPr>
              <w:t>3</w:t>
            </w:r>
            <w:r>
              <w:rPr>
                <w:b w:val="0"/>
                <w:bCs w:val="0"/>
                <w:caps w:val="0"/>
                <w:noProof/>
                <w:kern w:val="2"/>
                <w:sz w:val="24"/>
                <w:szCs w:val="24"/>
                <w:lang w:eastAsia="sl-SI"/>
                <w14:ligatures w14:val="standardContextual"/>
              </w:rPr>
              <w:tab/>
            </w:r>
            <w:r w:rsidRPr="000C0121">
              <w:rPr>
                <w:rStyle w:val="Hiperpovezava"/>
                <w:rFonts w:cstheme="majorHAnsi"/>
                <w:noProof/>
              </w:rPr>
              <w:t>OSNOVNI PODATKI O INVESTITORJU IN UPRAVLJAVCU, PARTNERJU IN IZDELOVALCU INVESTICIJSKE DOKUMENTACIJE</w:t>
            </w:r>
            <w:r>
              <w:rPr>
                <w:noProof/>
                <w:webHidden/>
              </w:rPr>
              <w:tab/>
            </w:r>
            <w:r>
              <w:rPr>
                <w:noProof/>
                <w:webHidden/>
              </w:rPr>
              <w:fldChar w:fldCharType="begin"/>
            </w:r>
            <w:r>
              <w:rPr>
                <w:noProof/>
                <w:webHidden/>
              </w:rPr>
              <w:instrText xml:space="preserve"> PAGEREF _Toc210033784 \h </w:instrText>
            </w:r>
            <w:r>
              <w:rPr>
                <w:noProof/>
                <w:webHidden/>
              </w:rPr>
            </w:r>
            <w:r>
              <w:rPr>
                <w:noProof/>
                <w:webHidden/>
              </w:rPr>
              <w:fldChar w:fldCharType="separate"/>
            </w:r>
            <w:r>
              <w:rPr>
                <w:noProof/>
                <w:webHidden/>
              </w:rPr>
              <w:t>35</w:t>
            </w:r>
            <w:r>
              <w:rPr>
                <w:noProof/>
                <w:webHidden/>
              </w:rPr>
              <w:fldChar w:fldCharType="end"/>
            </w:r>
          </w:hyperlink>
        </w:p>
        <w:p w14:paraId="3046D2EA" w14:textId="0BC2DB4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5" w:history="1">
            <w:r w:rsidRPr="000C0121">
              <w:rPr>
                <w:rStyle w:val="Hiperpovezava"/>
                <w:rFonts w:asciiTheme="majorHAnsi" w:eastAsiaTheme="majorEastAsia" w:hAnsiTheme="majorHAnsi" w:cstheme="majorHAnsi"/>
                <w:noProof/>
              </w:rPr>
              <w:t>3.1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Osnovni podatki o naročniku, investitorju in upravljavcu</w:t>
            </w:r>
            <w:r>
              <w:rPr>
                <w:noProof/>
                <w:webHidden/>
              </w:rPr>
              <w:tab/>
            </w:r>
            <w:r>
              <w:rPr>
                <w:noProof/>
                <w:webHidden/>
              </w:rPr>
              <w:fldChar w:fldCharType="begin"/>
            </w:r>
            <w:r>
              <w:rPr>
                <w:noProof/>
                <w:webHidden/>
              </w:rPr>
              <w:instrText xml:space="preserve"> PAGEREF _Toc210033785 \h </w:instrText>
            </w:r>
            <w:r>
              <w:rPr>
                <w:noProof/>
                <w:webHidden/>
              </w:rPr>
            </w:r>
            <w:r>
              <w:rPr>
                <w:noProof/>
                <w:webHidden/>
              </w:rPr>
              <w:fldChar w:fldCharType="separate"/>
            </w:r>
            <w:r>
              <w:rPr>
                <w:noProof/>
                <w:webHidden/>
              </w:rPr>
              <w:t>35</w:t>
            </w:r>
            <w:r>
              <w:rPr>
                <w:noProof/>
                <w:webHidden/>
              </w:rPr>
              <w:fldChar w:fldCharType="end"/>
            </w:r>
          </w:hyperlink>
        </w:p>
        <w:p w14:paraId="2816238A" w14:textId="507CF056"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6" w:history="1">
            <w:r w:rsidRPr="000C0121">
              <w:rPr>
                <w:rStyle w:val="Hiperpovezava"/>
                <w:rFonts w:asciiTheme="majorHAnsi" w:eastAsiaTheme="majorEastAsia" w:hAnsiTheme="majorHAnsi" w:cstheme="majorHAnsi"/>
                <w:noProof/>
              </w:rPr>
              <w:t>3.2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Osnovni podatki o izdelovalcu investicijske dokumentacije</w:t>
            </w:r>
            <w:r>
              <w:rPr>
                <w:noProof/>
                <w:webHidden/>
              </w:rPr>
              <w:tab/>
            </w:r>
            <w:r>
              <w:rPr>
                <w:noProof/>
                <w:webHidden/>
              </w:rPr>
              <w:fldChar w:fldCharType="begin"/>
            </w:r>
            <w:r>
              <w:rPr>
                <w:noProof/>
                <w:webHidden/>
              </w:rPr>
              <w:instrText xml:space="preserve"> PAGEREF _Toc210033786 \h </w:instrText>
            </w:r>
            <w:r>
              <w:rPr>
                <w:noProof/>
                <w:webHidden/>
              </w:rPr>
            </w:r>
            <w:r>
              <w:rPr>
                <w:noProof/>
                <w:webHidden/>
              </w:rPr>
              <w:fldChar w:fldCharType="separate"/>
            </w:r>
            <w:r>
              <w:rPr>
                <w:noProof/>
                <w:webHidden/>
              </w:rPr>
              <w:t>35</w:t>
            </w:r>
            <w:r>
              <w:rPr>
                <w:noProof/>
                <w:webHidden/>
              </w:rPr>
              <w:fldChar w:fldCharType="end"/>
            </w:r>
          </w:hyperlink>
        </w:p>
        <w:p w14:paraId="745E3860" w14:textId="468BFB9C"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787" w:history="1">
            <w:r w:rsidRPr="000C0121">
              <w:rPr>
                <w:rStyle w:val="Hiperpovezava"/>
                <w:rFonts w:cstheme="majorHAnsi"/>
                <w:noProof/>
              </w:rPr>
              <w:t>4</w:t>
            </w:r>
            <w:r>
              <w:rPr>
                <w:b w:val="0"/>
                <w:bCs w:val="0"/>
                <w:caps w:val="0"/>
                <w:noProof/>
                <w:kern w:val="2"/>
                <w:sz w:val="24"/>
                <w:szCs w:val="24"/>
                <w:lang w:eastAsia="sl-SI"/>
                <w14:ligatures w14:val="standardContextual"/>
              </w:rPr>
              <w:tab/>
            </w:r>
            <w:r w:rsidRPr="000C0121">
              <w:rPr>
                <w:rStyle w:val="Hiperpovezava"/>
                <w:rFonts w:cstheme="majorHAnsi"/>
                <w:noProof/>
              </w:rPr>
              <w:t>ANALIZA OBSTOJEČEGA STANJA</w:t>
            </w:r>
            <w:r>
              <w:rPr>
                <w:noProof/>
                <w:webHidden/>
              </w:rPr>
              <w:tab/>
            </w:r>
            <w:r>
              <w:rPr>
                <w:noProof/>
                <w:webHidden/>
              </w:rPr>
              <w:fldChar w:fldCharType="begin"/>
            </w:r>
            <w:r>
              <w:rPr>
                <w:noProof/>
                <w:webHidden/>
              </w:rPr>
              <w:instrText xml:space="preserve"> PAGEREF _Toc210033787 \h </w:instrText>
            </w:r>
            <w:r>
              <w:rPr>
                <w:noProof/>
                <w:webHidden/>
              </w:rPr>
            </w:r>
            <w:r>
              <w:rPr>
                <w:noProof/>
                <w:webHidden/>
              </w:rPr>
              <w:fldChar w:fldCharType="separate"/>
            </w:r>
            <w:r>
              <w:rPr>
                <w:noProof/>
                <w:webHidden/>
              </w:rPr>
              <w:t>36</w:t>
            </w:r>
            <w:r>
              <w:rPr>
                <w:noProof/>
                <w:webHidden/>
              </w:rPr>
              <w:fldChar w:fldCharType="end"/>
            </w:r>
          </w:hyperlink>
        </w:p>
        <w:p w14:paraId="5DA5B382" w14:textId="57F76574"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8" w:history="1">
            <w:r w:rsidRPr="000C0121">
              <w:rPr>
                <w:rStyle w:val="Hiperpovezava"/>
                <w:rFonts w:asciiTheme="majorHAnsi" w:eastAsiaTheme="majorEastAsia" w:hAnsiTheme="majorHAnsi" w:cstheme="majorHAnsi"/>
                <w:noProof/>
              </w:rPr>
              <w:t>4.1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Trajnostna mobilnost v Sloveniji</w:t>
            </w:r>
            <w:r>
              <w:rPr>
                <w:noProof/>
                <w:webHidden/>
              </w:rPr>
              <w:tab/>
            </w:r>
            <w:r>
              <w:rPr>
                <w:noProof/>
                <w:webHidden/>
              </w:rPr>
              <w:fldChar w:fldCharType="begin"/>
            </w:r>
            <w:r>
              <w:rPr>
                <w:noProof/>
                <w:webHidden/>
              </w:rPr>
              <w:instrText xml:space="preserve"> PAGEREF _Toc210033788 \h </w:instrText>
            </w:r>
            <w:r>
              <w:rPr>
                <w:noProof/>
                <w:webHidden/>
              </w:rPr>
            </w:r>
            <w:r>
              <w:rPr>
                <w:noProof/>
                <w:webHidden/>
              </w:rPr>
              <w:fldChar w:fldCharType="separate"/>
            </w:r>
            <w:r>
              <w:rPr>
                <w:noProof/>
                <w:webHidden/>
              </w:rPr>
              <w:t>36</w:t>
            </w:r>
            <w:r>
              <w:rPr>
                <w:noProof/>
                <w:webHidden/>
              </w:rPr>
              <w:fldChar w:fldCharType="end"/>
            </w:r>
          </w:hyperlink>
        </w:p>
        <w:p w14:paraId="38E46D26" w14:textId="036EC57C"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89" w:history="1">
            <w:r w:rsidRPr="000C0121">
              <w:rPr>
                <w:rStyle w:val="Hiperpovezava"/>
                <w:rFonts w:asciiTheme="majorHAnsi" w:eastAsiaTheme="majorEastAsia" w:hAnsiTheme="majorHAnsi" w:cstheme="majorHAnsi"/>
                <w:noProof/>
              </w:rPr>
              <w:t>4.2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Trajnostna mobilnost v Osrednjeslovenski regiji</w:t>
            </w:r>
            <w:r>
              <w:rPr>
                <w:noProof/>
                <w:webHidden/>
              </w:rPr>
              <w:tab/>
            </w:r>
            <w:r>
              <w:rPr>
                <w:noProof/>
                <w:webHidden/>
              </w:rPr>
              <w:fldChar w:fldCharType="begin"/>
            </w:r>
            <w:r>
              <w:rPr>
                <w:noProof/>
                <w:webHidden/>
              </w:rPr>
              <w:instrText xml:space="preserve"> PAGEREF _Toc210033789 \h </w:instrText>
            </w:r>
            <w:r>
              <w:rPr>
                <w:noProof/>
                <w:webHidden/>
              </w:rPr>
            </w:r>
            <w:r>
              <w:rPr>
                <w:noProof/>
                <w:webHidden/>
              </w:rPr>
              <w:fldChar w:fldCharType="separate"/>
            </w:r>
            <w:r>
              <w:rPr>
                <w:noProof/>
                <w:webHidden/>
              </w:rPr>
              <w:t>37</w:t>
            </w:r>
            <w:r>
              <w:rPr>
                <w:noProof/>
                <w:webHidden/>
              </w:rPr>
              <w:fldChar w:fldCharType="end"/>
            </w:r>
          </w:hyperlink>
        </w:p>
        <w:p w14:paraId="2E3C2C5D" w14:textId="0D362B4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90" w:history="1">
            <w:r w:rsidRPr="000C0121">
              <w:rPr>
                <w:rStyle w:val="Hiperpovezava"/>
                <w:rFonts w:asciiTheme="majorHAnsi" w:eastAsiaTheme="majorEastAsia" w:hAnsiTheme="majorHAnsi" w:cstheme="majorHAnsi"/>
                <w:noProof/>
              </w:rPr>
              <w:t>4.3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Analiza stanja</w:t>
            </w:r>
            <w:r>
              <w:rPr>
                <w:noProof/>
                <w:webHidden/>
              </w:rPr>
              <w:tab/>
            </w:r>
            <w:r>
              <w:rPr>
                <w:noProof/>
                <w:webHidden/>
              </w:rPr>
              <w:fldChar w:fldCharType="begin"/>
            </w:r>
            <w:r>
              <w:rPr>
                <w:noProof/>
                <w:webHidden/>
              </w:rPr>
              <w:instrText xml:space="preserve"> PAGEREF _Toc210033790 \h </w:instrText>
            </w:r>
            <w:r>
              <w:rPr>
                <w:noProof/>
                <w:webHidden/>
              </w:rPr>
            </w:r>
            <w:r>
              <w:rPr>
                <w:noProof/>
                <w:webHidden/>
              </w:rPr>
              <w:fldChar w:fldCharType="separate"/>
            </w:r>
            <w:r>
              <w:rPr>
                <w:noProof/>
                <w:webHidden/>
              </w:rPr>
              <w:t>37</w:t>
            </w:r>
            <w:r>
              <w:rPr>
                <w:noProof/>
                <w:webHidden/>
              </w:rPr>
              <w:fldChar w:fldCharType="end"/>
            </w:r>
          </w:hyperlink>
        </w:p>
        <w:p w14:paraId="557EB24B" w14:textId="45EBA247"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91" w:history="1">
            <w:r w:rsidRPr="000C0121">
              <w:rPr>
                <w:rStyle w:val="Hiperpovezava"/>
                <w:rFonts w:asciiTheme="majorHAnsi" w:eastAsiaTheme="majorEastAsia" w:hAnsiTheme="majorHAnsi" w:cstheme="majorHAnsi"/>
                <w:noProof/>
              </w:rPr>
              <w:t>4.4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Razlogi za investicijsko namero in prikaz potreb, ki jih bo zadovoljevala investicija</w:t>
            </w:r>
            <w:r>
              <w:rPr>
                <w:noProof/>
                <w:webHidden/>
              </w:rPr>
              <w:tab/>
            </w:r>
            <w:r>
              <w:rPr>
                <w:noProof/>
                <w:webHidden/>
              </w:rPr>
              <w:fldChar w:fldCharType="begin"/>
            </w:r>
            <w:r>
              <w:rPr>
                <w:noProof/>
                <w:webHidden/>
              </w:rPr>
              <w:instrText xml:space="preserve"> PAGEREF _Toc210033791 \h </w:instrText>
            </w:r>
            <w:r>
              <w:rPr>
                <w:noProof/>
                <w:webHidden/>
              </w:rPr>
            </w:r>
            <w:r>
              <w:rPr>
                <w:noProof/>
                <w:webHidden/>
              </w:rPr>
              <w:fldChar w:fldCharType="separate"/>
            </w:r>
            <w:r>
              <w:rPr>
                <w:noProof/>
                <w:webHidden/>
              </w:rPr>
              <w:t>45</w:t>
            </w:r>
            <w:r>
              <w:rPr>
                <w:noProof/>
                <w:webHidden/>
              </w:rPr>
              <w:fldChar w:fldCharType="end"/>
            </w:r>
          </w:hyperlink>
        </w:p>
        <w:p w14:paraId="788ABE29" w14:textId="296A7871"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792" w:history="1">
            <w:r w:rsidRPr="000C0121">
              <w:rPr>
                <w:rStyle w:val="Hiperpovezava"/>
                <w:rFonts w:asciiTheme="majorHAnsi" w:eastAsiaTheme="majorEastAsia" w:hAnsiTheme="majorHAnsi" w:cstheme="majorHAnsi"/>
                <w:noProof/>
              </w:rPr>
              <w:t>4.5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Usklajenosti investicijskega projekta z državnim strateškim razvojnim dokumentom in drugimi razvojnimi dokumenti, usmeritvami Skupnosti ter strategijami in izvedbenimi dokumenti strategij posameznih področij in dejavnosti</w:t>
            </w:r>
            <w:r>
              <w:rPr>
                <w:noProof/>
                <w:webHidden/>
              </w:rPr>
              <w:tab/>
            </w:r>
            <w:r>
              <w:rPr>
                <w:noProof/>
                <w:webHidden/>
              </w:rPr>
              <w:fldChar w:fldCharType="begin"/>
            </w:r>
            <w:r>
              <w:rPr>
                <w:noProof/>
                <w:webHidden/>
              </w:rPr>
              <w:instrText xml:space="preserve"> PAGEREF _Toc210033792 \h </w:instrText>
            </w:r>
            <w:r>
              <w:rPr>
                <w:noProof/>
                <w:webHidden/>
              </w:rPr>
            </w:r>
            <w:r>
              <w:rPr>
                <w:noProof/>
                <w:webHidden/>
              </w:rPr>
              <w:fldChar w:fldCharType="separate"/>
            </w:r>
            <w:r>
              <w:rPr>
                <w:noProof/>
                <w:webHidden/>
              </w:rPr>
              <w:t>45</w:t>
            </w:r>
            <w:r>
              <w:rPr>
                <w:noProof/>
                <w:webHidden/>
              </w:rPr>
              <w:fldChar w:fldCharType="end"/>
            </w:r>
          </w:hyperlink>
        </w:p>
        <w:p w14:paraId="7DAE1FB4" w14:textId="02889A10"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3" w:history="1">
            <w:r w:rsidRPr="000C0121">
              <w:rPr>
                <w:rStyle w:val="Hiperpovezava"/>
                <w:rFonts w:asciiTheme="majorHAnsi" w:eastAsiaTheme="majorEastAsia" w:hAnsiTheme="majorHAnsi" w:cstheme="majorHAnsi"/>
                <w:noProof/>
              </w:rPr>
              <w:t>4.5.1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Strategija razvoja Slovenije 2030</w:t>
            </w:r>
            <w:r>
              <w:rPr>
                <w:noProof/>
                <w:webHidden/>
              </w:rPr>
              <w:tab/>
            </w:r>
            <w:r>
              <w:rPr>
                <w:noProof/>
                <w:webHidden/>
              </w:rPr>
              <w:fldChar w:fldCharType="begin"/>
            </w:r>
            <w:r>
              <w:rPr>
                <w:noProof/>
                <w:webHidden/>
              </w:rPr>
              <w:instrText xml:space="preserve"> PAGEREF _Toc210033793 \h </w:instrText>
            </w:r>
            <w:r>
              <w:rPr>
                <w:noProof/>
                <w:webHidden/>
              </w:rPr>
            </w:r>
            <w:r>
              <w:rPr>
                <w:noProof/>
                <w:webHidden/>
              </w:rPr>
              <w:fldChar w:fldCharType="separate"/>
            </w:r>
            <w:r>
              <w:rPr>
                <w:noProof/>
                <w:webHidden/>
              </w:rPr>
              <w:t>46</w:t>
            </w:r>
            <w:r>
              <w:rPr>
                <w:noProof/>
                <w:webHidden/>
              </w:rPr>
              <w:fldChar w:fldCharType="end"/>
            </w:r>
          </w:hyperlink>
        </w:p>
        <w:p w14:paraId="1C03437D" w14:textId="6AF4DF47"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4" w:history="1">
            <w:r w:rsidRPr="000C0121">
              <w:rPr>
                <w:rStyle w:val="Hiperpovezava"/>
                <w:rFonts w:asciiTheme="majorHAnsi" w:eastAsiaTheme="majorEastAsia" w:hAnsiTheme="majorHAnsi" w:cstheme="majorHAnsi"/>
                <w:noProof/>
              </w:rPr>
              <w:t>4.5.2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Slovenska strategija trajnostne pametne specializacije S5</w:t>
            </w:r>
            <w:r>
              <w:rPr>
                <w:noProof/>
                <w:webHidden/>
              </w:rPr>
              <w:tab/>
            </w:r>
            <w:r>
              <w:rPr>
                <w:noProof/>
                <w:webHidden/>
              </w:rPr>
              <w:fldChar w:fldCharType="begin"/>
            </w:r>
            <w:r>
              <w:rPr>
                <w:noProof/>
                <w:webHidden/>
              </w:rPr>
              <w:instrText xml:space="preserve"> PAGEREF _Toc210033794 \h </w:instrText>
            </w:r>
            <w:r>
              <w:rPr>
                <w:noProof/>
                <w:webHidden/>
              </w:rPr>
            </w:r>
            <w:r>
              <w:rPr>
                <w:noProof/>
                <w:webHidden/>
              </w:rPr>
              <w:fldChar w:fldCharType="separate"/>
            </w:r>
            <w:r>
              <w:rPr>
                <w:noProof/>
                <w:webHidden/>
              </w:rPr>
              <w:t>47</w:t>
            </w:r>
            <w:r>
              <w:rPr>
                <w:noProof/>
                <w:webHidden/>
              </w:rPr>
              <w:fldChar w:fldCharType="end"/>
            </w:r>
          </w:hyperlink>
        </w:p>
        <w:p w14:paraId="4440D911" w14:textId="173AC953"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5" w:history="1">
            <w:r w:rsidRPr="000C0121">
              <w:rPr>
                <w:rStyle w:val="Hiperpovezava"/>
                <w:rFonts w:asciiTheme="majorHAnsi" w:eastAsiaTheme="majorEastAsia" w:hAnsiTheme="majorHAnsi" w:cstheme="majorHAnsi"/>
                <w:noProof/>
              </w:rPr>
              <w:t>4.5.3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Strategija prostorskega razvoja Slovenije 2050</w:t>
            </w:r>
            <w:r>
              <w:rPr>
                <w:noProof/>
                <w:webHidden/>
              </w:rPr>
              <w:tab/>
            </w:r>
            <w:r>
              <w:rPr>
                <w:noProof/>
                <w:webHidden/>
              </w:rPr>
              <w:fldChar w:fldCharType="begin"/>
            </w:r>
            <w:r>
              <w:rPr>
                <w:noProof/>
                <w:webHidden/>
              </w:rPr>
              <w:instrText xml:space="preserve"> PAGEREF _Toc210033795 \h </w:instrText>
            </w:r>
            <w:r>
              <w:rPr>
                <w:noProof/>
                <w:webHidden/>
              </w:rPr>
            </w:r>
            <w:r>
              <w:rPr>
                <w:noProof/>
                <w:webHidden/>
              </w:rPr>
              <w:fldChar w:fldCharType="separate"/>
            </w:r>
            <w:r>
              <w:rPr>
                <w:noProof/>
                <w:webHidden/>
              </w:rPr>
              <w:t>47</w:t>
            </w:r>
            <w:r>
              <w:rPr>
                <w:noProof/>
                <w:webHidden/>
              </w:rPr>
              <w:fldChar w:fldCharType="end"/>
            </w:r>
          </w:hyperlink>
        </w:p>
        <w:p w14:paraId="06D44608" w14:textId="47C0A8C6"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6" w:history="1">
            <w:r w:rsidRPr="000C0121">
              <w:rPr>
                <w:rStyle w:val="Hiperpovezava"/>
                <w:rFonts w:asciiTheme="majorHAnsi" w:eastAsiaTheme="majorEastAsia" w:hAnsiTheme="majorHAnsi" w:cstheme="majorHAnsi"/>
                <w:noProof/>
              </w:rPr>
              <w:t>4.5.4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Celoviti nacionalni energetski in podnebni načrt Republike Slovenije (NEPN)</w:t>
            </w:r>
            <w:r>
              <w:rPr>
                <w:noProof/>
                <w:webHidden/>
              </w:rPr>
              <w:tab/>
            </w:r>
            <w:r>
              <w:rPr>
                <w:noProof/>
                <w:webHidden/>
              </w:rPr>
              <w:fldChar w:fldCharType="begin"/>
            </w:r>
            <w:r>
              <w:rPr>
                <w:noProof/>
                <w:webHidden/>
              </w:rPr>
              <w:instrText xml:space="preserve"> PAGEREF _Toc210033796 \h </w:instrText>
            </w:r>
            <w:r>
              <w:rPr>
                <w:noProof/>
                <w:webHidden/>
              </w:rPr>
            </w:r>
            <w:r>
              <w:rPr>
                <w:noProof/>
                <w:webHidden/>
              </w:rPr>
              <w:fldChar w:fldCharType="separate"/>
            </w:r>
            <w:r>
              <w:rPr>
                <w:noProof/>
                <w:webHidden/>
              </w:rPr>
              <w:t>49</w:t>
            </w:r>
            <w:r>
              <w:rPr>
                <w:noProof/>
                <w:webHidden/>
              </w:rPr>
              <w:fldChar w:fldCharType="end"/>
            </w:r>
          </w:hyperlink>
        </w:p>
        <w:p w14:paraId="188F671E" w14:textId="346167D5"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7" w:history="1">
            <w:r w:rsidRPr="000C0121">
              <w:rPr>
                <w:rStyle w:val="Hiperpovezava"/>
                <w:rFonts w:asciiTheme="majorHAnsi" w:eastAsiaTheme="majorEastAsia" w:hAnsiTheme="majorHAnsi" w:cstheme="majorHAnsi"/>
                <w:noProof/>
              </w:rPr>
              <w:t>4.5.5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Program Evropske kohezijske politike v obdobju 2021-2027 (PEKP 21-27)</w:t>
            </w:r>
            <w:r>
              <w:rPr>
                <w:noProof/>
                <w:webHidden/>
              </w:rPr>
              <w:tab/>
            </w:r>
            <w:r>
              <w:rPr>
                <w:noProof/>
                <w:webHidden/>
              </w:rPr>
              <w:fldChar w:fldCharType="begin"/>
            </w:r>
            <w:r>
              <w:rPr>
                <w:noProof/>
                <w:webHidden/>
              </w:rPr>
              <w:instrText xml:space="preserve"> PAGEREF _Toc210033797 \h </w:instrText>
            </w:r>
            <w:r>
              <w:rPr>
                <w:noProof/>
                <w:webHidden/>
              </w:rPr>
            </w:r>
            <w:r>
              <w:rPr>
                <w:noProof/>
                <w:webHidden/>
              </w:rPr>
              <w:fldChar w:fldCharType="separate"/>
            </w:r>
            <w:r>
              <w:rPr>
                <w:noProof/>
                <w:webHidden/>
              </w:rPr>
              <w:t>49</w:t>
            </w:r>
            <w:r>
              <w:rPr>
                <w:noProof/>
                <w:webHidden/>
              </w:rPr>
              <w:fldChar w:fldCharType="end"/>
            </w:r>
          </w:hyperlink>
        </w:p>
        <w:p w14:paraId="5073A4F1" w14:textId="022445A2"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8" w:history="1">
            <w:r w:rsidRPr="000C0121">
              <w:rPr>
                <w:rStyle w:val="Hiperpovezava"/>
                <w:rFonts w:asciiTheme="majorHAnsi" w:eastAsiaTheme="majorEastAsia" w:hAnsiTheme="majorHAnsi" w:cstheme="majorHAnsi"/>
                <w:noProof/>
              </w:rPr>
              <w:t>4.5.6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Regionalni razvojni program Ljubljanske urbane regije 2021-2027 (RRP LUR)</w:t>
            </w:r>
            <w:r>
              <w:rPr>
                <w:noProof/>
                <w:webHidden/>
              </w:rPr>
              <w:tab/>
            </w:r>
            <w:r>
              <w:rPr>
                <w:noProof/>
                <w:webHidden/>
              </w:rPr>
              <w:fldChar w:fldCharType="begin"/>
            </w:r>
            <w:r>
              <w:rPr>
                <w:noProof/>
                <w:webHidden/>
              </w:rPr>
              <w:instrText xml:space="preserve"> PAGEREF _Toc210033798 \h </w:instrText>
            </w:r>
            <w:r>
              <w:rPr>
                <w:noProof/>
                <w:webHidden/>
              </w:rPr>
            </w:r>
            <w:r>
              <w:rPr>
                <w:noProof/>
                <w:webHidden/>
              </w:rPr>
              <w:fldChar w:fldCharType="separate"/>
            </w:r>
            <w:r>
              <w:rPr>
                <w:noProof/>
                <w:webHidden/>
              </w:rPr>
              <w:t>50</w:t>
            </w:r>
            <w:r>
              <w:rPr>
                <w:noProof/>
                <w:webHidden/>
              </w:rPr>
              <w:fldChar w:fldCharType="end"/>
            </w:r>
          </w:hyperlink>
        </w:p>
        <w:p w14:paraId="7F8B907B" w14:textId="6323DD4D"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799" w:history="1">
            <w:r w:rsidRPr="000C0121">
              <w:rPr>
                <w:rStyle w:val="Hiperpovezava"/>
                <w:rFonts w:asciiTheme="majorHAnsi" w:eastAsiaTheme="majorEastAsia" w:hAnsiTheme="majorHAnsi" w:cstheme="majorHAnsi"/>
                <w:noProof/>
              </w:rPr>
              <w:t>4.5.7</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Občinska celostna prometna strategija Ig</w:t>
            </w:r>
            <w:r>
              <w:rPr>
                <w:noProof/>
                <w:webHidden/>
              </w:rPr>
              <w:tab/>
            </w:r>
            <w:r>
              <w:rPr>
                <w:noProof/>
                <w:webHidden/>
              </w:rPr>
              <w:fldChar w:fldCharType="begin"/>
            </w:r>
            <w:r>
              <w:rPr>
                <w:noProof/>
                <w:webHidden/>
              </w:rPr>
              <w:instrText xml:space="preserve"> PAGEREF _Toc210033799 \h </w:instrText>
            </w:r>
            <w:r>
              <w:rPr>
                <w:noProof/>
                <w:webHidden/>
              </w:rPr>
            </w:r>
            <w:r>
              <w:rPr>
                <w:noProof/>
                <w:webHidden/>
              </w:rPr>
              <w:fldChar w:fldCharType="separate"/>
            </w:r>
            <w:r>
              <w:rPr>
                <w:noProof/>
                <w:webHidden/>
              </w:rPr>
              <w:t>51</w:t>
            </w:r>
            <w:r>
              <w:rPr>
                <w:noProof/>
                <w:webHidden/>
              </w:rPr>
              <w:fldChar w:fldCharType="end"/>
            </w:r>
          </w:hyperlink>
        </w:p>
        <w:p w14:paraId="2832C435" w14:textId="4B8BF9DD"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0" w:history="1">
            <w:r w:rsidRPr="000C0121">
              <w:rPr>
                <w:rStyle w:val="Hiperpovezava"/>
                <w:rFonts w:asciiTheme="majorHAnsi" w:eastAsiaTheme="majorEastAsia" w:hAnsiTheme="majorHAnsi" w:cstheme="majorHAnsi"/>
                <w:noProof/>
              </w:rPr>
              <w:t>4.5.8</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Spisek strokovnih podlag</w:t>
            </w:r>
            <w:r>
              <w:rPr>
                <w:noProof/>
                <w:webHidden/>
              </w:rPr>
              <w:tab/>
            </w:r>
            <w:r>
              <w:rPr>
                <w:noProof/>
                <w:webHidden/>
              </w:rPr>
              <w:fldChar w:fldCharType="begin"/>
            </w:r>
            <w:r>
              <w:rPr>
                <w:noProof/>
                <w:webHidden/>
              </w:rPr>
              <w:instrText xml:space="preserve"> PAGEREF _Toc210033800 \h </w:instrText>
            </w:r>
            <w:r>
              <w:rPr>
                <w:noProof/>
                <w:webHidden/>
              </w:rPr>
            </w:r>
            <w:r>
              <w:rPr>
                <w:noProof/>
                <w:webHidden/>
              </w:rPr>
              <w:fldChar w:fldCharType="separate"/>
            </w:r>
            <w:r>
              <w:rPr>
                <w:noProof/>
                <w:webHidden/>
              </w:rPr>
              <w:t>53</w:t>
            </w:r>
            <w:r>
              <w:rPr>
                <w:noProof/>
                <w:webHidden/>
              </w:rPr>
              <w:fldChar w:fldCharType="end"/>
            </w:r>
          </w:hyperlink>
        </w:p>
        <w:p w14:paraId="3E9DF31B" w14:textId="3E559F05"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801" w:history="1">
            <w:r w:rsidRPr="000C0121">
              <w:rPr>
                <w:rStyle w:val="Hiperpovezava"/>
                <w:rFonts w:cstheme="majorHAnsi"/>
                <w:noProof/>
              </w:rPr>
              <w:t>5</w:t>
            </w:r>
            <w:r>
              <w:rPr>
                <w:b w:val="0"/>
                <w:bCs w:val="0"/>
                <w:caps w:val="0"/>
                <w:noProof/>
                <w:kern w:val="2"/>
                <w:sz w:val="24"/>
                <w:szCs w:val="24"/>
                <w:lang w:eastAsia="sl-SI"/>
                <w14:ligatures w14:val="standardContextual"/>
              </w:rPr>
              <w:tab/>
            </w:r>
            <w:r w:rsidRPr="000C0121">
              <w:rPr>
                <w:rStyle w:val="Hiperpovezava"/>
                <w:rFonts w:cstheme="majorHAnsi"/>
                <w:noProof/>
              </w:rPr>
              <w:t>ANALIZA TRŽNIH MOŽNOSTI</w:t>
            </w:r>
            <w:r>
              <w:rPr>
                <w:noProof/>
                <w:webHidden/>
              </w:rPr>
              <w:tab/>
            </w:r>
            <w:r>
              <w:rPr>
                <w:noProof/>
                <w:webHidden/>
              </w:rPr>
              <w:fldChar w:fldCharType="begin"/>
            </w:r>
            <w:r>
              <w:rPr>
                <w:noProof/>
                <w:webHidden/>
              </w:rPr>
              <w:instrText xml:space="preserve"> PAGEREF _Toc210033801 \h </w:instrText>
            </w:r>
            <w:r>
              <w:rPr>
                <w:noProof/>
                <w:webHidden/>
              </w:rPr>
            </w:r>
            <w:r>
              <w:rPr>
                <w:noProof/>
                <w:webHidden/>
              </w:rPr>
              <w:fldChar w:fldCharType="separate"/>
            </w:r>
            <w:r>
              <w:rPr>
                <w:noProof/>
                <w:webHidden/>
              </w:rPr>
              <w:t>54</w:t>
            </w:r>
            <w:r>
              <w:rPr>
                <w:noProof/>
                <w:webHidden/>
              </w:rPr>
              <w:fldChar w:fldCharType="end"/>
            </w:r>
          </w:hyperlink>
        </w:p>
        <w:p w14:paraId="4C842215" w14:textId="3A69C1B9"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802" w:history="1">
            <w:r w:rsidRPr="000C0121">
              <w:rPr>
                <w:rStyle w:val="Hiperpovezava"/>
                <w:rFonts w:cstheme="majorHAnsi"/>
                <w:noProof/>
              </w:rPr>
              <w:t>6</w:t>
            </w:r>
            <w:r>
              <w:rPr>
                <w:b w:val="0"/>
                <w:bCs w:val="0"/>
                <w:caps w:val="0"/>
                <w:noProof/>
                <w:kern w:val="2"/>
                <w:sz w:val="24"/>
                <w:szCs w:val="24"/>
                <w:lang w:eastAsia="sl-SI"/>
                <w14:ligatures w14:val="standardContextual"/>
              </w:rPr>
              <w:tab/>
            </w:r>
            <w:r w:rsidRPr="000C0121">
              <w:rPr>
                <w:rStyle w:val="Hiperpovezava"/>
                <w:rFonts w:cstheme="majorHAnsi"/>
                <w:noProof/>
              </w:rPr>
              <w:t>TEHNIČNO-TEHNOLOŠKI DEL</w:t>
            </w:r>
            <w:r>
              <w:rPr>
                <w:noProof/>
                <w:webHidden/>
              </w:rPr>
              <w:tab/>
            </w:r>
            <w:r>
              <w:rPr>
                <w:noProof/>
                <w:webHidden/>
              </w:rPr>
              <w:fldChar w:fldCharType="begin"/>
            </w:r>
            <w:r>
              <w:rPr>
                <w:noProof/>
                <w:webHidden/>
              </w:rPr>
              <w:instrText xml:space="preserve"> PAGEREF _Toc210033802 \h </w:instrText>
            </w:r>
            <w:r>
              <w:rPr>
                <w:noProof/>
                <w:webHidden/>
              </w:rPr>
            </w:r>
            <w:r>
              <w:rPr>
                <w:noProof/>
                <w:webHidden/>
              </w:rPr>
              <w:fldChar w:fldCharType="separate"/>
            </w:r>
            <w:r>
              <w:rPr>
                <w:noProof/>
                <w:webHidden/>
              </w:rPr>
              <w:t>55</w:t>
            </w:r>
            <w:r>
              <w:rPr>
                <w:noProof/>
                <w:webHidden/>
              </w:rPr>
              <w:fldChar w:fldCharType="end"/>
            </w:r>
          </w:hyperlink>
        </w:p>
        <w:p w14:paraId="041C6037" w14:textId="6EC486C9"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03" w:history="1">
            <w:r w:rsidRPr="000C0121">
              <w:rPr>
                <w:rStyle w:val="Hiperpovezava"/>
                <w:rFonts w:asciiTheme="majorHAnsi" w:eastAsiaTheme="majorEastAsia" w:hAnsiTheme="majorHAnsi" w:cstheme="majorHAnsi"/>
                <w:noProof/>
              </w:rPr>
              <w:t>6.1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Zelena infrastruktura</w:t>
            </w:r>
            <w:r>
              <w:rPr>
                <w:noProof/>
                <w:webHidden/>
              </w:rPr>
              <w:tab/>
            </w:r>
            <w:r>
              <w:rPr>
                <w:noProof/>
                <w:webHidden/>
              </w:rPr>
              <w:fldChar w:fldCharType="begin"/>
            </w:r>
            <w:r>
              <w:rPr>
                <w:noProof/>
                <w:webHidden/>
              </w:rPr>
              <w:instrText xml:space="preserve"> PAGEREF _Toc210033803 \h </w:instrText>
            </w:r>
            <w:r>
              <w:rPr>
                <w:noProof/>
                <w:webHidden/>
              </w:rPr>
            </w:r>
            <w:r>
              <w:rPr>
                <w:noProof/>
                <w:webHidden/>
              </w:rPr>
              <w:fldChar w:fldCharType="separate"/>
            </w:r>
            <w:r>
              <w:rPr>
                <w:noProof/>
                <w:webHidden/>
              </w:rPr>
              <w:t>56</w:t>
            </w:r>
            <w:r>
              <w:rPr>
                <w:noProof/>
                <w:webHidden/>
              </w:rPr>
              <w:fldChar w:fldCharType="end"/>
            </w:r>
          </w:hyperlink>
        </w:p>
        <w:p w14:paraId="4FA3D6A0" w14:textId="696C974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04" w:history="1">
            <w:r w:rsidRPr="000C0121">
              <w:rPr>
                <w:rStyle w:val="Hiperpovezava"/>
                <w:rFonts w:asciiTheme="majorHAnsi" w:eastAsiaTheme="majorEastAsia" w:hAnsiTheme="majorHAnsi" w:cstheme="majorHAnsi"/>
                <w:noProof/>
              </w:rPr>
              <w:t>6.2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Trajnostna mobilnost</w:t>
            </w:r>
            <w:r>
              <w:rPr>
                <w:noProof/>
                <w:webHidden/>
              </w:rPr>
              <w:tab/>
            </w:r>
            <w:r>
              <w:rPr>
                <w:noProof/>
                <w:webHidden/>
              </w:rPr>
              <w:fldChar w:fldCharType="begin"/>
            </w:r>
            <w:r>
              <w:rPr>
                <w:noProof/>
                <w:webHidden/>
              </w:rPr>
              <w:instrText xml:space="preserve"> PAGEREF _Toc210033804 \h </w:instrText>
            </w:r>
            <w:r>
              <w:rPr>
                <w:noProof/>
                <w:webHidden/>
              </w:rPr>
            </w:r>
            <w:r>
              <w:rPr>
                <w:noProof/>
                <w:webHidden/>
              </w:rPr>
              <w:fldChar w:fldCharType="separate"/>
            </w:r>
            <w:r>
              <w:rPr>
                <w:noProof/>
                <w:webHidden/>
              </w:rPr>
              <w:t>57</w:t>
            </w:r>
            <w:r>
              <w:rPr>
                <w:noProof/>
                <w:webHidden/>
              </w:rPr>
              <w:fldChar w:fldCharType="end"/>
            </w:r>
          </w:hyperlink>
        </w:p>
        <w:p w14:paraId="5B6D9E40" w14:textId="76D9CCC3"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5" w:history="1">
            <w:r w:rsidRPr="000C0121">
              <w:rPr>
                <w:rStyle w:val="Hiperpovezava"/>
                <w:rFonts w:asciiTheme="majorHAnsi" w:eastAsiaTheme="majorEastAsia" w:hAnsiTheme="majorHAnsi" w:cstheme="majorHAnsi"/>
                <w:noProof/>
              </w:rPr>
              <w:t>6.2.1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Govekarjeva cesta</w:t>
            </w:r>
            <w:r>
              <w:rPr>
                <w:noProof/>
                <w:webHidden/>
              </w:rPr>
              <w:tab/>
            </w:r>
            <w:r>
              <w:rPr>
                <w:noProof/>
                <w:webHidden/>
              </w:rPr>
              <w:fldChar w:fldCharType="begin"/>
            </w:r>
            <w:r>
              <w:rPr>
                <w:noProof/>
                <w:webHidden/>
              </w:rPr>
              <w:instrText xml:space="preserve"> PAGEREF _Toc210033805 \h </w:instrText>
            </w:r>
            <w:r>
              <w:rPr>
                <w:noProof/>
                <w:webHidden/>
              </w:rPr>
            </w:r>
            <w:r>
              <w:rPr>
                <w:noProof/>
                <w:webHidden/>
              </w:rPr>
              <w:fldChar w:fldCharType="separate"/>
            </w:r>
            <w:r>
              <w:rPr>
                <w:noProof/>
                <w:webHidden/>
              </w:rPr>
              <w:t>57</w:t>
            </w:r>
            <w:r>
              <w:rPr>
                <w:noProof/>
                <w:webHidden/>
              </w:rPr>
              <w:fldChar w:fldCharType="end"/>
            </w:r>
          </w:hyperlink>
        </w:p>
        <w:p w14:paraId="175CED32" w14:textId="0E0DFD9B"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6" w:history="1">
            <w:r w:rsidRPr="000C0121">
              <w:rPr>
                <w:rStyle w:val="Hiperpovezava"/>
                <w:rFonts w:asciiTheme="majorHAnsi" w:eastAsiaTheme="majorEastAsia" w:hAnsiTheme="majorHAnsi" w:cstheme="majorHAnsi"/>
                <w:noProof/>
              </w:rPr>
              <w:t>6.2.2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Troštova ulica</w:t>
            </w:r>
            <w:r>
              <w:rPr>
                <w:noProof/>
                <w:webHidden/>
              </w:rPr>
              <w:tab/>
            </w:r>
            <w:r>
              <w:rPr>
                <w:noProof/>
                <w:webHidden/>
              </w:rPr>
              <w:fldChar w:fldCharType="begin"/>
            </w:r>
            <w:r>
              <w:rPr>
                <w:noProof/>
                <w:webHidden/>
              </w:rPr>
              <w:instrText xml:space="preserve"> PAGEREF _Toc210033806 \h </w:instrText>
            </w:r>
            <w:r>
              <w:rPr>
                <w:noProof/>
                <w:webHidden/>
              </w:rPr>
            </w:r>
            <w:r>
              <w:rPr>
                <w:noProof/>
                <w:webHidden/>
              </w:rPr>
              <w:fldChar w:fldCharType="separate"/>
            </w:r>
            <w:r>
              <w:rPr>
                <w:noProof/>
                <w:webHidden/>
              </w:rPr>
              <w:t>57</w:t>
            </w:r>
            <w:r>
              <w:rPr>
                <w:noProof/>
                <w:webHidden/>
              </w:rPr>
              <w:fldChar w:fldCharType="end"/>
            </w:r>
          </w:hyperlink>
        </w:p>
        <w:p w14:paraId="630458E0" w14:textId="6E0AB917"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7" w:history="1">
            <w:r w:rsidRPr="000C0121">
              <w:rPr>
                <w:rStyle w:val="Hiperpovezava"/>
                <w:rFonts w:asciiTheme="majorHAnsi" w:eastAsiaTheme="majorEastAsia" w:hAnsiTheme="majorHAnsi" w:cstheme="majorHAnsi"/>
                <w:noProof/>
              </w:rPr>
              <w:t>6.2.3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Avtobusno postajališče</w:t>
            </w:r>
            <w:r>
              <w:rPr>
                <w:noProof/>
                <w:webHidden/>
              </w:rPr>
              <w:tab/>
            </w:r>
            <w:r>
              <w:rPr>
                <w:noProof/>
                <w:webHidden/>
              </w:rPr>
              <w:fldChar w:fldCharType="begin"/>
            </w:r>
            <w:r>
              <w:rPr>
                <w:noProof/>
                <w:webHidden/>
              </w:rPr>
              <w:instrText xml:space="preserve"> PAGEREF _Toc210033807 \h </w:instrText>
            </w:r>
            <w:r>
              <w:rPr>
                <w:noProof/>
                <w:webHidden/>
              </w:rPr>
            </w:r>
            <w:r>
              <w:rPr>
                <w:noProof/>
                <w:webHidden/>
              </w:rPr>
              <w:fldChar w:fldCharType="separate"/>
            </w:r>
            <w:r>
              <w:rPr>
                <w:noProof/>
                <w:webHidden/>
              </w:rPr>
              <w:t>57</w:t>
            </w:r>
            <w:r>
              <w:rPr>
                <w:noProof/>
                <w:webHidden/>
              </w:rPr>
              <w:fldChar w:fldCharType="end"/>
            </w:r>
          </w:hyperlink>
        </w:p>
        <w:p w14:paraId="38D26EAE" w14:textId="394FC763"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8" w:history="1">
            <w:r w:rsidRPr="000C0121">
              <w:rPr>
                <w:rStyle w:val="Hiperpovezava"/>
                <w:rFonts w:asciiTheme="majorHAnsi" w:eastAsiaTheme="majorEastAsia" w:hAnsiTheme="majorHAnsi" w:cstheme="majorHAnsi"/>
                <w:noProof/>
              </w:rPr>
              <w:t>6.2.4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Mirujoči promet</w:t>
            </w:r>
            <w:r>
              <w:rPr>
                <w:noProof/>
                <w:webHidden/>
              </w:rPr>
              <w:tab/>
            </w:r>
            <w:r>
              <w:rPr>
                <w:noProof/>
                <w:webHidden/>
              </w:rPr>
              <w:fldChar w:fldCharType="begin"/>
            </w:r>
            <w:r>
              <w:rPr>
                <w:noProof/>
                <w:webHidden/>
              </w:rPr>
              <w:instrText xml:space="preserve"> PAGEREF _Toc210033808 \h </w:instrText>
            </w:r>
            <w:r>
              <w:rPr>
                <w:noProof/>
                <w:webHidden/>
              </w:rPr>
            </w:r>
            <w:r>
              <w:rPr>
                <w:noProof/>
                <w:webHidden/>
              </w:rPr>
              <w:fldChar w:fldCharType="separate"/>
            </w:r>
            <w:r>
              <w:rPr>
                <w:noProof/>
                <w:webHidden/>
              </w:rPr>
              <w:t>57</w:t>
            </w:r>
            <w:r>
              <w:rPr>
                <w:noProof/>
                <w:webHidden/>
              </w:rPr>
              <w:fldChar w:fldCharType="end"/>
            </w:r>
          </w:hyperlink>
        </w:p>
        <w:p w14:paraId="7BECD2DD" w14:textId="70800E76"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09" w:history="1">
            <w:r w:rsidRPr="000C0121">
              <w:rPr>
                <w:rStyle w:val="Hiperpovezava"/>
                <w:rFonts w:asciiTheme="majorHAnsi" w:eastAsiaTheme="majorEastAsia" w:hAnsiTheme="majorHAnsi" w:cstheme="majorHAnsi"/>
                <w:noProof/>
              </w:rPr>
              <w:t>6.2.5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Kolesarska infrastruktura</w:t>
            </w:r>
            <w:r>
              <w:rPr>
                <w:noProof/>
                <w:webHidden/>
              </w:rPr>
              <w:tab/>
            </w:r>
            <w:r>
              <w:rPr>
                <w:noProof/>
                <w:webHidden/>
              </w:rPr>
              <w:fldChar w:fldCharType="begin"/>
            </w:r>
            <w:r>
              <w:rPr>
                <w:noProof/>
                <w:webHidden/>
              </w:rPr>
              <w:instrText xml:space="preserve"> PAGEREF _Toc210033809 \h </w:instrText>
            </w:r>
            <w:r>
              <w:rPr>
                <w:noProof/>
                <w:webHidden/>
              </w:rPr>
            </w:r>
            <w:r>
              <w:rPr>
                <w:noProof/>
                <w:webHidden/>
              </w:rPr>
              <w:fldChar w:fldCharType="separate"/>
            </w:r>
            <w:r>
              <w:rPr>
                <w:noProof/>
                <w:webHidden/>
              </w:rPr>
              <w:t>58</w:t>
            </w:r>
            <w:r>
              <w:rPr>
                <w:noProof/>
                <w:webHidden/>
              </w:rPr>
              <w:fldChar w:fldCharType="end"/>
            </w:r>
          </w:hyperlink>
        </w:p>
        <w:p w14:paraId="47625754" w14:textId="5041A10D"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10" w:history="1">
            <w:r w:rsidRPr="000C0121">
              <w:rPr>
                <w:rStyle w:val="Hiperpovezava"/>
                <w:rFonts w:asciiTheme="majorHAnsi" w:eastAsiaTheme="majorEastAsia" w:hAnsiTheme="majorHAnsi" w:cstheme="majorHAnsi"/>
                <w:noProof/>
              </w:rPr>
              <w:t>6.3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NOVI EUROPSKI BAUHAUS</w:t>
            </w:r>
            <w:r>
              <w:rPr>
                <w:noProof/>
                <w:webHidden/>
              </w:rPr>
              <w:tab/>
            </w:r>
            <w:r>
              <w:rPr>
                <w:noProof/>
                <w:webHidden/>
              </w:rPr>
              <w:fldChar w:fldCharType="begin"/>
            </w:r>
            <w:r>
              <w:rPr>
                <w:noProof/>
                <w:webHidden/>
              </w:rPr>
              <w:instrText xml:space="preserve"> PAGEREF _Toc210033810 \h </w:instrText>
            </w:r>
            <w:r>
              <w:rPr>
                <w:noProof/>
                <w:webHidden/>
              </w:rPr>
            </w:r>
            <w:r>
              <w:rPr>
                <w:noProof/>
                <w:webHidden/>
              </w:rPr>
              <w:fldChar w:fldCharType="separate"/>
            </w:r>
            <w:r>
              <w:rPr>
                <w:noProof/>
                <w:webHidden/>
              </w:rPr>
              <w:t>58</w:t>
            </w:r>
            <w:r>
              <w:rPr>
                <w:noProof/>
                <w:webHidden/>
              </w:rPr>
              <w:fldChar w:fldCharType="end"/>
            </w:r>
          </w:hyperlink>
        </w:p>
        <w:p w14:paraId="22BD12D9" w14:textId="3A84D016"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11" w:history="1">
            <w:r w:rsidRPr="000C0121">
              <w:rPr>
                <w:rStyle w:val="Hiperpovezava"/>
                <w:rFonts w:asciiTheme="majorHAnsi" w:eastAsiaTheme="majorEastAsia" w:hAnsiTheme="majorHAnsi" w:cstheme="majorHAnsi"/>
                <w:noProof/>
              </w:rPr>
              <w:t>6.4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EU RAZPIS TRAJNOSTNA MOBILNOST</w:t>
            </w:r>
            <w:r>
              <w:rPr>
                <w:noProof/>
                <w:webHidden/>
              </w:rPr>
              <w:tab/>
            </w:r>
            <w:r>
              <w:rPr>
                <w:noProof/>
                <w:webHidden/>
              </w:rPr>
              <w:fldChar w:fldCharType="begin"/>
            </w:r>
            <w:r>
              <w:rPr>
                <w:noProof/>
                <w:webHidden/>
              </w:rPr>
              <w:instrText xml:space="preserve"> PAGEREF _Toc210033811 \h </w:instrText>
            </w:r>
            <w:r>
              <w:rPr>
                <w:noProof/>
                <w:webHidden/>
              </w:rPr>
            </w:r>
            <w:r>
              <w:rPr>
                <w:noProof/>
                <w:webHidden/>
              </w:rPr>
              <w:fldChar w:fldCharType="separate"/>
            </w:r>
            <w:r>
              <w:rPr>
                <w:noProof/>
                <w:webHidden/>
              </w:rPr>
              <w:t>58</w:t>
            </w:r>
            <w:r>
              <w:rPr>
                <w:noProof/>
                <w:webHidden/>
              </w:rPr>
              <w:fldChar w:fldCharType="end"/>
            </w:r>
          </w:hyperlink>
        </w:p>
        <w:p w14:paraId="4A88E6CC" w14:textId="0354610E"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2" w:history="1">
            <w:r w:rsidRPr="000C0121">
              <w:rPr>
                <w:rStyle w:val="Hiperpovezava"/>
                <w:rFonts w:asciiTheme="majorHAnsi" w:eastAsiaTheme="majorEastAsia" w:hAnsiTheme="majorHAnsi" w:cstheme="majorHAnsi"/>
                <w:noProof/>
              </w:rPr>
              <w:t>6.4.1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Ukrep 1: Celovita preureditev ulic in cest skladno z načeli trajnostne mobilnosti</w:t>
            </w:r>
            <w:r>
              <w:rPr>
                <w:noProof/>
                <w:webHidden/>
              </w:rPr>
              <w:tab/>
            </w:r>
            <w:r>
              <w:rPr>
                <w:noProof/>
                <w:webHidden/>
              </w:rPr>
              <w:fldChar w:fldCharType="begin"/>
            </w:r>
            <w:r>
              <w:rPr>
                <w:noProof/>
                <w:webHidden/>
              </w:rPr>
              <w:instrText xml:space="preserve"> PAGEREF _Toc210033812 \h </w:instrText>
            </w:r>
            <w:r>
              <w:rPr>
                <w:noProof/>
                <w:webHidden/>
              </w:rPr>
            </w:r>
            <w:r>
              <w:rPr>
                <w:noProof/>
                <w:webHidden/>
              </w:rPr>
              <w:fldChar w:fldCharType="separate"/>
            </w:r>
            <w:r>
              <w:rPr>
                <w:noProof/>
                <w:webHidden/>
              </w:rPr>
              <w:t>58</w:t>
            </w:r>
            <w:r>
              <w:rPr>
                <w:noProof/>
                <w:webHidden/>
              </w:rPr>
              <w:fldChar w:fldCharType="end"/>
            </w:r>
          </w:hyperlink>
        </w:p>
        <w:p w14:paraId="010B0365" w14:textId="6B8D7521"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3" w:history="1">
            <w:r w:rsidRPr="000C0121">
              <w:rPr>
                <w:rStyle w:val="Hiperpovezava"/>
                <w:rFonts w:asciiTheme="majorHAnsi" w:eastAsiaTheme="majorEastAsia" w:hAnsiTheme="majorHAnsi" w:cstheme="majorHAnsi"/>
                <w:noProof/>
              </w:rPr>
              <w:t>6.4.2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Ukrep 2: Ureditev namenskih površin za JPP</w:t>
            </w:r>
            <w:r>
              <w:rPr>
                <w:noProof/>
                <w:webHidden/>
              </w:rPr>
              <w:tab/>
            </w:r>
            <w:r>
              <w:rPr>
                <w:noProof/>
                <w:webHidden/>
              </w:rPr>
              <w:fldChar w:fldCharType="begin"/>
            </w:r>
            <w:r>
              <w:rPr>
                <w:noProof/>
                <w:webHidden/>
              </w:rPr>
              <w:instrText xml:space="preserve"> PAGEREF _Toc210033813 \h </w:instrText>
            </w:r>
            <w:r>
              <w:rPr>
                <w:noProof/>
                <w:webHidden/>
              </w:rPr>
            </w:r>
            <w:r>
              <w:rPr>
                <w:noProof/>
                <w:webHidden/>
              </w:rPr>
              <w:fldChar w:fldCharType="separate"/>
            </w:r>
            <w:r>
              <w:rPr>
                <w:noProof/>
                <w:webHidden/>
              </w:rPr>
              <w:t>59</w:t>
            </w:r>
            <w:r>
              <w:rPr>
                <w:noProof/>
                <w:webHidden/>
              </w:rPr>
              <w:fldChar w:fldCharType="end"/>
            </w:r>
          </w:hyperlink>
        </w:p>
        <w:p w14:paraId="1E8DE0A8" w14:textId="43B5560D"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4" w:history="1">
            <w:r w:rsidRPr="000C0121">
              <w:rPr>
                <w:rStyle w:val="Hiperpovezava"/>
                <w:rFonts w:asciiTheme="majorHAnsi" w:eastAsiaTheme="majorEastAsia" w:hAnsiTheme="majorHAnsi" w:cstheme="majorHAnsi"/>
                <w:noProof/>
              </w:rPr>
              <w:t>6.4.3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Ukrep 4: Infrastruktura za kolesarje</w:t>
            </w:r>
            <w:r>
              <w:rPr>
                <w:noProof/>
                <w:webHidden/>
              </w:rPr>
              <w:tab/>
            </w:r>
            <w:r>
              <w:rPr>
                <w:noProof/>
                <w:webHidden/>
              </w:rPr>
              <w:fldChar w:fldCharType="begin"/>
            </w:r>
            <w:r>
              <w:rPr>
                <w:noProof/>
                <w:webHidden/>
              </w:rPr>
              <w:instrText xml:space="preserve"> PAGEREF _Toc210033814 \h </w:instrText>
            </w:r>
            <w:r>
              <w:rPr>
                <w:noProof/>
                <w:webHidden/>
              </w:rPr>
            </w:r>
            <w:r>
              <w:rPr>
                <w:noProof/>
                <w:webHidden/>
              </w:rPr>
              <w:fldChar w:fldCharType="separate"/>
            </w:r>
            <w:r>
              <w:rPr>
                <w:noProof/>
                <w:webHidden/>
              </w:rPr>
              <w:t>59</w:t>
            </w:r>
            <w:r>
              <w:rPr>
                <w:noProof/>
                <w:webHidden/>
              </w:rPr>
              <w:fldChar w:fldCharType="end"/>
            </w:r>
          </w:hyperlink>
        </w:p>
        <w:p w14:paraId="43F051E4" w14:textId="578352A5"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15" w:history="1">
            <w:r w:rsidRPr="000C0121">
              <w:rPr>
                <w:rStyle w:val="Hiperpovezava"/>
                <w:rFonts w:asciiTheme="majorHAnsi" w:eastAsiaTheme="majorEastAsia" w:hAnsiTheme="majorHAnsi" w:cstheme="majorHAnsi"/>
                <w:noProof/>
              </w:rPr>
              <w:t>6.5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Tehnične značilnosti predvidene gradnje</w:t>
            </w:r>
            <w:r>
              <w:rPr>
                <w:noProof/>
                <w:webHidden/>
              </w:rPr>
              <w:tab/>
            </w:r>
            <w:r>
              <w:rPr>
                <w:noProof/>
                <w:webHidden/>
              </w:rPr>
              <w:fldChar w:fldCharType="begin"/>
            </w:r>
            <w:r>
              <w:rPr>
                <w:noProof/>
                <w:webHidden/>
              </w:rPr>
              <w:instrText xml:space="preserve"> PAGEREF _Toc210033815 \h </w:instrText>
            </w:r>
            <w:r>
              <w:rPr>
                <w:noProof/>
                <w:webHidden/>
              </w:rPr>
            </w:r>
            <w:r>
              <w:rPr>
                <w:noProof/>
                <w:webHidden/>
              </w:rPr>
              <w:fldChar w:fldCharType="separate"/>
            </w:r>
            <w:r>
              <w:rPr>
                <w:noProof/>
                <w:webHidden/>
              </w:rPr>
              <w:t>60</w:t>
            </w:r>
            <w:r>
              <w:rPr>
                <w:noProof/>
                <w:webHidden/>
              </w:rPr>
              <w:fldChar w:fldCharType="end"/>
            </w:r>
          </w:hyperlink>
        </w:p>
        <w:p w14:paraId="75827A65" w14:textId="64CCA1DE"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6" w:history="1">
            <w:r w:rsidRPr="000C0121">
              <w:rPr>
                <w:rStyle w:val="Hiperpovezava"/>
                <w:rFonts w:asciiTheme="majorHAnsi" w:eastAsiaTheme="majorEastAsia" w:hAnsiTheme="majorHAnsi" w:cstheme="majorHAnsi"/>
                <w:noProof/>
              </w:rPr>
              <w:t>6.5.1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Ceste/ulice</w:t>
            </w:r>
            <w:r>
              <w:rPr>
                <w:noProof/>
                <w:webHidden/>
              </w:rPr>
              <w:tab/>
            </w:r>
            <w:r>
              <w:rPr>
                <w:noProof/>
                <w:webHidden/>
              </w:rPr>
              <w:fldChar w:fldCharType="begin"/>
            </w:r>
            <w:r>
              <w:rPr>
                <w:noProof/>
                <w:webHidden/>
              </w:rPr>
              <w:instrText xml:space="preserve"> PAGEREF _Toc210033816 \h </w:instrText>
            </w:r>
            <w:r>
              <w:rPr>
                <w:noProof/>
                <w:webHidden/>
              </w:rPr>
            </w:r>
            <w:r>
              <w:rPr>
                <w:noProof/>
                <w:webHidden/>
              </w:rPr>
              <w:fldChar w:fldCharType="separate"/>
            </w:r>
            <w:r>
              <w:rPr>
                <w:noProof/>
                <w:webHidden/>
              </w:rPr>
              <w:t>60</w:t>
            </w:r>
            <w:r>
              <w:rPr>
                <w:noProof/>
                <w:webHidden/>
              </w:rPr>
              <w:fldChar w:fldCharType="end"/>
            </w:r>
          </w:hyperlink>
        </w:p>
        <w:p w14:paraId="299E5FB1" w14:textId="2CA79BE2"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7" w:history="1">
            <w:r w:rsidRPr="000C0121">
              <w:rPr>
                <w:rStyle w:val="Hiperpovezava"/>
                <w:rFonts w:asciiTheme="majorHAnsi" w:eastAsiaTheme="majorEastAsia" w:hAnsiTheme="majorHAnsi" w:cstheme="majorHAnsi"/>
                <w:noProof/>
              </w:rPr>
              <w:t>6.5.2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Večnamenski objekti – kolesarnica</w:t>
            </w:r>
            <w:r>
              <w:rPr>
                <w:noProof/>
                <w:webHidden/>
              </w:rPr>
              <w:tab/>
            </w:r>
            <w:r>
              <w:rPr>
                <w:noProof/>
                <w:webHidden/>
              </w:rPr>
              <w:fldChar w:fldCharType="begin"/>
            </w:r>
            <w:r>
              <w:rPr>
                <w:noProof/>
                <w:webHidden/>
              </w:rPr>
              <w:instrText xml:space="preserve"> PAGEREF _Toc210033817 \h </w:instrText>
            </w:r>
            <w:r>
              <w:rPr>
                <w:noProof/>
                <w:webHidden/>
              </w:rPr>
            </w:r>
            <w:r>
              <w:rPr>
                <w:noProof/>
                <w:webHidden/>
              </w:rPr>
              <w:fldChar w:fldCharType="separate"/>
            </w:r>
            <w:r>
              <w:rPr>
                <w:noProof/>
                <w:webHidden/>
              </w:rPr>
              <w:t>60</w:t>
            </w:r>
            <w:r>
              <w:rPr>
                <w:noProof/>
                <w:webHidden/>
              </w:rPr>
              <w:fldChar w:fldCharType="end"/>
            </w:r>
          </w:hyperlink>
        </w:p>
        <w:p w14:paraId="3BC9CB77" w14:textId="57FCEF87"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8" w:history="1">
            <w:r w:rsidRPr="000C0121">
              <w:rPr>
                <w:rStyle w:val="Hiperpovezava"/>
                <w:rFonts w:asciiTheme="majorHAnsi" w:eastAsiaTheme="majorEastAsia" w:hAnsiTheme="majorHAnsi" w:cstheme="majorHAnsi"/>
                <w:noProof/>
              </w:rPr>
              <w:t>6.5.3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Nadstrešnica avtobusnega postajališča</w:t>
            </w:r>
            <w:r>
              <w:rPr>
                <w:noProof/>
                <w:webHidden/>
              </w:rPr>
              <w:tab/>
            </w:r>
            <w:r>
              <w:rPr>
                <w:noProof/>
                <w:webHidden/>
              </w:rPr>
              <w:fldChar w:fldCharType="begin"/>
            </w:r>
            <w:r>
              <w:rPr>
                <w:noProof/>
                <w:webHidden/>
              </w:rPr>
              <w:instrText xml:space="preserve"> PAGEREF _Toc210033818 \h </w:instrText>
            </w:r>
            <w:r>
              <w:rPr>
                <w:noProof/>
                <w:webHidden/>
              </w:rPr>
            </w:r>
            <w:r>
              <w:rPr>
                <w:noProof/>
                <w:webHidden/>
              </w:rPr>
              <w:fldChar w:fldCharType="separate"/>
            </w:r>
            <w:r>
              <w:rPr>
                <w:noProof/>
                <w:webHidden/>
              </w:rPr>
              <w:t>61</w:t>
            </w:r>
            <w:r>
              <w:rPr>
                <w:noProof/>
                <w:webHidden/>
              </w:rPr>
              <w:fldChar w:fldCharType="end"/>
            </w:r>
          </w:hyperlink>
        </w:p>
        <w:p w14:paraId="478F569E" w14:textId="06AAC76F"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19" w:history="1">
            <w:r w:rsidRPr="000C0121">
              <w:rPr>
                <w:rStyle w:val="Hiperpovezava"/>
                <w:rFonts w:asciiTheme="majorHAnsi" w:eastAsiaTheme="majorEastAsia" w:hAnsiTheme="majorHAnsi" w:cstheme="majorHAnsi"/>
                <w:noProof/>
              </w:rPr>
              <w:t>6.5.4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Parkirišča</w:t>
            </w:r>
            <w:r>
              <w:rPr>
                <w:noProof/>
                <w:webHidden/>
              </w:rPr>
              <w:tab/>
            </w:r>
            <w:r>
              <w:rPr>
                <w:noProof/>
                <w:webHidden/>
              </w:rPr>
              <w:fldChar w:fldCharType="begin"/>
            </w:r>
            <w:r>
              <w:rPr>
                <w:noProof/>
                <w:webHidden/>
              </w:rPr>
              <w:instrText xml:space="preserve"> PAGEREF _Toc210033819 \h </w:instrText>
            </w:r>
            <w:r>
              <w:rPr>
                <w:noProof/>
                <w:webHidden/>
              </w:rPr>
            </w:r>
            <w:r>
              <w:rPr>
                <w:noProof/>
                <w:webHidden/>
              </w:rPr>
              <w:fldChar w:fldCharType="separate"/>
            </w:r>
            <w:r>
              <w:rPr>
                <w:noProof/>
                <w:webHidden/>
              </w:rPr>
              <w:t>61</w:t>
            </w:r>
            <w:r>
              <w:rPr>
                <w:noProof/>
                <w:webHidden/>
              </w:rPr>
              <w:fldChar w:fldCharType="end"/>
            </w:r>
          </w:hyperlink>
        </w:p>
        <w:p w14:paraId="60FAC2B0" w14:textId="1B69B384"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20" w:history="1">
            <w:r w:rsidRPr="000C0121">
              <w:rPr>
                <w:rStyle w:val="Hiperpovezava"/>
                <w:rFonts w:asciiTheme="majorHAnsi" w:eastAsiaTheme="majorEastAsia" w:hAnsiTheme="majorHAnsi" w:cstheme="majorHAnsi"/>
                <w:noProof/>
              </w:rPr>
              <w:t>6.5.5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Tlakovanje</w:t>
            </w:r>
            <w:r>
              <w:rPr>
                <w:noProof/>
                <w:webHidden/>
              </w:rPr>
              <w:tab/>
            </w:r>
            <w:r>
              <w:rPr>
                <w:noProof/>
                <w:webHidden/>
              </w:rPr>
              <w:fldChar w:fldCharType="begin"/>
            </w:r>
            <w:r>
              <w:rPr>
                <w:noProof/>
                <w:webHidden/>
              </w:rPr>
              <w:instrText xml:space="preserve"> PAGEREF _Toc210033820 \h </w:instrText>
            </w:r>
            <w:r>
              <w:rPr>
                <w:noProof/>
                <w:webHidden/>
              </w:rPr>
            </w:r>
            <w:r>
              <w:rPr>
                <w:noProof/>
                <w:webHidden/>
              </w:rPr>
              <w:fldChar w:fldCharType="separate"/>
            </w:r>
            <w:r>
              <w:rPr>
                <w:noProof/>
                <w:webHidden/>
              </w:rPr>
              <w:t>61</w:t>
            </w:r>
            <w:r>
              <w:rPr>
                <w:noProof/>
                <w:webHidden/>
              </w:rPr>
              <w:fldChar w:fldCharType="end"/>
            </w:r>
          </w:hyperlink>
        </w:p>
        <w:p w14:paraId="0F0BCB3B" w14:textId="65675B16"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21" w:history="1">
            <w:r w:rsidRPr="000C0121">
              <w:rPr>
                <w:rStyle w:val="Hiperpovezava"/>
                <w:rFonts w:asciiTheme="majorHAnsi" w:eastAsiaTheme="majorEastAsia" w:hAnsiTheme="majorHAnsi" w:cstheme="majorHAnsi"/>
                <w:noProof/>
              </w:rPr>
              <w:t>6.5.6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Urbana oprema</w:t>
            </w:r>
            <w:r>
              <w:rPr>
                <w:noProof/>
                <w:webHidden/>
              </w:rPr>
              <w:tab/>
            </w:r>
            <w:r>
              <w:rPr>
                <w:noProof/>
                <w:webHidden/>
              </w:rPr>
              <w:fldChar w:fldCharType="begin"/>
            </w:r>
            <w:r>
              <w:rPr>
                <w:noProof/>
                <w:webHidden/>
              </w:rPr>
              <w:instrText xml:space="preserve"> PAGEREF _Toc210033821 \h </w:instrText>
            </w:r>
            <w:r>
              <w:rPr>
                <w:noProof/>
                <w:webHidden/>
              </w:rPr>
            </w:r>
            <w:r>
              <w:rPr>
                <w:noProof/>
                <w:webHidden/>
              </w:rPr>
              <w:fldChar w:fldCharType="separate"/>
            </w:r>
            <w:r>
              <w:rPr>
                <w:noProof/>
                <w:webHidden/>
              </w:rPr>
              <w:t>62</w:t>
            </w:r>
            <w:r>
              <w:rPr>
                <w:noProof/>
                <w:webHidden/>
              </w:rPr>
              <w:fldChar w:fldCharType="end"/>
            </w:r>
          </w:hyperlink>
        </w:p>
        <w:p w14:paraId="5280627C" w14:textId="2A221B6B"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22" w:history="1">
            <w:r w:rsidRPr="000C0121">
              <w:rPr>
                <w:rStyle w:val="Hiperpovezava"/>
                <w:rFonts w:asciiTheme="majorHAnsi" w:eastAsiaTheme="majorEastAsia" w:hAnsiTheme="majorHAnsi" w:cstheme="majorHAnsi"/>
                <w:noProof/>
              </w:rPr>
              <w:t>6.5.7</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Ostalo</w:t>
            </w:r>
            <w:r>
              <w:rPr>
                <w:noProof/>
                <w:webHidden/>
              </w:rPr>
              <w:tab/>
            </w:r>
            <w:r>
              <w:rPr>
                <w:noProof/>
                <w:webHidden/>
              </w:rPr>
              <w:fldChar w:fldCharType="begin"/>
            </w:r>
            <w:r>
              <w:rPr>
                <w:noProof/>
                <w:webHidden/>
              </w:rPr>
              <w:instrText xml:space="preserve"> PAGEREF _Toc210033822 \h </w:instrText>
            </w:r>
            <w:r>
              <w:rPr>
                <w:noProof/>
                <w:webHidden/>
              </w:rPr>
            </w:r>
            <w:r>
              <w:rPr>
                <w:noProof/>
                <w:webHidden/>
              </w:rPr>
              <w:fldChar w:fldCharType="separate"/>
            </w:r>
            <w:r>
              <w:rPr>
                <w:noProof/>
                <w:webHidden/>
              </w:rPr>
              <w:t>62</w:t>
            </w:r>
            <w:r>
              <w:rPr>
                <w:noProof/>
                <w:webHidden/>
              </w:rPr>
              <w:fldChar w:fldCharType="end"/>
            </w:r>
          </w:hyperlink>
        </w:p>
        <w:p w14:paraId="224F16E6" w14:textId="2458D6C4"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23" w:history="1">
            <w:r w:rsidRPr="000C0121">
              <w:rPr>
                <w:rStyle w:val="Hiperpovezava"/>
                <w:rFonts w:asciiTheme="majorHAnsi" w:eastAsiaTheme="majorEastAsia" w:hAnsiTheme="majorHAnsi" w:cstheme="majorHAnsi"/>
                <w:noProof/>
              </w:rPr>
              <w:t>6.6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Skladnost projekta s horizontalnimi načeli</w:t>
            </w:r>
            <w:r>
              <w:rPr>
                <w:noProof/>
                <w:webHidden/>
              </w:rPr>
              <w:tab/>
            </w:r>
            <w:r>
              <w:rPr>
                <w:noProof/>
                <w:webHidden/>
              </w:rPr>
              <w:fldChar w:fldCharType="begin"/>
            </w:r>
            <w:r>
              <w:rPr>
                <w:noProof/>
                <w:webHidden/>
              </w:rPr>
              <w:instrText xml:space="preserve"> PAGEREF _Toc210033823 \h </w:instrText>
            </w:r>
            <w:r>
              <w:rPr>
                <w:noProof/>
                <w:webHidden/>
              </w:rPr>
            </w:r>
            <w:r>
              <w:rPr>
                <w:noProof/>
                <w:webHidden/>
              </w:rPr>
              <w:fldChar w:fldCharType="separate"/>
            </w:r>
            <w:r>
              <w:rPr>
                <w:noProof/>
                <w:webHidden/>
              </w:rPr>
              <w:t>64</w:t>
            </w:r>
            <w:r>
              <w:rPr>
                <w:noProof/>
                <w:webHidden/>
              </w:rPr>
              <w:fldChar w:fldCharType="end"/>
            </w:r>
          </w:hyperlink>
        </w:p>
        <w:p w14:paraId="4F2E45F4" w14:textId="072637D8"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824" w:history="1">
            <w:r w:rsidRPr="000C0121">
              <w:rPr>
                <w:rStyle w:val="Hiperpovezava"/>
                <w:rFonts w:cstheme="majorHAnsi"/>
                <w:noProof/>
              </w:rPr>
              <w:t>7</w:t>
            </w:r>
            <w:r>
              <w:rPr>
                <w:b w:val="0"/>
                <w:bCs w:val="0"/>
                <w:caps w:val="0"/>
                <w:noProof/>
                <w:kern w:val="2"/>
                <w:sz w:val="24"/>
                <w:szCs w:val="24"/>
                <w:lang w:eastAsia="sl-SI"/>
                <w14:ligatures w14:val="standardContextual"/>
              </w:rPr>
              <w:tab/>
            </w:r>
            <w:r w:rsidRPr="000C0121">
              <w:rPr>
                <w:rStyle w:val="Hiperpovezava"/>
                <w:rFonts w:cstheme="majorHAnsi"/>
                <w:noProof/>
              </w:rPr>
              <w:t>ANALIZA ZAPOSLENIH</w:t>
            </w:r>
            <w:r>
              <w:rPr>
                <w:noProof/>
                <w:webHidden/>
              </w:rPr>
              <w:tab/>
            </w:r>
            <w:r>
              <w:rPr>
                <w:noProof/>
                <w:webHidden/>
              </w:rPr>
              <w:fldChar w:fldCharType="begin"/>
            </w:r>
            <w:r>
              <w:rPr>
                <w:noProof/>
                <w:webHidden/>
              </w:rPr>
              <w:instrText xml:space="preserve"> PAGEREF _Toc210033824 \h </w:instrText>
            </w:r>
            <w:r>
              <w:rPr>
                <w:noProof/>
                <w:webHidden/>
              </w:rPr>
            </w:r>
            <w:r>
              <w:rPr>
                <w:noProof/>
                <w:webHidden/>
              </w:rPr>
              <w:fldChar w:fldCharType="separate"/>
            </w:r>
            <w:r>
              <w:rPr>
                <w:noProof/>
                <w:webHidden/>
              </w:rPr>
              <w:t>67</w:t>
            </w:r>
            <w:r>
              <w:rPr>
                <w:noProof/>
                <w:webHidden/>
              </w:rPr>
              <w:fldChar w:fldCharType="end"/>
            </w:r>
          </w:hyperlink>
        </w:p>
        <w:p w14:paraId="3D3E77A9" w14:textId="095BDE73"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825" w:history="1">
            <w:r w:rsidRPr="000C0121">
              <w:rPr>
                <w:rStyle w:val="Hiperpovezava"/>
                <w:rFonts w:cstheme="majorHAnsi"/>
                <w:noProof/>
              </w:rPr>
              <w:t>8</w:t>
            </w:r>
            <w:r>
              <w:rPr>
                <w:b w:val="0"/>
                <w:bCs w:val="0"/>
                <w:caps w:val="0"/>
                <w:noProof/>
                <w:kern w:val="2"/>
                <w:sz w:val="24"/>
                <w:szCs w:val="24"/>
                <w:lang w:eastAsia="sl-SI"/>
                <w14:ligatures w14:val="standardContextual"/>
              </w:rPr>
              <w:tab/>
            </w:r>
            <w:r w:rsidRPr="000C0121">
              <w:rPr>
                <w:rStyle w:val="Hiperpovezava"/>
                <w:rFonts w:cstheme="majorHAnsi"/>
                <w:noProof/>
              </w:rPr>
              <w:t>OCENA VREDNOSTI PROJEKTA PO STALNIH IN TEKOČIH CENAH</w:t>
            </w:r>
            <w:r>
              <w:rPr>
                <w:noProof/>
                <w:webHidden/>
              </w:rPr>
              <w:tab/>
            </w:r>
            <w:r>
              <w:rPr>
                <w:noProof/>
                <w:webHidden/>
              </w:rPr>
              <w:fldChar w:fldCharType="begin"/>
            </w:r>
            <w:r>
              <w:rPr>
                <w:noProof/>
                <w:webHidden/>
              </w:rPr>
              <w:instrText xml:space="preserve"> PAGEREF _Toc210033825 \h </w:instrText>
            </w:r>
            <w:r>
              <w:rPr>
                <w:noProof/>
                <w:webHidden/>
              </w:rPr>
            </w:r>
            <w:r>
              <w:rPr>
                <w:noProof/>
                <w:webHidden/>
              </w:rPr>
              <w:fldChar w:fldCharType="separate"/>
            </w:r>
            <w:r>
              <w:rPr>
                <w:noProof/>
                <w:webHidden/>
              </w:rPr>
              <w:t>68</w:t>
            </w:r>
            <w:r>
              <w:rPr>
                <w:noProof/>
                <w:webHidden/>
              </w:rPr>
              <w:fldChar w:fldCharType="end"/>
            </w:r>
          </w:hyperlink>
        </w:p>
        <w:p w14:paraId="208155F4" w14:textId="34FBEA56"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26" w:history="1">
            <w:r w:rsidRPr="000C0121">
              <w:rPr>
                <w:rStyle w:val="Hiperpovezava"/>
                <w:rFonts w:asciiTheme="majorHAnsi" w:eastAsiaTheme="majorEastAsia" w:hAnsiTheme="majorHAnsi" w:cstheme="majorHAnsi"/>
                <w:noProof/>
              </w:rPr>
              <w:t>8.1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Vrednost investicije po stalnih cenah</w:t>
            </w:r>
            <w:r>
              <w:rPr>
                <w:noProof/>
                <w:webHidden/>
              </w:rPr>
              <w:tab/>
            </w:r>
            <w:r>
              <w:rPr>
                <w:noProof/>
                <w:webHidden/>
              </w:rPr>
              <w:fldChar w:fldCharType="begin"/>
            </w:r>
            <w:r>
              <w:rPr>
                <w:noProof/>
                <w:webHidden/>
              </w:rPr>
              <w:instrText xml:space="preserve"> PAGEREF _Toc210033826 \h </w:instrText>
            </w:r>
            <w:r>
              <w:rPr>
                <w:noProof/>
                <w:webHidden/>
              </w:rPr>
            </w:r>
            <w:r>
              <w:rPr>
                <w:noProof/>
                <w:webHidden/>
              </w:rPr>
              <w:fldChar w:fldCharType="separate"/>
            </w:r>
            <w:r>
              <w:rPr>
                <w:noProof/>
                <w:webHidden/>
              </w:rPr>
              <w:t>68</w:t>
            </w:r>
            <w:r>
              <w:rPr>
                <w:noProof/>
                <w:webHidden/>
              </w:rPr>
              <w:fldChar w:fldCharType="end"/>
            </w:r>
          </w:hyperlink>
        </w:p>
        <w:p w14:paraId="1CCB3707" w14:textId="71495732"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27" w:history="1">
            <w:r w:rsidRPr="000C0121">
              <w:rPr>
                <w:rStyle w:val="Hiperpovezava"/>
                <w:rFonts w:asciiTheme="majorHAnsi" w:eastAsiaTheme="majorEastAsia" w:hAnsiTheme="majorHAnsi" w:cstheme="majorHAnsi"/>
                <w:noProof/>
              </w:rPr>
              <w:t>8.2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Vrednost investicije po tekočih cenah</w:t>
            </w:r>
            <w:r>
              <w:rPr>
                <w:noProof/>
                <w:webHidden/>
              </w:rPr>
              <w:tab/>
            </w:r>
            <w:r>
              <w:rPr>
                <w:noProof/>
                <w:webHidden/>
              </w:rPr>
              <w:fldChar w:fldCharType="begin"/>
            </w:r>
            <w:r>
              <w:rPr>
                <w:noProof/>
                <w:webHidden/>
              </w:rPr>
              <w:instrText xml:space="preserve"> PAGEREF _Toc210033827 \h </w:instrText>
            </w:r>
            <w:r>
              <w:rPr>
                <w:noProof/>
                <w:webHidden/>
              </w:rPr>
            </w:r>
            <w:r>
              <w:rPr>
                <w:noProof/>
                <w:webHidden/>
              </w:rPr>
              <w:fldChar w:fldCharType="separate"/>
            </w:r>
            <w:r>
              <w:rPr>
                <w:noProof/>
                <w:webHidden/>
              </w:rPr>
              <w:t>69</w:t>
            </w:r>
            <w:r>
              <w:rPr>
                <w:noProof/>
                <w:webHidden/>
              </w:rPr>
              <w:fldChar w:fldCharType="end"/>
            </w:r>
          </w:hyperlink>
        </w:p>
        <w:p w14:paraId="3B0AC2A9" w14:textId="79ACE3F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28" w:history="1">
            <w:r w:rsidRPr="000C0121">
              <w:rPr>
                <w:rStyle w:val="Hiperpovezava"/>
                <w:rFonts w:asciiTheme="majorHAnsi" w:eastAsiaTheme="majorEastAsia" w:hAnsiTheme="majorHAnsi" w:cstheme="majorHAnsi"/>
                <w:noProof/>
              </w:rPr>
              <w:t>8.3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Vrednost investicije glede na upravičenost</w:t>
            </w:r>
            <w:r>
              <w:rPr>
                <w:noProof/>
                <w:webHidden/>
              </w:rPr>
              <w:tab/>
            </w:r>
            <w:r>
              <w:rPr>
                <w:noProof/>
                <w:webHidden/>
              </w:rPr>
              <w:fldChar w:fldCharType="begin"/>
            </w:r>
            <w:r>
              <w:rPr>
                <w:noProof/>
                <w:webHidden/>
              </w:rPr>
              <w:instrText xml:space="preserve"> PAGEREF _Toc210033828 \h </w:instrText>
            </w:r>
            <w:r>
              <w:rPr>
                <w:noProof/>
                <w:webHidden/>
              </w:rPr>
            </w:r>
            <w:r>
              <w:rPr>
                <w:noProof/>
                <w:webHidden/>
              </w:rPr>
              <w:fldChar w:fldCharType="separate"/>
            </w:r>
            <w:r>
              <w:rPr>
                <w:noProof/>
                <w:webHidden/>
              </w:rPr>
              <w:t>70</w:t>
            </w:r>
            <w:r>
              <w:rPr>
                <w:noProof/>
                <w:webHidden/>
              </w:rPr>
              <w:fldChar w:fldCharType="end"/>
            </w:r>
          </w:hyperlink>
        </w:p>
        <w:p w14:paraId="2F1D45A6" w14:textId="35E04286" w:rsidR="002C0380" w:rsidRDefault="002C0380">
          <w:pPr>
            <w:pStyle w:val="Kazalovsebine1"/>
            <w:tabs>
              <w:tab w:val="left" w:pos="400"/>
              <w:tab w:val="right" w:leader="dot" w:pos="9062"/>
            </w:tabs>
            <w:rPr>
              <w:b w:val="0"/>
              <w:bCs w:val="0"/>
              <w:caps w:val="0"/>
              <w:noProof/>
              <w:kern w:val="2"/>
              <w:sz w:val="24"/>
              <w:szCs w:val="24"/>
              <w:lang w:eastAsia="sl-SI"/>
              <w14:ligatures w14:val="standardContextual"/>
            </w:rPr>
          </w:pPr>
          <w:hyperlink w:anchor="_Toc210033830" w:history="1">
            <w:r w:rsidRPr="000C0121">
              <w:rPr>
                <w:rStyle w:val="Hiperpovezava"/>
                <w:rFonts w:cstheme="majorHAnsi"/>
                <w:noProof/>
              </w:rPr>
              <w:t>9</w:t>
            </w:r>
            <w:r>
              <w:rPr>
                <w:b w:val="0"/>
                <w:bCs w:val="0"/>
                <w:caps w:val="0"/>
                <w:noProof/>
                <w:kern w:val="2"/>
                <w:sz w:val="24"/>
                <w:szCs w:val="24"/>
                <w:lang w:eastAsia="sl-SI"/>
                <w14:ligatures w14:val="standardContextual"/>
              </w:rPr>
              <w:tab/>
            </w:r>
            <w:r w:rsidRPr="000C0121">
              <w:rPr>
                <w:rStyle w:val="Hiperpovezava"/>
                <w:rFonts w:cstheme="majorHAnsi"/>
                <w:noProof/>
              </w:rPr>
              <w:t>ANALIZA LOKACIJE</w:t>
            </w:r>
            <w:r>
              <w:rPr>
                <w:noProof/>
                <w:webHidden/>
              </w:rPr>
              <w:tab/>
            </w:r>
            <w:r>
              <w:rPr>
                <w:noProof/>
                <w:webHidden/>
              </w:rPr>
              <w:fldChar w:fldCharType="begin"/>
            </w:r>
            <w:r>
              <w:rPr>
                <w:noProof/>
                <w:webHidden/>
              </w:rPr>
              <w:instrText xml:space="preserve"> PAGEREF _Toc210033830 \h </w:instrText>
            </w:r>
            <w:r>
              <w:rPr>
                <w:noProof/>
                <w:webHidden/>
              </w:rPr>
            </w:r>
            <w:r>
              <w:rPr>
                <w:noProof/>
                <w:webHidden/>
              </w:rPr>
              <w:fldChar w:fldCharType="separate"/>
            </w:r>
            <w:r>
              <w:rPr>
                <w:noProof/>
                <w:webHidden/>
              </w:rPr>
              <w:t>78</w:t>
            </w:r>
            <w:r>
              <w:rPr>
                <w:noProof/>
                <w:webHidden/>
              </w:rPr>
              <w:fldChar w:fldCharType="end"/>
            </w:r>
          </w:hyperlink>
        </w:p>
        <w:p w14:paraId="1105BF62" w14:textId="740855B2"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31" w:history="1">
            <w:r w:rsidRPr="000C0121">
              <w:rPr>
                <w:rStyle w:val="Hiperpovezava"/>
                <w:rFonts w:asciiTheme="majorHAnsi" w:eastAsiaTheme="majorEastAsia" w:hAnsiTheme="majorHAnsi" w:cstheme="majorHAnsi"/>
                <w:noProof/>
              </w:rPr>
              <w:t>9.1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Makro lokacija</w:t>
            </w:r>
            <w:r>
              <w:rPr>
                <w:noProof/>
                <w:webHidden/>
              </w:rPr>
              <w:tab/>
            </w:r>
            <w:r>
              <w:rPr>
                <w:noProof/>
                <w:webHidden/>
              </w:rPr>
              <w:fldChar w:fldCharType="begin"/>
            </w:r>
            <w:r>
              <w:rPr>
                <w:noProof/>
                <w:webHidden/>
              </w:rPr>
              <w:instrText xml:space="preserve"> PAGEREF _Toc210033831 \h </w:instrText>
            </w:r>
            <w:r>
              <w:rPr>
                <w:noProof/>
                <w:webHidden/>
              </w:rPr>
            </w:r>
            <w:r>
              <w:rPr>
                <w:noProof/>
                <w:webHidden/>
              </w:rPr>
              <w:fldChar w:fldCharType="separate"/>
            </w:r>
            <w:r>
              <w:rPr>
                <w:noProof/>
                <w:webHidden/>
              </w:rPr>
              <w:t>78</w:t>
            </w:r>
            <w:r>
              <w:rPr>
                <w:noProof/>
                <w:webHidden/>
              </w:rPr>
              <w:fldChar w:fldCharType="end"/>
            </w:r>
          </w:hyperlink>
        </w:p>
        <w:p w14:paraId="248BD06B" w14:textId="04D378C9"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32" w:history="1">
            <w:r w:rsidRPr="000C0121">
              <w:rPr>
                <w:rStyle w:val="Hiperpovezava"/>
                <w:rFonts w:asciiTheme="majorHAnsi" w:eastAsiaTheme="majorEastAsia" w:hAnsiTheme="majorHAnsi" w:cstheme="majorHAnsi"/>
                <w:noProof/>
              </w:rPr>
              <w:t>9.2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Prostorski ureditveni pogoji</w:t>
            </w:r>
            <w:r>
              <w:rPr>
                <w:noProof/>
                <w:webHidden/>
              </w:rPr>
              <w:tab/>
            </w:r>
            <w:r>
              <w:rPr>
                <w:noProof/>
                <w:webHidden/>
              </w:rPr>
              <w:fldChar w:fldCharType="begin"/>
            </w:r>
            <w:r>
              <w:rPr>
                <w:noProof/>
                <w:webHidden/>
              </w:rPr>
              <w:instrText xml:space="preserve"> PAGEREF _Toc210033832 \h </w:instrText>
            </w:r>
            <w:r>
              <w:rPr>
                <w:noProof/>
                <w:webHidden/>
              </w:rPr>
            </w:r>
            <w:r>
              <w:rPr>
                <w:noProof/>
                <w:webHidden/>
              </w:rPr>
              <w:fldChar w:fldCharType="separate"/>
            </w:r>
            <w:r>
              <w:rPr>
                <w:noProof/>
                <w:webHidden/>
              </w:rPr>
              <w:t>80</w:t>
            </w:r>
            <w:r>
              <w:rPr>
                <w:noProof/>
                <w:webHidden/>
              </w:rPr>
              <w:fldChar w:fldCharType="end"/>
            </w:r>
          </w:hyperlink>
        </w:p>
        <w:p w14:paraId="22C76D18" w14:textId="43E079D0"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33" w:history="1">
            <w:r w:rsidRPr="000C0121">
              <w:rPr>
                <w:rStyle w:val="Hiperpovezava"/>
                <w:rFonts w:cstheme="majorHAnsi"/>
                <w:noProof/>
              </w:rPr>
              <w:t>10</w:t>
            </w:r>
            <w:r>
              <w:rPr>
                <w:b w:val="0"/>
                <w:bCs w:val="0"/>
                <w:caps w:val="0"/>
                <w:noProof/>
                <w:kern w:val="2"/>
                <w:sz w:val="24"/>
                <w:szCs w:val="24"/>
                <w:lang w:eastAsia="sl-SI"/>
                <w14:ligatures w14:val="standardContextual"/>
              </w:rPr>
              <w:tab/>
            </w:r>
            <w:r w:rsidRPr="000C0121">
              <w:rPr>
                <w:rStyle w:val="Hiperpovezava"/>
                <w:rFonts w:cstheme="majorHAnsi"/>
                <w:noProof/>
              </w:rPr>
              <w:t>ANALIZA VPLIVOV INVESTICIJSKEGA PROJEKTA NA OKOLJE</w:t>
            </w:r>
            <w:r>
              <w:rPr>
                <w:noProof/>
                <w:webHidden/>
              </w:rPr>
              <w:tab/>
            </w:r>
            <w:r>
              <w:rPr>
                <w:noProof/>
                <w:webHidden/>
              </w:rPr>
              <w:fldChar w:fldCharType="begin"/>
            </w:r>
            <w:r>
              <w:rPr>
                <w:noProof/>
                <w:webHidden/>
              </w:rPr>
              <w:instrText xml:space="preserve"> PAGEREF _Toc210033833 \h </w:instrText>
            </w:r>
            <w:r>
              <w:rPr>
                <w:noProof/>
                <w:webHidden/>
              </w:rPr>
            </w:r>
            <w:r>
              <w:rPr>
                <w:noProof/>
                <w:webHidden/>
              </w:rPr>
              <w:fldChar w:fldCharType="separate"/>
            </w:r>
            <w:r>
              <w:rPr>
                <w:noProof/>
                <w:webHidden/>
              </w:rPr>
              <w:t>81</w:t>
            </w:r>
            <w:r>
              <w:rPr>
                <w:noProof/>
                <w:webHidden/>
              </w:rPr>
              <w:fldChar w:fldCharType="end"/>
            </w:r>
          </w:hyperlink>
        </w:p>
        <w:p w14:paraId="57B0EB7D" w14:textId="4DE7D90A"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4" w:history="1">
            <w:r w:rsidRPr="000C0121">
              <w:rPr>
                <w:rStyle w:val="Hiperpovezava"/>
                <w:rFonts w:ascii="Arial" w:eastAsiaTheme="majorEastAsia" w:hAnsi="Arial" w:cs="Arial"/>
                <w:noProof/>
              </w:rPr>
              <w:t>10.1</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Okoljska sprejemljivost</w:t>
            </w:r>
            <w:r>
              <w:rPr>
                <w:noProof/>
                <w:webHidden/>
              </w:rPr>
              <w:tab/>
            </w:r>
            <w:r>
              <w:rPr>
                <w:noProof/>
                <w:webHidden/>
              </w:rPr>
              <w:fldChar w:fldCharType="begin"/>
            </w:r>
            <w:r>
              <w:rPr>
                <w:noProof/>
                <w:webHidden/>
              </w:rPr>
              <w:instrText xml:space="preserve"> PAGEREF _Toc210033834 \h </w:instrText>
            </w:r>
            <w:r>
              <w:rPr>
                <w:noProof/>
                <w:webHidden/>
              </w:rPr>
            </w:r>
            <w:r>
              <w:rPr>
                <w:noProof/>
                <w:webHidden/>
              </w:rPr>
              <w:fldChar w:fldCharType="separate"/>
            </w:r>
            <w:r>
              <w:rPr>
                <w:noProof/>
                <w:webHidden/>
              </w:rPr>
              <w:t>81</w:t>
            </w:r>
            <w:r>
              <w:rPr>
                <w:noProof/>
                <w:webHidden/>
              </w:rPr>
              <w:fldChar w:fldCharType="end"/>
            </w:r>
          </w:hyperlink>
        </w:p>
        <w:p w14:paraId="3946F5F9" w14:textId="4D622E49"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5" w:history="1">
            <w:r w:rsidRPr="000C0121">
              <w:rPr>
                <w:rStyle w:val="Hiperpovezava"/>
                <w:rFonts w:ascii="Arial" w:eastAsiaTheme="majorEastAsia" w:hAnsi="Arial" w:cs="Arial"/>
                <w:noProof/>
              </w:rPr>
              <w:t>10.2</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Varstvo okolja</w:t>
            </w:r>
            <w:r>
              <w:rPr>
                <w:noProof/>
                <w:webHidden/>
              </w:rPr>
              <w:tab/>
            </w:r>
            <w:r>
              <w:rPr>
                <w:noProof/>
                <w:webHidden/>
              </w:rPr>
              <w:fldChar w:fldCharType="begin"/>
            </w:r>
            <w:r>
              <w:rPr>
                <w:noProof/>
                <w:webHidden/>
              </w:rPr>
              <w:instrText xml:space="preserve"> PAGEREF _Toc210033835 \h </w:instrText>
            </w:r>
            <w:r>
              <w:rPr>
                <w:noProof/>
                <w:webHidden/>
              </w:rPr>
            </w:r>
            <w:r>
              <w:rPr>
                <w:noProof/>
                <w:webHidden/>
              </w:rPr>
              <w:fldChar w:fldCharType="separate"/>
            </w:r>
            <w:r>
              <w:rPr>
                <w:noProof/>
                <w:webHidden/>
              </w:rPr>
              <w:t>81</w:t>
            </w:r>
            <w:r>
              <w:rPr>
                <w:noProof/>
                <w:webHidden/>
              </w:rPr>
              <w:fldChar w:fldCharType="end"/>
            </w:r>
          </w:hyperlink>
        </w:p>
        <w:p w14:paraId="725729F2" w14:textId="09F264AB"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6" w:history="1">
            <w:r w:rsidRPr="000C0121">
              <w:rPr>
                <w:rStyle w:val="Hiperpovezava"/>
                <w:rFonts w:ascii="Arial" w:eastAsiaTheme="majorEastAsia" w:hAnsi="Arial" w:cs="Arial"/>
                <w:noProof/>
              </w:rPr>
              <w:t>10.2.1</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Presoja podnebne odpornosti</w:t>
            </w:r>
            <w:r>
              <w:rPr>
                <w:noProof/>
                <w:webHidden/>
              </w:rPr>
              <w:tab/>
            </w:r>
            <w:r>
              <w:rPr>
                <w:noProof/>
                <w:webHidden/>
              </w:rPr>
              <w:fldChar w:fldCharType="begin"/>
            </w:r>
            <w:r>
              <w:rPr>
                <w:noProof/>
                <w:webHidden/>
              </w:rPr>
              <w:instrText xml:space="preserve"> PAGEREF _Toc210033836 \h </w:instrText>
            </w:r>
            <w:r>
              <w:rPr>
                <w:noProof/>
                <w:webHidden/>
              </w:rPr>
            </w:r>
            <w:r>
              <w:rPr>
                <w:noProof/>
                <w:webHidden/>
              </w:rPr>
              <w:fldChar w:fldCharType="separate"/>
            </w:r>
            <w:r>
              <w:rPr>
                <w:noProof/>
                <w:webHidden/>
              </w:rPr>
              <w:t>82</w:t>
            </w:r>
            <w:r>
              <w:rPr>
                <w:noProof/>
                <w:webHidden/>
              </w:rPr>
              <w:fldChar w:fldCharType="end"/>
            </w:r>
          </w:hyperlink>
        </w:p>
        <w:p w14:paraId="14F1169D" w14:textId="072A6E65"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7" w:history="1">
            <w:r w:rsidRPr="000C0121">
              <w:rPr>
                <w:rStyle w:val="Hiperpovezava"/>
                <w:rFonts w:ascii="Arial" w:eastAsiaTheme="majorEastAsia" w:hAnsi="Arial" w:cs="Arial"/>
                <w:noProof/>
              </w:rPr>
              <w:t>10.2.2</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Upoštevanje načel »ne škoduj bistveno«</w:t>
            </w:r>
            <w:r>
              <w:rPr>
                <w:noProof/>
                <w:webHidden/>
              </w:rPr>
              <w:tab/>
            </w:r>
            <w:r>
              <w:rPr>
                <w:noProof/>
                <w:webHidden/>
              </w:rPr>
              <w:fldChar w:fldCharType="begin"/>
            </w:r>
            <w:r>
              <w:rPr>
                <w:noProof/>
                <w:webHidden/>
              </w:rPr>
              <w:instrText xml:space="preserve"> PAGEREF _Toc210033837 \h </w:instrText>
            </w:r>
            <w:r>
              <w:rPr>
                <w:noProof/>
                <w:webHidden/>
              </w:rPr>
            </w:r>
            <w:r>
              <w:rPr>
                <w:noProof/>
                <w:webHidden/>
              </w:rPr>
              <w:fldChar w:fldCharType="separate"/>
            </w:r>
            <w:r>
              <w:rPr>
                <w:noProof/>
                <w:webHidden/>
              </w:rPr>
              <w:t>83</w:t>
            </w:r>
            <w:r>
              <w:rPr>
                <w:noProof/>
                <w:webHidden/>
              </w:rPr>
              <w:fldChar w:fldCharType="end"/>
            </w:r>
          </w:hyperlink>
        </w:p>
        <w:p w14:paraId="7FFD3583" w14:textId="1DED031A"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8" w:history="1">
            <w:r w:rsidRPr="000C0121">
              <w:rPr>
                <w:rStyle w:val="Hiperpovezava"/>
                <w:rFonts w:ascii="Arial" w:eastAsiaTheme="majorEastAsia" w:hAnsi="Arial" w:cs="Arial"/>
                <w:noProof/>
              </w:rPr>
              <w:t>10.2.3</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Skladnost z načelo »Novega evropskega Bauhausa«</w:t>
            </w:r>
            <w:r>
              <w:rPr>
                <w:noProof/>
                <w:webHidden/>
              </w:rPr>
              <w:tab/>
            </w:r>
            <w:r>
              <w:rPr>
                <w:noProof/>
                <w:webHidden/>
              </w:rPr>
              <w:fldChar w:fldCharType="begin"/>
            </w:r>
            <w:r>
              <w:rPr>
                <w:noProof/>
                <w:webHidden/>
              </w:rPr>
              <w:instrText xml:space="preserve"> PAGEREF _Toc210033838 \h </w:instrText>
            </w:r>
            <w:r>
              <w:rPr>
                <w:noProof/>
                <w:webHidden/>
              </w:rPr>
            </w:r>
            <w:r>
              <w:rPr>
                <w:noProof/>
                <w:webHidden/>
              </w:rPr>
              <w:fldChar w:fldCharType="separate"/>
            </w:r>
            <w:r>
              <w:rPr>
                <w:noProof/>
                <w:webHidden/>
              </w:rPr>
              <w:t>87</w:t>
            </w:r>
            <w:r>
              <w:rPr>
                <w:noProof/>
                <w:webHidden/>
              </w:rPr>
              <w:fldChar w:fldCharType="end"/>
            </w:r>
          </w:hyperlink>
        </w:p>
        <w:p w14:paraId="2FFAD070" w14:textId="215D33A6"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39" w:history="1">
            <w:r w:rsidRPr="000C0121">
              <w:rPr>
                <w:rStyle w:val="Hiperpovezava"/>
                <w:rFonts w:ascii="Arial" w:eastAsiaTheme="majorEastAsia" w:hAnsi="Arial" w:cs="Arial"/>
                <w:noProof/>
              </w:rPr>
              <w:t>10.3</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Organizacija izvajanja projekta in način spremljanja izvedbe projekta</w:t>
            </w:r>
            <w:r>
              <w:rPr>
                <w:noProof/>
                <w:webHidden/>
              </w:rPr>
              <w:tab/>
            </w:r>
            <w:r>
              <w:rPr>
                <w:noProof/>
                <w:webHidden/>
              </w:rPr>
              <w:fldChar w:fldCharType="begin"/>
            </w:r>
            <w:r>
              <w:rPr>
                <w:noProof/>
                <w:webHidden/>
              </w:rPr>
              <w:instrText xml:space="preserve"> PAGEREF _Toc210033839 \h </w:instrText>
            </w:r>
            <w:r>
              <w:rPr>
                <w:noProof/>
                <w:webHidden/>
              </w:rPr>
            </w:r>
            <w:r>
              <w:rPr>
                <w:noProof/>
                <w:webHidden/>
              </w:rPr>
              <w:fldChar w:fldCharType="separate"/>
            </w:r>
            <w:r>
              <w:rPr>
                <w:noProof/>
                <w:webHidden/>
              </w:rPr>
              <w:t>87</w:t>
            </w:r>
            <w:r>
              <w:rPr>
                <w:noProof/>
                <w:webHidden/>
              </w:rPr>
              <w:fldChar w:fldCharType="end"/>
            </w:r>
          </w:hyperlink>
        </w:p>
        <w:p w14:paraId="441B1741" w14:textId="1BAD82DA"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40" w:history="1">
            <w:r w:rsidRPr="000C0121">
              <w:rPr>
                <w:rStyle w:val="Hiperpovezava"/>
                <w:rFonts w:ascii="Arial" w:eastAsiaTheme="majorEastAsia" w:hAnsi="Arial" w:cs="Arial"/>
                <w:noProof/>
              </w:rPr>
              <w:t>10.4</w:t>
            </w:r>
            <w:r>
              <w:rPr>
                <w:smallCaps w:val="0"/>
                <w:noProof/>
                <w:kern w:val="2"/>
                <w:sz w:val="24"/>
                <w:szCs w:val="24"/>
                <w:lang w:eastAsia="sl-SI"/>
                <w14:ligatures w14:val="standardContextual"/>
              </w:rPr>
              <w:tab/>
            </w:r>
            <w:r w:rsidRPr="000C0121">
              <w:rPr>
                <w:rStyle w:val="Hiperpovezava"/>
                <w:rFonts w:ascii="Arial" w:eastAsiaTheme="majorEastAsia" w:hAnsi="Arial" w:cs="Arial"/>
                <w:noProof/>
              </w:rPr>
              <w:t>Ekonomska upravičenost projekta</w:t>
            </w:r>
            <w:r>
              <w:rPr>
                <w:noProof/>
                <w:webHidden/>
              </w:rPr>
              <w:tab/>
            </w:r>
            <w:r>
              <w:rPr>
                <w:noProof/>
                <w:webHidden/>
              </w:rPr>
              <w:fldChar w:fldCharType="begin"/>
            </w:r>
            <w:r>
              <w:rPr>
                <w:noProof/>
                <w:webHidden/>
              </w:rPr>
              <w:instrText xml:space="preserve"> PAGEREF _Toc210033840 \h </w:instrText>
            </w:r>
            <w:r>
              <w:rPr>
                <w:noProof/>
                <w:webHidden/>
              </w:rPr>
            </w:r>
            <w:r>
              <w:rPr>
                <w:noProof/>
                <w:webHidden/>
              </w:rPr>
              <w:fldChar w:fldCharType="separate"/>
            </w:r>
            <w:r>
              <w:rPr>
                <w:noProof/>
                <w:webHidden/>
              </w:rPr>
              <w:t>87</w:t>
            </w:r>
            <w:r>
              <w:rPr>
                <w:noProof/>
                <w:webHidden/>
              </w:rPr>
              <w:fldChar w:fldCharType="end"/>
            </w:r>
          </w:hyperlink>
        </w:p>
        <w:p w14:paraId="5E57E5CA" w14:textId="0D8AB974"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41" w:history="1">
            <w:r w:rsidRPr="000C0121">
              <w:rPr>
                <w:rStyle w:val="Hiperpovezava"/>
                <w:rFonts w:cstheme="majorHAnsi"/>
                <w:noProof/>
              </w:rPr>
              <w:t>11</w:t>
            </w:r>
            <w:r>
              <w:rPr>
                <w:b w:val="0"/>
                <w:bCs w:val="0"/>
                <w:caps w:val="0"/>
                <w:noProof/>
                <w:kern w:val="2"/>
                <w:sz w:val="24"/>
                <w:szCs w:val="24"/>
                <w:lang w:eastAsia="sl-SI"/>
                <w14:ligatures w14:val="standardContextual"/>
              </w:rPr>
              <w:tab/>
            </w:r>
            <w:r w:rsidRPr="000C0121">
              <w:rPr>
                <w:rStyle w:val="Hiperpovezava"/>
                <w:rFonts w:cstheme="majorHAnsi"/>
                <w:noProof/>
              </w:rPr>
              <w:t>ČASOVNI NAČRT IZVEDBE INVESTICIJE</w:t>
            </w:r>
            <w:r>
              <w:rPr>
                <w:noProof/>
                <w:webHidden/>
              </w:rPr>
              <w:tab/>
            </w:r>
            <w:r>
              <w:rPr>
                <w:noProof/>
                <w:webHidden/>
              </w:rPr>
              <w:fldChar w:fldCharType="begin"/>
            </w:r>
            <w:r>
              <w:rPr>
                <w:noProof/>
                <w:webHidden/>
              </w:rPr>
              <w:instrText xml:space="preserve"> PAGEREF _Toc210033841 \h </w:instrText>
            </w:r>
            <w:r>
              <w:rPr>
                <w:noProof/>
                <w:webHidden/>
              </w:rPr>
            </w:r>
            <w:r>
              <w:rPr>
                <w:noProof/>
                <w:webHidden/>
              </w:rPr>
              <w:fldChar w:fldCharType="separate"/>
            </w:r>
            <w:r>
              <w:rPr>
                <w:noProof/>
                <w:webHidden/>
              </w:rPr>
              <w:t>90</w:t>
            </w:r>
            <w:r>
              <w:rPr>
                <w:noProof/>
                <w:webHidden/>
              </w:rPr>
              <w:fldChar w:fldCharType="end"/>
            </w:r>
          </w:hyperlink>
        </w:p>
        <w:p w14:paraId="6D1753AB" w14:textId="02D81CBC"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42" w:history="1">
            <w:r w:rsidRPr="000C0121">
              <w:rPr>
                <w:rStyle w:val="Hiperpovezava"/>
                <w:rFonts w:asciiTheme="majorHAnsi" w:eastAsiaTheme="majorEastAsia" w:hAnsiTheme="majorHAnsi" w:cstheme="majorHAnsi"/>
                <w:noProof/>
              </w:rPr>
              <w:t>11.1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Organizacija vodenja projekta</w:t>
            </w:r>
            <w:r>
              <w:rPr>
                <w:noProof/>
                <w:webHidden/>
              </w:rPr>
              <w:tab/>
            </w:r>
            <w:r>
              <w:rPr>
                <w:noProof/>
                <w:webHidden/>
              </w:rPr>
              <w:fldChar w:fldCharType="begin"/>
            </w:r>
            <w:r>
              <w:rPr>
                <w:noProof/>
                <w:webHidden/>
              </w:rPr>
              <w:instrText xml:space="preserve"> PAGEREF _Toc210033842 \h </w:instrText>
            </w:r>
            <w:r>
              <w:rPr>
                <w:noProof/>
                <w:webHidden/>
              </w:rPr>
            </w:r>
            <w:r>
              <w:rPr>
                <w:noProof/>
                <w:webHidden/>
              </w:rPr>
              <w:fldChar w:fldCharType="separate"/>
            </w:r>
            <w:r>
              <w:rPr>
                <w:noProof/>
                <w:webHidden/>
              </w:rPr>
              <w:t>96</w:t>
            </w:r>
            <w:r>
              <w:rPr>
                <w:noProof/>
                <w:webHidden/>
              </w:rPr>
              <w:fldChar w:fldCharType="end"/>
            </w:r>
          </w:hyperlink>
        </w:p>
        <w:p w14:paraId="32F1A66E" w14:textId="355529AB"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43" w:history="1">
            <w:r w:rsidRPr="000C0121">
              <w:rPr>
                <w:rStyle w:val="Hiperpovezava"/>
                <w:rFonts w:asciiTheme="majorHAnsi" w:eastAsiaTheme="majorEastAsia" w:hAnsiTheme="majorHAnsi" w:cstheme="majorHAnsi"/>
                <w:noProof/>
              </w:rPr>
              <w:t>11.2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Javna naročila</w:t>
            </w:r>
            <w:r>
              <w:rPr>
                <w:noProof/>
                <w:webHidden/>
              </w:rPr>
              <w:tab/>
            </w:r>
            <w:r>
              <w:rPr>
                <w:noProof/>
                <w:webHidden/>
              </w:rPr>
              <w:fldChar w:fldCharType="begin"/>
            </w:r>
            <w:r>
              <w:rPr>
                <w:noProof/>
                <w:webHidden/>
              </w:rPr>
              <w:instrText xml:space="preserve"> PAGEREF _Toc210033843 \h </w:instrText>
            </w:r>
            <w:r>
              <w:rPr>
                <w:noProof/>
                <w:webHidden/>
              </w:rPr>
            </w:r>
            <w:r>
              <w:rPr>
                <w:noProof/>
                <w:webHidden/>
              </w:rPr>
              <w:fldChar w:fldCharType="separate"/>
            </w:r>
            <w:r>
              <w:rPr>
                <w:noProof/>
                <w:webHidden/>
              </w:rPr>
              <w:t>96</w:t>
            </w:r>
            <w:r>
              <w:rPr>
                <w:noProof/>
                <w:webHidden/>
              </w:rPr>
              <w:fldChar w:fldCharType="end"/>
            </w:r>
          </w:hyperlink>
        </w:p>
        <w:p w14:paraId="7B8AA598" w14:textId="0107FA4A"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44" w:history="1">
            <w:r w:rsidRPr="000C0121">
              <w:rPr>
                <w:rStyle w:val="Hiperpovezava"/>
                <w:rFonts w:asciiTheme="majorHAnsi" w:eastAsiaTheme="majorEastAsia" w:hAnsiTheme="majorHAnsi" w:cstheme="majorHAnsi"/>
                <w:noProof/>
              </w:rPr>
              <w:t>11.3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Poročilo o izvajanju investicije</w:t>
            </w:r>
            <w:r>
              <w:rPr>
                <w:noProof/>
                <w:webHidden/>
              </w:rPr>
              <w:tab/>
            </w:r>
            <w:r>
              <w:rPr>
                <w:noProof/>
                <w:webHidden/>
              </w:rPr>
              <w:fldChar w:fldCharType="begin"/>
            </w:r>
            <w:r>
              <w:rPr>
                <w:noProof/>
                <w:webHidden/>
              </w:rPr>
              <w:instrText xml:space="preserve"> PAGEREF _Toc210033844 \h </w:instrText>
            </w:r>
            <w:r>
              <w:rPr>
                <w:noProof/>
                <w:webHidden/>
              </w:rPr>
            </w:r>
            <w:r>
              <w:rPr>
                <w:noProof/>
                <w:webHidden/>
              </w:rPr>
              <w:fldChar w:fldCharType="separate"/>
            </w:r>
            <w:r>
              <w:rPr>
                <w:noProof/>
                <w:webHidden/>
              </w:rPr>
              <w:t>97</w:t>
            </w:r>
            <w:r>
              <w:rPr>
                <w:noProof/>
                <w:webHidden/>
              </w:rPr>
              <w:fldChar w:fldCharType="end"/>
            </w:r>
          </w:hyperlink>
        </w:p>
        <w:p w14:paraId="10FFBE0B" w14:textId="33230C0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45" w:history="1">
            <w:r w:rsidRPr="000C0121">
              <w:rPr>
                <w:rStyle w:val="Hiperpovezava"/>
                <w:rFonts w:asciiTheme="majorHAnsi" w:eastAsiaTheme="majorEastAsia" w:hAnsiTheme="majorHAnsi" w:cstheme="majorHAnsi"/>
                <w:noProof/>
              </w:rPr>
              <w:t>11.4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Zaključek</w:t>
            </w:r>
            <w:r>
              <w:rPr>
                <w:noProof/>
                <w:webHidden/>
              </w:rPr>
              <w:tab/>
            </w:r>
            <w:r>
              <w:rPr>
                <w:noProof/>
                <w:webHidden/>
              </w:rPr>
              <w:fldChar w:fldCharType="begin"/>
            </w:r>
            <w:r>
              <w:rPr>
                <w:noProof/>
                <w:webHidden/>
              </w:rPr>
              <w:instrText xml:space="preserve"> PAGEREF _Toc210033845 \h </w:instrText>
            </w:r>
            <w:r>
              <w:rPr>
                <w:noProof/>
                <w:webHidden/>
              </w:rPr>
            </w:r>
            <w:r>
              <w:rPr>
                <w:noProof/>
                <w:webHidden/>
              </w:rPr>
              <w:fldChar w:fldCharType="separate"/>
            </w:r>
            <w:r>
              <w:rPr>
                <w:noProof/>
                <w:webHidden/>
              </w:rPr>
              <w:t>97</w:t>
            </w:r>
            <w:r>
              <w:rPr>
                <w:noProof/>
                <w:webHidden/>
              </w:rPr>
              <w:fldChar w:fldCharType="end"/>
            </w:r>
          </w:hyperlink>
        </w:p>
        <w:p w14:paraId="3E2A6F5B" w14:textId="5F0E7DD7"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46" w:history="1">
            <w:r w:rsidRPr="000C0121">
              <w:rPr>
                <w:rStyle w:val="Hiperpovezava"/>
                <w:rFonts w:cstheme="majorHAnsi"/>
                <w:noProof/>
              </w:rPr>
              <w:t>12</w:t>
            </w:r>
            <w:r>
              <w:rPr>
                <w:b w:val="0"/>
                <w:bCs w:val="0"/>
                <w:caps w:val="0"/>
                <w:noProof/>
                <w:kern w:val="2"/>
                <w:sz w:val="24"/>
                <w:szCs w:val="24"/>
                <w:lang w:eastAsia="sl-SI"/>
                <w14:ligatures w14:val="standardContextual"/>
              </w:rPr>
              <w:tab/>
            </w:r>
            <w:r w:rsidRPr="000C0121">
              <w:rPr>
                <w:rStyle w:val="Hiperpovezava"/>
                <w:rFonts w:cstheme="majorHAnsi"/>
                <w:noProof/>
              </w:rPr>
              <w:t>NAČRT FINANCIRANJA V STALNIH IN TEKOČIH CENAH PO DINAMIKI IN VIRIH FINANCIRANJA</w:t>
            </w:r>
            <w:r>
              <w:rPr>
                <w:noProof/>
                <w:webHidden/>
              </w:rPr>
              <w:tab/>
            </w:r>
            <w:r>
              <w:rPr>
                <w:noProof/>
                <w:webHidden/>
              </w:rPr>
              <w:fldChar w:fldCharType="begin"/>
            </w:r>
            <w:r>
              <w:rPr>
                <w:noProof/>
                <w:webHidden/>
              </w:rPr>
              <w:instrText xml:space="preserve"> PAGEREF _Toc210033846 \h </w:instrText>
            </w:r>
            <w:r>
              <w:rPr>
                <w:noProof/>
                <w:webHidden/>
              </w:rPr>
            </w:r>
            <w:r>
              <w:rPr>
                <w:noProof/>
                <w:webHidden/>
              </w:rPr>
              <w:fldChar w:fldCharType="separate"/>
            </w:r>
            <w:r>
              <w:rPr>
                <w:noProof/>
                <w:webHidden/>
              </w:rPr>
              <w:t>98</w:t>
            </w:r>
            <w:r>
              <w:rPr>
                <w:noProof/>
                <w:webHidden/>
              </w:rPr>
              <w:fldChar w:fldCharType="end"/>
            </w:r>
          </w:hyperlink>
        </w:p>
        <w:p w14:paraId="7CFEDB35" w14:textId="437FFEEC"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47" w:history="1">
            <w:r w:rsidRPr="000C0121">
              <w:rPr>
                <w:rStyle w:val="Hiperpovezava"/>
                <w:rFonts w:cstheme="majorHAnsi"/>
                <w:noProof/>
              </w:rPr>
              <w:t>13</w:t>
            </w:r>
            <w:r>
              <w:rPr>
                <w:b w:val="0"/>
                <w:bCs w:val="0"/>
                <w:caps w:val="0"/>
                <w:noProof/>
                <w:kern w:val="2"/>
                <w:sz w:val="24"/>
                <w:szCs w:val="24"/>
                <w:lang w:eastAsia="sl-SI"/>
                <w14:ligatures w14:val="standardContextual"/>
              </w:rPr>
              <w:tab/>
            </w:r>
            <w:r w:rsidRPr="000C0121">
              <w:rPr>
                <w:rStyle w:val="Hiperpovezava"/>
                <w:rFonts w:cstheme="majorHAnsi"/>
                <w:noProof/>
              </w:rPr>
              <w:t>PROJEKCIJE PRIHODKOV IN STROŠKOV POSLOVANJA PO VZPOSTAVITVI DELOVANJA INVESTICIJE ZA OBDOBJE EKONOMSKE DOBE INVESTICIJSKEGA PROJEKTA</w:t>
            </w:r>
            <w:r>
              <w:rPr>
                <w:noProof/>
                <w:webHidden/>
              </w:rPr>
              <w:tab/>
            </w:r>
            <w:r>
              <w:rPr>
                <w:noProof/>
                <w:webHidden/>
              </w:rPr>
              <w:fldChar w:fldCharType="begin"/>
            </w:r>
            <w:r>
              <w:rPr>
                <w:noProof/>
                <w:webHidden/>
              </w:rPr>
              <w:instrText xml:space="preserve"> PAGEREF _Toc210033847 \h </w:instrText>
            </w:r>
            <w:r>
              <w:rPr>
                <w:noProof/>
                <w:webHidden/>
              </w:rPr>
            </w:r>
            <w:r>
              <w:rPr>
                <w:noProof/>
                <w:webHidden/>
              </w:rPr>
              <w:fldChar w:fldCharType="separate"/>
            </w:r>
            <w:r>
              <w:rPr>
                <w:noProof/>
                <w:webHidden/>
              </w:rPr>
              <w:t>108</w:t>
            </w:r>
            <w:r>
              <w:rPr>
                <w:noProof/>
                <w:webHidden/>
              </w:rPr>
              <w:fldChar w:fldCharType="end"/>
            </w:r>
          </w:hyperlink>
        </w:p>
        <w:p w14:paraId="582C88B2" w14:textId="22A1AFEA"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48" w:history="1">
            <w:r w:rsidRPr="000C0121">
              <w:rPr>
                <w:rStyle w:val="Hiperpovezava"/>
                <w:rFonts w:asciiTheme="majorHAnsi" w:eastAsiaTheme="majorEastAsia" w:hAnsiTheme="majorHAnsi" w:cstheme="majorHAnsi"/>
                <w:noProof/>
              </w:rPr>
              <w:t>13.1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Osnovna izhodišča za prikaz prihodkov in stroškov poslovanja projekta</w:t>
            </w:r>
            <w:r>
              <w:rPr>
                <w:noProof/>
                <w:webHidden/>
              </w:rPr>
              <w:tab/>
            </w:r>
            <w:r>
              <w:rPr>
                <w:noProof/>
                <w:webHidden/>
              </w:rPr>
              <w:fldChar w:fldCharType="begin"/>
            </w:r>
            <w:r>
              <w:rPr>
                <w:noProof/>
                <w:webHidden/>
              </w:rPr>
              <w:instrText xml:space="preserve"> PAGEREF _Toc210033848 \h </w:instrText>
            </w:r>
            <w:r>
              <w:rPr>
                <w:noProof/>
                <w:webHidden/>
              </w:rPr>
            </w:r>
            <w:r>
              <w:rPr>
                <w:noProof/>
                <w:webHidden/>
              </w:rPr>
              <w:fldChar w:fldCharType="separate"/>
            </w:r>
            <w:r>
              <w:rPr>
                <w:noProof/>
                <w:webHidden/>
              </w:rPr>
              <w:t>108</w:t>
            </w:r>
            <w:r>
              <w:rPr>
                <w:noProof/>
                <w:webHidden/>
              </w:rPr>
              <w:fldChar w:fldCharType="end"/>
            </w:r>
          </w:hyperlink>
        </w:p>
        <w:p w14:paraId="3F850C06" w14:textId="357D01C7"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49" w:history="1">
            <w:r w:rsidRPr="000C0121">
              <w:rPr>
                <w:rStyle w:val="Hiperpovezava"/>
                <w:rFonts w:asciiTheme="majorHAnsi" w:eastAsiaTheme="majorEastAsia" w:hAnsiTheme="majorHAnsi" w:cstheme="majorHAnsi"/>
                <w:noProof/>
              </w:rPr>
              <w:t>13.1.1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Prihodki</w:t>
            </w:r>
            <w:r>
              <w:rPr>
                <w:noProof/>
                <w:webHidden/>
              </w:rPr>
              <w:tab/>
            </w:r>
            <w:r>
              <w:rPr>
                <w:noProof/>
                <w:webHidden/>
              </w:rPr>
              <w:fldChar w:fldCharType="begin"/>
            </w:r>
            <w:r>
              <w:rPr>
                <w:noProof/>
                <w:webHidden/>
              </w:rPr>
              <w:instrText xml:space="preserve"> PAGEREF _Toc210033849 \h </w:instrText>
            </w:r>
            <w:r>
              <w:rPr>
                <w:noProof/>
                <w:webHidden/>
              </w:rPr>
            </w:r>
            <w:r>
              <w:rPr>
                <w:noProof/>
                <w:webHidden/>
              </w:rPr>
              <w:fldChar w:fldCharType="separate"/>
            </w:r>
            <w:r>
              <w:rPr>
                <w:noProof/>
                <w:webHidden/>
              </w:rPr>
              <w:t>108</w:t>
            </w:r>
            <w:r>
              <w:rPr>
                <w:noProof/>
                <w:webHidden/>
              </w:rPr>
              <w:fldChar w:fldCharType="end"/>
            </w:r>
          </w:hyperlink>
        </w:p>
        <w:p w14:paraId="6E2B2994" w14:textId="53DB331B"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0" w:history="1">
            <w:r w:rsidRPr="000C0121">
              <w:rPr>
                <w:rStyle w:val="Hiperpovezava"/>
                <w:rFonts w:asciiTheme="majorHAnsi" w:eastAsiaTheme="majorEastAsia" w:hAnsiTheme="majorHAnsi" w:cstheme="majorHAnsi"/>
                <w:noProof/>
              </w:rPr>
              <w:t>13.2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Obratovalni stroški</w:t>
            </w:r>
            <w:r>
              <w:rPr>
                <w:noProof/>
                <w:webHidden/>
              </w:rPr>
              <w:tab/>
            </w:r>
            <w:r>
              <w:rPr>
                <w:noProof/>
                <w:webHidden/>
              </w:rPr>
              <w:fldChar w:fldCharType="begin"/>
            </w:r>
            <w:r>
              <w:rPr>
                <w:noProof/>
                <w:webHidden/>
              </w:rPr>
              <w:instrText xml:space="preserve"> PAGEREF _Toc210033850 \h </w:instrText>
            </w:r>
            <w:r>
              <w:rPr>
                <w:noProof/>
                <w:webHidden/>
              </w:rPr>
            </w:r>
            <w:r>
              <w:rPr>
                <w:noProof/>
                <w:webHidden/>
              </w:rPr>
              <w:fldChar w:fldCharType="separate"/>
            </w:r>
            <w:r>
              <w:rPr>
                <w:noProof/>
                <w:webHidden/>
              </w:rPr>
              <w:t>108</w:t>
            </w:r>
            <w:r>
              <w:rPr>
                <w:noProof/>
                <w:webHidden/>
              </w:rPr>
              <w:fldChar w:fldCharType="end"/>
            </w:r>
          </w:hyperlink>
        </w:p>
        <w:p w14:paraId="08E70615" w14:textId="2ACC90B2"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51" w:history="1">
            <w:r w:rsidRPr="000C0121">
              <w:rPr>
                <w:rStyle w:val="Hiperpovezava"/>
                <w:rFonts w:asciiTheme="majorHAnsi" w:eastAsiaTheme="majorEastAsia" w:hAnsiTheme="majorHAnsi" w:cstheme="majorHAnsi"/>
                <w:noProof/>
              </w:rPr>
              <w:t>13.2.1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Stroški amortizacije</w:t>
            </w:r>
            <w:r>
              <w:rPr>
                <w:noProof/>
                <w:webHidden/>
              </w:rPr>
              <w:tab/>
            </w:r>
            <w:r>
              <w:rPr>
                <w:noProof/>
                <w:webHidden/>
              </w:rPr>
              <w:fldChar w:fldCharType="begin"/>
            </w:r>
            <w:r>
              <w:rPr>
                <w:noProof/>
                <w:webHidden/>
              </w:rPr>
              <w:instrText xml:space="preserve"> PAGEREF _Toc210033851 \h </w:instrText>
            </w:r>
            <w:r>
              <w:rPr>
                <w:noProof/>
                <w:webHidden/>
              </w:rPr>
            </w:r>
            <w:r>
              <w:rPr>
                <w:noProof/>
                <w:webHidden/>
              </w:rPr>
              <w:fldChar w:fldCharType="separate"/>
            </w:r>
            <w:r>
              <w:rPr>
                <w:noProof/>
                <w:webHidden/>
              </w:rPr>
              <w:t>109</w:t>
            </w:r>
            <w:r>
              <w:rPr>
                <w:noProof/>
                <w:webHidden/>
              </w:rPr>
              <w:fldChar w:fldCharType="end"/>
            </w:r>
          </w:hyperlink>
        </w:p>
        <w:p w14:paraId="21E11C16" w14:textId="62F47695"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52" w:history="1">
            <w:r w:rsidRPr="000C0121">
              <w:rPr>
                <w:rStyle w:val="Hiperpovezava"/>
                <w:rFonts w:cstheme="majorHAnsi"/>
                <w:noProof/>
              </w:rPr>
              <w:t>14</w:t>
            </w:r>
            <w:r>
              <w:rPr>
                <w:b w:val="0"/>
                <w:bCs w:val="0"/>
                <w:caps w:val="0"/>
                <w:noProof/>
                <w:kern w:val="2"/>
                <w:sz w:val="24"/>
                <w:szCs w:val="24"/>
                <w:lang w:eastAsia="sl-SI"/>
                <w14:ligatures w14:val="standardContextual"/>
              </w:rPr>
              <w:tab/>
            </w:r>
            <w:r w:rsidRPr="000C0121">
              <w:rPr>
                <w:rStyle w:val="Hiperpovezava"/>
                <w:rFonts w:cstheme="majorHAnsi"/>
                <w:noProof/>
              </w:rPr>
              <w:t>VREDNOTENJE DRUGIH STROŠKOV IN KORISTI</w:t>
            </w:r>
            <w:r>
              <w:rPr>
                <w:noProof/>
                <w:webHidden/>
              </w:rPr>
              <w:tab/>
            </w:r>
            <w:r>
              <w:rPr>
                <w:noProof/>
                <w:webHidden/>
              </w:rPr>
              <w:fldChar w:fldCharType="begin"/>
            </w:r>
            <w:r>
              <w:rPr>
                <w:noProof/>
                <w:webHidden/>
              </w:rPr>
              <w:instrText xml:space="preserve"> PAGEREF _Toc210033852 \h </w:instrText>
            </w:r>
            <w:r>
              <w:rPr>
                <w:noProof/>
                <w:webHidden/>
              </w:rPr>
            </w:r>
            <w:r>
              <w:rPr>
                <w:noProof/>
                <w:webHidden/>
              </w:rPr>
              <w:fldChar w:fldCharType="separate"/>
            </w:r>
            <w:r>
              <w:rPr>
                <w:noProof/>
                <w:webHidden/>
              </w:rPr>
              <w:t>111</w:t>
            </w:r>
            <w:r>
              <w:rPr>
                <w:noProof/>
                <w:webHidden/>
              </w:rPr>
              <w:fldChar w:fldCharType="end"/>
            </w:r>
          </w:hyperlink>
        </w:p>
        <w:p w14:paraId="53FF4445" w14:textId="69EEF5A6"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3" w:history="1">
            <w:r w:rsidRPr="000C0121">
              <w:rPr>
                <w:rStyle w:val="Hiperpovezava"/>
                <w:rFonts w:asciiTheme="majorHAnsi" w:eastAsiaTheme="majorEastAsia" w:hAnsiTheme="majorHAnsi" w:cstheme="majorHAnsi"/>
                <w:noProof/>
              </w:rPr>
              <w:t>14.1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Finančna analiza celotnega projekta</w:t>
            </w:r>
            <w:r>
              <w:rPr>
                <w:noProof/>
                <w:webHidden/>
              </w:rPr>
              <w:tab/>
            </w:r>
            <w:r>
              <w:rPr>
                <w:noProof/>
                <w:webHidden/>
              </w:rPr>
              <w:fldChar w:fldCharType="begin"/>
            </w:r>
            <w:r>
              <w:rPr>
                <w:noProof/>
                <w:webHidden/>
              </w:rPr>
              <w:instrText xml:space="preserve"> PAGEREF _Toc210033853 \h </w:instrText>
            </w:r>
            <w:r>
              <w:rPr>
                <w:noProof/>
                <w:webHidden/>
              </w:rPr>
            </w:r>
            <w:r>
              <w:rPr>
                <w:noProof/>
                <w:webHidden/>
              </w:rPr>
              <w:fldChar w:fldCharType="separate"/>
            </w:r>
            <w:r>
              <w:rPr>
                <w:noProof/>
                <w:webHidden/>
              </w:rPr>
              <w:t>111</w:t>
            </w:r>
            <w:r>
              <w:rPr>
                <w:noProof/>
                <w:webHidden/>
              </w:rPr>
              <w:fldChar w:fldCharType="end"/>
            </w:r>
          </w:hyperlink>
        </w:p>
        <w:p w14:paraId="02EAE176" w14:textId="74CB21A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4" w:history="1">
            <w:r w:rsidRPr="000C0121">
              <w:rPr>
                <w:rStyle w:val="Hiperpovezava"/>
                <w:rFonts w:asciiTheme="majorHAnsi" w:eastAsiaTheme="majorEastAsia" w:hAnsiTheme="majorHAnsi" w:cstheme="majorHAnsi"/>
                <w:noProof/>
              </w:rPr>
              <w:t>14.2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Finančni tok poslovanja</w:t>
            </w:r>
            <w:r>
              <w:rPr>
                <w:noProof/>
                <w:webHidden/>
              </w:rPr>
              <w:tab/>
            </w:r>
            <w:r>
              <w:rPr>
                <w:noProof/>
                <w:webHidden/>
              </w:rPr>
              <w:fldChar w:fldCharType="begin"/>
            </w:r>
            <w:r>
              <w:rPr>
                <w:noProof/>
                <w:webHidden/>
              </w:rPr>
              <w:instrText xml:space="preserve"> PAGEREF _Toc210033854 \h </w:instrText>
            </w:r>
            <w:r>
              <w:rPr>
                <w:noProof/>
                <w:webHidden/>
              </w:rPr>
            </w:r>
            <w:r>
              <w:rPr>
                <w:noProof/>
                <w:webHidden/>
              </w:rPr>
              <w:fldChar w:fldCharType="separate"/>
            </w:r>
            <w:r>
              <w:rPr>
                <w:noProof/>
                <w:webHidden/>
              </w:rPr>
              <w:t>112</w:t>
            </w:r>
            <w:r>
              <w:rPr>
                <w:noProof/>
                <w:webHidden/>
              </w:rPr>
              <w:fldChar w:fldCharType="end"/>
            </w:r>
          </w:hyperlink>
        </w:p>
        <w:p w14:paraId="07D82FE8" w14:textId="4BA42BE5"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5" w:history="1">
            <w:r w:rsidRPr="000C0121">
              <w:rPr>
                <w:rStyle w:val="Hiperpovezava"/>
                <w:rFonts w:asciiTheme="majorHAnsi" w:eastAsiaTheme="majorEastAsia" w:hAnsiTheme="majorHAnsi" w:cstheme="majorHAnsi"/>
                <w:noProof/>
              </w:rPr>
              <w:t>14.3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Analiza donosnosti kapitala</w:t>
            </w:r>
            <w:r>
              <w:rPr>
                <w:noProof/>
                <w:webHidden/>
              </w:rPr>
              <w:tab/>
            </w:r>
            <w:r>
              <w:rPr>
                <w:noProof/>
                <w:webHidden/>
              </w:rPr>
              <w:fldChar w:fldCharType="begin"/>
            </w:r>
            <w:r>
              <w:rPr>
                <w:noProof/>
                <w:webHidden/>
              </w:rPr>
              <w:instrText xml:space="preserve"> PAGEREF _Toc210033855 \h </w:instrText>
            </w:r>
            <w:r>
              <w:rPr>
                <w:noProof/>
                <w:webHidden/>
              </w:rPr>
            </w:r>
            <w:r>
              <w:rPr>
                <w:noProof/>
                <w:webHidden/>
              </w:rPr>
              <w:fldChar w:fldCharType="separate"/>
            </w:r>
            <w:r>
              <w:rPr>
                <w:noProof/>
                <w:webHidden/>
              </w:rPr>
              <w:t>116</w:t>
            </w:r>
            <w:r>
              <w:rPr>
                <w:noProof/>
                <w:webHidden/>
              </w:rPr>
              <w:fldChar w:fldCharType="end"/>
            </w:r>
          </w:hyperlink>
        </w:p>
        <w:p w14:paraId="0BB28811" w14:textId="2B706177"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6" w:history="1">
            <w:r w:rsidRPr="000C0121">
              <w:rPr>
                <w:rStyle w:val="Hiperpovezava"/>
                <w:rFonts w:asciiTheme="majorHAnsi" w:eastAsiaTheme="majorEastAsia" w:hAnsiTheme="majorHAnsi" w:cstheme="majorHAnsi"/>
                <w:noProof/>
              </w:rPr>
              <w:t>14.4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Doba vračanja investicijskih sredstev</w:t>
            </w:r>
            <w:r>
              <w:rPr>
                <w:noProof/>
                <w:webHidden/>
              </w:rPr>
              <w:tab/>
            </w:r>
            <w:r>
              <w:rPr>
                <w:noProof/>
                <w:webHidden/>
              </w:rPr>
              <w:fldChar w:fldCharType="begin"/>
            </w:r>
            <w:r>
              <w:rPr>
                <w:noProof/>
                <w:webHidden/>
              </w:rPr>
              <w:instrText xml:space="preserve"> PAGEREF _Toc210033856 \h </w:instrText>
            </w:r>
            <w:r>
              <w:rPr>
                <w:noProof/>
                <w:webHidden/>
              </w:rPr>
            </w:r>
            <w:r>
              <w:rPr>
                <w:noProof/>
                <w:webHidden/>
              </w:rPr>
              <w:fldChar w:fldCharType="separate"/>
            </w:r>
            <w:r>
              <w:rPr>
                <w:noProof/>
                <w:webHidden/>
              </w:rPr>
              <w:t>117</w:t>
            </w:r>
            <w:r>
              <w:rPr>
                <w:noProof/>
                <w:webHidden/>
              </w:rPr>
              <w:fldChar w:fldCharType="end"/>
            </w:r>
          </w:hyperlink>
        </w:p>
        <w:p w14:paraId="5B1AA1CC" w14:textId="703437D2"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57" w:history="1">
            <w:r w:rsidRPr="000C0121">
              <w:rPr>
                <w:rStyle w:val="Hiperpovezava"/>
                <w:rFonts w:asciiTheme="majorHAnsi" w:eastAsiaTheme="majorEastAsia" w:hAnsiTheme="majorHAnsi" w:cstheme="majorHAnsi"/>
                <w:noProof/>
              </w:rPr>
              <w:t>14.5</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Finančni kazalniki</w:t>
            </w:r>
            <w:r>
              <w:rPr>
                <w:noProof/>
                <w:webHidden/>
              </w:rPr>
              <w:tab/>
            </w:r>
            <w:r>
              <w:rPr>
                <w:noProof/>
                <w:webHidden/>
              </w:rPr>
              <w:fldChar w:fldCharType="begin"/>
            </w:r>
            <w:r>
              <w:rPr>
                <w:noProof/>
                <w:webHidden/>
              </w:rPr>
              <w:instrText xml:space="preserve"> PAGEREF _Toc210033857 \h </w:instrText>
            </w:r>
            <w:r>
              <w:rPr>
                <w:noProof/>
                <w:webHidden/>
              </w:rPr>
            </w:r>
            <w:r>
              <w:rPr>
                <w:noProof/>
                <w:webHidden/>
              </w:rPr>
              <w:fldChar w:fldCharType="separate"/>
            </w:r>
            <w:r>
              <w:rPr>
                <w:noProof/>
                <w:webHidden/>
              </w:rPr>
              <w:t>117</w:t>
            </w:r>
            <w:r>
              <w:rPr>
                <w:noProof/>
                <w:webHidden/>
              </w:rPr>
              <w:fldChar w:fldCharType="end"/>
            </w:r>
          </w:hyperlink>
        </w:p>
        <w:p w14:paraId="27BDF172" w14:textId="3DFA30D6"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58" w:history="1">
            <w:r w:rsidRPr="000C0121">
              <w:rPr>
                <w:rStyle w:val="Hiperpovezava"/>
                <w:rFonts w:asciiTheme="majorHAnsi" w:eastAsiaTheme="majorEastAsia" w:hAnsiTheme="majorHAnsi" w:cstheme="majorHAnsi"/>
                <w:noProof/>
              </w:rPr>
              <w:t>14.5.1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Finančna neto sedanja vrednost projekta</w:t>
            </w:r>
            <w:r>
              <w:rPr>
                <w:noProof/>
                <w:webHidden/>
              </w:rPr>
              <w:tab/>
            </w:r>
            <w:r>
              <w:rPr>
                <w:noProof/>
                <w:webHidden/>
              </w:rPr>
              <w:fldChar w:fldCharType="begin"/>
            </w:r>
            <w:r>
              <w:rPr>
                <w:noProof/>
                <w:webHidden/>
              </w:rPr>
              <w:instrText xml:space="preserve"> PAGEREF _Toc210033858 \h </w:instrText>
            </w:r>
            <w:r>
              <w:rPr>
                <w:noProof/>
                <w:webHidden/>
              </w:rPr>
            </w:r>
            <w:r>
              <w:rPr>
                <w:noProof/>
                <w:webHidden/>
              </w:rPr>
              <w:fldChar w:fldCharType="separate"/>
            </w:r>
            <w:r>
              <w:rPr>
                <w:noProof/>
                <w:webHidden/>
              </w:rPr>
              <w:t>117</w:t>
            </w:r>
            <w:r>
              <w:rPr>
                <w:noProof/>
                <w:webHidden/>
              </w:rPr>
              <w:fldChar w:fldCharType="end"/>
            </w:r>
          </w:hyperlink>
        </w:p>
        <w:p w14:paraId="3CE4694C" w14:textId="55DCC1CA"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59" w:history="1">
            <w:r w:rsidRPr="000C0121">
              <w:rPr>
                <w:rStyle w:val="Hiperpovezava"/>
                <w:rFonts w:asciiTheme="majorHAnsi" w:eastAsiaTheme="majorEastAsia" w:hAnsiTheme="majorHAnsi" w:cstheme="majorHAnsi"/>
                <w:noProof/>
              </w:rPr>
              <w:t>14.5.2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Finančna interna stopnja donosnosti celotnega projekta</w:t>
            </w:r>
            <w:r>
              <w:rPr>
                <w:noProof/>
                <w:webHidden/>
              </w:rPr>
              <w:tab/>
            </w:r>
            <w:r>
              <w:rPr>
                <w:noProof/>
                <w:webHidden/>
              </w:rPr>
              <w:fldChar w:fldCharType="begin"/>
            </w:r>
            <w:r>
              <w:rPr>
                <w:noProof/>
                <w:webHidden/>
              </w:rPr>
              <w:instrText xml:space="preserve"> PAGEREF _Toc210033859 \h </w:instrText>
            </w:r>
            <w:r>
              <w:rPr>
                <w:noProof/>
                <w:webHidden/>
              </w:rPr>
            </w:r>
            <w:r>
              <w:rPr>
                <w:noProof/>
                <w:webHidden/>
              </w:rPr>
              <w:fldChar w:fldCharType="separate"/>
            </w:r>
            <w:r>
              <w:rPr>
                <w:noProof/>
                <w:webHidden/>
              </w:rPr>
              <w:t>117</w:t>
            </w:r>
            <w:r>
              <w:rPr>
                <w:noProof/>
                <w:webHidden/>
              </w:rPr>
              <w:fldChar w:fldCharType="end"/>
            </w:r>
          </w:hyperlink>
        </w:p>
        <w:p w14:paraId="21A85C02" w14:textId="454C7B51"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0" w:history="1">
            <w:r w:rsidRPr="000C0121">
              <w:rPr>
                <w:rStyle w:val="Hiperpovezava"/>
                <w:rFonts w:asciiTheme="majorHAnsi" w:eastAsiaTheme="majorEastAsia" w:hAnsiTheme="majorHAnsi" w:cstheme="majorHAnsi"/>
                <w:noProof/>
              </w:rPr>
              <w:t>14.5.3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Finančna relativna neto sedanja vrednost celotnega projekta</w:t>
            </w:r>
            <w:r>
              <w:rPr>
                <w:noProof/>
                <w:webHidden/>
              </w:rPr>
              <w:tab/>
            </w:r>
            <w:r>
              <w:rPr>
                <w:noProof/>
                <w:webHidden/>
              </w:rPr>
              <w:fldChar w:fldCharType="begin"/>
            </w:r>
            <w:r>
              <w:rPr>
                <w:noProof/>
                <w:webHidden/>
              </w:rPr>
              <w:instrText xml:space="preserve"> PAGEREF _Toc210033860 \h </w:instrText>
            </w:r>
            <w:r>
              <w:rPr>
                <w:noProof/>
                <w:webHidden/>
              </w:rPr>
            </w:r>
            <w:r>
              <w:rPr>
                <w:noProof/>
                <w:webHidden/>
              </w:rPr>
              <w:fldChar w:fldCharType="separate"/>
            </w:r>
            <w:r>
              <w:rPr>
                <w:noProof/>
                <w:webHidden/>
              </w:rPr>
              <w:t>118</w:t>
            </w:r>
            <w:r>
              <w:rPr>
                <w:noProof/>
                <w:webHidden/>
              </w:rPr>
              <w:fldChar w:fldCharType="end"/>
            </w:r>
          </w:hyperlink>
        </w:p>
        <w:p w14:paraId="52DE7292" w14:textId="4E609531"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61" w:history="1">
            <w:r w:rsidRPr="000C0121">
              <w:rPr>
                <w:rStyle w:val="Hiperpovezava"/>
                <w:rFonts w:asciiTheme="majorHAnsi" w:eastAsiaTheme="majorEastAsia" w:hAnsiTheme="majorHAnsi" w:cstheme="majorHAnsi"/>
                <w:noProof/>
              </w:rPr>
              <w:t>14.6</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Povzetek finančne analize</w:t>
            </w:r>
            <w:r>
              <w:rPr>
                <w:noProof/>
                <w:webHidden/>
              </w:rPr>
              <w:tab/>
            </w:r>
            <w:r>
              <w:rPr>
                <w:noProof/>
                <w:webHidden/>
              </w:rPr>
              <w:fldChar w:fldCharType="begin"/>
            </w:r>
            <w:r>
              <w:rPr>
                <w:noProof/>
                <w:webHidden/>
              </w:rPr>
              <w:instrText xml:space="preserve"> PAGEREF _Toc210033861 \h </w:instrText>
            </w:r>
            <w:r>
              <w:rPr>
                <w:noProof/>
                <w:webHidden/>
              </w:rPr>
            </w:r>
            <w:r>
              <w:rPr>
                <w:noProof/>
                <w:webHidden/>
              </w:rPr>
              <w:fldChar w:fldCharType="separate"/>
            </w:r>
            <w:r>
              <w:rPr>
                <w:noProof/>
                <w:webHidden/>
              </w:rPr>
              <w:t>118</w:t>
            </w:r>
            <w:r>
              <w:rPr>
                <w:noProof/>
                <w:webHidden/>
              </w:rPr>
              <w:fldChar w:fldCharType="end"/>
            </w:r>
          </w:hyperlink>
        </w:p>
        <w:p w14:paraId="3ADE2D92" w14:textId="75AAF752"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62" w:history="1">
            <w:r w:rsidRPr="000C0121">
              <w:rPr>
                <w:rStyle w:val="Hiperpovezava"/>
                <w:rFonts w:asciiTheme="majorHAnsi" w:eastAsiaTheme="majorEastAsia" w:hAnsiTheme="majorHAnsi" w:cstheme="majorHAnsi"/>
                <w:noProof/>
              </w:rPr>
              <w:t>14.7</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Izračun finančnega primanjkljaja</w:t>
            </w:r>
            <w:r>
              <w:rPr>
                <w:noProof/>
                <w:webHidden/>
              </w:rPr>
              <w:tab/>
            </w:r>
            <w:r>
              <w:rPr>
                <w:noProof/>
                <w:webHidden/>
              </w:rPr>
              <w:fldChar w:fldCharType="begin"/>
            </w:r>
            <w:r>
              <w:rPr>
                <w:noProof/>
                <w:webHidden/>
              </w:rPr>
              <w:instrText xml:space="preserve"> PAGEREF _Toc210033862 \h </w:instrText>
            </w:r>
            <w:r>
              <w:rPr>
                <w:noProof/>
                <w:webHidden/>
              </w:rPr>
            </w:r>
            <w:r>
              <w:rPr>
                <w:noProof/>
                <w:webHidden/>
              </w:rPr>
              <w:fldChar w:fldCharType="separate"/>
            </w:r>
            <w:r>
              <w:rPr>
                <w:noProof/>
                <w:webHidden/>
              </w:rPr>
              <w:t>119</w:t>
            </w:r>
            <w:r>
              <w:rPr>
                <w:noProof/>
                <w:webHidden/>
              </w:rPr>
              <w:fldChar w:fldCharType="end"/>
            </w:r>
          </w:hyperlink>
        </w:p>
        <w:p w14:paraId="78870E68" w14:textId="1978EE78"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63" w:history="1">
            <w:r w:rsidRPr="000C0121">
              <w:rPr>
                <w:rStyle w:val="Hiperpovezava"/>
                <w:rFonts w:asciiTheme="majorHAnsi" w:eastAsiaTheme="majorEastAsia" w:hAnsiTheme="majorHAnsi" w:cstheme="majorHAnsi"/>
                <w:noProof/>
              </w:rPr>
              <w:t>14.8</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Ekonomska analiza projekta</w:t>
            </w:r>
            <w:r>
              <w:rPr>
                <w:noProof/>
                <w:webHidden/>
              </w:rPr>
              <w:tab/>
            </w:r>
            <w:r>
              <w:rPr>
                <w:noProof/>
                <w:webHidden/>
              </w:rPr>
              <w:fldChar w:fldCharType="begin"/>
            </w:r>
            <w:r>
              <w:rPr>
                <w:noProof/>
                <w:webHidden/>
              </w:rPr>
              <w:instrText xml:space="preserve"> PAGEREF _Toc210033863 \h </w:instrText>
            </w:r>
            <w:r>
              <w:rPr>
                <w:noProof/>
                <w:webHidden/>
              </w:rPr>
            </w:r>
            <w:r>
              <w:rPr>
                <w:noProof/>
                <w:webHidden/>
              </w:rPr>
              <w:fldChar w:fldCharType="separate"/>
            </w:r>
            <w:r>
              <w:rPr>
                <w:noProof/>
                <w:webHidden/>
              </w:rPr>
              <w:t>119</w:t>
            </w:r>
            <w:r>
              <w:rPr>
                <w:noProof/>
                <w:webHidden/>
              </w:rPr>
              <w:fldChar w:fldCharType="end"/>
            </w:r>
          </w:hyperlink>
        </w:p>
        <w:p w14:paraId="704099D9" w14:textId="5CEC144E"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4" w:history="1">
            <w:r w:rsidRPr="000C0121">
              <w:rPr>
                <w:rStyle w:val="Hiperpovezava"/>
                <w:rFonts w:asciiTheme="majorHAnsi" w:eastAsiaTheme="majorEastAsia" w:hAnsiTheme="majorHAnsi" w:cstheme="majorHAnsi"/>
                <w:noProof/>
              </w:rPr>
              <w:t>14.8.1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Davčni popravki</w:t>
            </w:r>
            <w:r>
              <w:rPr>
                <w:noProof/>
                <w:webHidden/>
              </w:rPr>
              <w:tab/>
            </w:r>
            <w:r>
              <w:rPr>
                <w:noProof/>
                <w:webHidden/>
              </w:rPr>
              <w:fldChar w:fldCharType="begin"/>
            </w:r>
            <w:r>
              <w:rPr>
                <w:noProof/>
                <w:webHidden/>
              </w:rPr>
              <w:instrText xml:space="preserve"> PAGEREF _Toc210033864 \h </w:instrText>
            </w:r>
            <w:r>
              <w:rPr>
                <w:noProof/>
                <w:webHidden/>
              </w:rPr>
            </w:r>
            <w:r>
              <w:rPr>
                <w:noProof/>
                <w:webHidden/>
              </w:rPr>
              <w:fldChar w:fldCharType="separate"/>
            </w:r>
            <w:r>
              <w:rPr>
                <w:noProof/>
                <w:webHidden/>
              </w:rPr>
              <w:t>120</w:t>
            </w:r>
            <w:r>
              <w:rPr>
                <w:noProof/>
                <w:webHidden/>
              </w:rPr>
              <w:fldChar w:fldCharType="end"/>
            </w:r>
          </w:hyperlink>
        </w:p>
        <w:p w14:paraId="795B1396" w14:textId="44F5365F"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5" w:history="1">
            <w:r w:rsidRPr="000C0121">
              <w:rPr>
                <w:rStyle w:val="Hiperpovezava"/>
                <w:rFonts w:asciiTheme="majorHAnsi" w:eastAsiaTheme="majorEastAsia" w:hAnsiTheme="majorHAnsi" w:cstheme="majorHAnsi"/>
                <w:noProof/>
              </w:rPr>
              <w:t>14.8.2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Faza II – popravki zaradi eksternalij</w:t>
            </w:r>
            <w:r>
              <w:rPr>
                <w:noProof/>
                <w:webHidden/>
              </w:rPr>
              <w:tab/>
            </w:r>
            <w:r>
              <w:rPr>
                <w:noProof/>
                <w:webHidden/>
              </w:rPr>
              <w:fldChar w:fldCharType="begin"/>
            </w:r>
            <w:r>
              <w:rPr>
                <w:noProof/>
                <w:webHidden/>
              </w:rPr>
              <w:instrText xml:space="preserve"> PAGEREF _Toc210033865 \h </w:instrText>
            </w:r>
            <w:r>
              <w:rPr>
                <w:noProof/>
                <w:webHidden/>
              </w:rPr>
            </w:r>
            <w:r>
              <w:rPr>
                <w:noProof/>
                <w:webHidden/>
              </w:rPr>
              <w:fldChar w:fldCharType="separate"/>
            </w:r>
            <w:r>
              <w:rPr>
                <w:noProof/>
                <w:webHidden/>
              </w:rPr>
              <w:t>120</w:t>
            </w:r>
            <w:r>
              <w:rPr>
                <w:noProof/>
                <w:webHidden/>
              </w:rPr>
              <w:fldChar w:fldCharType="end"/>
            </w:r>
          </w:hyperlink>
        </w:p>
        <w:p w14:paraId="360B6824" w14:textId="708C5303"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6" w:history="1">
            <w:r w:rsidRPr="000C0121">
              <w:rPr>
                <w:rStyle w:val="Hiperpovezava"/>
                <w:rFonts w:asciiTheme="majorHAnsi" w:eastAsiaTheme="majorEastAsia" w:hAnsiTheme="majorHAnsi" w:cstheme="majorHAnsi"/>
                <w:noProof/>
              </w:rPr>
              <w:t>14.8.3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Pretvorba tržnih cen v obračunske cene</w:t>
            </w:r>
            <w:r>
              <w:rPr>
                <w:noProof/>
                <w:webHidden/>
              </w:rPr>
              <w:tab/>
            </w:r>
            <w:r>
              <w:rPr>
                <w:noProof/>
                <w:webHidden/>
              </w:rPr>
              <w:fldChar w:fldCharType="begin"/>
            </w:r>
            <w:r>
              <w:rPr>
                <w:noProof/>
                <w:webHidden/>
              </w:rPr>
              <w:instrText xml:space="preserve"> PAGEREF _Toc210033866 \h </w:instrText>
            </w:r>
            <w:r>
              <w:rPr>
                <w:noProof/>
                <w:webHidden/>
              </w:rPr>
            </w:r>
            <w:r>
              <w:rPr>
                <w:noProof/>
                <w:webHidden/>
              </w:rPr>
              <w:fldChar w:fldCharType="separate"/>
            </w:r>
            <w:r>
              <w:rPr>
                <w:noProof/>
                <w:webHidden/>
              </w:rPr>
              <w:t>121</w:t>
            </w:r>
            <w:r>
              <w:rPr>
                <w:noProof/>
                <w:webHidden/>
              </w:rPr>
              <w:fldChar w:fldCharType="end"/>
            </w:r>
          </w:hyperlink>
        </w:p>
        <w:p w14:paraId="6EA6F049" w14:textId="4FC68058"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7" w:history="1">
            <w:r w:rsidRPr="000C0121">
              <w:rPr>
                <w:rStyle w:val="Hiperpovezava"/>
                <w:rFonts w:asciiTheme="majorHAnsi" w:eastAsiaTheme="majorEastAsia" w:hAnsiTheme="majorHAnsi" w:cstheme="majorHAnsi"/>
                <w:noProof/>
              </w:rPr>
              <w:t>14.8.4</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Ekonomski tok investicije</w:t>
            </w:r>
            <w:r>
              <w:rPr>
                <w:noProof/>
                <w:webHidden/>
              </w:rPr>
              <w:tab/>
            </w:r>
            <w:r>
              <w:rPr>
                <w:noProof/>
                <w:webHidden/>
              </w:rPr>
              <w:fldChar w:fldCharType="begin"/>
            </w:r>
            <w:r>
              <w:rPr>
                <w:noProof/>
                <w:webHidden/>
              </w:rPr>
              <w:instrText xml:space="preserve"> PAGEREF _Toc210033867 \h </w:instrText>
            </w:r>
            <w:r>
              <w:rPr>
                <w:noProof/>
                <w:webHidden/>
              </w:rPr>
            </w:r>
            <w:r>
              <w:rPr>
                <w:noProof/>
                <w:webHidden/>
              </w:rPr>
              <w:fldChar w:fldCharType="separate"/>
            </w:r>
            <w:r>
              <w:rPr>
                <w:noProof/>
                <w:webHidden/>
              </w:rPr>
              <w:t>121</w:t>
            </w:r>
            <w:r>
              <w:rPr>
                <w:noProof/>
                <w:webHidden/>
              </w:rPr>
              <w:fldChar w:fldCharType="end"/>
            </w:r>
          </w:hyperlink>
        </w:p>
        <w:p w14:paraId="155D1E1A" w14:textId="00D8B5CC"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68" w:history="1">
            <w:r w:rsidRPr="000C0121">
              <w:rPr>
                <w:rStyle w:val="Hiperpovezava"/>
                <w:rFonts w:asciiTheme="majorHAnsi" w:eastAsiaTheme="majorEastAsia" w:hAnsiTheme="majorHAnsi" w:cstheme="majorHAnsi"/>
                <w:noProof/>
              </w:rPr>
              <w:t>14.9</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Ekonomski kazalniki</w:t>
            </w:r>
            <w:r>
              <w:rPr>
                <w:noProof/>
                <w:webHidden/>
              </w:rPr>
              <w:tab/>
            </w:r>
            <w:r>
              <w:rPr>
                <w:noProof/>
                <w:webHidden/>
              </w:rPr>
              <w:fldChar w:fldCharType="begin"/>
            </w:r>
            <w:r>
              <w:rPr>
                <w:noProof/>
                <w:webHidden/>
              </w:rPr>
              <w:instrText xml:space="preserve"> PAGEREF _Toc210033868 \h </w:instrText>
            </w:r>
            <w:r>
              <w:rPr>
                <w:noProof/>
                <w:webHidden/>
              </w:rPr>
            </w:r>
            <w:r>
              <w:rPr>
                <w:noProof/>
                <w:webHidden/>
              </w:rPr>
              <w:fldChar w:fldCharType="separate"/>
            </w:r>
            <w:r>
              <w:rPr>
                <w:noProof/>
                <w:webHidden/>
              </w:rPr>
              <w:t>123</w:t>
            </w:r>
            <w:r>
              <w:rPr>
                <w:noProof/>
                <w:webHidden/>
              </w:rPr>
              <w:fldChar w:fldCharType="end"/>
            </w:r>
          </w:hyperlink>
        </w:p>
        <w:p w14:paraId="30588F68" w14:textId="18875E2D"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69" w:history="1">
            <w:r w:rsidRPr="000C0121">
              <w:rPr>
                <w:rStyle w:val="Hiperpovezava"/>
                <w:rFonts w:asciiTheme="majorHAnsi" w:eastAsiaTheme="majorEastAsia" w:hAnsiTheme="majorHAnsi" w:cstheme="majorHAnsi"/>
                <w:noProof/>
              </w:rPr>
              <w:t>14.9.1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Ekonomska neto sedanja vrednost celotnega projekta</w:t>
            </w:r>
            <w:r>
              <w:rPr>
                <w:noProof/>
                <w:webHidden/>
              </w:rPr>
              <w:tab/>
            </w:r>
            <w:r>
              <w:rPr>
                <w:noProof/>
                <w:webHidden/>
              </w:rPr>
              <w:fldChar w:fldCharType="begin"/>
            </w:r>
            <w:r>
              <w:rPr>
                <w:noProof/>
                <w:webHidden/>
              </w:rPr>
              <w:instrText xml:space="preserve"> PAGEREF _Toc210033869 \h </w:instrText>
            </w:r>
            <w:r>
              <w:rPr>
                <w:noProof/>
                <w:webHidden/>
              </w:rPr>
            </w:r>
            <w:r>
              <w:rPr>
                <w:noProof/>
                <w:webHidden/>
              </w:rPr>
              <w:fldChar w:fldCharType="separate"/>
            </w:r>
            <w:r>
              <w:rPr>
                <w:noProof/>
                <w:webHidden/>
              </w:rPr>
              <w:t>123</w:t>
            </w:r>
            <w:r>
              <w:rPr>
                <w:noProof/>
                <w:webHidden/>
              </w:rPr>
              <w:fldChar w:fldCharType="end"/>
            </w:r>
          </w:hyperlink>
        </w:p>
        <w:p w14:paraId="508258F4" w14:textId="2C3F1265"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70" w:history="1">
            <w:r w:rsidRPr="000C0121">
              <w:rPr>
                <w:rStyle w:val="Hiperpovezava"/>
                <w:rFonts w:asciiTheme="majorHAnsi" w:eastAsiaTheme="majorEastAsia" w:hAnsiTheme="majorHAnsi" w:cstheme="majorHAnsi"/>
                <w:noProof/>
              </w:rPr>
              <w:t>14.9.2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Ekonomska stopnja donosnosti celotnega projekta</w:t>
            </w:r>
            <w:r>
              <w:rPr>
                <w:noProof/>
                <w:webHidden/>
              </w:rPr>
              <w:tab/>
            </w:r>
            <w:r>
              <w:rPr>
                <w:noProof/>
                <w:webHidden/>
              </w:rPr>
              <w:fldChar w:fldCharType="begin"/>
            </w:r>
            <w:r>
              <w:rPr>
                <w:noProof/>
                <w:webHidden/>
              </w:rPr>
              <w:instrText xml:space="preserve"> PAGEREF _Toc210033870 \h </w:instrText>
            </w:r>
            <w:r>
              <w:rPr>
                <w:noProof/>
                <w:webHidden/>
              </w:rPr>
            </w:r>
            <w:r>
              <w:rPr>
                <w:noProof/>
                <w:webHidden/>
              </w:rPr>
              <w:fldChar w:fldCharType="separate"/>
            </w:r>
            <w:r>
              <w:rPr>
                <w:noProof/>
                <w:webHidden/>
              </w:rPr>
              <w:t>123</w:t>
            </w:r>
            <w:r>
              <w:rPr>
                <w:noProof/>
                <w:webHidden/>
              </w:rPr>
              <w:fldChar w:fldCharType="end"/>
            </w:r>
          </w:hyperlink>
        </w:p>
        <w:p w14:paraId="339B701E" w14:textId="549332E5"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71" w:history="1">
            <w:r w:rsidRPr="000C0121">
              <w:rPr>
                <w:rStyle w:val="Hiperpovezava"/>
                <w:rFonts w:asciiTheme="majorHAnsi" w:eastAsiaTheme="majorEastAsia" w:hAnsiTheme="majorHAnsi" w:cstheme="majorHAnsi"/>
                <w:noProof/>
              </w:rPr>
              <w:t>14.9.3</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Količnik oz. razmerje med skupnimi koristmi in skupnimi stroški celotnega projekta</w:t>
            </w:r>
            <w:r>
              <w:rPr>
                <w:noProof/>
                <w:webHidden/>
              </w:rPr>
              <w:tab/>
            </w:r>
            <w:r>
              <w:rPr>
                <w:noProof/>
                <w:webHidden/>
              </w:rPr>
              <w:fldChar w:fldCharType="begin"/>
            </w:r>
            <w:r>
              <w:rPr>
                <w:noProof/>
                <w:webHidden/>
              </w:rPr>
              <w:instrText xml:space="preserve"> PAGEREF _Toc210033871 \h </w:instrText>
            </w:r>
            <w:r>
              <w:rPr>
                <w:noProof/>
                <w:webHidden/>
              </w:rPr>
            </w:r>
            <w:r>
              <w:rPr>
                <w:noProof/>
                <w:webHidden/>
              </w:rPr>
              <w:fldChar w:fldCharType="separate"/>
            </w:r>
            <w:r>
              <w:rPr>
                <w:noProof/>
                <w:webHidden/>
              </w:rPr>
              <w:t>124</w:t>
            </w:r>
            <w:r>
              <w:rPr>
                <w:noProof/>
                <w:webHidden/>
              </w:rPr>
              <w:fldChar w:fldCharType="end"/>
            </w:r>
          </w:hyperlink>
        </w:p>
        <w:p w14:paraId="6D2902D1" w14:textId="60632F32"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72" w:history="1">
            <w:r w:rsidRPr="000C0121">
              <w:rPr>
                <w:rStyle w:val="Hiperpovezava"/>
                <w:rFonts w:asciiTheme="majorHAnsi" w:eastAsiaTheme="majorEastAsia" w:hAnsiTheme="majorHAnsi" w:cstheme="majorHAnsi"/>
                <w:noProof/>
              </w:rPr>
              <w:t>14.10</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Povzetek ekonomske analize</w:t>
            </w:r>
            <w:r>
              <w:rPr>
                <w:noProof/>
                <w:webHidden/>
              </w:rPr>
              <w:tab/>
            </w:r>
            <w:r>
              <w:rPr>
                <w:noProof/>
                <w:webHidden/>
              </w:rPr>
              <w:fldChar w:fldCharType="begin"/>
            </w:r>
            <w:r>
              <w:rPr>
                <w:noProof/>
                <w:webHidden/>
              </w:rPr>
              <w:instrText xml:space="preserve"> PAGEREF _Toc210033872 \h </w:instrText>
            </w:r>
            <w:r>
              <w:rPr>
                <w:noProof/>
                <w:webHidden/>
              </w:rPr>
            </w:r>
            <w:r>
              <w:rPr>
                <w:noProof/>
                <w:webHidden/>
              </w:rPr>
              <w:fldChar w:fldCharType="separate"/>
            </w:r>
            <w:r>
              <w:rPr>
                <w:noProof/>
                <w:webHidden/>
              </w:rPr>
              <w:t>124</w:t>
            </w:r>
            <w:r>
              <w:rPr>
                <w:noProof/>
                <w:webHidden/>
              </w:rPr>
              <w:fldChar w:fldCharType="end"/>
            </w:r>
          </w:hyperlink>
        </w:p>
        <w:p w14:paraId="595DF68C" w14:textId="6F58D3EE" w:rsidR="002C0380" w:rsidRDefault="002C0380">
          <w:pPr>
            <w:pStyle w:val="Kazalovsebine2"/>
            <w:tabs>
              <w:tab w:val="left" w:pos="1000"/>
              <w:tab w:val="right" w:leader="dot" w:pos="9062"/>
            </w:tabs>
            <w:rPr>
              <w:smallCaps w:val="0"/>
              <w:noProof/>
              <w:kern w:val="2"/>
              <w:sz w:val="24"/>
              <w:szCs w:val="24"/>
              <w:lang w:eastAsia="sl-SI"/>
              <w14:ligatures w14:val="standardContextual"/>
            </w:rPr>
          </w:pPr>
          <w:hyperlink w:anchor="_Toc210033873" w:history="1">
            <w:r w:rsidRPr="000C0121">
              <w:rPr>
                <w:rStyle w:val="Hiperpovezava"/>
                <w:rFonts w:asciiTheme="majorHAnsi" w:eastAsiaTheme="majorEastAsia" w:hAnsiTheme="majorHAnsi" w:cstheme="majorHAnsi"/>
                <w:noProof/>
              </w:rPr>
              <w:t>14.11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Koristi, ki jih ni mogoče ovrednotiti</w:t>
            </w:r>
            <w:r>
              <w:rPr>
                <w:noProof/>
                <w:webHidden/>
              </w:rPr>
              <w:tab/>
            </w:r>
            <w:r>
              <w:rPr>
                <w:noProof/>
                <w:webHidden/>
              </w:rPr>
              <w:fldChar w:fldCharType="begin"/>
            </w:r>
            <w:r>
              <w:rPr>
                <w:noProof/>
                <w:webHidden/>
              </w:rPr>
              <w:instrText xml:space="preserve"> PAGEREF _Toc210033873 \h </w:instrText>
            </w:r>
            <w:r>
              <w:rPr>
                <w:noProof/>
                <w:webHidden/>
              </w:rPr>
            </w:r>
            <w:r>
              <w:rPr>
                <w:noProof/>
                <w:webHidden/>
              </w:rPr>
              <w:fldChar w:fldCharType="separate"/>
            </w:r>
            <w:r>
              <w:rPr>
                <w:noProof/>
                <w:webHidden/>
              </w:rPr>
              <w:t>125</w:t>
            </w:r>
            <w:r>
              <w:rPr>
                <w:noProof/>
                <w:webHidden/>
              </w:rPr>
              <w:fldChar w:fldCharType="end"/>
            </w:r>
          </w:hyperlink>
        </w:p>
        <w:p w14:paraId="04C844FC" w14:textId="1F309F90"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74" w:history="1">
            <w:r w:rsidRPr="000C0121">
              <w:rPr>
                <w:rStyle w:val="Hiperpovezava"/>
                <w:rFonts w:cstheme="majorHAnsi"/>
                <w:noProof/>
              </w:rPr>
              <w:t>15</w:t>
            </w:r>
            <w:r>
              <w:rPr>
                <w:b w:val="0"/>
                <w:bCs w:val="0"/>
                <w:caps w:val="0"/>
                <w:noProof/>
                <w:kern w:val="2"/>
                <w:sz w:val="24"/>
                <w:szCs w:val="24"/>
                <w:lang w:eastAsia="sl-SI"/>
                <w14:ligatures w14:val="standardContextual"/>
              </w:rPr>
              <w:tab/>
            </w:r>
            <w:r w:rsidRPr="000C0121">
              <w:rPr>
                <w:rStyle w:val="Hiperpovezava"/>
                <w:rFonts w:cstheme="majorHAnsi"/>
                <w:noProof/>
              </w:rPr>
              <w:t>ANALIZA TVEGANJ IN ANALIZA OBČUTLJIVOSTI</w:t>
            </w:r>
            <w:r>
              <w:rPr>
                <w:noProof/>
                <w:webHidden/>
              </w:rPr>
              <w:tab/>
            </w:r>
            <w:r>
              <w:rPr>
                <w:noProof/>
                <w:webHidden/>
              </w:rPr>
              <w:fldChar w:fldCharType="begin"/>
            </w:r>
            <w:r>
              <w:rPr>
                <w:noProof/>
                <w:webHidden/>
              </w:rPr>
              <w:instrText xml:space="preserve"> PAGEREF _Toc210033874 \h </w:instrText>
            </w:r>
            <w:r>
              <w:rPr>
                <w:noProof/>
                <w:webHidden/>
              </w:rPr>
            </w:r>
            <w:r>
              <w:rPr>
                <w:noProof/>
                <w:webHidden/>
              </w:rPr>
              <w:fldChar w:fldCharType="separate"/>
            </w:r>
            <w:r>
              <w:rPr>
                <w:noProof/>
                <w:webHidden/>
              </w:rPr>
              <w:t>127</w:t>
            </w:r>
            <w:r>
              <w:rPr>
                <w:noProof/>
                <w:webHidden/>
              </w:rPr>
              <w:fldChar w:fldCharType="end"/>
            </w:r>
          </w:hyperlink>
        </w:p>
        <w:p w14:paraId="120B2F26" w14:textId="143C7094"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75" w:history="1">
            <w:r w:rsidRPr="000C0121">
              <w:rPr>
                <w:rStyle w:val="Hiperpovezava"/>
                <w:rFonts w:asciiTheme="majorHAnsi" w:eastAsiaTheme="majorEastAsia" w:hAnsiTheme="majorHAnsi" w:cstheme="majorHAnsi"/>
                <w:noProof/>
              </w:rPr>
              <w:t>15.1</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Analiza tveganj</w:t>
            </w:r>
            <w:r>
              <w:rPr>
                <w:noProof/>
                <w:webHidden/>
              </w:rPr>
              <w:tab/>
            </w:r>
            <w:r>
              <w:rPr>
                <w:noProof/>
                <w:webHidden/>
              </w:rPr>
              <w:fldChar w:fldCharType="begin"/>
            </w:r>
            <w:r>
              <w:rPr>
                <w:noProof/>
                <w:webHidden/>
              </w:rPr>
              <w:instrText xml:space="preserve"> PAGEREF _Toc210033875 \h </w:instrText>
            </w:r>
            <w:r>
              <w:rPr>
                <w:noProof/>
                <w:webHidden/>
              </w:rPr>
            </w:r>
            <w:r>
              <w:rPr>
                <w:noProof/>
                <w:webHidden/>
              </w:rPr>
              <w:fldChar w:fldCharType="separate"/>
            </w:r>
            <w:r>
              <w:rPr>
                <w:noProof/>
                <w:webHidden/>
              </w:rPr>
              <w:t>127</w:t>
            </w:r>
            <w:r>
              <w:rPr>
                <w:noProof/>
                <w:webHidden/>
              </w:rPr>
              <w:fldChar w:fldCharType="end"/>
            </w:r>
          </w:hyperlink>
        </w:p>
        <w:p w14:paraId="521C6FBD" w14:textId="38655103" w:rsidR="002C0380" w:rsidRDefault="002C0380">
          <w:pPr>
            <w:pStyle w:val="Kazalovsebine2"/>
            <w:tabs>
              <w:tab w:val="left" w:pos="800"/>
              <w:tab w:val="right" w:leader="dot" w:pos="9062"/>
            </w:tabs>
            <w:rPr>
              <w:smallCaps w:val="0"/>
              <w:noProof/>
              <w:kern w:val="2"/>
              <w:sz w:val="24"/>
              <w:szCs w:val="24"/>
              <w:lang w:eastAsia="sl-SI"/>
              <w14:ligatures w14:val="standardContextual"/>
            </w:rPr>
          </w:pPr>
          <w:hyperlink w:anchor="_Toc210033876" w:history="1">
            <w:r w:rsidRPr="000C0121">
              <w:rPr>
                <w:rStyle w:val="Hiperpovezava"/>
                <w:rFonts w:asciiTheme="majorHAnsi" w:eastAsiaTheme="majorEastAsia" w:hAnsiTheme="majorHAnsi" w:cstheme="majorHAnsi"/>
                <w:noProof/>
              </w:rPr>
              <w:t>15.2</w:t>
            </w:r>
            <w:r>
              <w:rPr>
                <w:smallCaps w:val="0"/>
                <w:noProof/>
                <w:kern w:val="2"/>
                <w:sz w:val="24"/>
                <w:szCs w:val="24"/>
                <w:lang w:eastAsia="sl-SI"/>
                <w14:ligatures w14:val="standardContextual"/>
              </w:rPr>
              <w:tab/>
            </w:r>
            <w:r w:rsidRPr="000C0121">
              <w:rPr>
                <w:rStyle w:val="Hiperpovezava"/>
                <w:rFonts w:asciiTheme="majorHAnsi" w:eastAsiaTheme="majorEastAsia" w:hAnsiTheme="majorHAnsi" w:cstheme="majorHAnsi"/>
                <w:noProof/>
              </w:rPr>
              <w:t>Analiza občutljivosti</w:t>
            </w:r>
            <w:r>
              <w:rPr>
                <w:noProof/>
                <w:webHidden/>
              </w:rPr>
              <w:tab/>
            </w:r>
            <w:r>
              <w:rPr>
                <w:noProof/>
                <w:webHidden/>
              </w:rPr>
              <w:fldChar w:fldCharType="begin"/>
            </w:r>
            <w:r>
              <w:rPr>
                <w:noProof/>
                <w:webHidden/>
              </w:rPr>
              <w:instrText xml:space="preserve"> PAGEREF _Toc210033876 \h </w:instrText>
            </w:r>
            <w:r>
              <w:rPr>
                <w:noProof/>
                <w:webHidden/>
              </w:rPr>
            </w:r>
            <w:r>
              <w:rPr>
                <w:noProof/>
                <w:webHidden/>
              </w:rPr>
              <w:fldChar w:fldCharType="separate"/>
            </w:r>
            <w:r>
              <w:rPr>
                <w:noProof/>
                <w:webHidden/>
              </w:rPr>
              <w:t>131</w:t>
            </w:r>
            <w:r>
              <w:rPr>
                <w:noProof/>
                <w:webHidden/>
              </w:rPr>
              <w:fldChar w:fldCharType="end"/>
            </w:r>
          </w:hyperlink>
        </w:p>
        <w:p w14:paraId="27F78293" w14:textId="6B16F799" w:rsidR="002C0380" w:rsidRDefault="002C0380">
          <w:pPr>
            <w:pStyle w:val="Kazalovsebine1"/>
            <w:tabs>
              <w:tab w:val="left" w:pos="600"/>
              <w:tab w:val="right" w:leader="dot" w:pos="9062"/>
            </w:tabs>
            <w:rPr>
              <w:b w:val="0"/>
              <w:bCs w:val="0"/>
              <w:caps w:val="0"/>
              <w:noProof/>
              <w:kern w:val="2"/>
              <w:sz w:val="24"/>
              <w:szCs w:val="24"/>
              <w:lang w:eastAsia="sl-SI"/>
              <w14:ligatures w14:val="standardContextual"/>
            </w:rPr>
          </w:pPr>
          <w:hyperlink w:anchor="_Toc210033877" w:history="1">
            <w:r w:rsidRPr="000C0121">
              <w:rPr>
                <w:rStyle w:val="Hiperpovezava"/>
                <w:rFonts w:cstheme="majorHAnsi"/>
                <w:noProof/>
              </w:rPr>
              <w:t>16</w:t>
            </w:r>
            <w:r>
              <w:rPr>
                <w:b w:val="0"/>
                <w:bCs w:val="0"/>
                <w:caps w:val="0"/>
                <w:noProof/>
                <w:kern w:val="2"/>
                <w:sz w:val="24"/>
                <w:szCs w:val="24"/>
                <w:lang w:eastAsia="sl-SI"/>
                <w14:ligatures w14:val="standardContextual"/>
              </w:rPr>
              <w:tab/>
            </w:r>
            <w:r w:rsidRPr="000C0121">
              <w:rPr>
                <w:rStyle w:val="Hiperpovezava"/>
                <w:rFonts w:cstheme="majorHAnsi"/>
                <w:noProof/>
              </w:rPr>
              <w:t>PREDSTAVITEV IN RAZLAGA REZULTATOV</w:t>
            </w:r>
            <w:r>
              <w:rPr>
                <w:noProof/>
                <w:webHidden/>
              </w:rPr>
              <w:tab/>
            </w:r>
            <w:r>
              <w:rPr>
                <w:noProof/>
                <w:webHidden/>
              </w:rPr>
              <w:fldChar w:fldCharType="begin"/>
            </w:r>
            <w:r>
              <w:rPr>
                <w:noProof/>
                <w:webHidden/>
              </w:rPr>
              <w:instrText xml:space="preserve"> PAGEREF _Toc210033877 \h </w:instrText>
            </w:r>
            <w:r>
              <w:rPr>
                <w:noProof/>
                <w:webHidden/>
              </w:rPr>
            </w:r>
            <w:r>
              <w:rPr>
                <w:noProof/>
                <w:webHidden/>
              </w:rPr>
              <w:fldChar w:fldCharType="separate"/>
            </w:r>
            <w:r>
              <w:rPr>
                <w:noProof/>
                <w:webHidden/>
              </w:rPr>
              <w:t>132</w:t>
            </w:r>
            <w:r>
              <w:rPr>
                <w:noProof/>
                <w:webHidden/>
              </w:rPr>
              <w:fldChar w:fldCharType="end"/>
            </w:r>
          </w:hyperlink>
        </w:p>
        <w:p w14:paraId="69C0026F" w14:textId="5D58FDDE" w:rsidR="003836D1" w:rsidRPr="00F11127" w:rsidRDefault="00050C93" w:rsidP="00BD1D20">
          <w:pPr>
            <w:spacing w:line="276" w:lineRule="auto"/>
            <w:rPr>
              <w:rFonts w:asciiTheme="majorHAnsi" w:hAnsiTheme="majorHAnsi" w:cstheme="majorHAnsi"/>
            </w:rPr>
          </w:pPr>
          <w:r w:rsidRPr="00D2136F">
            <w:rPr>
              <w:rFonts w:asciiTheme="majorHAnsi" w:hAnsiTheme="majorHAnsi" w:cstheme="majorHAnsi"/>
              <w:sz w:val="20"/>
              <w:szCs w:val="20"/>
            </w:rPr>
            <w:fldChar w:fldCharType="end"/>
          </w:r>
        </w:p>
      </w:sdtContent>
    </w:sdt>
    <w:p w14:paraId="777033AF" w14:textId="77777777" w:rsidR="00F27F01" w:rsidRDefault="00F27F01" w:rsidP="00BD1D20">
      <w:pPr>
        <w:spacing w:line="276" w:lineRule="auto"/>
        <w:rPr>
          <w:rFonts w:asciiTheme="majorHAnsi" w:eastAsiaTheme="majorEastAsia" w:hAnsiTheme="majorHAnsi" w:cstheme="majorHAnsi"/>
          <w:b/>
          <w:bCs/>
          <w:color w:val="365F91" w:themeColor="accent1" w:themeShade="BF"/>
        </w:rPr>
      </w:pPr>
    </w:p>
    <w:p w14:paraId="062A412E" w14:textId="1756C92B" w:rsidR="003836D1" w:rsidRPr="00F11127" w:rsidRDefault="003836D1" w:rsidP="00BD1D20">
      <w:pPr>
        <w:spacing w:line="276" w:lineRule="auto"/>
        <w:rPr>
          <w:rFonts w:asciiTheme="majorHAnsi" w:eastAsiaTheme="majorEastAsia" w:hAnsiTheme="majorHAnsi" w:cstheme="majorHAnsi"/>
          <w:b/>
          <w:bCs/>
          <w:color w:val="365F91" w:themeColor="accent1" w:themeShade="BF"/>
        </w:rPr>
      </w:pPr>
      <w:r w:rsidRPr="00F11127">
        <w:rPr>
          <w:rFonts w:asciiTheme="majorHAnsi" w:eastAsiaTheme="majorEastAsia" w:hAnsiTheme="majorHAnsi" w:cstheme="majorHAnsi"/>
          <w:b/>
          <w:bCs/>
          <w:color w:val="365F91" w:themeColor="accent1" w:themeShade="BF"/>
        </w:rPr>
        <w:t xml:space="preserve">KAZALO </w:t>
      </w:r>
      <w:r w:rsidR="007440F3" w:rsidRPr="00F11127">
        <w:rPr>
          <w:rFonts w:asciiTheme="majorHAnsi" w:eastAsiaTheme="majorEastAsia" w:hAnsiTheme="majorHAnsi" w:cstheme="majorHAnsi"/>
          <w:b/>
          <w:bCs/>
          <w:color w:val="365F91" w:themeColor="accent1" w:themeShade="BF"/>
        </w:rPr>
        <w:t>TABEL</w:t>
      </w:r>
    </w:p>
    <w:p w14:paraId="737A7403" w14:textId="1174A387" w:rsidR="003B254A" w:rsidRPr="006B42C9" w:rsidRDefault="00050C93">
      <w:pPr>
        <w:pStyle w:val="Kazaloslik"/>
        <w:tabs>
          <w:tab w:val="right" w:leader="dot" w:pos="9062"/>
        </w:tabs>
        <w:rPr>
          <w:rFonts w:asciiTheme="majorHAnsi" w:hAnsiTheme="majorHAnsi" w:cstheme="majorHAnsi"/>
          <w:smallCaps w:val="0"/>
          <w:noProof/>
          <w:kern w:val="2"/>
          <w:lang w:eastAsia="sl-SI"/>
          <w14:ligatures w14:val="standardContextual"/>
        </w:rPr>
      </w:pPr>
      <w:r w:rsidRPr="006B42C9">
        <w:rPr>
          <w:rFonts w:asciiTheme="majorHAnsi" w:hAnsiTheme="majorHAnsi" w:cstheme="majorHAnsi"/>
          <w:highlight w:val="yellow"/>
        </w:rPr>
        <w:fldChar w:fldCharType="begin"/>
      </w:r>
      <w:r w:rsidR="003836D1" w:rsidRPr="006B42C9">
        <w:rPr>
          <w:rFonts w:asciiTheme="majorHAnsi" w:hAnsiTheme="majorHAnsi" w:cstheme="majorHAnsi"/>
          <w:highlight w:val="yellow"/>
        </w:rPr>
        <w:instrText xml:space="preserve"> TOC \h \z \c "Tabela" </w:instrText>
      </w:r>
      <w:r w:rsidRPr="006B42C9">
        <w:rPr>
          <w:rFonts w:asciiTheme="majorHAnsi" w:hAnsiTheme="majorHAnsi" w:cstheme="majorHAnsi"/>
          <w:highlight w:val="yellow"/>
        </w:rPr>
        <w:fldChar w:fldCharType="separate"/>
      </w:r>
      <w:hyperlink w:anchor="_Toc209528287" w:history="1">
        <w:r w:rsidR="003B254A" w:rsidRPr="006B42C9">
          <w:rPr>
            <w:rStyle w:val="Hiperpovezava"/>
            <w:rFonts w:asciiTheme="majorHAnsi" w:hAnsiTheme="majorHAnsi" w:cstheme="majorHAnsi"/>
            <w:noProof/>
            <w:lang w:eastAsia="en-US"/>
          </w:rPr>
          <w:t>Tabela 1: Ključni podatki o projektu</w:t>
        </w:r>
        <w:r w:rsidR="003B254A" w:rsidRPr="006B42C9">
          <w:rPr>
            <w:rFonts w:asciiTheme="majorHAnsi" w:hAnsiTheme="majorHAnsi" w:cstheme="majorHAnsi"/>
            <w:noProof/>
            <w:webHidden/>
          </w:rPr>
          <w:tab/>
        </w:r>
        <w:r w:rsidR="003B254A" w:rsidRPr="006B42C9">
          <w:rPr>
            <w:rFonts w:asciiTheme="majorHAnsi" w:hAnsiTheme="majorHAnsi" w:cstheme="majorHAnsi"/>
            <w:noProof/>
            <w:webHidden/>
          </w:rPr>
          <w:fldChar w:fldCharType="begin"/>
        </w:r>
        <w:r w:rsidR="003B254A" w:rsidRPr="006B42C9">
          <w:rPr>
            <w:rFonts w:asciiTheme="majorHAnsi" w:hAnsiTheme="majorHAnsi" w:cstheme="majorHAnsi"/>
            <w:noProof/>
            <w:webHidden/>
          </w:rPr>
          <w:instrText xml:space="preserve"> PAGEREF _Toc209528287 \h </w:instrText>
        </w:r>
        <w:r w:rsidR="003B254A" w:rsidRPr="006B42C9">
          <w:rPr>
            <w:rFonts w:asciiTheme="majorHAnsi" w:hAnsiTheme="majorHAnsi" w:cstheme="majorHAnsi"/>
            <w:noProof/>
            <w:webHidden/>
          </w:rPr>
        </w:r>
        <w:r w:rsidR="003B254A" w:rsidRPr="006B42C9">
          <w:rPr>
            <w:rFonts w:asciiTheme="majorHAnsi" w:hAnsiTheme="majorHAnsi" w:cstheme="majorHAnsi"/>
            <w:noProof/>
            <w:webHidden/>
          </w:rPr>
          <w:fldChar w:fldCharType="separate"/>
        </w:r>
        <w:r w:rsidR="00E74D26">
          <w:rPr>
            <w:rFonts w:asciiTheme="majorHAnsi" w:hAnsiTheme="majorHAnsi" w:cstheme="majorHAnsi"/>
            <w:noProof/>
            <w:webHidden/>
          </w:rPr>
          <w:t>12</w:t>
        </w:r>
        <w:r w:rsidR="003B254A" w:rsidRPr="006B42C9">
          <w:rPr>
            <w:rFonts w:asciiTheme="majorHAnsi" w:hAnsiTheme="majorHAnsi" w:cstheme="majorHAnsi"/>
            <w:noProof/>
            <w:webHidden/>
          </w:rPr>
          <w:fldChar w:fldCharType="end"/>
        </w:r>
      </w:hyperlink>
    </w:p>
    <w:p w14:paraId="3BC1963E" w14:textId="4ACB8928"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88" w:history="1">
        <w:r w:rsidRPr="006B42C9">
          <w:rPr>
            <w:rStyle w:val="Hiperpovezava"/>
            <w:rFonts w:asciiTheme="majorHAnsi" w:hAnsiTheme="majorHAnsi" w:cstheme="majorHAnsi"/>
            <w:noProof/>
            <w:lang w:eastAsia="en-US"/>
          </w:rPr>
          <w:t xml:space="preserve">Tabela 2: Kazalniki vezani na </w:t>
        </w:r>
        <w:r w:rsidRPr="006B42C9">
          <w:rPr>
            <w:rStyle w:val="Hiperpovezava"/>
            <w:rFonts w:asciiTheme="majorHAnsi" w:hAnsiTheme="majorHAnsi" w:cstheme="majorHAnsi"/>
            <w:noProof/>
          </w:rPr>
          <w:t>JR EKP UTM 2025</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_Toc209528288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18</w:t>
        </w:r>
        <w:r w:rsidRPr="006B42C9">
          <w:rPr>
            <w:rFonts w:asciiTheme="majorHAnsi" w:hAnsiTheme="majorHAnsi" w:cstheme="majorHAnsi"/>
            <w:noProof/>
            <w:webHidden/>
          </w:rPr>
          <w:fldChar w:fldCharType="end"/>
        </w:r>
      </w:hyperlink>
    </w:p>
    <w:p w14:paraId="0CADABCF" w14:textId="71675DA6"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89" w:history="1">
        <w:r w:rsidRPr="006B42C9">
          <w:rPr>
            <w:rStyle w:val="Hiperpovezava"/>
            <w:rFonts w:asciiTheme="majorHAnsi" w:eastAsia="Arial Unicode MS" w:hAnsiTheme="majorHAnsi" w:cstheme="majorHAnsi"/>
            <w:noProof/>
          </w:rPr>
          <w:t>Tabela 3: Določitev vrste investicije</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_Toc209528289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30</w:t>
        </w:r>
        <w:r w:rsidRPr="006B42C9">
          <w:rPr>
            <w:rFonts w:asciiTheme="majorHAnsi" w:hAnsiTheme="majorHAnsi" w:cstheme="majorHAnsi"/>
            <w:noProof/>
            <w:webHidden/>
          </w:rPr>
          <w:fldChar w:fldCharType="end"/>
        </w:r>
      </w:hyperlink>
    </w:p>
    <w:p w14:paraId="7DA4CB29" w14:textId="5044DC64"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0" w:history="1">
        <w:r w:rsidRPr="006B42C9">
          <w:rPr>
            <w:rStyle w:val="Hiperpovezava"/>
            <w:rFonts w:asciiTheme="majorHAnsi" w:hAnsiTheme="majorHAnsi" w:cstheme="majorHAnsi"/>
            <w:noProof/>
          </w:rPr>
          <w:t>Tabela 4: Prikaz stroškov projekta v stalnih cenah brez in z DDV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_Toc209528290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31</w:t>
        </w:r>
        <w:r w:rsidRPr="006B42C9">
          <w:rPr>
            <w:rFonts w:asciiTheme="majorHAnsi" w:hAnsiTheme="majorHAnsi" w:cstheme="majorHAnsi"/>
            <w:noProof/>
            <w:webHidden/>
          </w:rPr>
          <w:fldChar w:fldCharType="end"/>
        </w:r>
      </w:hyperlink>
    </w:p>
    <w:p w14:paraId="3612CF1E" w14:textId="18C3C286"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1" w:history="1">
        <w:r w:rsidRPr="006B42C9">
          <w:rPr>
            <w:rStyle w:val="Hiperpovezava"/>
            <w:rFonts w:asciiTheme="majorHAnsi" w:hAnsiTheme="majorHAnsi" w:cstheme="majorHAnsi"/>
            <w:noProof/>
          </w:rPr>
          <w:t>Tabela 5: Prikaz stroškov projekta v tekočih cenah brez in z DDV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_Toc209528291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32</w:t>
        </w:r>
        <w:r w:rsidRPr="006B42C9">
          <w:rPr>
            <w:rFonts w:asciiTheme="majorHAnsi" w:hAnsiTheme="majorHAnsi" w:cstheme="majorHAnsi"/>
            <w:noProof/>
            <w:webHidden/>
          </w:rPr>
          <w:fldChar w:fldCharType="end"/>
        </w:r>
      </w:hyperlink>
    </w:p>
    <w:p w14:paraId="0AA0890B" w14:textId="0DEE5849"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2" w:history="1">
        <w:r w:rsidRPr="006B42C9">
          <w:rPr>
            <w:rStyle w:val="Hiperpovezava"/>
            <w:rFonts w:asciiTheme="majorHAnsi" w:hAnsiTheme="majorHAnsi" w:cstheme="majorHAnsi"/>
            <w:noProof/>
          </w:rPr>
          <w:t>Tabela 6: Predvidena finančna konstrukcija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_Toc209528292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33</w:t>
        </w:r>
        <w:r w:rsidRPr="006B42C9">
          <w:rPr>
            <w:rFonts w:asciiTheme="majorHAnsi" w:hAnsiTheme="majorHAnsi" w:cstheme="majorHAnsi"/>
            <w:noProof/>
            <w:webHidden/>
          </w:rPr>
          <w:fldChar w:fldCharType="end"/>
        </w:r>
      </w:hyperlink>
    </w:p>
    <w:p w14:paraId="4BB627FD" w14:textId="0718B4A7"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3" w:history="1">
        <w:r w:rsidRPr="006B42C9">
          <w:rPr>
            <w:rStyle w:val="Hiperpovezava"/>
            <w:rFonts w:asciiTheme="majorHAnsi" w:hAnsiTheme="majorHAnsi" w:cstheme="majorHAnsi"/>
            <w:noProof/>
          </w:rPr>
          <w:t>Tabela 7: Zbirni prikaz rezultatov izračunov celotnega projekta</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_Toc209528293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34</w:t>
        </w:r>
        <w:r w:rsidRPr="006B42C9">
          <w:rPr>
            <w:rFonts w:asciiTheme="majorHAnsi" w:hAnsiTheme="majorHAnsi" w:cstheme="majorHAnsi"/>
            <w:noProof/>
            <w:webHidden/>
          </w:rPr>
          <w:fldChar w:fldCharType="end"/>
        </w:r>
      </w:hyperlink>
    </w:p>
    <w:p w14:paraId="2628E935" w14:textId="2DD175EC"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4" w:history="1">
        <w:r w:rsidRPr="006B42C9">
          <w:rPr>
            <w:rStyle w:val="Hiperpovezava"/>
            <w:rFonts w:asciiTheme="majorHAnsi" w:hAnsiTheme="majorHAnsi" w:cstheme="majorHAnsi"/>
            <w:noProof/>
          </w:rPr>
          <w:t>Tabela 8: Prikaz stroškov projekta v stalnih cenah brez in z DDV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_Toc209528294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68</w:t>
        </w:r>
        <w:r w:rsidRPr="006B42C9">
          <w:rPr>
            <w:rFonts w:asciiTheme="majorHAnsi" w:hAnsiTheme="majorHAnsi" w:cstheme="majorHAnsi"/>
            <w:noProof/>
            <w:webHidden/>
          </w:rPr>
          <w:fldChar w:fldCharType="end"/>
        </w:r>
      </w:hyperlink>
    </w:p>
    <w:p w14:paraId="0A8756FF" w14:textId="0BD4AF02"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5" w:history="1">
        <w:r w:rsidRPr="006B42C9">
          <w:rPr>
            <w:rStyle w:val="Hiperpovezava"/>
            <w:rFonts w:asciiTheme="majorHAnsi" w:hAnsiTheme="majorHAnsi" w:cstheme="majorHAnsi"/>
            <w:noProof/>
          </w:rPr>
          <w:t>Tabela 9: Prikaz stroškov projekta v tekočih cenah brez in z DDV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_Toc209528295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69</w:t>
        </w:r>
        <w:r w:rsidRPr="006B42C9">
          <w:rPr>
            <w:rFonts w:asciiTheme="majorHAnsi" w:hAnsiTheme="majorHAnsi" w:cstheme="majorHAnsi"/>
            <w:noProof/>
            <w:webHidden/>
          </w:rPr>
          <w:fldChar w:fldCharType="end"/>
        </w:r>
      </w:hyperlink>
    </w:p>
    <w:p w14:paraId="052125B8" w14:textId="3E8AB1B7"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6" w:history="1">
        <w:r w:rsidRPr="006B42C9">
          <w:rPr>
            <w:rStyle w:val="Hiperpovezava"/>
            <w:rFonts w:asciiTheme="majorHAnsi" w:hAnsiTheme="majorHAnsi" w:cstheme="majorHAnsi"/>
            <w:noProof/>
          </w:rPr>
          <w:t>Tabela 10: Ocena vrednosti investicije glede na upravičenost v stalnih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_Toc209528296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74</w:t>
        </w:r>
        <w:r w:rsidRPr="006B42C9">
          <w:rPr>
            <w:rFonts w:asciiTheme="majorHAnsi" w:hAnsiTheme="majorHAnsi" w:cstheme="majorHAnsi"/>
            <w:noProof/>
            <w:webHidden/>
          </w:rPr>
          <w:fldChar w:fldCharType="end"/>
        </w:r>
      </w:hyperlink>
    </w:p>
    <w:p w14:paraId="63B0B658" w14:textId="02A1F79A"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7" w:history="1">
        <w:r w:rsidRPr="006B42C9">
          <w:rPr>
            <w:rStyle w:val="Hiperpovezava"/>
            <w:rFonts w:asciiTheme="majorHAnsi" w:hAnsiTheme="majorHAnsi" w:cstheme="majorHAnsi"/>
            <w:noProof/>
          </w:rPr>
          <w:t>Tabela 11: Ocena vrednosti investicije glede na upravičenost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_Toc209528297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76</w:t>
        </w:r>
        <w:r w:rsidRPr="006B42C9">
          <w:rPr>
            <w:rFonts w:asciiTheme="majorHAnsi" w:hAnsiTheme="majorHAnsi" w:cstheme="majorHAnsi"/>
            <w:noProof/>
            <w:webHidden/>
          </w:rPr>
          <w:fldChar w:fldCharType="end"/>
        </w:r>
      </w:hyperlink>
    </w:p>
    <w:p w14:paraId="0D503825" w14:textId="33F87D3D"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8" w:history="1">
        <w:r w:rsidRPr="006B42C9">
          <w:rPr>
            <w:rStyle w:val="Hiperpovezava"/>
            <w:rFonts w:asciiTheme="majorHAnsi" w:hAnsiTheme="majorHAnsi" w:cstheme="majorHAnsi"/>
            <w:noProof/>
          </w:rPr>
          <w:t xml:space="preserve">Tabela 12: </w:t>
        </w:r>
        <w:r w:rsidRPr="006B42C9">
          <w:rPr>
            <w:rStyle w:val="Hiperpovezava"/>
            <w:rFonts w:asciiTheme="majorHAnsi" w:eastAsia="Arial" w:hAnsiTheme="majorHAnsi" w:cstheme="majorHAnsi"/>
            <w:noProof/>
          </w:rPr>
          <w:t>Okoljski vplivi</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_Toc209528298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85</w:t>
        </w:r>
        <w:r w:rsidRPr="006B42C9">
          <w:rPr>
            <w:rFonts w:asciiTheme="majorHAnsi" w:hAnsiTheme="majorHAnsi" w:cstheme="majorHAnsi"/>
            <w:noProof/>
            <w:webHidden/>
          </w:rPr>
          <w:fldChar w:fldCharType="end"/>
        </w:r>
      </w:hyperlink>
    </w:p>
    <w:p w14:paraId="5986A5AD" w14:textId="3860FC5C"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299" w:history="1">
        <w:r w:rsidRPr="006B42C9">
          <w:rPr>
            <w:rStyle w:val="Hiperpovezava"/>
            <w:rFonts w:asciiTheme="majorHAnsi" w:hAnsiTheme="majorHAnsi" w:cstheme="majorHAnsi"/>
            <w:noProof/>
            <w:lang w:eastAsia="en-US"/>
          </w:rPr>
          <w:t>Tabela 13: Terminski plan izvajanja projekta</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_Toc209528299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90</w:t>
        </w:r>
        <w:r w:rsidRPr="006B42C9">
          <w:rPr>
            <w:rFonts w:asciiTheme="majorHAnsi" w:hAnsiTheme="majorHAnsi" w:cstheme="majorHAnsi"/>
            <w:noProof/>
            <w:webHidden/>
          </w:rPr>
          <w:fldChar w:fldCharType="end"/>
        </w:r>
      </w:hyperlink>
    </w:p>
    <w:p w14:paraId="1D8ECD91" w14:textId="462B7CEC"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0" w:history="1">
        <w:r w:rsidRPr="006B42C9">
          <w:rPr>
            <w:rStyle w:val="Hiperpovezava"/>
            <w:rFonts w:asciiTheme="majorHAnsi" w:hAnsiTheme="majorHAnsi" w:cstheme="majorHAnsi"/>
            <w:noProof/>
          </w:rPr>
          <w:t>Tabela 14: Finančni terminski plan investicije v stalnih cenah</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_Toc209528300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92</w:t>
        </w:r>
        <w:r w:rsidRPr="006B42C9">
          <w:rPr>
            <w:rFonts w:asciiTheme="majorHAnsi" w:hAnsiTheme="majorHAnsi" w:cstheme="majorHAnsi"/>
            <w:noProof/>
            <w:webHidden/>
          </w:rPr>
          <w:fldChar w:fldCharType="end"/>
        </w:r>
      </w:hyperlink>
    </w:p>
    <w:p w14:paraId="0A7106DA" w14:textId="5B3927CC"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1" w:history="1">
        <w:r w:rsidRPr="006B42C9">
          <w:rPr>
            <w:rStyle w:val="Hiperpovezava"/>
            <w:rFonts w:asciiTheme="majorHAnsi" w:hAnsiTheme="majorHAnsi" w:cstheme="majorHAnsi"/>
            <w:noProof/>
          </w:rPr>
          <w:t>Tabela 15: Dinamika financiranja v stalnih cenah</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_Toc209528301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93</w:t>
        </w:r>
        <w:r w:rsidRPr="006B42C9">
          <w:rPr>
            <w:rFonts w:asciiTheme="majorHAnsi" w:hAnsiTheme="majorHAnsi" w:cstheme="majorHAnsi"/>
            <w:noProof/>
            <w:webHidden/>
          </w:rPr>
          <w:fldChar w:fldCharType="end"/>
        </w:r>
      </w:hyperlink>
    </w:p>
    <w:p w14:paraId="2D207E23" w14:textId="572A7272"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2" w:history="1">
        <w:r w:rsidRPr="006B42C9">
          <w:rPr>
            <w:rStyle w:val="Hiperpovezava"/>
            <w:rFonts w:asciiTheme="majorHAnsi" w:hAnsiTheme="majorHAnsi" w:cstheme="majorHAnsi"/>
            <w:noProof/>
          </w:rPr>
          <w:t>Tabela 16: Finančni terminski plan investicije v tekočih cenah</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_Toc209528302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93</w:t>
        </w:r>
        <w:r w:rsidRPr="006B42C9">
          <w:rPr>
            <w:rFonts w:asciiTheme="majorHAnsi" w:hAnsiTheme="majorHAnsi" w:cstheme="majorHAnsi"/>
            <w:noProof/>
            <w:webHidden/>
          </w:rPr>
          <w:fldChar w:fldCharType="end"/>
        </w:r>
      </w:hyperlink>
    </w:p>
    <w:p w14:paraId="5293CD3F" w14:textId="3F49321B"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3" w:history="1">
        <w:r w:rsidRPr="006B42C9">
          <w:rPr>
            <w:rStyle w:val="Hiperpovezava"/>
            <w:rFonts w:asciiTheme="majorHAnsi" w:hAnsiTheme="majorHAnsi" w:cstheme="majorHAnsi"/>
            <w:noProof/>
          </w:rPr>
          <w:t>Tabela 17: Dinamika financiranja v tekočih cenah</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_Toc209528303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94</w:t>
        </w:r>
        <w:r w:rsidRPr="006B42C9">
          <w:rPr>
            <w:rFonts w:asciiTheme="majorHAnsi" w:hAnsiTheme="majorHAnsi" w:cstheme="majorHAnsi"/>
            <w:noProof/>
            <w:webHidden/>
          </w:rPr>
          <w:fldChar w:fldCharType="end"/>
        </w:r>
      </w:hyperlink>
    </w:p>
    <w:p w14:paraId="0B35BD23" w14:textId="7C6F508A"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4" w:history="1">
        <w:r w:rsidRPr="006B42C9">
          <w:rPr>
            <w:rStyle w:val="Hiperpovezava"/>
            <w:rFonts w:asciiTheme="majorHAnsi" w:hAnsiTheme="majorHAnsi" w:cstheme="majorHAnsi"/>
            <w:noProof/>
          </w:rPr>
          <w:t>Tabela 18: Finančni terminski plan investicije v stalnih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_Toc209528304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98</w:t>
        </w:r>
        <w:r w:rsidRPr="006B42C9">
          <w:rPr>
            <w:rFonts w:asciiTheme="majorHAnsi" w:hAnsiTheme="majorHAnsi" w:cstheme="majorHAnsi"/>
            <w:noProof/>
            <w:webHidden/>
          </w:rPr>
          <w:fldChar w:fldCharType="end"/>
        </w:r>
      </w:hyperlink>
    </w:p>
    <w:p w14:paraId="27A593A0" w14:textId="07B6B9F5"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5" w:history="1">
        <w:r w:rsidRPr="006B42C9">
          <w:rPr>
            <w:rStyle w:val="Hiperpovezava"/>
            <w:rFonts w:asciiTheme="majorHAnsi" w:hAnsiTheme="majorHAnsi" w:cstheme="majorHAnsi"/>
            <w:noProof/>
          </w:rPr>
          <w:t>Tabela 19: Finančni terminski plan upravičenih stroškov v stalnih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_Toc209528305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99</w:t>
        </w:r>
        <w:r w:rsidRPr="006B42C9">
          <w:rPr>
            <w:rFonts w:asciiTheme="majorHAnsi" w:hAnsiTheme="majorHAnsi" w:cstheme="majorHAnsi"/>
            <w:noProof/>
            <w:webHidden/>
          </w:rPr>
          <w:fldChar w:fldCharType="end"/>
        </w:r>
      </w:hyperlink>
    </w:p>
    <w:p w14:paraId="161D258A" w14:textId="4FA40ECB"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6" w:history="1">
        <w:r w:rsidRPr="006B42C9">
          <w:rPr>
            <w:rStyle w:val="Hiperpovezava"/>
            <w:rFonts w:asciiTheme="majorHAnsi" w:hAnsiTheme="majorHAnsi" w:cstheme="majorHAnsi"/>
            <w:noProof/>
          </w:rPr>
          <w:t>Tabela 20: Finančni terminski plan neupravičenih stroškov v stalnih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_Toc209528306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101</w:t>
        </w:r>
        <w:r w:rsidRPr="006B42C9">
          <w:rPr>
            <w:rFonts w:asciiTheme="majorHAnsi" w:hAnsiTheme="majorHAnsi" w:cstheme="majorHAnsi"/>
            <w:noProof/>
            <w:webHidden/>
          </w:rPr>
          <w:fldChar w:fldCharType="end"/>
        </w:r>
      </w:hyperlink>
    </w:p>
    <w:p w14:paraId="7735CC63" w14:textId="7DB7413D"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7" w:history="1">
        <w:r w:rsidRPr="006B42C9">
          <w:rPr>
            <w:rStyle w:val="Hiperpovezava"/>
            <w:rFonts w:asciiTheme="majorHAnsi" w:hAnsiTheme="majorHAnsi" w:cstheme="majorHAnsi"/>
            <w:noProof/>
          </w:rPr>
          <w:t>Tabela 21: Viri financiranja v stalnih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_Toc209528307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102</w:t>
        </w:r>
        <w:r w:rsidRPr="006B42C9">
          <w:rPr>
            <w:rFonts w:asciiTheme="majorHAnsi" w:hAnsiTheme="majorHAnsi" w:cstheme="majorHAnsi"/>
            <w:noProof/>
            <w:webHidden/>
          </w:rPr>
          <w:fldChar w:fldCharType="end"/>
        </w:r>
      </w:hyperlink>
    </w:p>
    <w:p w14:paraId="65EEE713" w14:textId="3A937C26"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8" w:history="1">
        <w:r w:rsidRPr="006B42C9">
          <w:rPr>
            <w:rStyle w:val="Hiperpovezava"/>
            <w:rFonts w:asciiTheme="majorHAnsi" w:hAnsiTheme="majorHAnsi" w:cstheme="majorHAnsi"/>
            <w:noProof/>
          </w:rPr>
          <w:t>Tabela 22: Finančni terminski plan investicije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_Toc209528308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102</w:t>
        </w:r>
        <w:r w:rsidRPr="006B42C9">
          <w:rPr>
            <w:rFonts w:asciiTheme="majorHAnsi" w:hAnsiTheme="majorHAnsi" w:cstheme="majorHAnsi"/>
            <w:noProof/>
            <w:webHidden/>
          </w:rPr>
          <w:fldChar w:fldCharType="end"/>
        </w:r>
      </w:hyperlink>
    </w:p>
    <w:p w14:paraId="1923C083" w14:textId="17A851ED"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09" w:history="1">
        <w:r w:rsidRPr="006B42C9">
          <w:rPr>
            <w:rStyle w:val="Hiperpovezava"/>
            <w:rFonts w:asciiTheme="majorHAnsi" w:hAnsiTheme="majorHAnsi" w:cstheme="majorHAnsi"/>
            <w:noProof/>
          </w:rPr>
          <w:t>Tabela 23: Finančni terminski plan upravičenih stroškov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_Toc209528309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104</w:t>
        </w:r>
        <w:r w:rsidRPr="006B42C9">
          <w:rPr>
            <w:rFonts w:asciiTheme="majorHAnsi" w:hAnsiTheme="majorHAnsi" w:cstheme="majorHAnsi"/>
            <w:noProof/>
            <w:webHidden/>
          </w:rPr>
          <w:fldChar w:fldCharType="end"/>
        </w:r>
      </w:hyperlink>
    </w:p>
    <w:p w14:paraId="0B9D17B1" w14:textId="68A03A43"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0" w:history="1">
        <w:r w:rsidRPr="006B42C9">
          <w:rPr>
            <w:rStyle w:val="Hiperpovezava"/>
            <w:rFonts w:asciiTheme="majorHAnsi" w:hAnsiTheme="majorHAnsi" w:cstheme="majorHAnsi"/>
            <w:noProof/>
          </w:rPr>
          <w:t>Tabela 24: Finančni terminski plan neupravičenih stroškov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_Toc209528310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105</w:t>
        </w:r>
        <w:r w:rsidRPr="006B42C9">
          <w:rPr>
            <w:rFonts w:asciiTheme="majorHAnsi" w:hAnsiTheme="majorHAnsi" w:cstheme="majorHAnsi"/>
            <w:noProof/>
            <w:webHidden/>
          </w:rPr>
          <w:fldChar w:fldCharType="end"/>
        </w:r>
      </w:hyperlink>
    </w:p>
    <w:p w14:paraId="24A29A53" w14:textId="144B55CB"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1" w:history="1">
        <w:r w:rsidRPr="006B42C9">
          <w:rPr>
            <w:rStyle w:val="Hiperpovezava"/>
            <w:rFonts w:asciiTheme="majorHAnsi" w:hAnsiTheme="majorHAnsi" w:cstheme="majorHAnsi"/>
            <w:noProof/>
          </w:rPr>
          <w:t>Tabela 25: Viri financiranja v tekočih cenah v EUR</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_Toc209528311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106</w:t>
        </w:r>
        <w:r w:rsidRPr="006B42C9">
          <w:rPr>
            <w:rFonts w:asciiTheme="majorHAnsi" w:hAnsiTheme="majorHAnsi" w:cstheme="majorHAnsi"/>
            <w:noProof/>
            <w:webHidden/>
          </w:rPr>
          <w:fldChar w:fldCharType="end"/>
        </w:r>
      </w:hyperlink>
    </w:p>
    <w:p w14:paraId="0D071E66" w14:textId="583A9CA3"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2" w:history="1">
        <w:r w:rsidRPr="006B42C9">
          <w:rPr>
            <w:rStyle w:val="Hiperpovezava"/>
            <w:rFonts w:asciiTheme="majorHAnsi" w:hAnsiTheme="majorHAnsi" w:cstheme="majorHAnsi"/>
            <w:noProof/>
          </w:rPr>
          <w:t>Tabela 26:Prikaz amortizacijske vrednosti</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_Toc209528312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109</w:t>
        </w:r>
        <w:r w:rsidRPr="006B42C9">
          <w:rPr>
            <w:rFonts w:asciiTheme="majorHAnsi" w:hAnsiTheme="majorHAnsi" w:cstheme="majorHAnsi"/>
            <w:noProof/>
            <w:webHidden/>
          </w:rPr>
          <w:fldChar w:fldCharType="end"/>
        </w:r>
      </w:hyperlink>
    </w:p>
    <w:p w14:paraId="6525E407" w14:textId="707F244E"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3" w:history="1">
        <w:r w:rsidRPr="006B42C9">
          <w:rPr>
            <w:rStyle w:val="Hiperpovezava"/>
            <w:rFonts w:asciiTheme="majorHAnsi" w:eastAsiaTheme="minorHAnsi" w:hAnsiTheme="majorHAnsi" w:cstheme="majorHAnsi"/>
            <w:noProof/>
          </w:rPr>
          <w:t>Tabela 27:</w:t>
        </w:r>
        <w:r w:rsidRPr="006B42C9">
          <w:rPr>
            <w:rStyle w:val="Hiperpovezava"/>
            <w:rFonts w:asciiTheme="majorHAnsi" w:hAnsiTheme="majorHAnsi" w:cstheme="majorHAnsi"/>
            <w:noProof/>
          </w:rPr>
          <w:t xml:space="preserve"> </w:t>
        </w:r>
        <w:r w:rsidRPr="006B42C9">
          <w:rPr>
            <w:rStyle w:val="Hiperpovezava"/>
            <w:rFonts w:asciiTheme="majorHAnsi" w:eastAsia="ArialNarrow" w:hAnsiTheme="majorHAnsi" w:cstheme="majorHAnsi"/>
            <w:noProof/>
          </w:rPr>
          <w:t>Kazalci finančne upravičenosti</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_Toc209528313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118</w:t>
        </w:r>
        <w:r w:rsidRPr="006B42C9">
          <w:rPr>
            <w:rFonts w:asciiTheme="majorHAnsi" w:hAnsiTheme="majorHAnsi" w:cstheme="majorHAnsi"/>
            <w:noProof/>
            <w:webHidden/>
          </w:rPr>
          <w:fldChar w:fldCharType="end"/>
        </w:r>
      </w:hyperlink>
    </w:p>
    <w:p w14:paraId="79A9CA7D" w14:textId="2992800A"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4" w:history="1">
        <w:r w:rsidRPr="006B42C9">
          <w:rPr>
            <w:rStyle w:val="Hiperpovezava"/>
            <w:rFonts w:asciiTheme="majorHAnsi" w:eastAsiaTheme="minorHAnsi" w:hAnsiTheme="majorHAnsi" w:cstheme="majorHAnsi"/>
            <w:noProof/>
          </w:rPr>
          <w:t>Tabela 28:</w:t>
        </w:r>
        <w:r w:rsidRPr="006B42C9">
          <w:rPr>
            <w:rStyle w:val="Hiperpovezava"/>
            <w:rFonts w:asciiTheme="majorHAnsi" w:hAnsiTheme="majorHAnsi" w:cstheme="majorHAnsi"/>
            <w:noProof/>
          </w:rPr>
          <w:t xml:space="preserve"> </w:t>
        </w:r>
        <w:r w:rsidRPr="006B42C9">
          <w:rPr>
            <w:rStyle w:val="Hiperpovezava"/>
            <w:rFonts w:asciiTheme="majorHAnsi" w:eastAsia="ArialNarrow" w:hAnsiTheme="majorHAnsi" w:cstheme="majorHAnsi"/>
            <w:noProof/>
          </w:rPr>
          <w:t>Glavni kazalniki finančne analize</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_Toc209528314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119</w:t>
        </w:r>
        <w:r w:rsidRPr="006B42C9">
          <w:rPr>
            <w:rFonts w:asciiTheme="majorHAnsi" w:hAnsiTheme="majorHAnsi" w:cstheme="majorHAnsi"/>
            <w:noProof/>
            <w:webHidden/>
          </w:rPr>
          <w:fldChar w:fldCharType="end"/>
        </w:r>
      </w:hyperlink>
    </w:p>
    <w:p w14:paraId="01CA1779" w14:textId="58DBD920"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5" w:history="1">
        <w:r w:rsidRPr="006B42C9">
          <w:rPr>
            <w:rStyle w:val="Hiperpovezava"/>
            <w:rFonts w:asciiTheme="majorHAnsi" w:eastAsiaTheme="minorHAnsi" w:hAnsiTheme="majorHAnsi" w:cstheme="majorHAnsi"/>
            <w:noProof/>
          </w:rPr>
          <w:t>Tabela 29:</w:t>
        </w:r>
        <w:r w:rsidRPr="006B42C9">
          <w:rPr>
            <w:rStyle w:val="Hiperpovezava"/>
            <w:rFonts w:asciiTheme="majorHAnsi" w:hAnsiTheme="majorHAnsi" w:cstheme="majorHAnsi"/>
            <w:noProof/>
          </w:rPr>
          <w:t xml:space="preserve"> </w:t>
        </w:r>
        <w:r w:rsidRPr="006B42C9">
          <w:rPr>
            <w:rStyle w:val="Hiperpovezava"/>
            <w:rFonts w:asciiTheme="majorHAnsi" w:eastAsia="ArialNarrow" w:hAnsiTheme="majorHAnsi" w:cstheme="majorHAnsi"/>
            <w:noProof/>
          </w:rPr>
          <w:t>Izračun stopnje primanjkljaja v financiranju</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_Toc209528315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119</w:t>
        </w:r>
        <w:r w:rsidRPr="006B42C9">
          <w:rPr>
            <w:rFonts w:asciiTheme="majorHAnsi" w:hAnsiTheme="majorHAnsi" w:cstheme="majorHAnsi"/>
            <w:noProof/>
            <w:webHidden/>
          </w:rPr>
          <w:fldChar w:fldCharType="end"/>
        </w:r>
      </w:hyperlink>
    </w:p>
    <w:p w14:paraId="40F32C63" w14:textId="0B6A66CD"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6" w:history="1">
        <w:r w:rsidRPr="006B42C9">
          <w:rPr>
            <w:rStyle w:val="Hiperpovezava"/>
            <w:rFonts w:asciiTheme="majorHAnsi" w:hAnsiTheme="majorHAnsi" w:cstheme="majorHAnsi"/>
            <w:noProof/>
          </w:rPr>
          <w:t>Tabela 30: Analiza stroškov in koristi za celotni projekt v 30-letni ekonomski dobi</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_Toc209528316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122</w:t>
        </w:r>
        <w:r w:rsidRPr="006B42C9">
          <w:rPr>
            <w:rFonts w:asciiTheme="majorHAnsi" w:hAnsiTheme="majorHAnsi" w:cstheme="majorHAnsi"/>
            <w:noProof/>
            <w:webHidden/>
          </w:rPr>
          <w:fldChar w:fldCharType="end"/>
        </w:r>
      </w:hyperlink>
    </w:p>
    <w:p w14:paraId="4BFAAAFB" w14:textId="09667451"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7" w:history="1">
        <w:r w:rsidRPr="006B42C9">
          <w:rPr>
            <w:rStyle w:val="Hiperpovezava"/>
            <w:rFonts w:asciiTheme="majorHAnsi" w:hAnsiTheme="majorHAnsi" w:cstheme="majorHAnsi"/>
            <w:noProof/>
          </w:rPr>
          <w:t>Tabela 31: Prikaz najpomembnejših ekonomskih kazalnikov celotnega projekta</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_Toc209528317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125</w:t>
        </w:r>
        <w:r w:rsidRPr="006B42C9">
          <w:rPr>
            <w:rFonts w:asciiTheme="majorHAnsi" w:hAnsiTheme="majorHAnsi" w:cstheme="majorHAnsi"/>
            <w:noProof/>
            <w:webHidden/>
          </w:rPr>
          <w:fldChar w:fldCharType="end"/>
        </w:r>
      </w:hyperlink>
    </w:p>
    <w:p w14:paraId="6A7E47EE" w14:textId="32CC5013"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8" w:history="1">
        <w:r w:rsidRPr="006B42C9">
          <w:rPr>
            <w:rStyle w:val="Hiperpovezava"/>
            <w:rFonts w:asciiTheme="majorHAnsi" w:hAnsiTheme="majorHAnsi" w:cstheme="majorHAnsi"/>
            <w:noProof/>
          </w:rPr>
          <w:t>Tabela 32: Analiza tveganj za obravnavan celotni projekt</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_Toc209528318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128</w:t>
        </w:r>
        <w:r w:rsidRPr="006B42C9">
          <w:rPr>
            <w:rFonts w:asciiTheme="majorHAnsi" w:hAnsiTheme="majorHAnsi" w:cstheme="majorHAnsi"/>
            <w:noProof/>
            <w:webHidden/>
          </w:rPr>
          <w:fldChar w:fldCharType="end"/>
        </w:r>
      </w:hyperlink>
    </w:p>
    <w:p w14:paraId="099A731F" w14:textId="2DE08367" w:rsidR="003B254A" w:rsidRPr="006B42C9" w:rsidRDefault="003B254A">
      <w:pPr>
        <w:pStyle w:val="Kazaloslik"/>
        <w:tabs>
          <w:tab w:val="right" w:leader="dot" w:pos="9062"/>
        </w:tabs>
        <w:rPr>
          <w:rFonts w:asciiTheme="majorHAnsi" w:hAnsiTheme="majorHAnsi" w:cstheme="majorHAnsi"/>
          <w:smallCaps w:val="0"/>
          <w:noProof/>
          <w:kern w:val="2"/>
          <w:lang w:eastAsia="sl-SI"/>
          <w14:ligatures w14:val="standardContextual"/>
        </w:rPr>
      </w:pPr>
      <w:hyperlink w:anchor="_Toc209528319" w:history="1">
        <w:r w:rsidRPr="006B42C9">
          <w:rPr>
            <w:rStyle w:val="Hiperpovezava"/>
            <w:rFonts w:asciiTheme="majorHAnsi" w:eastAsia="Arial Unicode MS" w:hAnsiTheme="majorHAnsi" w:cstheme="majorHAnsi"/>
            <w:noProof/>
          </w:rPr>
          <w:t xml:space="preserve">Tabela 33: </w:t>
        </w:r>
        <w:r w:rsidRPr="006B42C9">
          <w:rPr>
            <w:rStyle w:val="Hiperpovezava"/>
            <w:rFonts w:asciiTheme="majorHAnsi" w:hAnsiTheme="majorHAnsi" w:cstheme="majorHAnsi"/>
            <w:noProof/>
          </w:rPr>
          <w:t>Analiza občutljivosti</w:t>
        </w:r>
        <w:r w:rsidRPr="006B42C9">
          <w:rPr>
            <w:rFonts w:asciiTheme="majorHAnsi" w:hAnsiTheme="majorHAnsi" w:cstheme="majorHAnsi"/>
            <w:noProof/>
            <w:webHidden/>
          </w:rPr>
          <w:tab/>
        </w:r>
        <w:r w:rsidRPr="006B42C9">
          <w:rPr>
            <w:rFonts w:asciiTheme="majorHAnsi" w:hAnsiTheme="majorHAnsi" w:cstheme="majorHAnsi"/>
            <w:noProof/>
            <w:webHidden/>
          </w:rPr>
          <w:fldChar w:fldCharType="begin"/>
        </w:r>
        <w:r w:rsidRPr="006B42C9">
          <w:rPr>
            <w:rFonts w:asciiTheme="majorHAnsi" w:hAnsiTheme="majorHAnsi" w:cstheme="majorHAnsi"/>
            <w:noProof/>
            <w:webHidden/>
          </w:rPr>
          <w:instrText xml:space="preserve"> PAGEREF _Toc209528319 \h </w:instrText>
        </w:r>
        <w:r w:rsidRPr="006B42C9">
          <w:rPr>
            <w:rFonts w:asciiTheme="majorHAnsi" w:hAnsiTheme="majorHAnsi" w:cstheme="majorHAnsi"/>
            <w:noProof/>
            <w:webHidden/>
          </w:rPr>
        </w:r>
        <w:r w:rsidRPr="006B42C9">
          <w:rPr>
            <w:rFonts w:asciiTheme="majorHAnsi" w:hAnsiTheme="majorHAnsi" w:cstheme="majorHAnsi"/>
            <w:noProof/>
            <w:webHidden/>
          </w:rPr>
          <w:fldChar w:fldCharType="separate"/>
        </w:r>
        <w:r w:rsidR="00E74D26">
          <w:rPr>
            <w:rFonts w:asciiTheme="majorHAnsi" w:hAnsiTheme="majorHAnsi" w:cstheme="majorHAnsi"/>
            <w:noProof/>
            <w:webHidden/>
          </w:rPr>
          <w:t>131</w:t>
        </w:r>
        <w:r w:rsidRPr="006B42C9">
          <w:rPr>
            <w:rFonts w:asciiTheme="majorHAnsi" w:hAnsiTheme="majorHAnsi" w:cstheme="majorHAnsi"/>
            <w:noProof/>
            <w:webHidden/>
          </w:rPr>
          <w:fldChar w:fldCharType="end"/>
        </w:r>
      </w:hyperlink>
    </w:p>
    <w:p w14:paraId="6D12ADDB" w14:textId="053F10D5" w:rsidR="003836D1" w:rsidRPr="00F11127" w:rsidRDefault="00050C93" w:rsidP="00BD1D20">
      <w:pPr>
        <w:spacing w:line="276" w:lineRule="auto"/>
        <w:rPr>
          <w:rFonts w:asciiTheme="majorHAnsi" w:hAnsiTheme="majorHAnsi" w:cstheme="majorHAnsi"/>
          <w:sz w:val="20"/>
          <w:szCs w:val="20"/>
          <w:highlight w:val="yellow"/>
        </w:rPr>
      </w:pPr>
      <w:r w:rsidRPr="006B42C9">
        <w:rPr>
          <w:rFonts w:asciiTheme="majorHAnsi" w:hAnsiTheme="majorHAnsi" w:cstheme="majorHAnsi"/>
          <w:sz w:val="20"/>
          <w:szCs w:val="20"/>
          <w:highlight w:val="yellow"/>
        </w:rPr>
        <w:fldChar w:fldCharType="end"/>
      </w:r>
    </w:p>
    <w:p w14:paraId="00A4AF30" w14:textId="77777777" w:rsidR="003836D1" w:rsidRPr="00F11127" w:rsidRDefault="003836D1" w:rsidP="00BD1D20">
      <w:pPr>
        <w:spacing w:line="276" w:lineRule="auto"/>
        <w:rPr>
          <w:rFonts w:asciiTheme="majorHAnsi" w:eastAsiaTheme="majorEastAsia" w:hAnsiTheme="majorHAnsi" w:cstheme="majorHAnsi"/>
          <w:b/>
          <w:bCs/>
          <w:color w:val="365F91" w:themeColor="accent1" w:themeShade="BF"/>
        </w:rPr>
      </w:pPr>
      <w:r w:rsidRPr="00F11127">
        <w:rPr>
          <w:rFonts w:asciiTheme="majorHAnsi" w:eastAsiaTheme="majorEastAsia" w:hAnsiTheme="majorHAnsi" w:cstheme="majorHAnsi"/>
          <w:b/>
          <w:bCs/>
          <w:color w:val="365F91" w:themeColor="accent1" w:themeShade="BF"/>
        </w:rPr>
        <w:t>KAZALO SLIK</w:t>
      </w:r>
    </w:p>
    <w:p w14:paraId="1AC63533" w14:textId="43CE91C6" w:rsidR="002C0380" w:rsidRPr="002C0380" w:rsidRDefault="00E62499">
      <w:pPr>
        <w:pStyle w:val="Kazaloslik"/>
        <w:tabs>
          <w:tab w:val="right" w:leader="dot" w:pos="9062"/>
        </w:tabs>
        <w:rPr>
          <w:smallCaps w:val="0"/>
          <w:noProof/>
          <w:kern w:val="2"/>
          <w:sz w:val="24"/>
          <w:szCs w:val="24"/>
          <w:lang w:eastAsia="sl-SI"/>
          <w14:ligatures w14:val="standardContextual"/>
        </w:rPr>
      </w:pPr>
      <w:r w:rsidRPr="006B42C9">
        <w:rPr>
          <w:rStyle w:val="Hiperpovezava"/>
          <w:rFonts w:asciiTheme="majorHAnsi" w:eastAsia="Arial" w:hAnsiTheme="majorHAnsi" w:cstheme="majorHAnsi"/>
          <w:bCs/>
        </w:rPr>
        <w:fldChar w:fldCharType="begin"/>
      </w:r>
      <w:r w:rsidRPr="006B42C9">
        <w:rPr>
          <w:rStyle w:val="Hiperpovezava"/>
          <w:rFonts w:asciiTheme="majorHAnsi" w:eastAsia="Arial" w:hAnsiTheme="majorHAnsi" w:cstheme="majorHAnsi"/>
          <w:bCs/>
        </w:rPr>
        <w:instrText xml:space="preserve"> TOC \h \z \c "Slika" </w:instrText>
      </w:r>
      <w:r w:rsidRPr="006B42C9">
        <w:rPr>
          <w:rStyle w:val="Hiperpovezava"/>
          <w:rFonts w:asciiTheme="majorHAnsi" w:eastAsia="Arial" w:hAnsiTheme="majorHAnsi" w:cstheme="majorHAnsi"/>
          <w:bCs/>
        </w:rPr>
        <w:fldChar w:fldCharType="separate"/>
      </w:r>
      <w:hyperlink w:anchor="_Toc210033649" w:history="1">
        <w:r w:rsidR="002C0380" w:rsidRPr="002C0380">
          <w:rPr>
            <w:rStyle w:val="Hiperpovezava"/>
            <w:rFonts w:ascii="Arial" w:hAnsi="Arial" w:cs="Arial"/>
            <w:noProof/>
          </w:rPr>
          <w:t>Slika 1: Shema prikaza obeh projektov za celovito ureditev centra Ig</w:t>
        </w:r>
        <w:r w:rsidR="002C0380" w:rsidRPr="002C0380">
          <w:rPr>
            <w:noProof/>
            <w:webHidden/>
          </w:rPr>
          <w:tab/>
        </w:r>
        <w:r w:rsidR="002C0380" w:rsidRPr="002C0380">
          <w:rPr>
            <w:noProof/>
            <w:webHidden/>
          </w:rPr>
          <w:fldChar w:fldCharType="begin"/>
        </w:r>
        <w:r w:rsidR="002C0380" w:rsidRPr="002C0380">
          <w:rPr>
            <w:noProof/>
            <w:webHidden/>
          </w:rPr>
          <w:instrText xml:space="preserve"> PAGEREF _Toc210033649 \h </w:instrText>
        </w:r>
        <w:r w:rsidR="002C0380" w:rsidRPr="002C0380">
          <w:rPr>
            <w:noProof/>
            <w:webHidden/>
          </w:rPr>
        </w:r>
        <w:r w:rsidR="002C0380" w:rsidRPr="002C0380">
          <w:rPr>
            <w:noProof/>
            <w:webHidden/>
          </w:rPr>
          <w:fldChar w:fldCharType="separate"/>
        </w:r>
        <w:r w:rsidR="002C0380" w:rsidRPr="002C0380">
          <w:rPr>
            <w:noProof/>
            <w:webHidden/>
          </w:rPr>
          <w:t>11</w:t>
        </w:r>
        <w:r w:rsidR="002C0380" w:rsidRPr="002C0380">
          <w:rPr>
            <w:noProof/>
            <w:webHidden/>
          </w:rPr>
          <w:fldChar w:fldCharType="end"/>
        </w:r>
      </w:hyperlink>
    </w:p>
    <w:p w14:paraId="40F3AA03" w14:textId="348978E8"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0" w:history="1">
        <w:r w:rsidRPr="002C0380">
          <w:rPr>
            <w:rStyle w:val="Hiperpovezava"/>
            <w:rFonts w:ascii="Arial" w:hAnsi="Arial" w:cs="Arial"/>
            <w:noProof/>
          </w:rPr>
          <w:t>Slika 2: Organigram Občine Ig</w:t>
        </w:r>
        <w:r w:rsidRPr="002C0380">
          <w:rPr>
            <w:noProof/>
            <w:webHidden/>
          </w:rPr>
          <w:tab/>
        </w:r>
        <w:r w:rsidRPr="002C0380">
          <w:rPr>
            <w:noProof/>
            <w:webHidden/>
          </w:rPr>
          <w:fldChar w:fldCharType="begin"/>
        </w:r>
        <w:r w:rsidRPr="002C0380">
          <w:rPr>
            <w:noProof/>
            <w:webHidden/>
          </w:rPr>
          <w:instrText xml:space="preserve"> PAGEREF _Toc210033650 \h </w:instrText>
        </w:r>
        <w:r w:rsidRPr="002C0380">
          <w:rPr>
            <w:noProof/>
            <w:webHidden/>
          </w:rPr>
        </w:r>
        <w:r w:rsidRPr="002C0380">
          <w:rPr>
            <w:noProof/>
            <w:webHidden/>
          </w:rPr>
          <w:fldChar w:fldCharType="separate"/>
        </w:r>
        <w:r w:rsidRPr="002C0380">
          <w:rPr>
            <w:noProof/>
            <w:webHidden/>
          </w:rPr>
          <w:t>20</w:t>
        </w:r>
        <w:r w:rsidRPr="002C0380">
          <w:rPr>
            <w:noProof/>
            <w:webHidden/>
          </w:rPr>
          <w:fldChar w:fldCharType="end"/>
        </w:r>
      </w:hyperlink>
    </w:p>
    <w:p w14:paraId="5ECE0FAD" w14:textId="5050CC57"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1" w:history="1">
        <w:r w:rsidRPr="002C0380">
          <w:rPr>
            <w:rStyle w:val="Hiperpovezava"/>
            <w:rFonts w:ascii="Arial" w:hAnsi="Arial" w:cs="Arial"/>
            <w:noProof/>
          </w:rPr>
          <w:t>Slika 3: Center Iga</w:t>
        </w:r>
        <w:r w:rsidRPr="002C0380">
          <w:rPr>
            <w:noProof/>
            <w:webHidden/>
          </w:rPr>
          <w:tab/>
        </w:r>
        <w:r w:rsidRPr="002C0380">
          <w:rPr>
            <w:noProof/>
            <w:webHidden/>
          </w:rPr>
          <w:fldChar w:fldCharType="begin"/>
        </w:r>
        <w:r w:rsidRPr="002C0380">
          <w:rPr>
            <w:noProof/>
            <w:webHidden/>
          </w:rPr>
          <w:instrText xml:space="preserve"> PAGEREF _Toc210033651 \h </w:instrText>
        </w:r>
        <w:r w:rsidRPr="002C0380">
          <w:rPr>
            <w:noProof/>
            <w:webHidden/>
          </w:rPr>
        </w:r>
        <w:r w:rsidRPr="002C0380">
          <w:rPr>
            <w:noProof/>
            <w:webHidden/>
          </w:rPr>
          <w:fldChar w:fldCharType="separate"/>
        </w:r>
        <w:r w:rsidRPr="002C0380">
          <w:rPr>
            <w:noProof/>
            <w:webHidden/>
          </w:rPr>
          <w:t>38</w:t>
        </w:r>
        <w:r w:rsidRPr="002C0380">
          <w:rPr>
            <w:noProof/>
            <w:webHidden/>
          </w:rPr>
          <w:fldChar w:fldCharType="end"/>
        </w:r>
      </w:hyperlink>
    </w:p>
    <w:p w14:paraId="223C50D7" w14:textId="37BECD81"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2" w:history="1">
        <w:r w:rsidRPr="002C0380">
          <w:rPr>
            <w:rStyle w:val="Hiperpovezava"/>
            <w:rFonts w:asciiTheme="majorHAnsi" w:hAnsiTheme="majorHAnsi" w:cstheme="majorHAnsi"/>
            <w:noProof/>
          </w:rPr>
          <w:t>Slika 4: Del Govekarjeve ceste, kjer ni urejenega pločnika</w:t>
        </w:r>
        <w:r w:rsidRPr="002C0380">
          <w:rPr>
            <w:noProof/>
            <w:webHidden/>
          </w:rPr>
          <w:tab/>
        </w:r>
        <w:r w:rsidRPr="002C0380">
          <w:rPr>
            <w:noProof/>
            <w:webHidden/>
          </w:rPr>
          <w:fldChar w:fldCharType="begin"/>
        </w:r>
        <w:r w:rsidRPr="002C0380">
          <w:rPr>
            <w:noProof/>
            <w:webHidden/>
          </w:rPr>
          <w:instrText xml:space="preserve"> PAGEREF _Toc210033652 \h </w:instrText>
        </w:r>
        <w:r w:rsidRPr="002C0380">
          <w:rPr>
            <w:noProof/>
            <w:webHidden/>
          </w:rPr>
        </w:r>
        <w:r w:rsidRPr="002C0380">
          <w:rPr>
            <w:noProof/>
            <w:webHidden/>
          </w:rPr>
          <w:fldChar w:fldCharType="separate"/>
        </w:r>
        <w:r w:rsidRPr="002C0380">
          <w:rPr>
            <w:noProof/>
            <w:webHidden/>
          </w:rPr>
          <w:t>39</w:t>
        </w:r>
        <w:r w:rsidRPr="002C0380">
          <w:rPr>
            <w:noProof/>
            <w:webHidden/>
          </w:rPr>
          <w:fldChar w:fldCharType="end"/>
        </w:r>
      </w:hyperlink>
    </w:p>
    <w:p w14:paraId="7EF61EA5" w14:textId="6B228F67"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3" w:history="1">
        <w:r w:rsidRPr="002C0380">
          <w:rPr>
            <w:rStyle w:val="Hiperpovezava"/>
            <w:rFonts w:asciiTheme="majorHAnsi" w:hAnsiTheme="majorHAnsi" w:cstheme="majorHAnsi"/>
            <w:noProof/>
          </w:rPr>
          <w:t xml:space="preserve">Slika 5: Parkirna mesta na levi strani ob Govekarjevi cesti proti S (Morostig), </w:t>
        </w:r>
        <w:r w:rsidRPr="002C0380">
          <w:rPr>
            <w:rStyle w:val="Hiperpovezava"/>
            <w:rFonts w:asciiTheme="majorHAnsi" w:hAnsiTheme="majorHAnsi" w:cstheme="majorHAnsi"/>
            <w:noProof/>
          </w:rPr>
          <w:tab/>
        </w:r>
        <w:r w:rsidRPr="002C0380">
          <w:rPr>
            <w:noProof/>
            <w:webHidden/>
          </w:rPr>
          <w:fldChar w:fldCharType="begin"/>
        </w:r>
        <w:r w:rsidRPr="002C0380">
          <w:rPr>
            <w:noProof/>
            <w:webHidden/>
          </w:rPr>
          <w:instrText xml:space="preserve"> PAGEREF _Toc210033653 \h </w:instrText>
        </w:r>
        <w:r w:rsidRPr="002C0380">
          <w:rPr>
            <w:noProof/>
            <w:webHidden/>
          </w:rPr>
        </w:r>
        <w:r w:rsidRPr="002C0380">
          <w:rPr>
            <w:noProof/>
            <w:webHidden/>
          </w:rPr>
          <w:fldChar w:fldCharType="separate"/>
        </w:r>
        <w:r w:rsidRPr="002C0380">
          <w:rPr>
            <w:noProof/>
            <w:webHidden/>
          </w:rPr>
          <w:t>39</w:t>
        </w:r>
        <w:r w:rsidRPr="002C0380">
          <w:rPr>
            <w:noProof/>
            <w:webHidden/>
          </w:rPr>
          <w:fldChar w:fldCharType="end"/>
        </w:r>
      </w:hyperlink>
    </w:p>
    <w:p w14:paraId="43029847" w14:textId="7AC2EBDD"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4" w:history="1">
        <w:r w:rsidRPr="002C0380">
          <w:rPr>
            <w:rStyle w:val="Hiperpovezava"/>
            <w:rFonts w:asciiTheme="majorHAnsi" w:hAnsiTheme="majorHAnsi" w:cstheme="majorHAnsi"/>
            <w:noProof/>
          </w:rPr>
          <w:t>Slika 6 Parkirna mesta med občinsko stavbo in pošto</w:t>
        </w:r>
        <w:r w:rsidRPr="002C0380">
          <w:rPr>
            <w:noProof/>
            <w:webHidden/>
          </w:rPr>
          <w:tab/>
        </w:r>
        <w:r w:rsidRPr="002C0380">
          <w:rPr>
            <w:noProof/>
            <w:webHidden/>
          </w:rPr>
          <w:fldChar w:fldCharType="begin"/>
        </w:r>
        <w:r w:rsidRPr="002C0380">
          <w:rPr>
            <w:noProof/>
            <w:webHidden/>
          </w:rPr>
          <w:instrText xml:space="preserve"> PAGEREF _Toc210033654 \h </w:instrText>
        </w:r>
        <w:r w:rsidRPr="002C0380">
          <w:rPr>
            <w:noProof/>
            <w:webHidden/>
          </w:rPr>
        </w:r>
        <w:r w:rsidRPr="002C0380">
          <w:rPr>
            <w:noProof/>
            <w:webHidden/>
          </w:rPr>
          <w:fldChar w:fldCharType="separate"/>
        </w:r>
        <w:r w:rsidRPr="002C0380">
          <w:rPr>
            <w:noProof/>
            <w:webHidden/>
          </w:rPr>
          <w:t>40</w:t>
        </w:r>
        <w:r w:rsidRPr="002C0380">
          <w:rPr>
            <w:noProof/>
            <w:webHidden/>
          </w:rPr>
          <w:fldChar w:fldCharType="end"/>
        </w:r>
      </w:hyperlink>
    </w:p>
    <w:p w14:paraId="5598AAD7" w14:textId="72B897E9"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5" w:history="1">
        <w:r w:rsidRPr="002C0380">
          <w:rPr>
            <w:rStyle w:val="Hiperpovezava"/>
            <w:rFonts w:asciiTheme="majorHAnsi" w:hAnsiTheme="majorHAnsi" w:cstheme="majorHAnsi"/>
            <w:noProof/>
          </w:rPr>
          <w:t>Slika 7: Govekarjeva cesta, avtobusno postajališče za šolski bus</w:t>
        </w:r>
        <w:r w:rsidRPr="002C0380">
          <w:rPr>
            <w:noProof/>
            <w:webHidden/>
          </w:rPr>
          <w:tab/>
        </w:r>
        <w:r w:rsidRPr="002C0380">
          <w:rPr>
            <w:noProof/>
            <w:webHidden/>
          </w:rPr>
          <w:fldChar w:fldCharType="begin"/>
        </w:r>
        <w:r w:rsidRPr="002C0380">
          <w:rPr>
            <w:noProof/>
            <w:webHidden/>
          </w:rPr>
          <w:instrText xml:space="preserve"> PAGEREF _Toc210033655 \h </w:instrText>
        </w:r>
        <w:r w:rsidRPr="002C0380">
          <w:rPr>
            <w:noProof/>
            <w:webHidden/>
          </w:rPr>
        </w:r>
        <w:r w:rsidRPr="002C0380">
          <w:rPr>
            <w:noProof/>
            <w:webHidden/>
          </w:rPr>
          <w:fldChar w:fldCharType="separate"/>
        </w:r>
        <w:r w:rsidRPr="002C0380">
          <w:rPr>
            <w:noProof/>
            <w:webHidden/>
          </w:rPr>
          <w:t>40</w:t>
        </w:r>
        <w:r w:rsidRPr="002C0380">
          <w:rPr>
            <w:noProof/>
            <w:webHidden/>
          </w:rPr>
          <w:fldChar w:fldCharType="end"/>
        </w:r>
      </w:hyperlink>
    </w:p>
    <w:p w14:paraId="5CDEEC25" w14:textId="1A481857"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6" w:history="1">
        <w:r w:rsidRPr="002C0380">
          <w:rPr>
            <w:rStyle w:val="Hiperpovezava"/>
            <w:rFonts w:asciiTheme="majorHAnsi" w:hAnsiTheme="majorHAnsi" w:cstheme="majorHAnsi"/>
            <w:noProof/>
          </w:rPr>
          <w:t>Slika 8: Križišče Govekarjeve ceste in Troštove ulice ter kolesarski pas na Govekarjevi cesti</w:t>
        </w:r>
        <w:r w:rsidRPr="002C0380">
          <w:rPr>
            <w:noProof/>
            <w:webHidden/>
          </w:rPr>
          <w:tab/>
        </w:r>
        <w:r w:rsidRPr="002C0380">
          <w:rPr>
            <w:noProof/>
            <w:webHidden/>
          </w:rPr>
          <w:fldChar w:fldCharType="begin"/>
        </w:r>
        <w:r w:rsidRPr="002C0380">
          <w:rPr>
            <w:noProof/>
            <w:webHidden/>
          </w:rPr>
          <w:instrText xml:space="preserve"> PAGEREF _Toc210033656 \h </w:instrText>
        </w:r>
        <w:r w:rsidRPr="002C0380">
          <w:rPr>
            <w:noProof/>
            <w:webHidden/>
          </w:rPr>
        </w:r>
        <w:r w:rsidRPr="002C0380">
          <w:rPr>
            <w:noProof/>
            <w:webHidden/>
          </w:rPr>
          <w:fldChar w:fldCharType="separate"/>
        </w:r>
        <w:r w:rsidRPr="002C0380">
          <w:rPr>
            <w:noProof/>
            <w:webHidden/>
          </w:rPr>
          <w:t>41</w:t>
        </w:r>
        <w:r w:rsidRPr="002C0380">
          <w:rPr>
            <w:noProof/>
            <w:webHidden/>
          </w:rPr>
          <w:fldChar w:fldCharType="end"/>
        </w:r>
      </w:hyperlink>
    </w:p>
    <w:p w14:paraId="6F1632D0" w14:textId="0AFE0A77"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7" w:history="1">
        <w:r w:rsidRPr="002C0380">
          <w:rPr>
            <w:rStyle w:val="Hiperpovezava"/>
            <w:rFonts w:asciiTheme="majorHAnsi" w:hAnsiTheme="majorHAnsi" w:cstheme="majorHAnsi"/>
            <w:noProof/>
          </w:rPr>
          <w:t>Slika 9 Troštova ulica</w:t>
        </w:r>
        <w:r w:rsidRPr="002C0380">
          <w:rPr>
            <w:noProof/>
            <w:webHidden/>
          </w:rPr>
          <w:tab/>
        </w:r>
        <w:r w:rsidRPr="002C0380">
          <w:rPr>
            <w:noProof/>
            <w:webHidden/>
          </w:rPr>
          <w:fldChar w:fldCharType="begin"/>
        </w:r>
        <w:r w:rsidRPr="002C0380">
          <w:rPr>
            <w:noProof/>
            <w:webHidden/>
          </w:rPr>
          <w:instrText xml:space="preserve"> PAGEREF _Toc210033657 \h </w:instrText>
        </w:r>
        <w:r w:rsidRPr="002C0380">
          <w:rPr>
            <w:noProof/>
            <w:webHidden/>
          </w:rPr>
        </w:r>
        <w:r w:rsidRPr="002C0380">
          <w:rPr>
            <w:noProof/>
            <w:webHidden/>
          </w:rPr>
          <w:fldChar w:fldCharType="separate"/>
        </w:r>
        <w:r w:rsidRPr="002C0380">
          <w:rPr>
            <w:noProof/>
            <w:webHidden/>
          </w:rPr>
          <w:t>42</w:t>
        </w:r>
        <w:r w:rsidRPr="002C0380">
          <w:rPr>
            <w:noProof/>
            <w:webHidden/>
          </w:rPr>
          <w:fldChar w:fldCharType="end"/>
        </w:r>
      </w:hyperlink>
    </w:p>
    <w:p w14:paraId="41A83A91" w14:textId="251E72B5"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8" w:history="1">
        <w:r w:rsidRPr="002C0380">
          <w:rPr>
            <w:rStyle w:val="Hiperpovezava"/>
            <w:rFonts w:asciiTheme="majorHAnsi" w:hAnsiTheme="majorHAnsi" w:cstheme="majorHAnsi"/>
            <w:noProof/>
          </w:rPr>
          <w:t>Slika 10: Parkirišče pri OŠ</w:t>
        </w:r>
        <w:r w:rsidRPr="002C0380">
          <w:rPr>
            <w:noProof/>
            <w:webHidden/>
          </w:rPr>
          <w:tab/>
        </w:r>
        <w:r w:rsidRPr="002C0380">
          <w:rPr>
            <w:noProof/>
            <w:webHidden/>
          </w:rPr>
          <w:fldChar w:fldCharType="begin"/>
        </w:r>
        <w:r w:rsidRPr="002C0380">
          <w:rPr>
            <w:noProof/>
            <w:webHidden/>
          </w:rPr>
          <w:instrText xml:space="preserve"> PAGEREF _Toc210033658 \h </w:instrText>
        </w:r>
        <w:r w:rsidRPr="002C0380">
          <w:rPr>
            <w:noProof/>
            <w:webHidden/>
          </w:rPr>
        </w:r>
        <w:r w:rsidRPr="002C0380">
          <w:rPr>
            <w:noProof/>
            <w:webHidden/>
          </w:rPr>
          <w:fldChar w:fldCharType="separate"/>
        </w:r>
        <w:r w:rsidRPr="002C0380">
          <w:rPr>
            <w:noProof/>
            <w:webHidden/>
          </w:rPr>
          <w:t>43</w:t>
        </w:r>
        <w:r w:rsidRPr="002C0380">
          <w:rPr>
            <w:noProof/>
            <w:webHidden/>
          </w:rPr>
          <w:fldChar w:fldCharType="end"/>
        </w:r>
      </w:hyperlink>
    </w:p>
    <w:p w14:paraId="6DDBA0D1" w14:textId="1399BC70"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59" w:history="1">
        <w:r w:rsidRPr="002C0380">
          <w:rPr>
            <w:rStyle w:val="Hiperpovezava"/>
            <w:rFonts w:asciiTheme="majorHAnsi" w:hAnsiTheme="majorHAnsi" w:cstheme="majorHAnsi"/>
            <w:noProof/>
          </w:rPr>
          <w:t>Slika 11 Parkirišče pri OŠ</w:t>
        </w:r>
        <w:r w:rsidRPr="002C0380">
          <w:rPr>
            <w:noProof/>
            <w:webHidden/>
          </w:rPr>
          <w:tab/>
        </w:r>
        <w:r w:rsidRPr="002C0380">
          <w:rPr>
            <w:noProof/>
            <w:webHidden/>
          </w:rPr>
          <w:fldChar w:fldCharType="begin"/>
        </w:r>
        <w:r w:rsidRPr="002C0380">
          <w:rPr>
            <w:noProof/>
            <w:webHidden/>
          </w:rPr>
          <w:instrText xml:space="preserve"> PAGEREF _Toc210033659 \h </w:instrText>
        </w:r>
        <w:r w:rsidRPr="002C0380">
          <w:rPr>
            <w:noProof/>
            <w:webHidden/>
          </w:rPr>
        </w:r>
        <w:r w:rsidRPr="002C0380">
          <w:rPr>
            <w:noProof/>
            <w:webHidden/>
          </w:rPr>
          <w:fldChar w:fldCharType="separate"/>
        </w:r>
        <w:r w:rsidRPr="002C0380">
          <w:rPr>
            <w:noProof/>
            <w:webHidden/>
          </w:rPr>
          <w:t>43</w:t>
        </w:r>
        <w:r w:rsidRPr="002C0380">
          <w:rPr>
            <w:noProof/>
            <w:webHidden/>
          </w:rPr>
          <w:fldChar w:fldCharType="end"/>
        </w:r>
      </w:hyperlink>
    </w:p>
    <w:p w14:paraId="1DB57175" w14:textId="7F0A89E6"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0" w:history="1">
        <w:r w:rsidRPr="002C0380">
          <w:rPr>
            <w:rStyle w:val="Hiperpovezava"/>
            <w:rFonts w:asciiTheme="majorHAnsi" w:hAnsiTheme="majorHAnsi" w:cstheme="majorHAnsi"/>
            <w:noProof/>
          </w:rPr>
          <w:t>Slika 12: Začasno parkirišče ob Govekarjevi cesti</w:t>
        </w:r>
        <w:r w:rsidRPr="002C0380">
          <w:rPr>
            <w:noProof/>
            <w:webHidden/>
          </w:rPr>
          <w:tab/>
        </w:r>
        <w:r w:rsidRPr="002C0380">
          <w:rPr>
            <w:noProof/>
            <w:webHidden/>
          </w:rPr>
          <w:fldChar w:fldCharType="begin"/>
        </w:r>
        <w:r w:rsidRPr="002C0380">
          <w:rPr>
            <w:noProof/>
            <w:webHidden/>
          </w:rPr>
          <w:instrText xml:space="preserve"> PAGEREF _Toc210033660 \h </w:instrText>
        </w:r>
        <w:r w:rsidRPr="002C0380">
          <w:rPr>
            <w:noProof/>
            <w:webHidden/>
          </w:rPr>
        </w:r>
        <w:r w:rsidRPr="002C0380">
          <w:rPr>
            <w:noProof/>
            <w:webHidden/>
          </w:rPr>
          <w:fldChar w:fldCharType="separate"/>
        </w:r>
        <w:r w:rsidRPr="002C0380">
          <w:rPr>
            <w:noProof/>
            <w:webHidden/>
          </w:rPr>
          <w:t>44</w:t>
        </w:r>
        <w:r w:rsidRPr="002C0380">
          <w:rPr>
            <w:noProof/>
            <w:webHidden/>
          </w:rPr>
          <w:fldChar w:fldCharType="end"/>
        </w:r>
      </w:hyperlink>
    </w:p>
    <w:p w14:paraId="54CE4EF9" w14:textId="41D36EF3"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1" w:history="1">
        <w:r w:rsidRPr="002C0380">
          <w:rPr>
            <w:rStyle w:val="Hiperpovezava"/>
            <w:rFonts w:asciiTheme="majorHAnsi" w:hAnsiTheme="majorHAnsi" w:cstheme="majorHAnsi"/>
            <w:noProof/>
          </w:rPr>
          <w:t>Slika 13: Obstoječa drevesa</w:t>
        </w:r>
        <w:r w:rsidRPr="002C0380">
          <w:rPr>
            <w:noProof/>
            <w:webHidden/>
          </w:rPr>
          <w:tab/>
        </w:r>
        <w:r w:rsidRPr="002C0380">
          <w:rPr>
            <w:noProof/>
            <w:webHidden/>
          </w:rPr>
          <w:fldChar w:fldCharType="begin"/>
        </w:r>
        <w:r w:rsidRPr="002C0380">
          <w:rPr>
            <w:noProof/>
            <w:webHidden/>
          </w:rPr>
          <w:instrText xml:space="preserve"> PAGEREF _Toc210033661 \h </w:instrText>
        </w:r>
        <w:r w:rsidRPr="002C0380">
          <w:rPr>
            <w:noProof/>
            <w:webHidden/>
          </w:rPr>
        </w:r>
        <w:r w:rsidRPr="002C0380">
          <w:rPr>
            <w:noProof/>
            <w:webHidden/>
          </w:rPr>
          <w:fldChar w:fldCharType="separate"/>
        </w:r>
        <w:r w:rsidRPr="002C0380">
          <w:rPr>
            <w:noProof/>
            <w:webHidden/>
          </w:rPr>
          <w:t>44</w:t>
        </w:r>
        <w:r w:rsidRPr="002C0380">
          <w:rPr>
            <w:noProof/>
            <w:webHidden/>
          </w:rPr>
          <w:fldChar w:fldCharType="end"/>
        </w:r>
      </w:hyperlink>
    </w:p>
    <w:p w14:paraId="09B88C83" w14:textId="242F8F1E"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2" w:history="1">
        <w:r w:rsidRPr="002C0380">
          <w:rPr>
            <w:rStyle w:val="Hiperpovezava"/>
            <w:rFonts w:ascii="Arial" w:hAnsi="Arial" w:cs="Arial"/>
            <w:noProof/>
          </w:rPr>
          <w:t>Slika 14: Register prostorskih enot</w:t>
        </w:r>
        <w:r w:rsidRPr="002C0380">
          <w:rPr>
            <w:noProof/>
            <w:webHidden/>
          </w:rPr>
          <w:tab/>
        </w:r>
        <w:r w:rsidRPr="002C0380">
          <w:rPr>
            <w:noProof/>
            <w:webHidden/>
          </w:rPr>
          <w:fldChar w:fldCharType="begin"/>
        </w:r>
        <w:r w:rsidRPr="002C0380">
          <w:rPr>
            <w:noProof/>
            <w:webHidden/>
          </w:rPr>
          <w:instrText xml:space="preserve"> PAGEREF _Toc210033662 \h </w:instrText>
        </w:r>
        <w:r w:rsidRPr="002C0380">
          <w:rPr>
            <w:noProof/>
            <w:webHidden/>
          </w:rPr>
        </w:r>
        <w:r w:rsidRPr="002C0380">
          <w:rPr>
            <w:noProof/>
            <w:webHidden/>
          </w:rPr>
          <w:fldChar w:fldCharType="separate"/>
        </w:r>
        <w:r w:rsidRPr="002C0380">
          <w:rPr>
            <w:noProof/>
            <w:webHidden/>
          </w:rPr>
          <w:t>55</w:t>
        </w:r>
        <w:r w:rsidRPr="002C0380">
          <w:rPr>
            <w:noProof/>
            <w:webHidden/>
          </w:rPr>
          <w:fldChar w:fldCharType="end"/>
        </w:r>
      </w:hyperlink>
    </w:p>
    <w:p w14:paraId="07F34034" w14:textId="37096A85"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3" w:history="1">
        <w:r w:rsidRPr="002C0380">
          <w:rPr>
            <w:rStyle w:val="Hiperpovezava"/>
            <w:rFonts w:asciiTheme="majorHAnsi" w:hAnsiTheme="majorHAnsi" w:cstheme="majorHAnsi"/>
            <w:noProof/>
            <w:lang w:eastAsia="en-US"/>
          </w:rPr>
          <w:t>Slika 15: Prikaz lokacije infrastrukture za javno izposojo e-koles</w:t>
        </w:r>
        <w:r w:rsidRPr="002C0380">
          <w:rPr>
            <w:noProof/>
            <w:webHidden/>
          </w:rPr>
          <w:tab/>
        </w:r>
        <w:r w:rsidRPr="002C0380">
          <w:rPr>
            <w:noProof/>
            <w:webHidden/>
          </w:rPr>
          <w:fldChar w:fldCharType="begin"/>
        </w:r>
        <w:r w:rsidRPr="002C0380">
          <w:rPr>
            <w:noProof/>
            <w:webHidden/>
          </w:rPr>
          <w:instrText xml:space="preserve"> PAGEREF _Toc210033663 \h </w:instrText>
        </w:r>
        <w:r w:rsidRPr="002C0380">
          <w:rPr>
            <w:noProof/>
            <w:webHidden/>
          </w:rPr>
        </w:r>
        <w:r w:rsidRPr="002C0380">
          <w:rPr>
            <w:noProof/>
            <w:webHidden/>
          </w:rPr>
          <w:fldChar w:fldCharType="separate"/>
        </w:r>
        <w:r w:rsidRPr="002C0380">
          <w:rPr>
            <w:noProof/>
            <w:webHidden/>
          </w:rPr>
          <w:t>59</w:t>
        </w:r>
        <w:r w:rsidRPr="002C0380">
          <w:rPr>
            <w:noProof/>
            <w:webHidden/>
          </w:rPr>
          <w:fldChar w:fldCharType="end"/>
        </w:r>
      </w:hyperlink>
    </w:p>
    <w:p w14:paraId="19F2D0BA" w14:textId="10A870DB"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4" w:history="1">
        <w:r w:rsidRPr="002C0380">
          <w:rPr>
            <w:rStyle w:val="Hiperpovezava"/>
            <w:rFonts w:ascii="Arial" w:hAnsi="Arial" w:cs="Arial"/>
            <w:noProof/>
            <w:lang w:eastAsia="en-US"/>
          </w:rPr>
          <w:t>Slika 16: Prikaz lokacije nameravane investicije</w:t>
        </w:r>
        <w:r w:rsidRPr="002C0380">
          <w:rPr>
            <w:noProof/>
            <w:webHidden/>
          </w:rPr>
          <w:tab/>
        </w:r>
        <w:r w:rsidRPr="002C0380">
          <w:rPr>
            <w:noProof/>
            <w:webHidden/>
          </w:rPr>
          <w:fldChar w:fldCharType="begin"/>
        </w:r>
        <w:r w:rsidRPr="002C0380">
          <w:rPr>
            <w:noProof/>
            <w:webHidden/>
          </w:rPr>
          <w:instrText xml:space="preserve"> PAGEREF _Toc210033664 \h </w:instrText>
        </w:r>
        <w:r w:rsidRPr="002C0380">
          <w:rPr>
            <w:noProof/>
            <w:webHidden/>
          </w:rPr>
        </w:r>
        <w:r w:rsidRPr="002C0380">
          <w:rPr>
            <w:noProof/>
            <w:webHidden/>
          </w:rPr>
          <w:fldChar w:fldCharType="separate"/>
        </w:r>
        <w:r w:rsidRPr="002C0380">
          <w:rPr>
            <w:noProof/>
            <w:webHidden/>
          </w:rPr>
          <w:t>66</w:t>
        </w:r>
        <w:r w:rsidRPr="002C0380">
          <w:rPr>
            <w:noProof/>
            <w:webHidden/>
          </w:rPr>
          <w:fldChar w:fldCharType="end"/>
        </w:r>
      </w:hyperlink>
    </w:p>
    <w:p w14:paraId="133E2E23" w14:textId="3DDA8E32" w:rsidR="002C0380" w:rsidRPr="002C0380" w:rsidRDefault="002C0380">
      <w:pPr>
        <w:pStyle w:val="Kazaloslik"/>
        <w:tabs>
          <w:tab w:val="right" w:leader="dot" w:pos="9062"/>
        </w:tabs>
        <w:rPr>
          <w:smallCaps w:val="0"/>
          <w:noProof/>
          <w:kern w:val="2"/>
          <w:sz w:val="24"/>
          <w:szCs w:val="24"/>
          <w:lang w:eastAsia="sl-SI"/>
          <w14:ligatures w14:val="standardContextual"/>
        </w:rPr>
      </w:pPr>
      <w:hyperlink w:anchor="_Toc210033665" w:history="1">
        <w:r w:rsidRPr="002C0380">
          <w:rPr>
            <w:rStyle w:val="Hiperpovezava"/>
            <w:rFonts w:asciiTheme="majorHAnsi" w:hAnsiTheme="majorHAnsi" w:cstheme="majorHAnsi"/>
            <w:noProof/>
          </w:rPr>
          <w:t>Slika 17: Makrolokacija predmetne investicije</w:t>
        </w:r>
        <w:r w:rsidRPr="002C0380">
          <w:rPr>
            <w:noProof/>
            <w:webHidden/>
          </w:rPr>
          <w:tab/>
        </w:r>
        <w:r w:rsidRPr="002C0380">
          <w:rPr>
            <w:noProof/>
            <w:webHidden/>
          </w:rPr>
          <w:fldChar w:fldCharType="begin"/>
        </w:r>
        <w:r w:rsidRPr="002C0380">
          <w:rPr>
            <w:noProof/>
            <w:webHidden/>
          </w:rPr>
          <w:instrText xml:space="preserve"> PAGEREF _Toc210033665 \h </w:instrText>
        </w:r>
        <w:r w:rsidRPr="002C0380">
          <w:rPr>
            <w:noProof/>
            <w:webHidden/>
          </w:rPr>
        </w:r>
        <w:r w:rsidRPr="002C0380">
          <w:rPr>
            <w:noProof/>
            <w:webHidden/>
          </w:rPr>
          <w:fldChar w:fldCharType="separate"/>
        </w:r>
        <w:r w:rsidRPr="002C0380">
          <w:rPr>
            <w:noProof/>
            <w:webHidden/>
          </w:rPr>
          <w:t>78</w:t>
        </w:r>
        <w:r w:rsidRPr="002C0380">
          <w:rPr>
            <w:noProof/>
            <w:webHidden/>
          </w:rPr>
          <w:fldChar w:fldCharType="end"/>
        </w:r>
      </w:hyperlink>
    </w:p>
    <w:p w14:paraId="537CC1E4" w14:textId="558E5B69" w:rsidR="002C0380" w:rsidRDefault="002C0380">
      <w:pPr>
        <w:pStyle w:val="Kazaloslik"/>
        <w:tabs>
          <w:tab w:val="right" w:leader="dot" w:pos="9062"/>
        </w:tabs>
        <w:rPr>
          <w:smallCaps w:val="0"/>
          <w:noProof/>
          <w:kern w:val="2"/>
          <w:sz w:val="24"/>
          <w:szCs w:val="24"/>
          <w:lang w:eastAsia="sl-SI"/>
          <w14:ligatures w14:val="standardContextual"/>
        </w:rPr>
      </w:pPr>
      <w:hyperlink w:anchor="_Toc210033666" w:history="1">
        <w:r w:rsidRPr="00FD17C7">
          <w:rPr>
            <w:rStyle w:val="Hiperpovezava"/>
            <w:rFonts w:asciiTheme="majorHAnsi" w:hAnsiTheme="majorHAnsi" w:cstheme="majorHAnsi"/>
            <w:noProof/>
          </w:rPr>
          <w:t>Slika 18: Mikrolokacija predmetne investicije</w:t>
        </w:r>
        <w:r>
          <w:rPr>
            <w:noProof/>
            <w:webHidden/>
          </w:rPr>
          <w:tab/>
        </w:r>
        <w:r>
          <w:rPr>
            <w:noProof/>
            <w:webHidden/>
          </w:rPr>
          <w:fldChar w:fldCharType="begin"/>
        </w:r>
        <w:r>
          <w:rPr>
            <w:noProof/>
            <w:webHidden/>
          </w:rPr>
          <w:instrText xml:space="preserve"> PAGEREF _Toc210033666 \h </w:instrText>
        </w:r>
        <w:r>
          <w:rPr>
            <w:noProof/>
            <w:webHidden/>
          </w:rPr>
        </w:r>
        <w:r>
          <w:rPr>
            <w:noProof/>
            <w:webHidden/>
          </w:rPr>
          <w:fldChar w:fldCharType="separate"/>
        </w:r>
        <w:r>
          <w:rPr>
            <w:noProof/>
            <w:webHidden/>
          </w:rPr>
          <w:t>79</w:t>
        </w:r>
        <w:r>
          <w:rPr>
            <w:noProof/>
            <w:webHidden/>
          </w:rPr>
          <w:fldChar w:fldCharType="end"/>
        </w:r>
      </w:hyperlink>
    </w:p>
    <w:p w14:paraId="7427251C" w14:textId="60A3C6D1" w:rsidR="002C0380" w:rsidRDefault="002C0380">
      <w:pPr>
        <w:pStyle w:val="Kazaloslik"/>
        <w:tabs>
          <w:tab w:val="right" w:leader="dot" w:pos="9062"/>
        </w:tabs>
        <w:rPr>
          <w:smallCaps w:val="0"/>
          <w:noProof/>
          <w:kern w:val="2"/>
          <w:sz w:val="24"/>
          <w:szCs w:val="24"/>
          <w:lang w:eastAsia="sl-SI"/>
          <w14:ligatures w14:val="standardContextual"/>
        </w:rPr>
      </w:pPr>
      <w:hyperlink w:anchor="_Toc210033667" w:history="1">
        <w:r w:rsidRPr="00FD17C7">
          <w:rPr>
            <w:rStyle w:val="Hiperpovezava"/>
            <w:rFonts w:asciiTheme="majorHAnsi" w:hAnsiTheme="majorHAnsi" w:cstheme="majorHAnsi"/>
            <w:noProof/>
          </w:rPr>
          <w:t>Slika 19: Prostorska ureditev</w:t>
        </w:r>
        <w:r>
          <w:rPr>
            <w:noProof/>
            <w:webHidden/>
          </w:rPr>
          <w:tab/>
        </w:r>
        <w:r>
          <w:rPr>
            <w:noProof/>
            <w:webHidden/>
          </w:rPr>
          <w:fldChar w:fldCharType="begin"/>
        </w:r>
        <w:r>
          <w:rPr>
            <w:noProof/>
            <w:webHidden/>
          </w:rPr>
          <w:instrText xml:space="preserve"> PAGEREF _Toc210033667 \h </w:instrText>
        </w:r>
        <w:r>
          <w:rPr>
            <w:noProof/>
            <w:webHidden/>
          </w:rPr>
        </w:r>
        <w:r>
          <w:rPr>
            <w:noProof/>
            <w:webHidden/>
          </w:rPr>
          <w:fldChar w:fldCharType="separate"/>
        </w:r>
        <w:r>
          <w:rPr>
            <w:noProof/>
            <w:webHidden/>
          </w:rPr>
          <w:t>79</w:t>
        </w:r>
        <w:r>
          <w:rPr>
            <w:noProof/>
            <w:webHidden/>
          </w:rPr>
          <w:fldChar w:fldCharType="end"/>
        </w:r>
      </w:hyperlink>
    </w:p>
    <w:p w14:paraId="455E90ED" w14:textId="1CC7A8D9" w:rsidR="003836D1" w:rsidRPr="00F11127" w:rsidRDefault="00E62499" w:rsidP="00BD1D20">
      <w:pPr>
        <w:pStyle w:val="Kazaloslik"/>
        <w:tabs>
          <w:tab w:val="right" w:leader="dot" w:pos="9062"/>
        </w:tabs>
        <w:rPr>
          <w:rFonts w:asciiTheme="majorHAnsi" w:eastAsiaTheme="majorEastAsia" w:hAnsiTheme="majorHAnsi" w:cstheme="majorHAnsi"/>
          <w:b/>
          <w:bCs/>
          <w:color w:val="365F91" w:themeColor="accent1" w:themeShade="BF"/>
          <w:sz w:val="24"/>
          <w:szCs w:val="24"/>
        </w:rPr>
      </w:pPr>
      <w:r w:rsidRPr="006B42C9">
        <w:rPr>
          <w:rStyle w:val="Hiperpovezava"/>
          <w:rFonts w:asciiTheme="majorHAnsi" w:eastAsia="Arial" w:hAnsiTheme="majorHAnsi" w:cstheme="majorHAnsi"/>
          <w:bCs/>
          <w:smallCaps w:val="0"/>
        </w:rPr>
        <w:fldChar w:fldCharType="end"/>
      </w:r>
    </w:p>
    <w:p w14:paraId="57EAA6BE" w14:textId="77777777" w:rsidR="003836D1" w:rsidRPr="00F11127" w:rsidRDefault="003836D1" w:rsidP="00BD1D20">
      <w:pPr>
        <w:spacing w:line="276" w:lineRule="auto"/>
        <w:rPr>
          <w:rFonts w:asciiTheme="majorHAnsi" w:hAnsiTheme="majorHAnsi" w:cstheme="majorHAnsi"/>
          <w:highlight w:val="yellow"/>
        </w:rPr>
        <w:sectPr w:rsidR="003836D1" w:rsidRPr="00F11127" w:rsidSect="00480057">
          <w:pgSz w:w="11906" w:h="16838"/>
          <w:pgMar w:top="1417" w:right="1417" w:bottom="1417" w:left="1417" w:header="708" w:footer="708" w:gutter="0"/>
          <w:cols w:space="708"/>
          <w:titlePg/>
          <w:docGrid w:linePitch="360"/>
        </w:sectPr>
      </w:pPr>
    </w:p>
    <w:p w14:paraId="600BAE46" w14:textId="77777777" w:rsidR="00F646BC" w:rsidRPr="00F11127" w:rsidRDefault="006B2762" w:rsidP="00BD1D20">
      <w:pPr>
        <w:pStyle w:val="Naslov1"/>
        <w:numPr>
          <w:ilvl w:val="0"/>
          <w:numId w:val="3"/>
        </w:numPr>
        <w:rPr>
          <w:rFonts w:cstheme="majorHAnsi"/>
        </w:rPr>
      </w:pPr>
      <w:bookmarkStart w:id="35" w:name="_Toc210033761"/>
      <w:r w:rsidRPr="00F11127">
        <w:rPr>
          <w:rFonts w:cstheme="majorHAnsi"/>
        </w:rPr>
        <w:lastRenderedPageBreak/>
        <w:t>UVODNO POJASNILO</w:t>
      </w:r>
      <w:bookmarkEnd w:id="35"/>
    </w:p>
    <w:p w14:paraId="3B2998CF" w14:textId="77777777" w:rsidR="00A436A4" w:rsidRPr="00F11127" w:rsidRDefault="00A436A4" w:rsidP="00BD1D20">
      <w:pPr>
        <w:spacing w:after="120" w:line="276" w:lineRule="auto"/>
        <w:rPr>
          <w:rFonts w:asciiTheme="majorHAnsi" w:hAnsiTheme="majorHAnsi" w:cstheme="majorHAnsi"/>
          <w:sz w:val="22"/>
          <w:szCs w:val="22"/>
        </w:rPr>
      </w:pPr>
    </w:p>
    <w:p w14:paraId="2D3AE56A" w14:textId="77777777" w:rsidR="00777C82" w:rsidRPr="00E97769" w:rsidRDefault="00777C82" w:rsidP="00777C82">
      <w:pPr>
        <w:spacing w:after="200" w:line="276" w:lineRule="auto"/>
        <w:jc w:val="both"/>
        <w:rPr>
          <w:rFonts w:ascii="Arial" w:eastAsia="Arial" w:hAnsi="Arial" w:cs="Arial"/>
          <w:sz w:val="22"/>
          <w:szCs w:val="22"/>
        </w:rPr>
      </w:pPr>
      <w:r w:rsidRPr="00E97769">
        <w:rPr>
          <w:rFonts w:ascii="Arial" w:eastAsia="Arial" w:hAnsi="Arial" w:cs="Arial"/>
          <w:sz w:val="22"/>
          <w:szCs w:val="22"/>
        </w:rPr>
        <w:t>Občina Ig je pristopila k urbanistični ureditvi ožjega dela centra Iga ob Govekarjevi cesti, od avtobusnega postajališča do Troštove ulice</w:t>
      </w:r>
      <w:r>
        <w:rPr>
          <w:rFonts w:ascii="Arial" w:eastAsia="Arial" w:hAnsi="Arial" w:cs="Arial"/>
          <w:sz w:val="22"/>
          <w:szCs w:val="22"/>
        </w:rPr>
        <w:t>, v katerem zasleduje cilje in ukrepe zelene infrastrukture in trajnostne mobilnosti.</w:t>
      </w:r>
    </w:p>
    <w:p w14:paraId="477FD5D2" w14:textId="77777777" w:rsidR="00777C82" w:rsidRPr="00E97769" w:rsidRDefault="00777C82" w:rsidP="00777C82">
      <w:pPr>
        <w:spacing w:after="200" w:line="276" w:lineRule="auto"/>
        <w:jc w:val="both"/>
        <w:rPr>
          <w:rFonts w:ascii="Arial" w:eastAsia="Arial" w:hAnsi="Arial" w:cs="Arial"/>
          <w:sz w:val="22"/>
          <w:szCs w:val="22"/>
        </w:rPr>
      </w:pPr>
      <w:r w:rsidRPr="00E97769">
        <w:rPr>
          <w:rFonts w:ascii="Arial" w:eastAsia="Arial" w:hAnsi="Arial" w:cs="Arial"/>
          <w:sz w:val="22"/>
          <w:szCs w:val="22"/>
        </w:rPr>
        <w:t>Naselje Ig je občinsko središče, ki se naglo razvija in ima številne omejitve v prostorskem širjenju. Z urbanistično ureditvijo ožjega dela Iga se nadgrajuje obstoječe središče ob upoštevanju zgodovinskega pomena lokacije in novo umeščenih programov in dejavnosti, ki se izvajajo na tem delu Iga.</w:t>
      </w:r>
    </w:p>
    <w:p w14:paraId="0E3AA99E" w14:textId="77777777"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 xml:space="preserve">Občina Ig je v skladu z usmeritvami nacionalnih in evropskih politik trajnostne mobilnosti pristopila k pripravi in izvedbi projekta </w:t>
      </w:r>
      <w:r w:rsidRPr="00E97769">
        <w:rPr>
          <w:rFonts w:ascii="Arial" w:hAnsi="Arial" w:cs="Arial"/>
          <w:b/>
          <w:bCs/>
          <w:sz w:val="22"/>
          <w:szCs w:val="22"/>
        </w:rPr>
        <w:t>celovite ureditve središča naselja Ig</w:t>
      </w:r>
      <w:r w:rsidRPr="00E97769">
        <w:rPr>
          <w:rFonts w:ascii="Arial" w:hAnsi="Arial" w:cs="Arial"/>
          <w:sz w:val="22"/>
          <w:szCs w:val="22"/>
        </w:rPr>
        <w:t>, ki vključuje vrsto ukrepov za izboljšanje prometne varnosti, zmanjšanje odvisnosti od osebnih vozil ter spodbujanje hoje, kolesarjenja in uporabe javnega potniškega prometa.</w:t>
      </w:r>
    </w:p>
    <w:p w14:paraId="6DDB06AB" w14:textId="77777777"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Občina Ig je v letu 2024 pripravila dokument identifikacije investicijskega projekta (DIIP), ki je obsegal celoten sklop ukrepov za trajnostno mobilnost in zeleno infrastrukturo v središču naselja Ig. Na podlagi nadaljnjega usklajevanja z razvojnimi programi in razpisnimi pogoji se projekt v letu 2025 deli na dva samostojna projekta, in sicer:</w:t>
      </w:r>
    </w:p>
    <w:p w14:paraId="069BB9A6" w14:textId="77777777" w:rsidR="00777C82" w:rsidRPr="00E97769" w:rsidRDefault="00777C82" w:rsidP="00777C82">
      <w:pPr>
        <w:numPr>
          <w:ilvl w:val="0"/>
          <w:numId w:val="106"/>
        </w:numPr>
        <w:spacing w:after="120" w:line="276" w:lineRule="auto"/>
        <w:jc w:val="both"/>
        <w:rPr>
          <w:rFonts w:ascii="Arial" w:hAnsi="Arial" w:cs="Arial"/>
          <w:sz w:val="22"/>
          <w:szCs w:val="22"/>
        </w:rPr>
      </w:pPr>
      <w:r w:rsidRPr="00E97769">
        <w:rPr>
          <w:rFonts w:ascii="Arial" w:hAnsi="Arial" w:cs="Arial"/>
          <w:sz w:val="22"/>
          <w:szCs w:val="22"/>
        </w:rPr>
        <w:t>Trajnostna mobilnost, kjer bo občina kandidirala za sofinanciranje na javnem razpisu MOPE (JR EKP UTM 2025),</w:t>
      </w:r>
    </w:p>
    <w:p w14:paraId="1F2DBB98" w14:textId="77777777" w:rsidR="00777C82" w:rsidRPr="00E97769" w:rsidRDefault="00777C82" w:rsidP="00777C82">
      <w:pPr>
        <w:numPr>
          <w:ilvl w:val="0"/>
          <w:numId w:val="106"/>
        </w:numPr>
        <w:spacing w:after="120" w:line="276" w:lineRule="auto"/>
        <w:jc w:val="both"/>
        <w:rPr>
          <w:rFonts w:ascii="Arial" w:hAnsi="Arial" w:cs="Arial"/>
          <w:sz w:val="22"/>
          <w:szCs w:val="22"/>
        </w:rPr>
      </w:pPr>
      <w:r w:rsidRPr="00E97769">
        <w:rPr>
          <w:rFonts w:ascii="Arial" w:hAnsi="Arial" w:cs="Arial"/>
          <w:sz w:val="22"/>
          <w:szCs w:val="22"/>
        </w:rPr>
        <w:t>Zelena infrastruktura, ki je s svojimi vsebinami uvrščena v Dogovor za razvoj regij (DRR).</w:t>
      </w:r>
    </w:p>
    <w:p w14:paraId="38828917" w14:textId="6431F08E"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Zaradi razdelitve vsebin in ločenega financiranja se oba projekta vodita povsem ločeno, kar narekuje tudi pripravo nove investicijske dokumentacije</w:t>
      </w:r>
      <w:r>
        <w:rPr>
          <w:rFonts w:ascii="Arial" w:hAnsi="Arial" w:cs="Arial"/>
          <w:sz w:val="22"/>
          <w:szCs w:val="22"/>
        </w:rPr>
        <w:t>. Zaradi česar je bil ponovno izdelan DIIP</w:t>
      </w:r>
      <w:r w:rsidR="00D620A7">
        <w:rPr>
          <w:rFonts w:ascii="Arial" w:hAnsi="Arial" w:cs="Arial"/>
          <w:sz w:val="22"/>
          <w:szCs w:val="22"/>
        </w:rPr>
        <w:t>, PIZ</w:t>
      </w:r>
      <w:r>
        <w:rPr>
          <w:rFonts w:ascii="Arial" w:hAnsi="Arial" w:cs="Arial"/>
          <w:sz w:val="22"/>
          <w:szCs w:val="22"/>
        </w:rPr>
        <w:t xml:space="preserve"> in predmetni </w:t>
      </w:r>
      <w:r w:rsidR="00D620A7">
        <w:rPr>
          <w:rFonts w:ascii="Arial" w:hAnsi="Arial" w:cs="Arial"/>
          <w:sz w:val="22"/>
          <w:szCs w:val="22"/>
        </w:rPr>
        <w:t>IP</w:t>
      </w:r>
      <w:r>
        <w:rPr>
          <w:rFonts w:ascii="Arial" w:hAnsi="Arial" w:cs="Arial"/>
          <w:sz w:val="22"/>
          <w:szCs w:val="22"/>
        </w:rPr>
        <w:t xml:space="preserve">, </w:t>
      </w:r>
      <w:r w:rsidRPr="00E97769">
        <w:rPr>
          <w:rFonts w:ascii="Arial" w:hAnsi="Arial" w:cs="Arial"/>
          <w:sz w:val="22"/>
          <w:szCs w:val="22"/>
        </w:rPr>
        <w:t xml:space="preserve">ki se </w:t>
      </w:r>
      <w:r w:rsidR="00D77C97" w:rsidRPr="00E97769">
        <w:rPr>
          <w:rFonts w:ascii="Arial" w:hAnsi="Arial" w:cs="Arial"/>
          <w:sz w:val="22"/>
          <w:szCs w:val="22"/>
        </w:rPr>
        <w:t>nanaša</w:t>
      </w:r>
      <w:r w:rsidR="00D77C97">
        <w:rPr>
          <w:rFonts w:ascii="Arial" w:hAnsi="Arial" w:cs="Arial"/>
          <w:sz w:val="22"/>
          <w:szCs w:val="22"/>
        </w:rPr>
        <w:t>jo</w:t>
      </w:r>
      <w:r w:rsidRPr="00E97769">
        <w:rPr>
          <w:rFonts w:ascii="Arial" w:hAnsi="Arial" w:cs="Arial"/>
          <w:sz w:val="22"/>
          <w:szCs w:val="22"/>
        </w:rPr>
        <w:t xml:space="preserve"> izključno na projekt </w:t>
      </w:r>
      <w:r>
        <w:rPr>
          <w:rFonts w:ascii="Arial" w:hAnsi="Arial" w:cs="Arial"/>
          <w:sz w:val="22"/>
          <w:szCs w:val="22"/>
        </w:rPr>
        <w:t>Celovita ureditev centra Ig – ukrepi t</w:t>
      </w:r>
      <w:r w:rsidRPr="00E97769">
        <w:rPr>
          <w:rFonts w:ascii="Arial" w:hAnsi="Arial" w:cs="Arial"/>
          <w:sz w:val="22"/>
          <w:szCs w:val="22"/>
        </w:rPr>
        <w:t>rajnostn</w:t>
      </w:r>
      <w:r>
        <w:rPr>
          <w:rFonts w:ascii="Arial" w:hAnsi="Arial" w:cs="Arial"/>
          <w:sz w:val="22"/>
          <w:szCs w:val="22"/>
        </w:rPr>
        <w:t>e</w:t>
      </w:r>
      <w:r w:rsidRPr="00E97769">
        <w:rPr>
          <w:rFonts w:ascii="Arial" w:hAnsi="Arial" w:cs="Arial"/>
          <w:sz w:val="22"/>
          <w:szCs w:val="22"/>
        </w:rPr>
        <w:t xml:space="preserve"> mobilnost</w:t>
      </w:r>
      <w:r>
        <w:rPr>
          <w:rFonts w:ascii="Arial" w:hAnsi="Arial" w:cs="Arial"/>
          <w:sz w:val="22"/>
          <w:szCs w:val="22"/>
        </w:rPr>
        <w:t>i</w:t>
      </w:r>
      <w:r w:rsidRPr="00E97769">
        <w:rPr>
          <w:rFonts w:ascii="Arial" w:hAnsi="Arial" w:cs="Arial"/>
          <w:sz w:val="22"/>
          <w:szCs w:val="22"/>
        </w:rPr>
        <w:t>.</w:t>
      </w:r>
    </w:p>
    <w:p w14:paraId="02D20D27" w14:textId="77777777"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 xml:space="preserve">Na podlagi shematičnega prikaza, ki izhaja iz Slike 1 v nadaljevanju sta transparentno prikazana oba projekta, tj. </w:t>
      </w:r>
      <w:r w:rsidRPr="00E97769">
        <w:rPr>
          <w:rFonts w:ascii="Arial" w:hAnsi="Arial" w:cs="Arial"/>
          <w:i/>
          <w:iCs/>
          <w:sz w:val="22"/>
          <w:szCs w:val="22"/>
        </w:rPr>
        <w:t>Celovita ureditev centra Ig – zelena infrastruktura</w:t>
      </w:r>
      <w:r w:rsidRPr="00E97769">
        <w:rPr>
          <w:rFonts w:ascii="Arial" w:hAnsi="Arial" w:cs="Arial"/>
          <w:sz w:val="22"/>
          <w:szCs w:val="22"/>
        </w:rPr>
        <w:t xml:space="preserve"> in </w:t>
      </w:r>
      <w:r w:rsidRPr="00E97769">
        <w:rPr>
          <w:rFonts w:ascii="Arial" w:hAnsi="Arial" w:cs="Arial"/>
          <w:i/>
          <w:iCs/>
          <w:sz w:val="22"/>
          <w:szCs w:val="22"/>
        </w:rPr>
        <w:t>Celovita ureditev centra Ig – trajnostna mobilnost</w:t>
      </w:r>
      <w:r>
        <w:rPr>
          <w:rFonts w:ascii="Arial" w:hAnsi="Arial" w:cs="Arial"/>
          <w:sz w:val="22"/>
          <w:szCs w:val="22"/>
        </w:rPr>
        <w:t>, ki se bosta izvajala sočasno.</w:t>
      </w:r>
    </w:p>
    <w:p w14:paraId="4F4F43D2" w14:textId="77777777" w:rsidR="00777C82" w:rsidRPr="00E97769" w:rsidRDefault="00777C82" w:rsidP="00777C82">
      <w:pPr>
        <w:spacing w:after="200" w:line="276" w:lineRule="auto"/>
        <w:rPr>
          <w:rFonts w:ascii="Arial" w:hAnsi="Arial" w:cs="Arial"/>
          <w:sz w:val="22"/>
          <w:szCs w:val="22"/>
        </w:rPr>
      </w:pPr>
      <w:r w:rsidRPr="00E97769">
        <w:rPr>
          <w:rFonts w:ascii="Arial" w:hAnsi="Arial" w:cs="Arial"/>
          <w:sz w:val="22"/>
          <w:szCs w:val="22"/>
        </w:rPr>
        <w:br w:type="page"/>
      </w:r>
    </w:p>
    <w:p w14:paraId="2FAAF662" w14:textId="368F6FEE" w:rsidR="00AA423F" w:rsidRPr="00E97769" w:rsidRDefault="00AA423F" w:rsidP="00AA423F">
      <w:pPr>
        <w:rPr>
          <w:rFonts w:ascii="Arial" w:hAnsi="Arial" w:cs="Arial"/>
          <w:sz w:val="22"/>
          <w:szCs w:val="22"/>
        </w:rPr>
      </w:pPr>
      <w:bookmarkStart w:id="36" w:name="_Toc209029189"/>
      <w:bookmarkStart w:id="37" w:name="_Toc209277204"/>
      <w:bookmarkStart w:id="38" w:name="_Toc210033649"/>
      <w:r w:rsidRPr="00E97769">
        <w:rPr>
          <w:rFonts w:ascii="Arial" w:hAnsi="Arial" w:cs="Arial"/>
          <w:b/>
          <w:bCs/>
          <w:sz w:val="22"/>
          <w:szCs w:val="22"/>
        </w:rPr>
        <w:lastRenderedPageBreak/>
        <w:t xml:space="preserve">Slika </w:t>
      </w:r>
      <w:r w:rsidRPr="00E97769">
        <w:rPr>
          <w:rFonts w:ascii="Arial" w:hAnsi="Arial" w:cs="Arial"/>
          <w:b/>
          <w:bCs/>
          <w:sz w:val="22"/>
          <w:szCs w:val="22"/>
        </w:rPr>
        <w:fldChar w:fldCharType="begin"/>
      </w:r>
      <w:r w:rsidRPr="00E97769">
        <w:rPr>
          <w:rFonts w:ascii="Arial" w:hAnsi="Arial" w:cs="Arial"/>
          <w:b/>
          <w:bCs/>
          <w:sz w:val="22"/>
          <w:szCs w:val="22"/>
        </w:rPr>
        <w:instrText xml:space="preserve"> SEQ Slika \* ARABIC </w:instrText>
      </w:r>
      <w:r w:rsidRPr="00E97769">
        <w:rPr>
          <w:rFonts w:ascii="Arial" w:hAnsi="Arial" w:cs="Arial"/>
          <w:b/>
          <w:bCs/>
          <w:sz w:val="22"/>
          <w:szCs w:val="22"/>
        </w:rPr>
        <w:fldChar w:fldCharType="separate"/>
      </w:r>
      <w:r w:rsidR="00E74D26">
        <w:rPr>
          <w:rFonts w:ascii="Arial" w:hAnsi="Arial" w:cs="Arial"/>
          <w:b/>
          <w:bCs/>
          <w:noProof/>
          <w:sz w:val="22"/>
          <w:szCs w:val="22"/>
        </w:rPr>
        <w:t>1</w:t>
      </w:r>
      <w:r w:rsidRPr="00E97769">
        <w:rPr>
          <w:rFonts w:ascii="Arial" w:hAnsi="Arial" w:cs="Arial"/>
          <w:b/>
          <w:bCs/>
          <w:sz w:val="22"/>
          <w:szCs w:val="22"/>
        </w:rPr>
        <w:fldChar w:fldCharType="end"/>
      </w:r>
      <w:r w:rsidRPr="00E97769">
        <w:rPr>
          <w:rFonts w:ascii="Arial" w:hAnsi="Arial" w:cs="Arial"/>
          <w:b/>
          <w:bCs/>
          <w:sz w:val="22"/>
          <w:szCs w:val="22"/>
        </w:rPr>
        <w:t xml:space="preserve">: </w:t>
      </w:r>
      <w:r w:rsidRPr="00E97769">
        <w:rPr>
          <w:rFonts w:ascii="Arial" w:hAnsi="Arial" w:cs="Arial"/>
          <w:sz w:val="22"/>
          <w:szCs w:val="22"/>
        </w:rPr>
        <w:t>Shema prikaza obeh projektov za celovito ureditev centra Ig</w:t>
      </w:r>
      <w:bookmarkEnd w:id="36"/>
      <w:bookmarkEnd w:id="37"/>
      <w:bookmarkEnd w:id="38"/>
    </w:p>
    <w:p w14:paraId="4CBAE8A4" w14:textId="77777777" w:rsidR="00AA423F" w:rsidRPr="00B01FA6" w:rsidRDefault="00AA423F" w:rsidP="00AA423F">
      <w:pPr>
        <w:rPr>
          <w:rFonts w:asciiTheme="majorHAnsi" w:hAnsiTheme="majorHAnsi" w:cstheme="majorHAnsi"/>
        </w:rPr>
      </w:pPr>
      <w:bookmarkStart w:id="39" w:name="_Hlk209279224"/>
      <w:r w:rsidRPr="00817B13">
        <w:rPr>
          <w:rFonts w:asciiTheme="majorHAnsi" w:hAnsiTheme="majorHAnsi" w:cstheme="majorHAnsi"/>
          <w:noProof/>
        </w:rPr>
        <w:drawing>
          <wp:inline distT="0" distB="0" distL="0" distR="0" wp14:anchorId="397BA9A7" wp14:editId="58284FD9">
            <wp:extent cx="5743575" cy="8799788"/>
            <wp:effectExtent l="0" t="0" r="0" b="1905"/>
            <wp:docPr id="1960979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9101" name=""/>
                    <pic:cNvPicPr/>
                  </pic:nvPicPr>
                  <pic:blipFill>
                    <a:blip r:embed="rId16"/>
                    <a:stretch>
                      <a:fillRect/>
                    </a:stretch>
                  </pic:blipFill>
                  <pic:spPr>
                    <a:xfrm>
                      <a:off x="0" y="0"/>
                      <a:ext cx="5746862" cy="8804823"/>
                    </a:xfrm>
                    <a:prstGeom prst="rect">
                      <a:avLst/>
                    </a:prstGeom>
                  </pic:spPr>
                </pic:pic>
              </a:graphicData>
            </a:graphic>
          </wp:inline>
        </w:drawing>
      </w:r>
      <w:bookmarkEnd w:id="39"/>
    </w:p>
    <w:p w14:paraId="7F8480E3" w14:textId="2764FDB1" w:rsidR="00777C82" w:rsidRPr="00E97769" w:rsidRDefault="00777C82" w:rsidP="00777C82">
      <w:pPr>
        <w:spacing w:after="200" w:line="276" w:lineRule="auto"/>
        <w:jc w:val="both"/>
        <w:rPr>
          <w:rFonts w:ascii="Arial" w:hAnsi="Arial" w:cs="Arial"/>
          <w:sz w:val="22"/>
          <w:szCs w:val="22"/>
        </w:rPr>
      </w:pPr>
      <w:r w:rsidRPr="00E97769">
        <w:rPr>
          <w:rFonts w:ascii="Arial" w:hAnsi="Arial" w:cs="Arial"/>
          <w:sz w:val="22"/>
          <w:szCs w:val="22"/>
        </w:rPr>
        <w:lastRenderedPageBreak/>
        <w:t>Namen investicije je oblikovanje kakovostnejšega, varnejšega in privlačnejšega javnega prostora z integracijo zelene infrastrukture ter s tem zmanjšanje negativnih vplivov prometa na okolje.</w:t>
      </w:r>
    </w:p>
    <w:p w14:paraId="195177C8" w14:textId="77777777"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 xml:space="preserve">Ukrepi trajnostne mobilnosti – kot so preureditev cest v skupne prometne prostore, ureditev kolesarske infrastrukture, izgradnja sodobnega avtobusnega postajališča ter uvedba sistemov za spremljanje in umirjanje prometa – bodo prispevali k zmanjšanju </w:t>
      </w:r>
      <w:proofErr w:type="spellStart"/>
      <w:r w:rsidRPr="00E97769">
        <w:rPr>
          <w:rFonts w:ascii="Arial" w:hAnsi="Arial" w:cs="Arial"/>
          <w:sz w:val="22"/>
          <w:szCs w:val="22"/>
        </w:rPr>
        <w:t>ogljičnega</w:t>
      </w:r>
      <w:proofErr w:type="spellEnd"/>
      <w:r w:rsidRPr="00E97769">
        <w:rPr>
          <w:rFonts w:ascii="Arial" w:hAnsi="Arial" w:cs="Arial"/>
          <w:sz w:val="22"/>
          <w:szCs w:val="22"/>
        </w:rPr>
        <w:t xml:space="preserve"> odtisa in hkrati omogočili višjo kakovost bivanja za prebivalce in obiskovalce občine.</w:t>
      </w:r>
    </w:p>
    <w:p w14:paraId="656CFC1C" w14:textId="77777777" w:rsidR="00777C82" w:rsidRPr="00E97769" w:rsidRDefault="00777C82" w:rsidP="00777C82">
      <w:pPr>
        <w:spacing w:after="120" w:line="276" w:lineRule="auto"/>
        <w:jc w:val="both"/>
        <w:rPr>
          <w:rFonts w:ascii="Arial" w:hAnsi="Arial" w:cs="Arial"/>
          <w:sz w:val="22"/>
          <w:szCs w:val="22"/>
        </w:rPr>
      </w:pPr>
      <w:r w:rsidRPr="00E97769">
        <w:rPr>
          <w:rFonts w:ascii="Arial" w:hAnsi="Arial" w:cs="Arial"/>
          <w:sz w:val="22"/>
          <w:szCs w:val="22"/>
        </w:rPr>
        <w:t xml:space="preserve">Projekt tako sledi ciljem </w:t>
      </w:r>
      <w:r w:rsidRPr="00E97769">
        <w:rPr>
          <w:rFonts w:ascii="Arial" w:hAnsi="Arial" w:cs="Arial"/>
          <w:b/>
          <w:bCs/>
          <w:sz w:val="22"/>
          <w:szCs w:val="22"/>
        </w:rPr>
        <w:t>Javnega razpisa MOPE (JR EKP UTM 2025)</w:t>
      </w:r>
      <w:r w:rsidRPr="00E97769">
        <w:rPr>
          <w:rFonts w:ascii="Arial" w:hAnsi="Arial" w:cs="Arial"/>
          <w:sz w:val="22"/>
          <w:szCs w:val="22"/>
        </w:rPr>
        <w:t xml:space="preserve"> ter strateškim dokumentom občine in države, ki dajejo prednost trajnostnim oblikam mobilnosti, varstvu okolja in razvoju vključujočih javnih prostorov.</w:t>
      </w:r>
    </w:p>
    <w:p w14:paraId="4813CAEF" w14:textId="77777777" w:rsidR="00F12FFC" w:rsidRPr="00F11127" w:rsidRDefault="00F12FFC" w:rsidP="00BD1D20">
      <w:pPr>
        <w:spacing w:line="276" w:lineRule="auto"/>
        <w:jc w:val="both"/>
        <w:rPr>
          <w:rFonts w:asciiTheme="majorHAnsi" w:hAnsiTheme="majorHAnsi" w:cstheme="majorHAnsi"/>
          <w:sz w:val="22"/>
          <w:szCs w:val="22"/>
          <w:lang w:eastAsia="en-US"/>
        </w:rPr>
      </w:pPr>
    </w:p>
    <w:p w14:paraId="3A5D1A87" w14:textId="77777777" w:rsidR="00F12FFC" w:rsidRPr="00F11127" w:rsidRDefault="00F12FFC" w:rsidP="00BD1D20">
      <w:pPr>
        <w:spacing w:after="200" w:line="276" w:lineRule="auto"/>
        <w:jc w:val="both"/>
        <w:rPr>
          <w:rFonts w:asciiTheme="majorHAnsi" w:hAnsiTheme="majorHAnsi" w:cstheme="majorHAnsi"/>
          <w:sz w:val="22"/>
          <w:szCs w:val="22"/>
          <w:lang w:eastAsia="en-US"/>
        </w:rPr>
      </w:pPr>
      <w:r w:rsidRPr="00F11127">
        <w:rPr>
          <w:rFonts w:asciiTheme="majorHAnsi" w:hAnsiTheme="majorHAnsi" w:cstheme="majorHAnsi"/>
          <w:sz w:val="22"/>
          <w:szCs w:val="22"/>
          <w:lang w:eastAsia="en-US"/>
        </w:rPr>
        <w:t xml:space="preserve">V nadaljevanju so v preglednici predstavljeni ključni elementi investicijskega projekta. </w:t>
      </w:r>
    </w:p>
    <w:p w14:paraId="20CF6F82" w14:textId="7B064807" w:rsidR="00F12FFC" w:rsidRPr="00F11127" w:rsidRDefault="00F12FFC" w:rsidP="00BD1D20">
      <w:pPr>
        <w:spacing w:after="200" w:line="276" w:lineRule="auto"/>
        <w:ind w:left="1418" w:hanging="1418"/>
        <w:rPr>
          <w:rFonts w:asciiTheme="majorHAnsi" w:hAnsiTheme="majorHAnsi" w:cstheme="majorHAnsi"/>
          <w:sz w:val="22"/>
          <w:szCs w:val="22"/>
          <w:lang w:eastAsia="en-US"/>
        </w:rPr>
      </w:pPr>
      <w:bookmarkStart w:id="40" w:name="_Toc172120991"/>
      <w:bookmarkStart w:id="41" w:name="_Toc209528287"/>
      <w:r w:rsidRPr="00F11127">
        <w:rPr>
          <w:rFonts w:asciiTheme="majorHAnsi" w:hAnsiTheme="majorHAnsi" w:cstheme="majorHAnsi"/>
          <w:b/>
          <w:bCs/>
          <w:sz w:val="22"/>
          <w:szCs w:val="22"/>
          <w:lang w:eastAsia="en-US"/>
        </w:rPr>
        <w:t>Tabela</w:t>
      </w:r>
      <w:r w:rsidRPr="00F11127">
        <w:rPr>
          <w:rFonts w:asciiTheme="majorHAnsi" w:hAnsiTheme="majorHAnsi" w:cstheme="majorHAnsi"/>
          <w:bCs/>
          <w:sz w:val="22"/>
          <w:szCs w:val="22"/>
          <w:lang w:eastAsia="en-US"/>
        </w:rPr>
        <w:t xml:space="preserve"> </w:t>
      </w:r>
      <w:r w:rsidRPr="00F11127">
        <w:rPr>
          <w:rFonts w:asciiTheme="majorHAnsi" w:hAnsiTheme="majorHAnsi" w:cstheme="majorHAnsi"/>
          <w:b/>
          <w:bCs/>
          <w:sz w:val="22"/>
          <w:szCs w:val="22"/>
          <w:lang w:eastAsia="en-US"/>
        </w:rPr>
        <w:fldChar w:fldCharType="begin"/>
      </w:r>
      <w:r w:rsidRPr="00F11127">
        <w:rPr>
          <w:rFonts w:asciiTheme="majorHAnsi" w:hAnsiTheme="majorHAnsi" w:cstheme="majorHAnsi"/>
          <w:b/>
          <w:bCs/>
          <w:sz w:val="22"/>
          <w:szCs w:val="22"/>
          <w:lang w:eastAsia="en-US"/>
        </w:rPr>
        <w:instrText xml:space="preserve"> SEQ Tabela \* ARABIC </w:instrText>
      </w:r>
      <w:r w:rsidRPr="00F11127">
        <w:rPr>
          <w:rFonts w:asciiTheme="majorHAnsi" w:hAnsiTheme="majorHAnsi" w:cstheme="majorHAnsi"/>
          <w:b/>
          <w:bCs/>
          <w:sz w:val="22"/>
          <w:szCs w:val="22"/>
          <w:lang w:eastAsia="en-US"/>
        </w:rPr>
        <w:fldChar w:fldCharType="separate"/>
      </w:r>
      <w:r w:rsidR="00E74D26">
        <w:rPr>
          <w:rFonts w:asciiTheme="majorHAnsi" w:hAnsiTheme="majorHAnsi" w:cstheme="majorHAnsi"/>
          <w:b/>
          <w:bCs/>
          <w:noProof/>
          <w:sz w:val="22"/>
          <w:szCs w:val="22"/>
          <w:lang w:eastAsia="en-US"/>
        </w:rPr>
        <w:t>1</w:t>
      </w:r>
      <w:r w:rsidRPr="00F11127">
        <w:rPr>
          <w:rFonts w:asciiTheme="majorHAnsi" w:hAnsiTheme="majorHAnsi" w:cstheme="majorHAnsi"/>
          <w:b/>
          <w:bCs/>
          <w:sz w:val="22"/>
          <w:szCs w:val="22"/>
          <w:lang w:eastAsia="en-US"/>
        </w:rPr>
        <w:fldChar w:fldCharType="end"/>
      </w:r>
      <w:r w:rsidRPr="00F11127">
        <w:rPr>
          <w:rFonts w:asciiTheme="majorHAnsi" w:hAnsiTheme="majorHAnsi" w:cstheme="majorHAnsi"/>
          <w:bCs/>
          <w:sz w:val="22"/>
          <w:szCs w:val="22"/>
          <w:lang w:eastAsia="en-US"/>
        </w:rPr>
        <w:t>: Ključni podatki o projektu</w:t>
      </w:r>
      <w:bookmarkEnd w:id="40"/>
      <w:bookmarkEnd w:id="41"/>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4A0" w:firstRow="1" w:lastRow="0" w:firstColumn="1" w:lastColumn="0" w:noHBand="0" w:noVBand="1"/>
      </w:tblPr>
      <w:tblGrid>
        <w:gridCol w:w="2973"/>
        <w:gridCol w:w="6336"/>
      </w:tblGrid>
      <w:tr w:rsidR="00F12FFC" w:rsidRPr="00B923E9" w14:paraId="5ADFAEC0" w14:textId="77777777" w:rsidTr="00B923E9">
        <w:trPr>
          <w:trHeight w:val="318"/>
        </w:trPr>
        <w:tc>
          <w:tcPr>
            <w:tcW w:w="1597" w:type="pct"/>
            <w:shd w:val="clear" w:color="auto" w:fill="DBE5F1"/>
            <w:vAlign w:val="center"/>
          </w:tcPr>
          <w:p w14:paraId="50F5861F"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NAROČNIK INVESTICIJSKE DOKUMENTACIJE</w:t>
            </w:r>
          </w:p>
        </w:tc>
        <w:tc>
          <w:tcPr>
            <w:tcW w:w="3403" w:type="pct"/>
            <w:vAlign w:val="center"/>
          </w:tcPr>
          <w:p w14:paraId="72B9BEEB" w14:textId="77777777" w:rsidR="009D52F7"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OBČINA IG</w:t>
            </w:r>
          </w:p>
          <w:p w14:paraId="7627406E" w14:textId="5ADE425E" w:rsidR="00F12FFC"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Govekarjeva cesta 6, 1292 Ig</w:t>
            </w:r>
          </w:p>
        </w:tc>
      </w:tr>
      <w:tr w:rsidR="00F12FFC" w:rsidRPr="00B923E9" w14:paraId="3D7B3C03" w14:textId="77777777" w:rsidTr="00B923E9">
        <w:trPr>
          <w:trHeight w:val="318"/>
        </w:trPr>
        <w:tc>
          <w:tcPr>
            <w:tcW w:w="1597" w:type="pct"/>
            <w:shd w:val="clear" w:color="auto" w:fill="DBE5F1"/>
            <w:vAlign w:val="center"/>
          </w:tcPr>
          <w:p w14:paraId="523FE014"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IZDELOVALEC INVESTICIJSKE DOKUMENTACIJE</w:t>
            </w:r>
          </w:p>
        </w:tc>
        <w:tc>
          <w:tcPr>
            <w:tcW w:w="3403" w:type="pct"/>
            <w:vAlign w:val="center"/>
          </w:tcPr>
          <w:p w14:paraId="7784416B" w14:textId="77777777" w:rsidR="00F12FFC" w:rsidRPr="00B923E9" w:rsidRDefault="00F12FFC" w:rsidP="00BD1D20">
            <w:pPr>
              <w:spacing w:line="276" w:lineRule="auto"/>
              <w:rPr>
                <w:rFonts w:asciiTheme="majorHAnsi" w:eastAsia="Arial Unicode MS" w:hAnsiTheme="majorHAnsi" w:cstheme="majorHAnsi"/>
                <w:sz w:val="22"/>
                <w:szCs w:val="22"/>
                <w:lang w:eastAsia="zh-TW"/>
              </w:rPr>
            </w:pPr>
            <w:proofErr w:type="spellStart"/>
            <w:r w:rsidRPr="00B923E9">
              <w:rPr>
                <w:rFonts w:asciiTheme="majorHAnsi" w:eastAsia="Arial Unicode MS" w:hAnsiTheme="majorHAnsi" w:cstheme="majorHAnsi"/>
                <w:sz w:val="22"/>
                <w:szCs w:val="22"/>
                <w:lang w:eastAsia="zh-TW"/>
              </w:rPr>
              <w:t>ProSVET</w:t>
            </w:r>
            <w:proofErr w:type="spellEnd"/>
            <w:r w:rsidRPr="00B923E9">
              <w:rPr>
                <w:rFonts w:asciiTheme="majorHAnsi" w:eastAsia="Arial Unicode MS" w:hAnsiTheme="majorHAnsi" w:cstheme="majorHAnsi"/>
                <w:sz w:val="22"/>
                <w:szCs w:val="22"/>
                <w:lang w:eastAsia="zh-TW"/>
              </w:rPr>
              <w:t xml:space="preserve">, Martina Magajna </w:t>
            </w:r>
            <w:proofErr w:type="spellStart"/>
            <w:r w:rsidRPr="00B923E9">
              <w:rPr>
                <w:rFonts w:asciiTheme="majorHAnsi" w:eastAsia="Arial Unicode MS" w:hAnsiTheme="majorHAnsi" w:cstheme="majorHAnsi"/>
                <w:sz w:val="22"/>
                <w:szCs w:val="22"/>
                <w:lang w:eastAsia="zh-TW"/>
              </w:rPr>
              <w:t>s.p</w:t>
            </w:r>
            <w:proofErr w:type="spellEnd"/>
            <w:r w:rsidRPr="00B923E9">
              <w:rPr>
                <w:rFonts w:asciiTheme="majorHAnsi" w:eastAsia="Arial Unicode MS" w:hAnsiTheme="majorHAnsi" w:cstheme="majorHAnsi"/>
                <w:sz w:val="22"/>
                <w:szCs w:val="22"/>
                <w:lang w:eastAsia="zh-TW"/>
              </w:rPr>
              <w:t>.</w:t>
            </w:r>
          </w:p>
          <w:p w14:paraId="27CEA421" w14:textId="77777777" w:rsidR="00F12FFC" w:rsidRPr="00B923E9" w:rsidRDefault="00F12FFC" w:rsidP="00BD1D20">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Dilce 40, 6230 Postojna</w:t>
            </w:r>
          </w:p>
        </w:tc>
      </w:tr>
      <w:tr w:rsidR="00F12FFC" w:rsidRPr="00B923E9" w14:paraId="59C9B48B" w14:textId="77777777" w:rsidTr="00B923E9">
        <w:trPr>
          <w:trHeight w:val="318"/>
        </w:trPr>
        <w:tc>
          <w:tcPr>
            <w:tcW w:w="1597" w:type="pct"/>
            <w:shd w:val="clear" w:color="auto" w:fill="DBE5F1"/>
            <w:vAlign w:val="center"/>
          </w:tcPr>
          <w:p w14:paraId="3BBA1781"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INVESTITOR</w:t>
            </w:r>
          </w:p>
        </w:tc>
        <w:tc>
          <w:tcPr>
            <w:tcW w:w="3403" w:type="pct"/>
          </w:tcPr>
          <w:p w14:paraId="7B9F859B" w14:textId="77777777" w:rsidR="009D52F7"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OBČINA IG</w:t>
            </w:r>
          </w:p>
          <w:p w14:paraId="2FB1F9D2" w14:textId="31D58225" w:rsidR="00F12FFC"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Govekarjeva cesta 6, 1292 Ig</w:t>
            </w:r>
          </w:p>
        </w:tc>
      </w:tr>
      <w:tr w:rsidR="00F12FFC" w:rsidRPr="00B923E9" w14:paraId="34F534F6" w14:textId="77777777" w:rsidTr="00B923E9">
        <w:trPr>
          <w:trHeight w:val="318"/>
        </w:trPr>
        <w:tc>
          <w:tcPr>
            <w:tcW w:w="1597" w:type="pct"/>
            <w:shd w:val="clear" w:color="auto" w:fill="DBE5F1"/>
            <w:vAlign w:val="center"/>
          </w:tcPr>
          <w:p w14:paraId="2A202EBC"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STROKOVNI DELAVCI OZ. SLUŽBE, ODGOVORNE ZA PRIPRAVO IN NADZOR NAD PRIPRAVO USTREZNE INVESTICIJSKE, PROJEKTNE IN DRUGE DOKUMENTACIJE</w:t>
            </w:r>
          </w:p>
        </w:tc>
        <w:tc>
          <w:tcPr>
            <w:tcW w:w="3403" w:type="pct"/>
            <w:vAlign w:val="center"/>
          </w:tcPr>
          <w:p w14:paraId="541C52B7" w14:textId="77777777" w:rsidR="00DB222F" w:rsidRPr="00B923E9" w:rsidRDefault="00DB222F"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Marjetka Pintarič Župec, višja svetovalka </w:t>
            </w:r>
          </w:p>
          <w:p w14:paraId="7EBC6100" w14:textId="53D95846" w:rsidR="009D52F7"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OBČINA IG</w:t>
            </w:r>
          </w:p>
          <w:p w14:paraId="2FADADE7" w14:textId="1BE23497" w:rsidR="00F12FFC" w:rsidRPr="00B923E9" w:rsidRDefault="009D52F7" w:rsidP="009D52F7">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Govekarjeva cesta 6, 1292 Ig</w:t>
            </w:r>
          </w:p>
        </w:tc>
      </w:tr>
      <w:tr w:rsidR="00F12FFC" w:rsidRPr="00B923E9" w14:paraId="665D2429" w14:textId="77777777" w:rsidTr="00B923E9">
        <w:trPr>
          <w:trHeight w:val="318"/>
        </w:trPr>
        <w:tc>
          <w:tcPr>
            <w:tcW w:w="1597" w:type="pct"/>
            <w:shd w:val="clear" w:color="auto" w:fill="DBE5F1"/>
            <w:vAlign w:val="center"/>
          </w:tcPr>
          <w:p w14:paraId="3DFD8421"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UPRAVLJAVEC</w:t>
            </w:r>
          </w:p>
        </w:tc>
        <w:tc>
          <w:tcPr>
            <w:tcW w:w="3403" w:type="pct"/>
            <w:vAlign w:val="center"/>
          </w:tcPr>
          <w:p w14:paraId="6E0E0994" w14:textId="77777777" w:rsidR="00DB222F" w:rsidRPr="00B923E9" w:rsidRDefault="00DB222F" w:rsidP="00DB222F">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OBČINA IG</w:t>
            </w:r>
          </w:p>
          <w:p w14:paraId="41C2B9C2" w14:textId="2B925D17" w:rsidR="00F12FFC" w:rsidRPr="00B923E9" w:rsidRDefault="00DB222F" w:rsidP="00DB222F">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Govekarjeva cesta 6, 1292 Ig</w:t>
            </w:r>
          </w:p>
        </w:tc>
      </w:tr>
      <w:tr w:rsidR="00F12FFC" w:rsidRPr="00B923E9" w14:paraId="571D11E3" w14:textId="77777777" w:rsidTr="00B923E9">
        <w:trPr>
          <w:trHeight w:val="318"/>
        </w:trPr>
        <w:tc>
          <w:tcPr>
            <w:tcW w:w="1597" w:type="pct"/>
            <w:shd w:val="clear" w:color="auto" w:fill="DBE5F1"/>
            <w:vAlign w:val="center"/>
          </w:tcPr>
          <w:p w14:paraId="1E412D30"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NAZIV INVESTICIJSKEGA PROJEKTA</w:t>
            </w:r>
          </w:p>
        </w:tc>
        <w:tc>
          <w:tcPr>
            <w:tcW w:w="3403" w:type="pct"/>
            <w:vAlign w:val="center"/>
          </w:tcPr>
          <w:p w14:paraId="456F3A51" w14:textId="794BD7BC" w:rsidR="00F12FFC" w:rsidRPr="00B923E9" w:rsidRDefault="00FD0E8E" w:rsidP="00BD1D20">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sz w:val="22"/>
                <w:szCs w:val="22"/>
                <w:lang w:eastAsia="zh-TW"/>
              </w:rPr>
              <w:t>CELOVITA UREDITEV CENTRA IG – UKREPI TRAJNOSTNE MOBILNOSTI</w:t>
            </w:r>
          </w:p>
        </w:tc>
      </w:tr>
      <w:tr w:rsidR="00F12FFC" w:rsidRPr="00B923E9" w14:paraId="76269F06" w14:textId="77777777" w:rsidTr="00B923E9">
        <w:trPr>
          <w:trHeight w:val="318"/>
        </w:trPr>
        <w:tc>
          <w:tcPr>
            <w:tcW w:w="1597" w:type="pct"/>
            <w:shd w:val="clear" w:color="auto" w:fill="DBE5F1"/>
            <w:vAlign w:val="center"/>
          </w:tcPr>
          <w:p w14:paraId="114410DA"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VRSTA INVESTICIJSKE DOKUMENTACIJE</w:t>
            </w:r>
          </w:p>
        </w:tc>
        <w:tc>
          <w:tcPr>
            <w:tcW w:w="3403" w:type="pct"/>
            <w:vAlign w:val="center"/>
          </w:tcPr>
          <w:p w14:paraId="7B47376F" w14:textId="0207F159" w:rsidR="00F12FFC" w:rsidRPr="00B923E9" w:rsidRDefault="00F12FFC" w:rsidP="00BD1D20">
            <w:pPr>
              <w:spacing w:line="276" w:lineRule="auto"/>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Investicijski program</w:t>
            </w:r>
          </w:p>
        </w:tc>
      </w:tr>
      <w:tr w:rsidR="00F12FFC" w:rsidRPr="00B923E9" w14:paraId="2A84550E" w14:textId="77777777" w:rsidTr="00B923E9">
        <w:trPr>
          <w:trHeight w:val="318"/>
        </w:trPr>
        <w:tc>
          <w:tcPr>
            <w:tcW w:w="1597" w:type="pct"/>
            <w:shd w:val="clear" w:color="auto" w:fill="DBE5F1"/>
            <w:vAlign w:val="center"/>
          </w:tcPr>
          <w:p w14:paraId="42AF9334" w14:textId="42EFBBE1"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 xml:space="preserve">NAMEN IZDELAVE </w:t>
            </w:r>
            <w:r w:rsidR="0041404D" w:rsidRPr="00B923E9">
              <w:rPr>
                <w:rFonts w:asciiTheme="majorHAnsi" w:eastAsia="Arial Unicode MS" w:hAnsiTheme="majorHAnsi" w:cstheme="majorHAnsi"/>
                <w:b/>
                <w:sz w:val="22"/>
                <w:szCs w:val="22"/>
                <w:lang w:eastAsia="zh-TW"/>
              </w:rPr>
              <w:t>IP</w:t>
            </w:r>
          </w:p>
        </w:tc>
        <w:tc>
          <w:tcPr>
            <w:tcW w:w="3403" w:type="pct"/>
          </w:tcPr>
          <w:p w14:paraId="64AF0CA0" w14:textId="295161F6" w:rsidR="00F12FFC" w:rsidRPr="00B923E9" w:rsidRDefault="000C7CFE" w:rsidP="00BD1D20">
            <w:pPr>
              <w:spacing w:line="276" w:lineRule="auto"/>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Investicijski program obravnava podrobno razčlenjeno optimalno varianto investicije. Ta varianta temelji na ustrezni dokumentaciji, ki zagotavlja realno oceno vrednosti in izvedljivosti projekta. Pri tem se kot podlaga uporablja najmanj idejni projekt v skladu z zakonodajo, ki ureja graditev objektov, oziroma druga idejna rešitev, ki vključuje vse potrebne tehnične, tehnološke in druge prvine. Poleg tega se upoštevajo prostorski akti, kadar ti določajo prostorske ureditvene pogoje z natančno opredeljenimi zahtevami za investicije. Optimalna varianta je dodatno utemeljena s tehnično-tehnološkim projektom, ki </w:t>
            </w:r>
            <w:r w:rsidRPr="00B923E9">
              <w:rPr>
                <w:rFonts w:asciiTheme="majorHAnsi" w:eastAsia="Arial Unicode MS" w:hAnsiTheme="majorHAnsi" w:cstheme="majorHAnsi"/>
                <w:sz w:val="22"/>
                <w:szCs w:val="22"/>
                <w:lang w:eastAsia="zh-TW"/>
              </w:rPr>
              <w:lastRenderedPageBreak/>
              <w:t>vsebuje specifikacijo potrebne opreme, ter z rezultati geoloških, geomehanskih, seizmoloških, vodnogospodarskih, ekoloških in drugih raziskav in analiz. Pomemben element priprave investicijskega programa so tudi jasno dokazani viri financiranja, ki omogočajo izvedbo predlagane investicije.</w:t>
            </w:r>
          </w:p>
        </w:tc>
      </w:tr>
      <w:tr w:rsidR="00F12FFC" w:rsidRPr="00B923E9" w14:paraId="1B931F83" w14:textId="77777777" w:rsidTr="00B923E9">
        <w:trPr>
          <w:trHeight w:val="318"/>
        </w:trPr>
        <w:tc>
          <w:tcPr>
            <w:tcW w:w="1597" w:type="pct"/>
            <w:shd w:val="clear" w:color="auto" w:fill="DBE5F1"/>
            <w:vAlign w:val="center"/>
          </w:tcPr>
          <w:p w14:paraId="31BFC863"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lastRenderedPageBreak/>
              <w:t>NAMEN INVESTICIJSKEGA PROJEKTA</w:t>
            </w:r>
          </w:p>
        </w:tc>
        <w:tc>
          <w:tcPr>
            <w:tcW w:w="3403" w:type="pct"/>
          </w:tcPr>
          <w:p w14:paraId="2103AE0C" w14:textId="77777777" w:rsidR="00BA3CC1" w:rsidRPr="00B923E9" w:rsidRDefault="00BA3CC1" w:rsidP="00BA3CC1">
            <w:pPr>
              <w:spacing w:after="200" w:line="276" w:lineRule="auto"/>
              <w:jc w:val="both"/>
              <w:rPr>
                <w:rFonts w:asciiTheme="majorHAnsi" w:hAnsiTheme="majorHAnsi" w:cstheme="majorHAnsi"/>
                <w:sz w:val="22"/>
                <w:szCs w:val="22"/>
              </w:rPr>
            </w:pPr>
            <w:r w:rsidRPr="00B923E9">
              <w:rPr>
                <w:rFonts w:asciiTheme="majorHAnsi" w:hAnsiTheme="majorHAnsi" w:cstheme="majorHAnsi"/>
                <w:sz w:val="22"/>
                <w:szCs w:val="22"/>
              </w:rPr>
              <w:t>Namen investicije je oblikovanje kakovostnejšega, varnejšega in privlačnejšega javnega prostora z integracijo zelene infrastrukture ter s tem zmanjšanje negativnih vplivov prometa na okolje.</w:t>
            </w:r>
          </w:p>
          <w:p w14:paraId="2538CCD7" w14:textId="18B0CE08" w:rsidR="00BA3CC1" w:rsidRPr="00B923E9" w:rsidRDefault="00BA3CC1" w:rsidP="00BA3CC1">
            <w:pPr>
              <w:spacing w:after="120" w:line="276" w:lineRule="auto"/>
              <w:jc w:val="both"/>
              <w:rPr>
                <w:rFonts w:asciiTheme="majorHAnsi" w:hAnsiTheme="majorHAnsi" w:cstheme="majorHAnsi"/>
                <w:sz w:val="22"/>
                <w:szCs w:val="22"/>
              </w:rPr>
            </w:pPr>
            <w:r w:rsidRPr="00B923E9">
              <w:rPr>
                <w:rFonts w:asciiTheme="majorHAnsi" w:hAnsiTheme="majorHAnsi" w:cstheme="majorHAnsi"/>
                <w:sz w:val="22"/>
                <w:szCs w:val="22"/>
              </w:rPr>
              <w:t>Ukrepi trajnostne mobilnosti – kot so preureditev cest</w:t>
            </w:r>
            <w:r w:rsidR="00D11597" w:rsidRPr="00B923E9">
              <w:rPr>
                <w:rFonts w:asciiTheme="majorHAnsi" w:hAnsiTheme="majorHAnsi" w:cstheme="majorHAnsi"/>
                <w:sz w:val="22"/>
                <w:szCs w:val="22"/>
              </w:rPr>
              <w:t xml:space="preserve">, uvedba </w:t>
            </w:r>
            <w:r w:rsidRPr="00B923E9">
              <w:rPr>
                <w:rFonts w:asciiTheme="majorHAnsi" w:hAnsiTheme="majorHAnsi" w:cstheme="majorHAnsi"/>
                <w:sz w:val="22"/>
                <w:szCs w:val="22"/>
              </w:rPr>
              <w:t>skupne</w:t>
            </w:r>
            <w:r w:rsidR="00D11597" w:rsidRPr="00B923E9">
              <w:rPr>
                <w:rFonts w:asciiTheme="majorHAnsi" w:hAnsiTheme="majorHAnsi" w:cstheme="majorHAnsi"/>
                <w:sz w:val="22"/>
                <w:szCs w:val="22"/>
              </w:rPr>
              <w:t>ga</w:t>
            </w:r>
            <w:r w:rsidRPr="00B923E9">
              <w:rPr>
                <w:rFonts w:asciiTheme="majorHAnsi" w:hAnsiTheme="majorHAnsi" w:cstheme="majorHAnsi"/>
                <w:sz w:val="22"/>
                <w:szCs w:val="22"/>
              </w:rPr>
              <w:t xml:space="preserve"> prometne</w:t>
            </w:r>
            <w:r w:rsidR="00D11597" w:rsidRPr="00B923E9">
              <w:rPr>
                <w:rFonts w:asciiTheme="majorHAnsi" w:hAnsiTheme="majorHAnsi" w:cstheme="majorHAnsi"/>
                <w:sz w:val="22"/>
                <w:szCs w:val="22"/>
              </w:rPr>
              <w:t>ga</w:t>
            </w:r>
            <w:r w:rsidRPr="00B923E9">
              <w:rPr>
                <w:rFonts w:asciiTheme="majorHAnsi" w:hAnsiTheme="majorHAnsi" w:cstheme="majorHAnsi"/>
                <w:sz w:val="22"/>
                <w:szCs w:val="22"/>
              </w:rPr>
              <w:t xml:space="preserve"> prostor</w:t>
            </w:r>
            <w:r w:rsidR="00D11597" w:rsidRPr="00B923E9">
              <w:rPr>
                <w:rFonts w:asciiTheme="majorHAnsi" w:hAnsiTheme="majorHAnsi" w:cstheme="majorHAnsi"/>
                <w:sz w:val="22"/>
                <w:szCs w:val="22"/>
              </w:rPr>
              <w:t>a</w:t>
            </w:r>
            <w:r w:rsidRPr="00B923E9">
              <w:rPr>
                <w:rFonts w:asciiTheme="majorHAnsi" w:hAnsiTheme="majorHAnsi" w:cstheme="majorHAnsi"/>
                <w:sz w:val="22"/>
                <w:szCs w:val="22"/>
              </w:rPr>
              <w:t xml:space="preserve">, ureditev kolesarske infrastrukture, izgradnja sodobnega avtobusnega postajališča ter uvedba sistemov za spremljanje in umirjanje prometa – bodo prispevali k zmanjšanju </w:t>
            </w:r>
            <w:proofErr w:type="spellStart"/>
            <w:r w:rsidRPr="00B923E9">
              <w:rPr>
                <w:rFonts w:asciiTheme="majorHAnsi" w:hAnsiTheme="majorHAnsi" w:cstheme="majorHAnsi"/>
                <w:sz w:val="22"/>
                <w:szCs w:val="22"/>
              </w:rPr>
              <w:t>ogljičnega</w:t>
            </w:r>
            <w:proofErr w:type="spellEnd"/>
            <w:r w:rsidRPr="00B923E9">
              <w:rPr>
                <w:rFonts w:asciiTheme="majorHAnsi" w:hAnsiTheme="majorHAnsi" w:cstheme="majorHAnsi"/>
                <w:sz w:val="22"/>
                <w:szCs w:val="22"/>
              </w:rPr>
              <w:t xml:space="preserve"> odtisa in hkrati omogočili višjo kakovost bivanja za prebivalce in obiskovalce občine.</w:t>
            </w:r>
          </w:p>
          <w:p w14:paraId="78EC4800" w14:textId="0F171CB7" w:rsidR="00F12FFC" w:rsidRPr="00B923E9" w:rsidRDefault="00BA3CC1" w:rsidP="00BA3CC1">
            <w:pPr>
              <w:spacing w:line="276" w:lineRule="auto"/>
              <w:jc w:val="both"/>
              <w:rPr>
                <w:rFonts w:asciiTheme="majorHAnsi" w:hAnsiTheme="majorHAnsi" w:cstheme="majorHAnsi"/>
                <w:sz w:val="22"/>
                <w:szCs w:val="22"/>
              </w:rPr>
            </w:pPr>
            <w:r w:rsidRPr="00B923E9">
              <w:rPr>
                <w:rFonts w:asciiTheme="majorHAnsi" w:hAnsiTheme="majorHAnsi" w:cstheme="majorHAnsi"/>
                <w:sz w:val="22"/>
                <w:szCs w:val="22"/>
              </w:rPr>
              <w:t xml:space="preserve">Projekt tako sledi ciljem </w:t>
            </w:r>
            <w:r w:rsidRPr="00B923E9">
              <w:rPr>
                <w:rFonts w:asciiTheme="majorHAnsi" w:hAnsiTheme="majorHAnsi" w:cstheme="majorHAnsi"/>
                <w:b/>
                <w:bCs/>
                <w:sz w:val="22"/>
                <w:szCs w:val="22"/>
              </w:rPr>
              <w:t>Javnega razpisa MOPE (JR EKP UTM 2025)</w:t>
            </w:r>
            <w:r w:rsidRPr="00B923E9">
              <w:rPr>
                <w:rFonts w:asciiTheme="majorHAnsi" w:hAnsiTheme="majorHAnsi" w:cstheme="majorHAnsi"/>
                <w:sz w:val="22"/>
                <w:szCs w:val="22"/>
              </w:rPr>
              <w:t xml:space="preserve"> ter strateškim dokumentom občine in države, ki dajejo prednost trajnostnim oblikam mobilnosti, varstvu okolja in razvoju vključujočih javnih prostorov.</w:t>
            </w:r>
          </w:p>
        </w:tc>
      </w:tr>
      <w:tr w:rsidR="00F12FFC" w:rsidRPr="00B923E9" w14:paraId="6A37FFB2" w14:textId="77777777" w:rsidTr="00B923E9">
        <w:trPr>
          <w:trHeight w:val="318"/>
        </w:trPr>
        <w:tc>
          <w:tcPr>
            <w:tcW w:w="1597" w:type="pct"/>
            <w:shd w:val="clear" w:color="auto" w:fill="DBE5F1"/>
            <w:vAlign w:val="center"/>
          </w:tcPr>
          <w:p w14:paraId="762CB3A3" w14:textId="77777777" w:rsidR="00F12FFC" w:rsidRPr="00B923E9" w:rsidRDefault="00F12FFC"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RAZVOJNI (SPLOŠNI) CILJ INVESTICIJSKEGA PROJEKTA</w:t>
            </w:r>
          </w:p>
        </w:tc>
        <w:tc>
          <w:tcPr>
            <w:tcW w:w="3403" w:type="pct"/>
          </w:tcPr>
          <w:p w14:paraId="3959514A" w14:textId="77777777" w:rsidR="00A8381C" w:rsidRPr="00B923E9" w:rsidRDefault="00A8381C" w:rsidP="00A8381C">
            <w:pPr>
              <w:spacing w:after="120" w:line="276" w:lineRule="auto"/>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 xml:space="preserve">Splošni cilj </w:t>
            </w:r>
            <w:r w:rsidRPr="00B923E9">
              <w:rPr>
                <w:rFonts w:asciiTheme="majorHAnsi" w:hAnsiTheme="majorHAnsi" w:cstheme="majorHAnsi"/>
                <w:sz w:val="22"/>
                <w:szCs w:val="22"/>
                <w:lang w:eastAsia="zh-TW"/>
              </w:rPr>
              <w:t>projekta je prispevati k razvoju trajnostne mobilnosti v Občini Ig z zmanjšanjem obsega motoriziranega prometa in emisij toplogrednih plinov, izboljšanjem kakovosti zraka in bivanja ter zagotavljanjem varnega, vključujočega in privlačnega javnega prostora skladno z načeli trajnostnega razvoja.</w:t>
            </w:r>
          </w:p>
          <w:p w14:paraId="32905EB2" w14:textId="77777777" w:rsidR="00A8381C" w:rsidRPr="00B923E9" w:rsidRDefault="00A8381C" w:rsidP="00A8381C">
            <w:pPr>
              <w:spacing w:after="120" w:line="276" w:lineRule="auto"/>
              <w:jc w:val="both"/>
              <w:rPr>
                <w:rFonts w:asciiTheme="majorHAnsi" w:hAnsiTheme="majorHAnsi" w:cstheme="majorHAnsi"/>
                <w:b/>
                <w:bCs/>
                <w:sz w:val="22"/>
                <w:szCs w:val="22"/>
                <w:lang w:eastAsia="zh-TW"/>
              </w:rPr>
            </w:pPr>
            <w:r w:rsidRPr="00B923E9">
              <w:rPr>
                <w:rFonts w:asciiTheme="majorHAnsi" w:hAnsiTheme="majorHAnsi" w:cstheme="majorHAnsi"/>
                <w:b/>
                <w:bCs/>
                <w:sz w:val="22"/>
                <w:szCs w:val="22"/>
                <w:lang w:eastAsia="zh-TW"/>
              </w:rPr>
              <w:t>Specifični cilji projekta so:</w:t>
            </w:r>
          </w:p>
          <w:p w14:paraId="678DB232" w14:textId="77777777" w:rsidR="00A8381C" w:rsidRPr="00B923E9" w:rsidRDefault="00A8381C" w:rsidP="00A8381C">
            <w:pPr>
              <w:numPr>
                <w:ilvl w:val="0"/>
                <w:numId w:val="107"/>
              </w:numPr>
              <w:tabs>
                <w:tab w:val="clear" w:pos="786"/>
                <w:tab w:val="num" w:pos="247"/>
              </w:tabs>
              <w:spacing w:line="276" w:lineRule="auto"/>
              <w:ind w:left="247" w:hanging="216"/>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Izboljšati pogoje za trajnostne oblike mobilnosti</w:t>
            </w:r>
          </w:p>
          <w:p w14:paraId="41FA18B5" w14:textId="77777777" w:rsidR="00A8381C" w:rsidRPr="00B923E9" w:rsidRDefault="00A8381C" w:rsidP="003D275F">
            <w:pPr>
              <w:numPr>
                <w:ilvl w:val="0"/>
                <w:numId w:val="25"/>
              </w:numPr>
              <w:tabs>
                <w:tab w:val="clear" w:pos="720"/>
              </w:tabs>
              <w:spacing w:line="276" w:lineRule="auto"/>
              <w:ind w:left="530" w:hanging="218"/>
              <w:jc w:val="both"/>
              <w:rPr>
                <w:rFonts w:asciiTheme="majorHAnsi" w:hAnsiTheme="majorHAnsi" w:cstheme="majorHAnsi"/>
                <w:sz w:val="22"/>
                <w:szCs w:val="22"/>
                <w:lang w:eastAsia="zh-TW"/>
              </w:rPr>
            </w:pPr>
            <w:r w:rsidRPr="00B923E9">
              <w:rPr>
                <w:rFonts w:asciiTheme="majorHAnsi" w:hAnsiTheme="majorHAnsi" w:cstheme="majorHAnsi"/>
                <w:sz w:val="22"/>
                <w:szCs w:val="22"/>
                <w:lang w:eastAsia="zh-TW"/>
              </w:rPr>
              <w:t>vzpostaviti ustrezno infrastrukturo za pešce, kolesarje in uporabnike javnega potniškega prometa (skupni prometni prostori, kolesarska parkirišča, avtobusno postajališče).</w:t>
            </w:r>
          </w:p>
          <w:p w14:paraId="3292AADA" w14:textId="77777777" w:rsidR="00A8381C" w:rsidRPr="00B923E9" w:rsidRDefault="00A8381C" w:rsidP="00A8381C">
            <w:pPr>
              <w:numPr>
                <w:ilvl w:val="0"/>
                <w:numId w:val="107"/>
              </w:numPr>
              <w:tabs>
                <w:tab w:val="clear" w:pos="786"/>
                <w:tab w:val="num" w:pos="247"/>
              </w:tabs>
              <w:spacing w:line="276" w:lineRule="auto"/>
              <w:ind w:left="247" w:hanging="216"/>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Zmanjšati negativne vplive motornega prometa</w:t>
            </w:r>
          </w:p>
          <w:p w14:paraId="3FB13188" w14:textId="77777777" w:rsidR="00A8381C" w:rsidRPr="00B923E9" w:rsidRDefault="00A8381C" w:rsidP="003D275F">
            <w:pPr>
              <w:numPr>
                <w:ilvl w:val="0"/>
                <w:numId w:val="25"/>
              </w:numPr>
              <w:tabs>
                <w:tab w:val="clear" w:pos="720"/>
              </w:tabs>
              <w:spacing w:line="276" w:lineRule="auto"/>
              <w:ind w:left="530" w:hanging="218"/>
              <w:jc w:val="both"/>
              <w:rPr>
                <w:rFonts w:asciiTheme="majorHAnsi" w:hAnsiTheme="majorHAnsi" w:cstheme="majorHAnsi"/>
                <w:sz w:val="22"/>
                <w:szCs w:val="22"/>
                <w:lang w:eastAsia="zh-TW"/>
              </w:rPr>
            </w:pPr>
            <w:r w:rsidRPr="00B923E9">
              <w:rPr>
                <w:rFonts w:asciiTheme="majorHAnsi" w:hAnsiTheme="majorHAnsi" w:cstheme="majorHAnsi"/>
                <w:sz w:val="22"/>
                <w:szCs w:val="22"/>
                <w:lang w:eastAsia="zh-TW"/>
              </w:rPr>
              <w:t>umirjanje prometa z rekonstrukcijo cest, zožitvijo vozišč, uporabo merilca in dveh prikazovalnikov hitrosti in ukrepi »</w:t>
            </w:r>
            <w:proofErr w:type="spellStart"/>
            <w:r w:rsidRPr="00B923E9">
              <w:rPr>
                <w:rFonts w:asciiTheme="majorHAnsi" w:hAnsiTheme="majorHAnsi" w:cstheme="majorHAnsi"/>
                <w:sz w:val="22"/>
                <w:szCs w:val="22"/>
                <w:lang w:eastAsia="zh-TW"/>
              </w:rPr>
              <w:t>space</w:t>
            </w:r>
            <w:proofErr w:type="spellEnd"/>
            <w:r w:rsidRPr="00B923E9">
              <w:rPr>
                <w:rFonts w:asciiTheme="majorHAnsi" w:hAnsiTheme="majorHAnsi" w:cstheme="majorHAnsi"/>
                <w:sz w:val="22"/>
                <w:szCs w:val="22"/>
                <w:lang w:eastAsia="zh-TW"/>
              </w:rPr>
              <w:t xml:space="preserve"> </w:t>
            </w:r>
            <w:proofErr w:type="spellStart"/>
            <w:r w:rsidRPr="00B923E9">
              <w:rPr>
                <w:rFonts w:asciiTheme="majorHAnsi" w:hAnsiTheme="majorHAnsi" w:cstheme="majorHAnsi"/>
                <w:sz w:val="22"/>
                <w:szCs w:val="22"/>
                <w:lang w:eastAsia="zh-TW"/>
              </w:rPr>
              <w:t>sharing</w:t>
            </w:r>
            <w:proofErr w:type="spellEnd"/>
            <w:r w:rsidRPr="00B923E9">
              <w:rPr>
                <w:rFonts w:asciiTheme="majorHAnsi" w:hAnsiTheme="majorHAnsi" w:cstheme="majorHAnsi"/>
                <w:sz w:val="22"/>
                <w:szCs w:val="22"/>
                <w:lang w:eastAsia="zh-TW"/>
              </w:rPr>
              <w:t>«.</w:t>
            </w:r>
          </w:p>
          <w:p w14:paraId="0BC5FB10" w14:textId="77777777" w:rsidR="00A8381C" w:rsidRPr="00B923E9" w:rsidRDefault="00A8381C" w:rsidP="00A8381C">
            <w:pPr>
              <w:numPr>
                <w:ilvl w:val="0"/>
                <w:numId w:val="107"/>
              </w:numPr>
              <w:spacing w:line="276" w:lineRule="auto"/>
              <w:ind w:left="714"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Povečati prometno varnost ranljivih skupin</w:t>
            </w:r>
          </w:p>
          <w:p w14:paraId="453D4152" w14:textId="77777777" w:rsidR="00A8381C" w:rsidRPr="00B923E9" w:rsidRDefault="00A8381C" w:rsidP="003D275F">
            <w:pPr>
              <w:numPr>
                <w:ilvl w:val="0"/>
                <w:numId w:val="25"/>
              </w:numPr>
              <w:tabs>
                <w:tab w:val="clear" w:pos="720"/>
              </w:tabs>
              <w:spacing w:line="276" w:lineRule="auto"/>
              <w:ind w:left="530" w:hanging="218"/>
              <w:jc w:val="both"/>
              <w:rPr>
                <w:rFonts w:asciiTheme="majorHAnsi" w:hAnsiTheme="majorHAnsi" w:cstheme="majorHAnsi"/>
                <w:sz w:val="22"/>
                <w:szCs w:val="22"/>
                <w:lang w:eastAsia="zh-TW"/>
              </w:rPr>
            </w:pPr>
            <w:r w:rsidRPr="00B923E9">
              <w:rPr>
                <w:rFonts w:asciiTheme="majorHAnsi" w:hAnsiTheme="majorHAnsi" w:cstheme="majorHAnsi"/>
                <w:sz w:val="22"/>
                <w:szCs w:val="22"/>
                <w:lang w:eastAsia="zh-TW"/>
              </w:rPr>
              <w:t>otroci, starejši, gibalno ovirani – z novimi prometnimi ureditvami, »</w:t>
            </w:r>
            <w:proofErr w:type="spellStart"/>
            <w:r w:rsidRPr="00B923E9">
              <w:rPr>
                <w:rFonts w:asciiTheme="majorHAnsi" w:hAnsiTheme="majorHAnsi" w:cstheme="majorHAnsi"/>
                <w:sz w:val="22"/>
                <w:szCs w:val="22"/>
                <w:lang w:eastAsia="zh-TW"/>
              </w:rPr>
              <w:t>drop-off</w:t>
            </w:r>
            <w:proofErr w:type="spellEnd"/>
            <w:r w:rsidRPr="00B923E9">
              <w:rPr>
                <w:rFonts w:asciiTheme="majorHAnsi" w:hAnsiTheme="majorHAnsi" w:cstheme="majorHAnsi"/>
                <w:sz w:val="22"/>
                <w:szCs w:val="22"/>
                <w:lang w:eastAsia="zh-TW"/>
              </w:rPr>
              <w:t>« cono pri OŠ, haptičnimi oznakami in razširjenimi pločniki.</w:t>
            </w:r>
          </w:p>
          <w:p w14:paraId="59FFBC95" w14:textId="77777777" w:rsidR="00A8381C" w:rsidRPr="00B923E9" w:rsidRDefault="00A8381C" w:rsidP="00A8381C">
            <w:pPr>
              <w:numPr>
                <w:ilvl w:val="0"/>
                <w:numId w:val="107"/>
              </w:numPr>
              <w:tabs>
                <w:tab w:val="clear" w:pos="786"/>
                <w:tab w:val="num" w:pos="247"/>
              </w:tabs>
              <w:spacing w:line="276" w:lineRule="auto"/>
              <w:ind w:left="247" w:hanging="216"/>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Razviti in povezati zeleno in modro infrastrukturo</w:t>
            </w:r>
          </w:p>
          <w:p w14:paraId="42F27925" w14:textId="77777777" w:rsidR="00A8381C" w:rsidRPr="00B923E9" w:rsidRDefault="00A8381C" w:rsidP="003D275F">
            <w:pPr>
              <w:numPr>
                <w:ilvl w:val="0"/>
                <w:numId w:val="25"/>
              </w:numPr>
              <w:tabs>
                <w:tab w:val="clear" w:pos="720"/>
              </w:tabs>
              <w:spacing w:line="276" w:lineRule="auto"/>
              <w:ind w:left="530" w:hanging="218"/>
              <w:jc w:val="both"/>
              <w:rPr>
                <w:rFonts w:asciiTheme="majorHAnsi" w:hAnsiTheme="majorHAnsi" w:cstheme="majorHAnsi"/>
                <w:sz w:val="22"/>
                <w:szCs w:val="22"/>
                <w:lang w:eastAsia="zh-TW"/>
              </w:rPr>
            </w:pPr>
            <w:r w:rsidRPr="00B923E9">
              <w:rPr>
                <w:rFonts w:asciiTheme="majorHAnsi" w:hAnsiTheme="majorHAnsi" w:cstheme="majorHAnsi"/>
                <w:sz w:val="22"/>
                <w:szCs w:val="22"/>
                <w:lang w:eastAsia="zh-TW"/>
              </w:rPr>
              <w:t>zasaditve, drevoredi, zelene pasove, varna kolesarnica, ponovna uporaba padavinskih voda, ozelenitev objektov.</w:t>
            </w:r>
          </w:p>
          <w:p w14:paraId="6B1E5230" w14:textId="77777777" w:rsidR="00A8381C" w:rsidRPr="00B923E9" w:rsidRDefault="00A8381C" w:rsidP="00A8381C">
            <w:pPr>
              <w:numPr>
                <w:ilvl w:val="0"/>
                <w:numId w:val="107"/>
              </w:numPr>
              <w:tabs>
                <w:tab w:val="clear" w:pos="786"/>
                <w:tab w:val="num" w:pos="247"/>
              </w:tabs>
              <w:spacing w:line="276" w:lineRule="auto"/>
              <w:ind w:left="247" w:hanging="216"/>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Vzpostaviti inovativne rešitve za spremljanje prometa in spodbujanje trajnostnih navad</w:t>
            </w:r>
          </w:p>
          <w:p w14:paraId="0543DBCD" w14:textId="77777777" w:rsidR="00A8381C" w:rsidRPr="00B923E9" w:rsidRDefault="00A8381C" w:rsidP="003D275F">
            <w:pPr>
              <w:numPr>
                <w:ilvl w:val="0"/>
                <w:numId w:val="25"/>
              </w:numPr>
              <w:tabs>
                <w:tab w:val="clear" w:pos="720"/>
              </w:tabs>
              <w:spacing w:line="276" w:lineRule="auto"/>
              <w:ind w:left="530" w:hanging="218"/>
              <w:jc w:val="both"/>
              <w:rPr>
                <w:rFonts w:asciiTheme="majorHAnsi" w:hAnsiTheme="majorHAnsi" w:cstheme="majorHAnsi"/>
                <w:sz w:val="22"/>
                <w:szCs w:val="22"/>
                <w:lang w:eastAsia="zh-TW"/>
              </w:rPr>
            </w:pPr>
            <w:r w:rsidRPr="00B923E9">
              <w:rPr>
                <w:rFonts w:asciiTheme="majorHAnsi" w:hAnsiTheme="majorHAnsi" w:cstheme="majorHAnsi"/>
                <w:sz w:val="22"/>
                <w:szCs w:val="22"/>
                <w:lang w:eastAsia="zh-TW"/>
              </w:rPr>
              <w:t>namestitev števcev kolesarjev, prikazovalnikov in merilcev hitrosti z digitalno povezljivostjo ter omogočanje podatkovne podpore za nadaljnje ukrepe mobilnosti.</w:t>
            </w:r>
          </w:p>
          <w:p w14:paraId="1753EB5E" w14:textId="77777777" w:rsidR="00A8381C" w:rsidRPr="00B923E9" w:rsidRDefault="00A8381C" w:rsidP="00A8381C">
            <w:pPr>
              <w:numPr>
                <w:ilvl w:val="0"/>
                <w:numId w:val="107"/>
              </w:numPr>
              <w:tabs>
                <w:tab w:val="clear" w:pos="786"/>
                <w:tab w:val="num" w:pos="247"/>
              </w:tabs>
              <w:spacing w:line="276" w:lineRule="auto"/>
              <w:ind w:left="247" w:hanging="216"/>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lastRenderedPageBreak/>
              <w:t>Prispevati k doseganju nacionalnih in evropskih ciljev</w:t>
            </w:r>
          </w:p>
          <w:p w14:paraId="471ACD04" w14:textId="097928DA" w:rsidR="00F12FFC" w:rsidRPr="00B923E9" w:rsidRDefault="00A8381C" w:rsidP="00A8381C">
            <w:pPr>
              <w:numPr>
                <w:ilvl w:val="0"/>
                <w:numId w:val="25"/>
              </w:numPr>
              <w:tabs>
                <w:tab w:val="clear" w:pos="720"/>
              </w:tabs>
              <w:spacing w:line="276" w:lineRule="auto"/>
              <w:ind w:left="530" w:hanging="218"/>
              <w:jc w:val="both"/>
              <w:rPr>
                <w:rFonts w:asciiTheme="majorHAnsi" w:hAnsiTheme="majorHAnsi" w:cstheme="majorHAnsi"/>
                <w:sz w:val="22"/>
                <w:szCs w:val="22"/>
              </w:rPr>
            </w:pPr>
            <w:r w:rsidRPr="00B923E9">
              <w:rPr>
                <w:rFonts w:asciiTheme="majorHAnsi" w:hAnsiTheme="majorHAnsi" w:cstheme="majorHAnsi"/>
                <w:sz w:val="22"/>
                <w:szCs w:val="22"/>
                <w:lang w:eastAsia="zh-TW"/>
              </w:rPr>
              <w:t>zmanjšanje emisij toplogrednih plinov, povečanje deleža trajnostnih oblik mobilnosti in prilagajanje na podnebne spremembe, skladno z zahtevami JR EKP UTM 2025.</w:t>
            </w:r>
          </w:p>
        </w:tc>
      </w:tr>
      <w:tr w:rsidR="006A22D8" w:rsidRPr="00B923E9" w14:paraId="05EFFAA7" w14:textId="77777777" w:rsidTr="00B923E9">
        <w:trPr>
          <w:trHeight w:val="318"/>
        </w:trPr>
        <w:tc>
          <w:tcPr>
            <w:tcW w:w="1597" w:type="pct"/>
            <w:shd w:val="clear" w:color="auto" w:fill="DBE5F1"/>
            <w:vAlign w:val="center"/>
          </w:tcPr>
          <w:p w14:paraId="186F45AD" w14:textId="40DD6261" w:rsidR="006A22D8" w:rsidRPr="00B923E9" w:rsidRDefault="002D6F65" w:rsidP="00BD1D20">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lastRenderedPageBreak/>
              <w:t>PRIČAKOVANI REZULTATI IN UČINKI PROJEKTA</w:t>
            </w:r>
          </w:p>
        </w:tc>
        <w:tc>
          <w:tcPr>
            <w:tcW w:w="3403" w:type="pct"/>
          </w:tcPr>
          <w:p w14:paraId="796843D6"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1. Površine in dolžine rekonstruiranih odsekov:</w:t>
            </w:r>
          </w:p>
          <w:p w14:paraId="2FFF63B3" w14:textId="77777777" w:rsidR="00B923E9" w:rsidRPr="00B923E9" w:rsidRDefault="00B923E9" w:rsidP="00B923E9">
            <w:pPr>
              <w:numPr>
                <w:ilvl w:val="0"/>
                <w:numId w:val="114"/>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skupna dolžina rekonstruirane Govekarjeve ceste 197 m</w:t>
            </w:r>
          </w:p>
          <w:p w14:paraId="73A0A6B6" w14:textId="77777777" w:rsidR="00B923E9" w:rsidRPr="00B923E9" w:rsidRDefault="00B923E9" w:rsidP="00B923E9">
            <w:pPr>
              <w:numPr>
                <w:ilvl w:val="0"/>
                <w:numId w:val="114"/>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skupna dolžina rekonstruirane Troštove ulice 89 m</w:t>
            </w:r>
          </w:p>
          <w:p w14:paraId="75288867" w14:textId="77777777" w:rsidR="00B923E9" w:rsidRPr="00B923E9" w:rsidRDefault="00B923E9" w:rsidP="00B923E9">
            <w:pPr>
              <w:numPr>
                <w:ilvl w:val="0"/>
                <w:numId w:val="114"/>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skupna površina rekonstruiranih prometnih površin (skupaj z AP) 3616,6 m</w:t>
            </w:r>
            <w:r w:rsidRPr="00B923E9">
              <w:rPr>
                <w:rFonts w:asciiTheme="majorHAnsi" w:hAnsiTheme="majorHAnsi" w:cstheme="majorHAnsi"/>
                <w:sz w:val="22"/>
                <w:szCs w:val="22"/>
                <w:vertAlign w:val="superscript"/>
              </w:rPr>
              <w:t>2</w:t>
            </w:r>
          </w:p>
          <w:p w14:paraId="0DA3C6B8"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2. Zmanjšanje površin za motorni promet:</w:t>
            </w:r>
          </w:p>
          <w:p w14:paraId="5F0B40D5"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izhodiščna površina za motorni promet:</w:t>
            </w:r>
          </w:p>
          <w:p w14:paraId="4DC309DD"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Govekarjeva: 1446,80 m</w:t>
            </w:r>
            <w:r w:rsidRPr="00B923E9">
              <w:rPr>
                <w:rFonts w:asciiTheme="majorHAnsi" w:hAnsiTheme="majorHAnsi" w:cstheme="majorHAnsi"/>
                <w:sz w:val="22"/>
                <w:szCs w:val="22"/>
                <w:vertAlign w:val="superscript"/>
              </w:rPr>
              <w:t>2</w:t>
            </w:r>
          </w:p>
          <w:p w14:paraId="4E5E3EFF"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Križišče: 365,1 m</w:t>
            </w:r>
            <w:r w:rsidRPr="00B923E9">
              <w:rPr>
                <w:rFonts w:asciiTheme="majorHAnsi" w:hAnsiTheme="majorHAnsi" w:cstheme="majorHAnsi"/>
                <w:sz w:val="22"/>
                <w:szCs w:val="22"/>
                <w:vertAlign w:val="superscript"/>
              </w:rPr>
              <w:t>2</w:t>
            </w:r>
          </w:p>
          <w:p w14:paraId="10A3A311"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Troštova: 557,8 m</w:t>
            </w:r>
            <w:r w:rsidRPr="00B923E9">
              <w:rPr>
                <w:rFonts w:asciiTheme="majorHAnsi" w:hAnsiTheme="majorHAnsi" w:cstheme="majorHAnsi"/>
                <w:sz w:val="22"/>
                <w:szCs w:val="22"/>
                <w:vertAlign w:val="superscript"/>
              </w:rPr>
              <w:t>2</w:t>
            </w:r>
          </w:p>
          <w:p w14:paraId="70B38243" w14:textId="77777777" w:rsidR="00B923E9" w:rsidRPr="00B923E9" w:rsidRDefault="00B923E9" w:rsidP="00B923E9">
            <w:pPr>
              <w:spacing w:line="276" w:lineRule="auto"/>
              <w:ind w:left="709"/>
              <w:rPr>
                <w:rFonts w:asciiTheme="majorHAnsi" w:hAnsiTheme="majorHAnsi" w:cstheme="majorHAnsi"/>
                <w:sz w:val="22"/>
                <w:szCs w:val="22"/>
                <w:vertAlign w:val="superscript"/>
              </w:rPr>
            </w:pPr>
            <w:r w:rsidRPr="00B923E9">
              <w:rPr>
                <w:rFonts w:asciiTheme="majorHAnsi" w:hAnsiTheme="majorHAnsi" w:cstheme="majorHAnsi"/>
                <w:sz w:val="22"/>
                <w:szCs w:val="22"/>
              </w:rPr>
              <w:t>SKUPAJ:  2.369,7 m</w:t>
            </w:r>
            <w:r w:rsidRPr="00B923E9">
              <w:rPr>
                <w:rFonts w:asciiTheme="majorHAnsi" w:hAnsiTheme="majorHAnsi" w:cstheme="majorHAnsi"/>
                <w:sz w:val="22"/>
                <w:szCs w:val="22"/>
                <w:vertAlign w:val="superscript"/>
              </w:rPr>
              <w:t>2</w:t>
            </w:r>
          </w:p>
          <w:p w14:paraId="3199424C"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nova površina za motorni promet po preureditvi (m²):</w:t>
            </w:r>
          </w:p>
          <w:p w14:paraId="5F911E1F"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Govekarjeva: 1221,0 m</w:t>
            </w:r>
            <w:r w:rsidRPr="00B923E9">
              <w:rPr>
                <w:rFonts w:asciiTheme="majorHAnsi" w:hAnsiTheme="majorHAnsi" w:cstheme="majorHAnsi"/>
                <w:sz w:val="22"/>
                <w:szCs w:val="22"/>
                <w:vertAlign w:val="superscript"/>
              </w:rPr>
              <w:t>2</w:t>
            </w:r>
          </w:p>
          <w:p w14:paraId="5D3D7429"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Križišče: 293,6 m</w:t>
            </w:r>
            <w:r w:rsidRPr="00B923E9">
              <w:rPr>
                <w:rFonts w:asciiTheme="majorHAnsi" w:hAnsiTheme="majorHAnsi" w:cstheme="majorHAnsi"/>
                <w:sz w:val="22"/>
                <w:szCs w:val="22"/>
                <w:vertAlign w:val="superscript"/>
              </w:rPr>
              <w:t>2</w:t>
            </w:r>
          </w:p>
          <w:p w14:paraId="199E2E20"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Troštova: 404,3 m</w:t>
            </w:r>
            <w:r w:rsidRPr="00B923E9">
              <w:rPr>
                <w:rFonts w:asciiTheme="majorHAnsi" w:hAnsiTheme="majorHAnsi" w:cstheme="majorHAnsi"/>
                <w:sz w:val="22"/>
                <w:szCs w:val="22"/>
                <w:vertAlign w:val="superscript"/>
              </w:rPr>
              <w:t>2</w:t>
            </w:r>
          </w:p>
          <w:p w14:paraId="645C444F" w14:textId="77777777" w:rsidR="00B923E9" w:rsidRPr="00B923E9" w:rsidRDefault="00B923E9" w:rsidP="00B923E9">
            <w:pPr>
              <w:spacing w:line="276" w:lineRule="auto"/>
              <w:ind w:left="709"/>
              <w:rPr>
                <w:rFonts w:asciiTheme="majorHAnsi" w:hAnsiTheme="majorHAnsi" w:cstheme="majorHAnsi"/>
                <w:sz w:val="22"/>
                <w:szCs w:val="22"/>
                <w:vertAlign w:val="superscript"/>
              </w:rPr>
            </w:pPr>
            <w:r w:rsidRPr="00B923E9">
              <w:rPr>
                <w:rFonts w:asciiTheme="majorHAnsi" w:hAnsiTheme="majorHAnsi" w:cstheme="majorHAnsi"/>
                <w:sz w:val="22"/>
                <w:szCs w:val="22"/>
              </w:rPr>
              <w:t>SKUPAJ: 1.918,9 m</w:t>
            </w:r>
            <w:r w:rsidRPr="00B923E9">
              <w:rPr>
                <w:rFonts w:asciiTheme="majorHAnsi" w:hAnsiTheme="majorHAnsi" w:cstheme="majorHAnsi"/>
                <w:sz w:val="22"/>
                <w:szCs w:val="22"/>
                <w:vertAlign w:val="superscript"/>
              </w:rPr>
              <w:t>2</w:t>
            </w:r>
          </w:p>
          <w:p w14:paraId="47AA6818"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delež zmanjšanja (%) za posamezni odsek in skupaj:</w:t>
            </w:r>
          </w:p>
          <w:p w14:paraId="6F682E44"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Govekarjeva: - 15,61 %</w:t>
            </w:r>
          </w:p>
          <w:p w14:paraId="0AC3E6D6"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Križišče: - 19,58 %</w:t>
            </w:r>
          </w:p>
          <w:p w14:paraId="187B443C"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Troštova: -  27,52 %</w:t>
            </w:r>
          </w:p>
          <w:p w14:paraId="4BF576E1"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SKUPAJ: - 19,02</w:t>
            </w:r>
          </w:p>
          <w:p w14:paraId="22DE81B6"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3. Površine za motorni promet, ki niso asfaltirane:</w:t>
            </w:r>
          </w:p>
          <w:p w14:paraId="4D22F324"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skupna površina tlakovanih površin s kockami/betonom: 1501m</w:t>
            </w:r>
            <w:r w:rsidRPr="00B923E9">
              <w:rPr>
                <w:rFonts w:asciiTheme="majorHAnsi" w:hAnsiTheme="majorHAnsi" w:cstheme="majorHAnsi"/>
                <w:sz w:val="22"/>
                <w:szCs w:val="22"/>
                <w:vertAlign w:val="superscript"/>
              </w:rPr>
              <w:t>2</w:t>
            </w:r>
          </w:p>
          <w:p w14:paraId="50D6859E"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delež (%) glede na celotno površino za motorni promet površin: 54 %</w:t>
            </w:r>
          </w:p>
          <w:p w14:paraId="775D89D2"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4. Zelene površine in zasaditve v obsegu ločenega projekta zelene infrastrukture, ki se bo izvajal vzporedno</w:t>
            </w:r>
          </w:p>
          <w:p w14:paraId="5A7D3061"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površina zelenih pasov in drevoredov - Celoten projekt Celovite ureditve centra Ig, ki obsega ukrepe trajnostne mobilnosti in zelene infrastrukture, obsega cca 35 % zelenih površin.</w:t>
            </w:r>
          </w:p>
          <w:p w14:paraId="0FB5D315"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število novih dreves in zasaditvenih otokov - Znotraj območja Celovite ureditve centra Ig, ki obsega ukrepe trajnostne mobilnosti in zelene infrastrukture, operacija ohranja 15 obstoječih dreves in predvideva zasaditev 99 novih dreves (Park Ig in drugod). Predvidenih je 14 sadilnih jam (linijskih in točkovnih).</w:t>
            </w:r>
          </w:p>
          <w:p w14:paraId="4D6F77F0"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 xml:space="preserve">V okviru ureditve zelenih površin se ukine 21 parkirnih mest pred občinsko stavbo, 12 parkirnih mest ob Govekarjevi cesti pred </w:t>
            </w:r>
            <w:proofErr w:type="spellStart"/>
            <w:r w:rsidRPr="00B923E9">
              <w:rPr>
                <w:rFonts w:asciiTheme="majorHAnsi" w:hAnsiTheme="majorHAnsi" w:cstheme="majorHAnsi"/>
                <w:sz w:val="22"/>
                <w:szCs w:val="22"/>
              </w:rPr>
              <w:t>Morostigom</w:t>
            </w:r>
            <w:proofErr w:type="spellEnd"/>
            <w:r w:rsidRPr="00B923E9">
              <w:rPr>
                <w:rFonts w:asciiTheme="majorHAnsi" w:hAnsiTheme="majorHAnsi" w:cstheme="majorHAnsi"/>
                <w:sz w:val="22"/>
                <w:szCs w:val="22"/>
              </w:rPr>
              <w:t xml:space="preserve"> in 5 parkirnih mest ob Troštovi ulici.</w:t>
            </w:r>
          </w:p>
          <w:p w14:paraId="1B1DFAFE"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5. Ukrepi umirjanja prometa:</w:t>
            </w:r>
          </w:p>
          <w:p w14:paraId="6832AE06"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lastRenderedPageBreak/>
              <w:t>seznam vseh ukrepov (dvignjeni prehodi, zožitve, ploščadi ipd.),</w:t>
            </w:r>
          </w:p>
          <w:p w14:paraId="7B4B0E84"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3x dvignjen prehod (2x križišče, 1x začetek Govekarjeve pri AP)</w:t>
            </w:r>
          </w:p>
          <w:p w14:paraId="0978E534"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Zoženje cestišča na minimum (Govekarjeva 5,5 m)</w:t>
            </w:r>
          </w:p>
          <w:p w14:paraId="7DFDAA1E"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Prikazovalnika hitrosti (1x na Govekarjevi pri Občinski stavbi, 1x na Govekarjevi ob cerkvi na ulični svetilki proti jugu)</w:t>
            </w:r>
          </w:p>
          <w:p w14:paraId="077443E0"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Merilnik hitrosti (1x na Govekarjevi med drevesi pred telovadnico)</w:t>
            </w:r>
          </w:p>
          <w:p w14:paraId="125CAF56"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Hitrostne ovire na Troštovi (6x, Minimalna grbina v grobem tlakovanju v dolžini 50 cm)</w:t>
            </w:r>
          </w:p>
          <w:p w14:paraId="08BF2A3F" w14:textId="77777777" w:rsidR="00B923E9" w:rsidRPr="00B923E9" w:rsidRDefault="00B923E9" w:rsidP="00B923E9">
            <w:pPr>
              <w:spacing w:line="276" w:lineRule="auto"/>
              <w:ind w:left="708"/>
              <w:rPr>
                <w:rFonts w:asciiTheme="majorHAnsi" w:hAnsiTheme="majorHAnsi" w:cstheme="majorHAnsi"/>
                <w:sz w:val="22"/>
                <w:szCs w:val="22"/>
              </w:rPr>
            </w:pPr>
            <w:r w:rsidRPr="00B923E9">
              <w:rPr>
                <w:rFonts w:asciiTheme="majorHAnsi" w:hAnsiTheme="majorHAnsi" w:cstheme="majorHAnsi"/>
                <w:sz w:val="22"/>
                <w:szCs w:val="22"/>
              </w:rPr>
              <w:t>Omejitev hitrosti na 20 km/h</w:t>
            </w:r>
          </w:p>
          <w:p w14:paraId="28C4689D"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Skupni prometni prostor</w:t>
            </w:r>
          </w:p>
          <w:p w14:paraId="11EE0B95" w14:textId="77777777" w:rsidR="00B923E9" w:rsidRPr="00B923E9" w:rsidRDefault="00B923E9" w:rsidP="00B923E9">
            <w:pPr>
              <w:spacing w:line="276" w:lineRule="auto"/>
              <w:ind w:firstLine="708"/>
              <w:rPr>
                <w:rFonts w:asciiTheme="majorHAnsi" w:hAnsiTheme="majorHAnsi" w:cstheme="majorHAnsi"/>
                <w:sz w:val="22"/>
                <w:szCs w:val="22"/>
              </w:rPr>
            </w:pPr>
            <w:r w:rsidRPr="00B923E9">
              <w:rPr>
                <w:rFonts w:asciiTheme="majorHAnsi" w:hAnsiTheme="majorHAnsi" w:cstheme="majorHAnsi"/>
                <w:sz w:val="22"/>
                <w:szCs w:val="22"/>
              </w:rPr>
              <w:t>Avtobusno postajališče za šolske avtobuse na cestišču (Govekarjeva, v obe smeri)</w:t>
            </w:r>
          </w:p>
          <w:p w14:paraId="743EFD9C"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število ukrepov na posameznem odseku</w:t>
            </w:r>
          </w:p>
          <w:p w14:paraId="2F944980"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Govekarjeva cesta (197 m): </w:t>
            </w:r>
          </w:p>
          <w:p w14:paraId="66D488D7"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6x ukrep (dvignjen prehod, zoženje, merilec, 2x prikazovalnik, omejitev hitrosti)</w:t>
            </w:r>
          </w:p>
          <w:p w14:paraId="02929C0A"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Troštova ulica (89 m): </w:t>
            </w:r>
          </w:p>
          <w:p w14:paraId="4D78EFBE"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6x ukrep (6x hitrostna ovira)</w:t>
            </w:r>
          </w:p>
          <w:p w14:paraId="33922A23" w14:textId="77777777" w:rsidR="00B923E9" w:rsidRPr="00B923E9" w:rsidRDefault="00B923E9" w:rsidP="00B923E9">
            <w:pPr>
              <w:numPr>
                <w:ilvl w:val="0"/>
                <w:numId w:val="115"/>
              </w:numPr>
              <w:spacing w:line="276" w:lineRule="auto"/>
              <w:contextualSpacing/>
              <w:rPr>
                <w:rFonts w:asciiTheme="majorHAnsi" w:hAnsiTheme="majorHAnsi" w:cstheme="majorHAnsi"/>
                <w:i/>
                <w:iCs/>
                <w:sz w:val="22"/>
                <w:szCs w:val="22"/>
              </w:rPr>
            </w:pPr>
            <w:r w:rsidRPr="00B923E9">
              <w:rPr>
                <w:rFonts w:asciiTheme="majorHAnsi" w:hAnsiTheme="majorHAnsi" w:cstheme="majorHAnsi"/>
                <w:i/>
                <w:iCs/>
                <w:sz w:val="22"/>
                <w:szCs w:val="22"/>
              </w:rPr>
              <w:t>povprečna razdalja med ukrepi (merilo: ukrep/50 m oz. ukrep/100 m).</w:t>
            </w:r>
          </w:p>
          <w:p w14:paraId="09675098" w14:textId="77777777" w:rsidR="00B923E9" w:rsidRPr="00B923E9" w:rsidRDefault="00B923E9" w:rsidP="00B923E9">
            <w:pPr>
              <w:pStyle w:val="Odstavekseznama"/>
              <w:numPr>
                <w:ilvl w:val="1"/>
                <w:numId w:val="115"/>
              </w:numPr>
              <w:spacing w:after="0"/>
              <w:rPr>
                <w:rFonts w:asciiTheme="majorHAnsi" w:hAnsiTheme="majorHAnsi" w:cstheme="majorHAnsi"/>
              </w:rPr>
            </w:pPr>
            <w:r w:rsidRPr="00B923E9">
              <w:rPr>
                <w:rFonts w:asciiTheme="majorHAnsi" w:hAnsiTheme="majorHAnsi" w:cstheme="majorHAnsi"/>
              </w:rPr>
              <w:t>Govekarjeva cesta: ukrep /32,8 m</w:t>
            </w:r>
          </w:p>
          <w:p w14:paraId="5B8B7C75" w14:textId="77777777" w:rsidR="00B923E9" w:rsidRPr="00B923E9" w:rsidRDefault="00B923E9" w:rsidP="00B923E9">
            <w:pPr>
              <w:pStyle w:val="Odstavekseznama"/>
              <w:numPr>
                <w:ilvl w:val="1"/>
                <w:numId w:val="115"/>
              </w:numPr>
              <w:spacing w:after="0"/>
              <w:rPr>
                <w:rFonts w:asciiTheme="majorHAnsi" w:hAnsiTheme="majorHAnsi" w:cstheme="majorHAnsi"/>
              </w:rPr>
            </w:pPr>
            <w:r w:rsidRPr="00B923E9">
              <w:rPr>
                <w:rFonts w:asciiTheme="majorHAnsi" w:hAnsiTheme="majorHAnsi" w:cstheme="majorHAnsi"/>
              </w:rPr>
              <w:t>Troštova ulica: ukrep / 14,8 m</w:t>
            </w:r>
          </w:p>
          <w:p w14:paraId="58554568"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6. Avtobusno postajališče in kolesarska infrastruktura:</w:t>
            </w:r>
          </w:p>
          <w:p w14:paraId="5A547A8D"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površina novega avtobusnega postajališča: 834,8 m</w:t>
            </w:r>
            <w:r w:rsidRPr="00B923E9">
              <w:rPr>
                <w:rFonts w:asciiTheme="majorHAnsi" w:hAnsiTheme="majorHAnsi" w:cstheme="majorHAnsi"/>
                <w:sz w:val="22"/>
                <w:szCs w:val="22"/>
                <w:vertAlign w:val="superscript"/>
              </w:rPr>
              <w:t>2</w:t>
            </w:r>
            <w:r w:rsidRPr="00B923E9">
              <w:rPr>
                <w:rFonts w:asciiTheme="majorHAnsi" w:hAnsiTheme="majorHAnsi" w:cstheme="majorHAnsi"/>
                <w:sz w:val="22"/>
                <w:szCs w:val="22"/>
              </w:rPr>
              <w:t xml:space="preserve"> – </w:t>
            </w:r>
            <w:proofErr w:type="spellStart"/>
            <w:r w:rsidRPr="00B923E9">
              <w:rPr>
                <w:rFonts w:asciiTheme="majorHAnsi" w:hAnsiTheme="majorHAnsi" w:cstheme="majorHAnsi"/>
                <w:sz w:val="22"/>
                <w:szCs w:val="22"/>
              </w:rPr>
              <w:t>povozna</w:t>
            </w:r>
            <w:proofErr w:type="spellEnd"/>
            <w:r w:rsidRPr="00B923E9">
              <w:rPr>
                <w:rFonts w:asciiTheme="majorHAnsi" w:hAnsiTheme="majorHAnsi" w:cstheme="majorHAnsi"/>
                <w:sz w:val="22"/>
                <w:szCs w:val="22"/>
              </w:rPr>
              <w:t xml:space="preserve"> površina, peroni, pločniki</w:t>
            </w:r>
            <w:r w:rsidRPr="00B923E9">
              <w:rPr>
                <w:rFonts w:asciiTheme="majorHAnsi" w:hAnsiTheme="majorHAnsi" w:cstheme="majorHAnsi"/>
                <w:sz w:val="22"/>
                <w:szCs w:val="22"/>
              </w:rPr>
              <w:tab/>
            </w:r>
            <w:r w:rsidRPr="00B923E9">
              <w:rPr>
                <w:rFonts w:asciiTheme="majorHAnsi" w:hAnsiTheme="majorHAnsi" w:cstheme="majorHAnsi"/>
                <w:sz w:val="22"/>
                <w:szCs w:val="22"/>
              </w:rPr>
              <w:tab/>
            </w:r>
          </w:p>
          <w:p w14:paraId="75EE4FE8"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število peronov: 3</w:t>
            </w:r>
          </w:p>
          <w:p w14:paraId="527C6B92"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število in lokacije parkirišč za kolesa: 7 lokacij za parkiranje koles</w:t>
            </w:r>
          </w:p>
          <w:p w14:paraId="0A379649" w14:textId="77777777" w:rsidR="00B923E9" w:rsidRPr="00B923E9" w:rsidRDefault="00B923E9" w:rsidP="00B923E9">
            <w:pPr>
              <w:pStyle w:val="Odstavekseznama"/>
              <w:numPr>
                <w:ilvl w:val="1"/>
                <w:numId w:val="115"/>
              </w:numPr>
              <w:spacing w:after="0"/>
              <w:rPr>
                <w:rFonts w:asciiTheme="majorHAnsi" w:hAnsiTheme="majorHAnsi" w:cstheme="majorHAnsi"/>
              </w:rPr>
            </w:pPr>
            <w:r w:rsidRPr="00B923E9">
              <w:rPr>
                <w:rFonts w:asciiTheme="majorHAnsi" w:hAnsiTheme="majorHAnsi" w:cstheme="majorHAnsi"/>
              </w:rPr>
              <w:t>2x izposoja e-koles – 10 PM + 6 PM</w:t>
            </w:r>
          </w:p>
          <w:p w14:paraId="118D249F" w14:textId="77777777" w:rsidR="00B923E9" w:rsidRPr="00B923E9" w:rsidRDefault="00B923E9" w:rsidP="00B923E9">
            <w:pPr>
              <w:pStyle w:val="Odstavekseznama"/>
              <w:numPr>
                <w:ilvl w:val="1"/>
                <w:numId w:val="115"/>
              </w:numPr>
              <w:spacing w:after="0"/>
              <w:rPr>
                <w:rFonts w:asciiTheme="majorHAnsi" w:hAnsiTheme="majorHAnsi" w:cstheme="majorHAnsi"/>
              </w:rPr>
            </w:pPr>
            <w:r w:rsidRPr="00B923E9">
              <w:rPr>
                <w:rFonts w:asciiTheme="majorHAnsi" w:hAnsiTheme="majorHAnsi" w:cstheme="majorHAnsi"/>
              </w:rPr>
              <w:t>4x nadkrita stojna mesta na prostem – 4x 10 PM</w:t>
            </w:r>
          </w:p>
          <w:p w14:paraId="6EC2A0C8" w14:textId="77777777" w:rsidR="00B923E9" w:rsidRPr="00B923E9" w:rsidRDefault="00B923E9" w:rsidP="00B923E9">
            <w:pPr>
              <w:pStyle w:val="Odstavekseznama"/>
              <w:numPr>
                <w:ilvl w:val="1"/>
                <w:numId w:val="115"/>
              </w:numPr>
              <w:spacing w:after="0"/>
              <w:rPr>
                <w:rFonts w:asciiTheme="majorHAnsi" w:hAnsiTheme="majorHAnsi" w:cstheme="majorHAnsi"/>
              </w:rPr>
            </w:pPr>
            <w:r w:rsidRPr="00B923E9">
              <w:rPr>
                <w:rFonts w:asciiTheme="majorHAnsi" w:hAnsiTheme="majorHAnsi" w:cstheme="majorHAnsi"/>
              </w:rPr>
              <w:t>1x varna kolesarnica – 10 PM (25 m</w:t>
            </w:r>
            <w:r w:rsidRPr="00B923E9">
              <w:rPr>
                <w:rFonts w:asciiTheme="majorHAnsi" w:hAnsiTheme="majorHAnsi" w:cstheme="majorHAnsi"/>
                <w:vertAlign w:val="superscript"/>
              </w:rPr>
              <w:t>2</w:t>
            </w:r>
            <w:r w:rsidRPr="00B923E9">
              <w:rPr>
                <w:rFonts w:asciiTheme="majorHAnsi" w:hAnsiTheme="majorHAnsi" w:cstheme="majorHAnsi"/>
              </w:rPr>
              <w:t>)</w:t>
            </w:r>
          </w:p>
          <w:p w14:paraId="3B9EFB43"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število priklopnih mest v sistemu javne izposoje koles: 10 PM + 6 PM</w:t>
            </w:r>
          </w:p>
          <w:p w14:paraId="5D1A14AD"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nakup 8 e-koles</w:t>
            </w:r>
          </w:p>
          <w:p w14:paraId="0248D7CF"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7. Podatki za spremljanje kazalnikov:</w:t>
            </w:r>
          </w:p>
          <w:p w14:paraId="3F8BCF8E"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predvidena lokacija in število merilcev hitrosti,</w:t>
            </w:r>
          </w:p>
          <w:p w14:paraId="71A64CA2"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Merilec: 1x na Govekarjevi med drevesi pred telovadnico </w:t>
            </w:r>
          </w:p>
          <w:p w14:paraId="13D6CFBA"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Prikazovalniki: 1x na Govekarjevi pri Občinski stavbi proti severu, 1x ob cerkvi na ulični svetilki proti jugu</w:t>
            </w:r>
          </w:p>
          <w:p w14:paraId="32EBC333"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predvidena lokacija in število števcev kolesarjev:</w:t>
            </w:r>
          </w:p>
          <w:p w14:paraId="19AC50F3"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Števec kolesarjev je predviden na isti lokaciji kot prikazovalnik hitrosti (merjenje proti severu). </w:t>
            </w:r>
            <w:r w:rsidRPr="00B923E9">
              <w:rPr>
                <w:rFonts w:asciiTheme="majorHAnsi" w:hAnsiTheme="majorHAnsi" w:cstheme="majorHAnsi"/>
                <w:sz w:val="22"/>
                <w:szCs w:val="22"/>
              </w:rPr>
              <w:lastRenderedPageBreak/>
              <w:t>Prikazovalnik hitrosti proti jugu je montiran na ulično svetilko.</w:t>
            </w:r>
          </w:p>
          <w:p w14:paraId="02AA3074"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Spremljanje V85 hitrosti.</w:t>
            </w:r>
          </w:p>
          <w:p w14:paraId="7B1FDA79" w14:textId="77777777" w:rsidR="00B923E9" w:rsidRPr="00B923E9" w:rsidRDefault="00B923E9" w:rsidP="00B923E9">
            <w:pPr>
              <w:spacing w:line="276" w:lineRule="auto"/>
              <w:rPr>
                <w:rFonts w:asciiTheme="majorHAnsi" w:hAnsiTheme="majorHAnsi" w:cstheme="majorHAnsi"/>
                <w:b/>
                <w:bCs/>
                <w:sz w:val="22"/>
                <w:szCs w:val="22"/>
              </w:rPr>
            </w:pPr>
            <w:r w:rsidRPr="00B923E9">
              <w:rPr>
                <w:rFonts w:asciiTheme="majorHAnsi" w:hAnsiTheme="majorHAnsi" w:cstheme="majorHAnsi"/>
                <w:b/>
                <w:bCs/>
                <w:sz w:val="22"/>
                <w:szCs w:val="22"/>
              </w:rPr>
              <w:t>8. Skladnost z načeli krožnega gospodarstva:</w:t>
            </w:r>
          </w:p>
          <w:p w14:paraId="100D46AD"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navedba uporabljenih materialov in gradbenih rešitev:</w:t>
            </w:r>
          </w:p>
          <w:p w14:paraId="685D11EB"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Govekarjeva cesta: kamnite kocke na drenažnem betonu</w:t>
            </w:r>
          </w:p>
          <w:p w14:paraId="5585519E"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Križišče: Asfalt, dvignjeni prehodi izvedeni z granitnimi kockami</w:t>
            </w:r>
          </w:p>
          <w:p w14:paraId="7698EDCA"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Troštova: Asfalt, hitrostne ovire izvedene z granitnimi kockami, </w:t>
            </w:r>
            <w:proofErr w:type="spellStart"/>
            <w:r w:rsidRPr="00B923E9">
              <w:rPr>
                <w:rFonts w:asciiTheme="majorHAnsi" w:hAnsiTheme="majorHAnsi" w:cstheme="majorHAnsi"/>
                <w:sz w:val="22"/>
                <w:szCs w:val="22"/>
              </w:rPr>
              <w:t>mulda</w:t>
            </w:r>
            <w:proofErr w:type="spellEnd"/>
            <w:r w:rsidRPr="00B923E9">
              <w:rPr>
                <w:rFonts w:asciiTheme="majorHAnsi" w:hAnsiTheme="majorHAnsi" w:cstheme="majorHAnsi"/>
                <w:sz w:val="22"/>
                <w:szCs w:val="22"/>
              </w:rPr>
              <w:t xml:space="preserve"> izvedena s kamnitimi kockami, prehod v park izveden v pranem betonu</w:t>
            </w:r>
          </w:p>
          <w:p w14:paraId="63E764F4"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 xml:space="preserve">AP: </w:t>
            </w:r>
            <w:proofErr w:type="spellStart"/>
            <w:r w:rsidRPr="00B923E9">
              <w:rPr>
                <w:rFonts w:asciiTheme="majorHAnsi" w:hAnsiTheme="majorHAnsi" w:cstheme="majorHAnsi"/>
                <w:sz w:val="22"/>
                <w:szCs w:val="22"/>
              </w:rPr>
              <w:t>povozne</w:t>
            </w:r>
            <w:proofErr w:type="spellEnd"/>
            <w:r w:rsidRPr="00B923E9">
              <w:rPr>
                <w:rFonts w:asciiTheme="majorHAnsi" w:hAnsiTheme="majorHAnsi" w:cstheme="majorHAnsi"/>
                <w:sz w:val="22"/>
                <w:szCs w:val="22"/>
              </w:rPr>
              <w:t xml:space="preserve"> površine asfalt, pločnik asfalt, peroni izvedeni v kamnitih kockah</w:t>
            </w:r>
          </w:p>
          <w:p w14:paraId="3F18C72C"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Nadstrešnica AP: Jekleni okrogli stebri, ostrešje leseno, pločevinasta streha, lesena fasada</w:t>
            </w:r>
          </w:p>
          <w:p w14:paraId="349DB75B" w14:textId="77777777" w:rsidR="00B923E9" w:rsidRPr="00B923E9" w:rsidRDefault="00B923E9" w:rsidP="00B923E9">
            <w:pPr>
              <w:spacing w:line="276" w:lineRule="auto"/>
              <w:ind w:left="709"/>
              <w:rPr>
                <w:rFonts w:asciiTheme="majorHAnsi" w:hAnsiTheme="majorHAnsi" w:cstheme="majorHAnsi"/>
                <w:sz w:val="22"/>
                <w:szCs w:val="22"/>
              </w:rPr>
            </w:pPr>
            <w:r w:rsidRPr="00B923E9">
              <w:rPr>
                <w:rFonts w:asciiTheme="majorHAnsi" w:hAnsiTheme="majorHAnsi" w:cstheme="majorHAnsi"/>
                <w:sz w:val="22"/>
                <w:szCs w:val="22"/>
              </w:rPr>
              <w:t>Nadkrita stojna mesta za kolesa: kjer so postavljena v raščen teren, je tlak izveden iz granitnih kock. Nadstrešnice koles so izvedene iz jeklenih okroglih stebrov, lesene strehe s pločevinasto kritino.</w:t>
            </w:r>
          </w:p>
          <w:p w14:paraId="218FE5C4"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 xml:space="preserve">V največji meri so v projektu uporabljeni naravni materiali: kamen, les. Kjer to ni mogoče so uporabljeni materiali, ki omogočajo dolgo življenjsko dobo: beton, jeklo. </w:t>
            </w:r>
          </w:p>
          <w:p w14:paraId="286E6386" w14:textId="77777777" w:rsidR="00B923E9" w:rsidRPr="00B923E9" w:rsidRDefault="00B923E9" w:rsidP="00B923E9">
            <w:pPr>
              <w:numPr>
                <w:ilvl w:val="0"/>
                <w:numId w:val="115"/>
              </w:numPr>
              <w:spacing w:line="276" w:lineRule="auto"/>
              <w:contextualSpacing/>
              <w:rPr>
                <w:rFonts w:asciiTheme="majorHAnsi" w:hAnsiTheme="majorHAnsi" w:cstheme="majorHAnsi"/>
                <w:sz w:val="22"/>
                <w:szCs w:val="22"/>
              </w:rPr>
            </w:pPr>
            <w:r w:rsidRPr="00B923E9">
              <w:rPr>
                <w:rFonts w:asciiTheme="majorHAnsi" w:hAnsiTheme="majorHAnsi" w:cstheme="majorHAnsi"/>
                <w:sz w:val="22"/>
                <w:szCs w:val="22"/>
              </w:rPr>
              <w:t xml:space="preserve">opredelitev, kako projekt prispeva k ponovni uporabi, recikliranju in zmanjšanju </w:t>
            </w:r>
            <w:proofErr w:type="spellStart"/>
            <w:r w:rsidRPr="00B923E9">
              <w:rPr>
                <w:rFonts w:asciiTheme="majorHAnsi" w:hAnsiTheme="majorHAnsi" w:cstheme="majorHAnsi"/>
                <w:sz w:val="22"/>
                <w:szCs w:val="22"/>
              </w:rPr>
              <w:t>okoljskega</w:t>
            </w:r>
            <w:proofErr w:type="spellEnd"/>
            <w:r w:rsidRPr="00B923E9">
              <w:rPr>
                <w:rFonts w:asciiTheme="majorHAnsi" w:hAnsiTheme="majorHAnsi" w:cstheme="majorHAnsi"/>
                <w:sz w:val="22"/>
                <w:szCs w:val="22"/>
              </w:rPr>
              <w:t xml:space="preserve"> odtisa:</w:t>
            </w:r>
          </w:p>
          <w:p w14:paraId="2DECE4EC" w14:textId="77777777" w:rsidR="00B923E9" w:rsidRPr="00B923E9" w:rsidRDefault="00B923E9" w:rsidP="00B923E9">
            <w:pPr>
              <w:spacing w:line="276" w:lineRule="auto"/>
              <w:ind w:left="720"/>
              <w:contextualSpacing/>
              <w:rPr>
                <w:rFonts w:asciiTheme="majorHAnsi" w:hAnsiTheme="majorHAnsi" w:cstheme="majorHAnsi"/>
                <w:sz w:val="22"/>
                <w:szCs w:val="22"/>
              </w:rPr>
            </w:pPr>
            <w:r w:rsidRPr="00B923E9">
              <w:rPr>
                <w:rFonts w:asciiTheme="majorHAnsi" w:hAnsiTheme="majorHAnsi" w:cstheme="majorHAnsi"/>
                <w:sz w:val="22"/>
                <w:szCs w:val="22"/>
              </w:rPr>
              <w:t>Pri stavbah se v največji meri uporabi les (skladiščenje CO</w:t>
            </w:r>
            <w:r w:rsidRPr="00B923E9">
              <w:rPr>
                <w:rFonts w:asciiTheme="majorHAnsi" w:hAnsiTheme="majorHAnsi" w:cstheme="majorHAnsi"/>
                <w:sz w:val="22"/>
                <w:szCs w:val="22"/>
                <w:vertAlign w:val="subscript"/>
              </w:rPr>
              <w:t>2</w:t>
            </w:r>
            <w:r w:rsidRPr="00B923E9">
              <w:rPr>
                <w:rFonts w:asciiTheme="majorHAnsi" w:hAnsiTheme="majorHAnsi" w:cstheme="majorHAnsi"/>
                <w:sz w:val="22"/>
                <w:szCs w:val="22"/>
              </w:rPr>
              <w:t>) – konstrukcija ostrešja, fasada</w:t>
            </w:r>
          </w:p>
          <w:p w14:paraId="7416F205" w14:textId="77777777" w:rsidR="00B923E9" w:rsidRPr="00B923E9" w:rsidRDefault="00B923E9" w:rsidP="00B923E9">
            <w:pPr>
              <w:spacing w:line="276" w:lineRule="auto"/>
              <w:ind w:left="720"/>
              <w:contextualSpacing/>
              <w:rPr>
                <w:rFonts w:asciiTheme="majorHAnsi" w:hAnsiTheme="majorHAnsi" w:cstheme="majorHAnsi"/>
                <w:sz w:val="22"/>
                <w:szCs w:val="22"/>
              </w:rPr>
            </w:pPr>
            <w:proofErr w:type="spellStart"/>
            <w:r w:rsidRPr="00B923E9">
              <w:rPr>
                <w:rFonts w:asciiTheme="majorHAnsi" w:hAnsiTheme="majorHAnsi" w:cstheme="majorHAnsi"/>
                <w:sz w:val="22"/>
                <w:szCs w:val="22"/>
              </w:rPr>
              <w:t>Fotovoltaika</w:t>
            </w:r>
            <w:proofErr w:type="spellEnd"/>
            <w:r w:rsidRPr="00B923E9">
              <w:rPr>
                <w:rFonts w:asciiTheme="majorHAnsi" w:hAnsiTheme="majorHAnsi" w:cstheme="majorHAnsi"/>
                <w:sz w:val="22"/>
                <w:szCs w:val="22"/>
              </w:rPr>
              <w:t xml:space="preserve"> na južnih strešinah varovane kolesarnice in nadstrešnice AP</w:t>
            </w:r>
          </w:p>
          <w:p w14:paraId="1D5A1DA7" w14:textId="77777777" w:rsidR="00B923E9" w:rsidRPr="00B923E9" w:rsidRDefault="00B923E9" w:rsidP="00B923E9">
            <w:pPr>
              <w:numPr>
                <w:ilvl w:val="0"/>
                <w:numId w:val="113"/>
              </w:numPr>
              <w:spacing w:line="276" w:lineRule="auto"/>
              <w:ind w:left="426" w:hanging="357"/>
              <w:contextualSpacing/>
              <w:jc w:val="both"/>
              <w:rPr>
                <w:rFonts w:asciiTheme="majorHAnsi" w:hAnsiTheme="majorHAnsi" w:cstheme="majorHAnsi"/>
                <w:b/>
                <w:bCs/>
                <w:sz w:val="22"/>
                <w:szCs w:val="22"/>
                <w:lang w:eastAsia="zh-TW"/>
              </w:rPr>
            </w:pPr>
            <w:r w:rsidRPr="00B923E9">
              <w:rPr>
                <w:rFonts w:asciiTheme="majorHAnsi" w:hAnsiTheme="majorHAnsi" w:cstheme="majorHAnsi"/>
                <w:b/>
                <w:bCs/>
                <w:sz w:val="22"/>
                <w:szCs w:val="22"/>
                <w:lang w:eastAsia="zh-TW"/>
              </w:rPr>
              <w:t>Učinki (širši vplivi projekta)</w:t>
            </w:r>
          </w:p>
          <w:p w14:paraId="25305833" w14:textId="77777777" w:rsidR="00B923E9" w:rsidRPr="00B923E9" w:rsidRDefault="00B923E9" w:rsidP="00B923E9">
            <w:pPr>
              <w:numPr>
                <w:ilvl w:val="0"/>
                <w:numId w:val="112"/>
              </w:numPr>
              <w:spacing w:line="276" w:lineRule="auto"/>
              <w:ind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Povečanje deleža trajnostne mobilnosti</w:t>
            </w:r>
            <w:r w:rsidRPr="00B923E9">
              <w:rPr>
                <w:rFonts w:asciiTheme="majorHAnsi" w:hAnsiTheme="majorHAnsi" w:cstheme="majorHAnsi"/>
                <w:sz w:val="22"/>
                <w:szCs w:val="22"/>
                <w:lang w:eastAsia="zh-TW"/>
              </w:rPr>
              <w:t>: več prebivalcev bo uporabljalo hojo, kolesarjenje in JPP namesto osebnih vozil.</w:t>
            </w:r>
          </w:p>
          <w:p w14:paraId="4AB46FC6" w14:textId="77777777" w:rsidR="00B923E9" w:rsidRPr="00B923E9" w:rsidRDefault="00B923E9" w:rsidP="00B923E9">
            <w:pPr>
              <w:numPr>
                <w:ilvl w:val="0"/>
                <w:numId w:val="112"/>
              </w:numPr>
              <w:spacing w:line="276" w:lineRule="auto"/>
              <w:ind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Zmanjšanje negativnih vplivov prometa</w:t>
            </w:r>
            <w:r w:rsidRPr="00B923E9">
              <w:rPr>
                <w:rFonts w:asciiTheme="majorHAnsi" w:hAnsiTheme="majorHAnsi" w:cstheme="majorHAnsi"/>
                <w:sz w:val="22"/>
                <w:szCs w:val="22"/>
                <w:lang w:eastAsia="zh-TW"/>
              </w:rPr>
              <w:t>: manj emisij CO</w:t>
            </w:r>
            <w:r w:rsidRPr="00B923E9">
              <w:rPr>
                <w:rFonts w:ascii="Cambria Math" w:hAnsi="Cambria Math" w:cs="Cambria Math"/>
                <w:sz w:val="22"/>
                <w:szCs w:val="22"/>
                <w:lang w:eastAsia="zh-TW"/>
              </w:rPr>
              <w:t>₂</w:t>
            </w:r>
            <w:r w:rsidRPr="00B923E9">
              <w:rPr>
                <w:rFonts w:asciiTheme="majorHAnsi" w:hAnsiTheme="majorHAnsi" w:cstheme="majorHAnsi"/>
                <w:sz w:val="22"/>
                <w:szCs w:val="22"/>
                <w:lang w:eastAsia="zh-TW"/>
              </w:rPr>
              <w:t>, manj hrupa, manj toplotnih otokov v središču naselja.</w:t>
            </w:r>
          </w:p>
          <w:p w14:paraId="0730D134" w14:textId="77777777" w:rsidR="00B923E9" w:rsidRPr="00B923E9" w:rsidRDefault="00B923E9" w:rsidP="00B923E9">
            <w:pPr>
              <w:numPr>
                <w:ilvl w:val="0"/>
                <w:numId w:val="112"/>
              </w:numPr>
              <w:spacing w:line="276" w:lineRule="auto"/>
              <w:ind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Izboljšanje prometne varnosti</w:t>
            </w:r>
            <w:r w:rsidRPr="00B923E9">
              <w:rPr>
                <w:rFonts w:asciiTheme="majorHAnsi" w:hAnsiTheme="majorHAnsi" w:cstheme="majorHAnsi"/>
                <w:sz w:val="22"/>
                <w:szCs w:val="22"/>
                <w:lang w:eastAsia="zh-TW"/>
              </w:rPr>
              <w:t>: predvsem za otroke, šolarje, starejše in gibalno ovirane.</w:t>
            </w:r>
          </w:p>
          <w:p w14:paraId="76D67C4C" w14:textId="77777777" w:rsidR="00B923E9" w:rsidRPr="00B923E9" w:rsidRDefault="00B923E9" w:rsidP="00B923E9">
            <w:pPr>
              <w:numPr>
                <w:ilvl w:val="0"/>
                <w:numId w:val="112"/>
              </w:numPr>
              <w:spacing w:line="276" w:lineRule="auto"/>
              <w:ind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Višja kakovost bivanja in urejen javni prostor</w:t>
            </w:r>
            <w:r w:rsidRPr="00B923E9">
              <w:rPr>
                <w:rFonts w:asciiTheme="majorHAnsi" w:hAnsiTheme="majorHAnsi" w:cstheme="majorHAnsi"/>
                <w:sz w:val="22"/>
                <w:szCs w:val="22"/>
                <w:lang w:eastAsia="zh-TW"/>
              </w:rPr>
              <w:t>: privlačnejše in bolj funkcionalno središče Ig, ki spodbuja aktivno življenje.</w:t>
            </w:r>
          </w:p>
          <w:p w14:paraId="1D6B6998" w14:textId="77777777" w:rsidR="00B923E9" w:rsidRPr="00B923E9" w:rsidRDefault="00B923E9" w:rsidP="00B923E9">
            <w:pPr>
              <w:numPr>
                <w:ilvl w:val="0"/>
                <w:numId w:val="112"/>
              </w:numPr>
              <w:spacing w:line="276" w:lineRule="auto"/>
              <w:ind w:hanging="357"/>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Krepitev zelene infrastrukture</w:t>
            </w:r>
            <w:r w:rsidRPr="00B923E9">
              <w:rPr>
                <w:rFonts w:asciiTheme="majorHAnsi" w:hAnsiTheme="majorHAnsi" w:cstheme="majorHAnsi"/>
                <w:sz w:val="22"/>
                <w:szCs w:val="22"/>
                <w:lang w:eastAsia="zh-TW"/>
              </w:rPr>
              <w:t>: povečanje biotske raznovrstnosti in naravi prijaznih rešitev v urbanem okolju tudi v sinergiji z vzporednim projektom ureditve zelene infrastrukture.</w:t>
            </w:r>
          </w:p>
          <w:p w14:paraId="7FD0BD02" w14:textId="08ACA2FD" w:rsidR="006A22D8" w:rsidRPr="00B923E9" w:rsidRDefault="00B923E9" w:rsidP="00A8381C">
            <w:pPr>
              <w:numPr>
                <w:ilvl w:val="0"/>
                <w:numId w:val="112"/>
              </w:numPr>
              <w:spacing w:after="120" w:line="276" w:lineRule="auto"/>
              <w:jc w:val="both"/>
              <w:rPr>
                <w:rFonts w:asciiTheme="majorHAnsi" w:hAnsiTheme="majorHAnsi" w:cstheme="majorHAnsi"/>
                <w:sz w:val="22"/>
                <w:szCs w:val="22"/>
                <w:lang w:eastAsia="zh-TW"/>
              </w:rPr>
            </w:pPr>
            <w:r w:rsidRPr="00B923E9">
              <w:rPr>
                <w:rFonts w:asciiTheme="majorHAnsi" w:hAnsiTheme="majorHAnsi" w:cstheme="majorHAnsi"/>
                <w:b/>
                <w:bCs/>
                <w:sz w:val="22"/>
                <w:szCs w:val="22"/>
                <w:lang w:eastAsia="zh-TW"/>
              </w:rPr>
              <w:t xml:space="preserve">Podpora občinskim in državnim strateškim dokumentom ter občinske celostne prometne </w:t>
            </w:r>
            <w:r w:rsidRPr="00B923E9">
              <w:rPr>
                <w:rFonts w:asciiTheme="majorHAnsi" w:hAnsiTheme="majorHAnsi" w:cstheme="majorHAnsi"/>
                <w:b/>
                <w:bCs/>
                <w:sz w:val="22"/>
                <w:szCs w:val="22"/>
                <w:lang w:eastAsia="zh-TW"/>
              </w:rPr>
              <w:lastRenderedPageBreak/>
              <w:t>strategije</w:t>
            </w:r>
            <w:r w:rsidRPr="00B923E9">
              <w:rPr>
                <w:rFonts w:asciiTheme="majorHAnsi" w:hAnsiTheme="majorHAnsi" w:cstheme="majorHAnsi"/>
                <w:sz w:val="22"/>
                <w:szCs w:val="22"/>
                <w:lang w:eastAsia="zh-TW"/>
              </w:rPr>
              <w:t>: projekt neposredno prispeva k doseganju ciljev JR EKP UTM 2025 in evropske politike podnebne nevtralnosti ter OCPS.</w:t>
            </w:r>
          </w:p>
        </w:tc>
      </w:tr>
      <w:tr w:rsidR="009E6E1A" w:rsidRPr="00B923E9" w14:paraId="35E59595" w14:textId="77777777" w:rsidTr="00B923E9">
        <w:trPr>
          <w:trHeight w:val="318"/>
        </w:trPr>
        <w:tc>
          <w:tcPr>
            <w:tcW w:w="1597" w:type="pct"/>
            <w:shd w:val="clear" w:color="auto" w:fill="DBE5F1"/>
            <w:vAlign w:val="center"/>
          </w:tcPr>
          <w:p w14:paraId="0159496D" w14:textId="4700E32C" w:rsidR="009E6E1A" w:rsidRPr="00B923E9" w:rsidRDefault="009E6E1A" w:rsidP="009E6E1A">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lastRenderedPageBreak/>
              <w:t>OBSEG INVESTICIJSKIH DEL</w:t>
            </w:r>
          </w:p>
        </w:tc>
        <w:tc>
          <w:tcPr>
            <w:tcW w:w="3403" w:type="pct"/>
          </w:tcPr>
          <w:p w14:paraId="75487204" w14:textId="77777777" w:rsidR="009E6E1A" w:rsidRPr="00B923E9" w:rsidRDefault="009E6E1A" w:rsidP="009E6E1A">
            <w:pPr>
              <w:spacing w:line="276" w:lineRule="auto"/>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Obseg investicijskih del obsega celovit nabor ukrepov, ki bodo izvedeni v središču Občine Ig in se nanašajo na področje trajnostne mobilnosti, skladno z zahtevami javnega razpisa MOPE (JR EKP UTM 2025). Dela vključujejo:</w:t>
            </w:r>
          </w:p>
          <w:p w14:paraId="774AF4E4" w14:textId="5EFB4510" w:rsidR="009E6E1A" w:rsidRPr="00B923E9" w:rsidRDefault="00D77C97"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Rekonstrukcija ceste, p</w:t>
            </w:r>
            <w:r w:rsidR="009E6E1A" w:rsidRPr="00B923E9">
              <w:rPr>
                <w:rFonts w:asciiTheme="majorHAnsi" w:eastAsia="Arial Unicode MS" w:hAnsiTheme="majorHAnsi" w:cstheme="majorHAnsi"/>
                <w:b/>
                <w:bCs/>
                <w:sz w:val="22"/>
                <w:szCs w:val="22"/>
                <w:lang w:eastAsia="zh-TW"/>
              </w:rPr>
              <w:t>reureditev prometnih površin v skupne prometne prostore</w:t>
            </w:r>
          </w:p>
          <w:p w14:paraId="11A1CF55" w14:textId="23385F4C"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rekonstrukcija Govekarjeve ceste z zoženjem vozišča na minimalno širino (5,5 m), dvigom nivelete na raven pločnikov in trga, uvedbo omejitve hitrosti 20 km/h, odstranitev obstoječih parkirišč</w:t>
            </w:r>
            <w:r w:rsidR="00174663" w:rsidRPr="00B923E9">
              <w:rPr>
                <w:rFonts w:asciiTheme="majorHAnsi" w:eastAsia="Arial Unicode MS" w:hAnsiTheme="majorHAnsi" w:cstheme="majorHAnsi"/>
                <w:sz w:val="22"/>
                <w:szCs w:val="22"/>
                <w:lang w:eastAsia="zh-TW"/>
              </w:rPr>
              <w:t xml:space="preserve"> ter ureditev šestih parkirnih mest za invalide</w:t>
            </w:r>
            <w:r w:rsidRPr="00B923E9">
              <w:rPr>
                <w:rFonts w:asciiTheme="majorHAnsi" w:eastAsia="Arial Unicode MS" w:hAnsiTheme="majorHAnsi" w:cstheme="majorHAnsi"/>
                <w:sz w:val="22"/>
                <w:szCs w:val="22"/>
                <w:lang w:eastAsia="zh-TW"/>
              </w:rPr>
              <w:t>;</w:t>
            </w:r>
          </w:p>
          <w:p w14:paraId="079BB724"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rekonstrukcija Troštove ulice v skupni prometni prostor (omejitev hitrosti 20 km/h) z zožitvijo na širino 4 m.</w:t>
            </w:r>
          </w:p>
          <w:p w14:paraId="7BCD8996" w14:textId="77777777" w:rsidR="009E6E1A" w:rsidRPr="00B923E9" w:rsidRDefault="009E6E1A"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Umirjanje prometa in digitalni nadzor</w:t>
            </w:r>
          </w:p>
          <w:p w14:paraId="17243176"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dobava in namestitev merilca in dveh prikazovalnikov hitrosti (z LED prikazovalnikom) in</w:t>
            </w:r>
          </w:p>
          <w:p w14:paraId="628A39FB"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namestitev števca kolesarjev z AI prepoznavo in možnostjo digitalnega spremljanja.</w:t>
            </w:r>
          </w:p>
          <w:p w14:paraId="6BDF4246" w14:textId="77777777" w:rsidR="009E6E1A" w:rsidRPr="00B923E9" w:rsidRDefault="009E6E1A"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Infrastruktura za kolesarje</w:t>
            </w:r>
          </w:p>
          <w:p w14:paraId="6EFE6D70" w14:textId="6C505763"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ureditev 4 </w:t>
            </w:r>
            <w:proofErr w:type="spellStart"/>
            <w:r w:rsidRPr="00B923E9">
              <w:rPr>
                <w:rFonts w:asciiTheme="majorHAnsi" w:eastAsia="Arial Unicode MS" w:hAnsiTheme="majorHAnsi" w:cstheme="majorHAnsi"/>
                <w:sz w:val="22"/>
                <w:szCs w:val="22"/>
                <w:lang w:eastAsia="zh-TW"/>
              </w:rPr>
              <w:t>nadkritih</w:t>
            </w:r>
            <w:proofErr w:type="spellEnd"/>
            <w:r w:rsidRPr="00B923E9">
              <w:rPr>
                <w:rFonts w:asciiTheme="majorHAnsi" w:eastAsia="Arial Unicode MS" w:hAnsiTheme="majorHAnsi" w:cstheme="majorHAnsi"/>
                <w:sz w:val="22"/>
                <w:szCs w:val="22"/>
                <w:lang w:eastAsia="zh-TW"/>
              </w:rPr>
              <w:t xml:space="preserve"> parkirišč za kolesa (vsako s prostorom za 10 koles, kar skupaj predstavlja 40 </w:t>
            </w:r>
            <w:r w:rsidR="00CB48F8" w:rsidRPr="00B923E9">
              <w:rPr>
                <w:rFonts w:asciiTheme="majorHAnsi" w:eastAsia="Arial Unicode MS" w:hAnsiTheme="majorHAnsi" w:cstheme="majorHAnsi"/>
                <w:sz w:val="22"/>
                <w:szCs w:val="22"/>
                <w:lang w:eastAsia="zh-TW"/>
              </w:rPr>
              <w:t xml:space="preserve">parkirnih </w:t>
            </w:r>
            <w:r w:rsidRPr="00B923E9">
              <w:rPr>
                <w:rFonts w:asciiTheme="majorHAnsi" w:eastAsia="Arial Unicode MS" w:hAnsiTheme="majorHAnsi" w:cstheme="majorHAnsi"/>
                <w:sz w:val="22"/>
                <w:szCs w:val="22"/>
                <w:lang w:eastAsia="zh-TW"/>
              </w:rPr>
              <w:t>mest),</w:t>
            </w:r>
          </w:p>
          <w:p w14:paraId="31B96530" w14:textId="478D035E"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izgradnja pokrite varne kolesarnice (25 m², 10</w:t>
            </w:r>
            <w:r w:rsidR="00CB48F8" w:rsidRPr="00B923E9">
              <w:rPr>
                <w:rFonts w:asciiTheme="majorHAnsi" w:eastAsia="Arial Unicode MS" w:hAnsiTheme="majorHAnsi" w:cstheme="majorHAnsi"/>
                <w:sz w:val="22"/>
                <w:szCs w:val="22"/>
                <w:lang w:eastAsia="zh-TW"/>
              </w:rPr>
              <w:t xml:space="preserve"> parkirnih</w:t>
            </w:r>
            <w:r w:rsidRPr="00B923E9">
              <w:rPr>
                <w:rFonts w:asciiTheme="majorHAnsi" w:eastAsia="Arial Unicode MS" w:hAnsiTheme="majorHAnsi" w:cstheme="majorHAnsi"/>
                <w:sz w:val="22"/>
                <w:szCs w:val="22"/>
                <w:lang w:eastAsia="zh-TW"/>
              </w:rPr>
              <w:t xml:space="preserve"> mest),</w:t>
            </w:r>
          </w:p>
          <w:p w14:paraId="306BB3E3"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vzpostavitev sistema izposoje javnih e-koles: 2 postajališči (avtobusno postajališče Ig 10 PM in parkirišče pri pokopališču 6 PM), 8 električnih koles, spremljanje razpoložljivosti v realnem času).</w:t>
            </w:r>
          </w:p>
          <w:p w14:paraId="2EE0CFF3" w14:textId="77777777" w:rsidR="009E6E1A" w:rsidRPr="00B923E9" w:rsidRDefault="009E6E1A"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Avtobusna infrastruktura</w:t>
            </w:r>
          </w:p>
          <w:p w14:paraId="019677DF"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izgradnja novega avtobusnega postajališča s tremi </w:t>
            </w:r>
            <w:proofErr w:type="spellStart"/>
            <w:r w:rsidRPr="00B923E9">
              <w:rPr>
                <w:rFonts w:asciiTheme="majorHAnsi" w:eastAsia="Arial Unicode MS" w:hAnsiTheme="majorHAnsi" w:cstheme="majorHAnsi"/>
                <w:sz w:val="22"/>
                <w:szCs w:val="22"/>
                <w:lang w:eastAsia="zh-TW"/>
              </w:rPr>
              <w:t>nadkritimi</w:t>
            </w:r>
            <w:proofErr w:type="spellEnd"/>
            <w:r w:rsidRPr="00B923E9">
              <w:rPr>
                <w:rFonts w:asciiTheme="majorHAnsi" w:eastAsia="Arial Unicode MS" w:hAnsiTheme="majorHAnsi" w:cstheme="majorHAnsi"/>
                <w:sz w:val="22"/>
                <w:szCs w:val="22"/>
                <w:lang w:eastAsia="zh-TW"/>
              </w:rPr>
              <w:t xml:space="preserve"> peroni (cca 800 m²).</w:t>
            </w:r>
          </w:p>
          <w:p w14:paraId="04814A48" w14:textId="77777777" w:rsidR="009E6E1A" w:rsidRPr="00B923E9" w:rsidRDefault="009E6E1A"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Parkirišča in spremljajoče ureditve</w:t>
            </w:r>
          </w:p>
          <w:p w14:paraId="6F0B5C55" w14:textId="1EAFDEE3"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preureditev parkirišča pred OŠ Ig s skupno </w:t>
            </w:r>
            <w:r w:rsidR="00226941" w:rsidRPr="00B923E9">
              <w:rPr>
                <w:rFonts w:asciiTheme="majorHAnsi" w:eastAsia="Arial Unicode MS" w:hAnsiTheme="majorHAnsi" w:cstheme="majorHAnsi"/>
                <w:sz w:val="22"/>
                <w:szCs w:val="22"/>
                <w:lang w:eastAsia="zh-TW"/>
              </w:rPr>
              <w:t>56</w:t>
            </w:r>
            <w:r w:rsidRPr="00B923E9">
              <w:rPr>
                <w:rFonts w:asciiTheme="majorHAnsi" w:eastAsia="Arial Unicode MS" w:hAnsiTheme="majorHAnsi" w:cstheme="majorHAnsi"/>
                <w:sz w:val="22"/>
                <w:szCs w:val="22"/>
                <w:lang w:eastAsia="zh-TW"/>
              </w:rPr>
              <w:t xml:space="preserve"> parkirnimi mesti (od tega 6 za gibalno ovirane</w:t>
            </w:r>
            <w:r w:rsidR="00226941" w:rsidRPr="00B923E9">
              <w:rPr>
                <w:rFonts w:asciiTheme="majorHAnsi" w:eastAsia="Arial Unicode MS" w:hAnsiTheme="majorHAnsi" w:cstheme="majorHAnsi"/>
                <w:sz w:val="22"/>
                <w:szCs w:val="22"/>
                <w:lang w:eastAsia="zh-TW"/>
              </w:rPr>
              <w:t>, ki so vključeni v skupni prometni prostor Govekarjeve ceste</w:t>
            </w:r>
            <w:r w:rsidRPr="00B923E9">
              <w:rPr>
                <w:rFonts w:asciiTheme="majorHAnsi" w:eastAsia="Arial Unicode MS" w:hAnsiTheme="majorHAnsi" w:cstheme="majorHAnsi"/>
                <w:sz w:val="22"/>
                <w:szCs w:val="22"/>
                <w:lang w:eastAsia="zh-TW"/>
              </w:rPr>
              <w:t>),</w:t>
            </w:r>
          </w:p>
          <w:p w14:paraId="21E22CB6" w14:textId="77777777" w:rsidR="009E6E1A"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vzpostavitev </w:t>
            </w:r>
            <w:proofErr w:type="spellStart"/>
            <w:r w:rsidRPr="00B923E9">
              <w:rPr>
                <w:rFonts w:asciiTheme="majorHAnsi" w:eastAsia="Arial Unicode MS" w:hAnsiTheme="majorHAnsi" w:cstheme="majorHAnsi"/>
                <w:sz w:val="22"/>
                <w:szCs w:val="22"/>
                <w:lang w:eastAsia="zh-TW"/>
              </w:rPr>
              <w:t>drop-off</w:t>
            </w:r>
            <w:proofErr w:type="spellEnd"/>
            <w:r w:rsidRPr="00B923E9">
              <w:rPr>
                <w:rFonts w:asciiTheme="majorHAnsi" w:eastAsia="Arial Unicode MS" w:hAnsiTheme="majorHAnsi" w:cstheme="majorHAnsi"/>
                <w:sz w:val="22"/>
                <w:szCs w:val="22"/>
                <w:lang w:eastAsia="zh-TW"/>
              </w:rPr>
              <w:t xml:space="preserve"> cone za varen prihod šolarjev.</w:t>
            </w:r>
          </w:p>
          <w:p w14:paraId="7CDA180E" w14:textId="77777777" w:rsidR="009E6E1A" w:rsidRPr="00B923E9" w:rsidRDefault="009E6E1A" w:rsidP="009E6E1A">
            <w:pPr>
              <w:numPr>
                <w:ilvl w:val="0"/>
                <w:numId w:val="109"/>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b/>
                <w:bCs/>
                <w:sz w:val="22"/>
                <w:szCs w:val="22"/>
                <w:lang w:eastAsia="zh-TW"/>
              </w:rPr>
              <w:t>Zelene in spremljajoče ureditve</w:t>
            </w:r>
          </w:p>
          <w:p w14:paraId="0F91E6F3" w14:textId="60550557" w:rsidR="00CB48F8" w:rsidRPr="00B923E9" w:rsidRDefault="009E6E1A" w:rsidP="009E6E1A">
            <w:pPr>
              <w:numPr>
                <w:ilvl w:val="1"/>
                <w:numId w:val="109"/>
              </w:numPr>
              <w:tabs>
                <w:tab w:val="clear" w:pos="1440"/>
              </w:tabs>
              <w:spacing w:line="276" w:lineRule="auto"/>
              <w:ind w:left="545" w:hanging="218"/>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tlakovanje dela površin z betonskimi kockami (najmanj 10 % neasfaltiranih površin),</w:t>
            </w:r>
          </w:p>
          <w:p w14:paraId="59629471" w14:textId="2235DF13" w:rsidR="009E6E1A" w:rsidRPr="00B923E9" w:rsidRDefault="009E6E1A" w:rsidP="00AA423F">
            <w:pPr>
              <w:numPr>
                <w:ilvl w:val="1"/>
                <w:numId w:val="109"/>
              </w:numPr>
              <w:tabs>
                <w:tab w:val="clear" w:pos="1440"/>
              </w:tabs>
              <w:spacing w:line="276" w:lineRule="auto"/>
              <w:ind w:left="545" w:hanging="218"/>
              <w:jc w:val="both"/>
              <w:rPr>
                <w:rFonts w:asciiTheme="majorHAnsi" w:eastAsia="Arial Unicode MS" w:hAnsiTheme="majorHAnsi" w:cstheme="majorHAnsi"/>
                <w:i/>
                <w:sz w:val="22"/>
                <w:szCs w:val="22"/>
                <w:lang w:eastAsia="zh-TW"/>
              </w:rPr>
            </w:pPr>
            <w:r w:rsidRPr="00B923E9">
              <w:rPr>
                <w:rFonts w:asciiTheme="majorHAnsi" w:eastAsia="Arial Unicode MS" w:hAnsiTheme="majorHAnsi" w:cstheme="majorHAnsi"/>
                <w:sz w:val="22"/>
                <w:szCs w:val="22"/>
                <w:lang w:eastAsia="zh-TW"/>
              </w:rPr>
              <w:t>ponovna uporaba padavinskih voda za zalivanje.</w:t>
            </w:r>
          </w:p>
        </w:tc>
      </w:tr>
      <w:tr w:rsidR="009E6E1A" w:rsidRPr="00B923E9" w14:paraId="7050BCD8" w14:textId="77777777" w:rsidTr="00B923E9">
        <w:trPr>
          <w:trHeight w:val="318"/>
        </w:trPr>
        <w:tc>
          <w:tcPr>
            <w:tcW w:w="1597" w:type="pct"/>
            <w:shd w:val="clear" w:color="auto" w:fill="DBE5F1"/>
            <w:vAlign w:val="center"/>
          </w:tcPr>
          <w:p w14:paraId="43A854F6" w14:textId="77777777" w:rsidR="009E6E1A" w:rsidRPr="00B923E9" w:rsidRDefault="009E6E1A" w:rsidP="009E6E1A">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LOKACIJA INVESTICIJE</w:t>
            </w:r>
          </w:p>
        </w:tc>
        <w:tc>
          <w:tcPr>
            <w:tcW w:w="3403" w:type="pct"/>
          </w:tcPr>
          <w:p w14:paraId="44A5C950" w14:textId="77777777" w:rsidR="009E6E1A" w:rsidRPr="00B923E9" w:rsidRDefault="009E6E1A" w:rsidP="009E6E1A">
            <w:pPr>
              <w:spacing w:line="276" w:lineRule="auto"/>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Investicija se izvaja na območju središča naselja Ig, in sicer na naslednjih lokacijah:</w:t>
            </w:r>
          </w:p>
          <w:p w14:paraId="2728CC18" w14:textId="77777777" w:rsidR="009E6E1A" w:rsidRPr="00B923E9" w:rsidRDefault="009E6E1A" w:rsidP="009E6E1A">
            <w:pPr>
              <w:numPr>
                <w:ilvl w:val="0"/>
                <w:numId w:val="110"/>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Govekarjeva cesta,</w:t>
            </w:r>
          </w:p>
          <w:p w14:paraId="632A79E0" w14:textId="77777777" w:rsidR="009E6E1A" w:rsidRPr="00B923E9" w:rsidRDefault="009E6E1A" w:rsidP="009E6E1A">
            <w:pPr>
              <w:numPr>
                <w:ilvl w:val="0"/>
                <w:numId w:val="110"/>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Troštova ulica,</w:t>
            </w:r>
          </w:p>
          <w:p w14:paraId="6F927950" w14:textId="77777777" w:rsidR="009E6E1A" w:rsidRPr="00B923E9" w:rsidRDefault="009E6E1A" w:rsidP="009E6E1A">
            <w:pPr>
              <w:numPr>
                <w:ilvl w:val="0"/>
                <w:numId w:val="110"/>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 xml:space="preserve">območje Osnovne šole Ig (parkirišče in </w:t>
            </w:r>
            <w:proofErr w:type="spellStart"/>
            <w:r w:rsidRPr="00B923E9">
              <w:rPr>
                <w:rFonts w:asciiTheme="majorHAnsi" w:eastAsia="Arial Unicode MS" w:hAnsiTheme="majorHAnsi" w:cstheme="majorHAnsi"/>
                <w:sz w:val="22"/>
                <w:szCs w:val="22"/>
                <w:lang w:eastAsia="zh-TW"/>
              </w:rPr>
              <w:t>drop-off</w:t>
            </w:r>
            <w:proofErr w:type="spellEnd"/>
            <w:r w:rsidRPr="00B923E9">
              <w:rPr>
                <w:rFonts w:asciiTheme="majorHAnsi" w:eastAsia="Arial Unicode MS" w:hAnsiTheme="majorHAnsi" w:cstheme="majorHAnsi"/>
                <w:sz w:val="22"/>
                <w:szCs w:val="22"/>
                <w:lang w:eastAsia="zh-TW"/>
              </w:rPr>
              <w:t xml:space="preserve"> cona),</w:t>
            </w:r>
          </w:p>
          <w:p w14:paraId="6144E454" w14:textId="77777777" w:rsidR="009E6E1A" w:rsidRPr="00B923E9" w:rsidRDefault="009E6E1A" w:rsidP="009E6E1A">
            <w:pPr>
              <w:numPr>
                <w:ilvl w:val="0"/>
                <w:numId w:val="110"/>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avtobusno postajališče v centru Iga,</w:t>
            </w:r>
          </w:p>
          <w:p w14:paraId="2AF84482" w14:textId="77777777" w:rsidR="009E6E1A" w:rsidRPr="00B923E9" w:rsidRDefault="009E6E1A" w:rsidP="009E6E1A">
            <w:pPr>
              <w:numPr>
                <w:ilvl w:val="0"/>
                <w:numId w:val="110"/>
              </w:numPr>
              <w:tabs>
                <w:tab w:val="clear" w:pos="720"/>
              </w:tabs>
              <w:spacing w:line="276" w:lineRule="auto"/>
              <w:ind w:left="262" w:hanging="219"/>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lastRenderedPageBreak/>
              <w:t>park in pomožni objekt sanitarij (kolesarska infrastruktura),</w:t>
            </w:r>
          </w:p>
          <w:p w14:paraId="2BD0476C" w14:textId="1168E87A" w:rsidR="009E6E1A" w:rsidRPr="00B923E9" w:rsidRDefault="009E6E1A" w:rsidP="009E6E1A">
            <w:pPr>
              <w:spacing w:line="276" w:lineRule="auto"/>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telovadnica in otroško igrišče (parkirišča za kolesa).</w:t>
            </w:r>
          </w:p>
        </w:tc>
      </w:tr>
      <w:tr w:rsidR="009E6E1A" w:rsidRPr="00B923E9" w14:paraId="5EB0191D" w14:textId="77777777" w:rsidTr="00B923E9">
        <w:trPr>
          <w:trHeight w:val="318"/>
        </w:trPr>
        <w:tc>
          <w:tcPr>
            <w:tcW w:w="1597" w:type="pct"/>
            <w:shd w:val="clear" w:color="auto" w:fill="DBE5F1"/>
            <w:vAlign w:val="center"/>
          </w:tcPr>
          <w:p w14:paraId="646996AA" w14:textId="77777777" w:rsidR="009E6E1A" w:rsidRPr="00B923E9" w:rsidRDefault="009E6E1A" w:rsidP="009E6E1A">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lastRenderedPageBreak/>
              <w:t>ČASOVNI NAČRT DEL</w:t>
            </w:r>
          </w:p>
        </w:tc>
        <w:tc>
          <w:tcPr>
            <w:tcW w:w="3403" w:type="pct"/>
          </w:tcPr>
          <w:p w14:paraId="41C5DCB0" w14:textId="38BABEA3" w:rsidR="009E6E1A" w:rsidRPr="00B923E9" w:rsidRDefault="004169E8" w:rsidP="009E6E1A">
            <w:pPr>
              <w:spacing w:line="276" w:lineRule="auto"/>
              <w:jc w:val="both"/>
              <w:rPr>
                <w:rFonts w:asciiTheme="majorHAnsi" w:eastAsia="Arial Unicode MS" w:hAnsiTheme="majorHAnsi" w:cstheme="majorHAnsi"/>
                <w:sz w:val="22"/>
                <w:szCs w:val="22"/>
                <w:lang w:eastAsia="zh-TW"/>
              </w:rPr>
            </w:pPr>
            <w:r w:rsidRPr="00B923E9">
              <w:rPr>
                <w:rFonts w:asciiTheme="majorHAnsi" w:eastAsia="Arial Unicode MS" w:hAnsiTheme="majorHAnsi" w:cstheme="majorHAnsi"/>
                <w:sz w:val="22"/>
                <w:szCs w:val="22"/>
                <w:lang w:eastAsia="zh-TW"/>
              </w:rPr>
              <w:t>Od 08/2024 do 0</w:t>
            </w:r>
            <w:r w:rsidR="00226941" w:rsidRPr="00B923E9">
              <w:rPr>
                <w:rFonts w:asciiTheme="majorHAnsi" w:eastAsia="Arial Unicode MS" w:hAnsiTheme="majorHAnsi" w:cstheme="majorHAnsi"/>
                <w:sz w:val="22"/>
                <w:szCs w:val="22"/>
                <w:lang w:eastAsia="zh-TW"/>
              </w:rPr>
              <w:t>3</w:t>
            </w:r>
            <w:r w:rsidRPr="00B923E9">
              <w:rPr>
                <w:rFonts w:asciiTheme="majorHAnsi" w:eastAsia="Arial Unicode MS" w:hAnsiTheme="majorHAnsi" w:cstheme="majorHAnsi"/>
                <w:sz w:val="22"/>
                <w:szCs w:val="22"/>
                <w:lang w:eastAsia="zh-TW"/>
              </w:rPr>
              <w:t>/2029, pri čemer je začetek projekta izdelava DIIP</w:t>
            </w:r>
          </w:p>
        </w:tc>
      </w:tr>
      <w:tr w:rsidR="009E6E1A" w:rsidRPr="00B923E9" w14:paraId="16C57E39" w14:textId="77777777" w:rsidTr="00B923E9">
        <w:trPr>
          <w:trHeight w:val="479"/>
        </w:trPr>
        <w:tc>
          <w:tcPr>
            <w:tcW w:w="1597" w:type="pct"/>
            <w:shd w:val="clear" w:color="auto" w:fill="DBE5F1"/>
            <w:vAlign w:val="center"/>
          </w:tcPr>
          <w:p w14:paraId="24C04AD3" w14:textId="77777777" w:rsidR="009E6E1A" w:rsidRPr="00B923E9" w:rsidRDefault="009E6E1A" w:rsidP="009E6E1A">
            <w:pPr>
              <w:spacing w:line="276" w:lineRule="auto"/>
              <w:rPr>
                <w:rFonts w:asciiTheme="majorHAnsi" w:eastAsia="Arial Unicode MS" w:hAnsiTheme="majorHAnsi" w:cstheme="majorHAnsi"/>
                <w:b/>
                <w:sz w:val="22"/>
                <w:szCs w:val="22"/>
                <w:lang w:eastAsia="zh-TW"/>
              </w:rPr>
            </w:pPr>
            <w:r w:rsidRPr="00B923E9">
              <w:rPr>
                <w:rFonts w:asciiTheme="majorHAnsi" w:eastAsia="Arial Unicode MS" w:hAnsiTheme="majorHAnsi" w:cstheme="majorHAnsi"/>
                <w:b/>
                <w:sz w:val="22"/>
                <w:szCs w:val="22"/>
                <w:lang w:eastAsia="zh-TW"/>
              </w:rPr>
              <w:t>VREDNOST INVESTICIJE</w:t>
            </w:r>
          </w:p>
        </w:tc>
        <w:tc>
          <w:tcPr>
            <w:tcW w:w="3403" w:type="pct"/>
          </w:tcPr>
          <w:p w14:paraId="6F9A48F2" w14:textId="24D318EE" w:rsidR="00017064" w:rsidRPr="00E47EBC" w:rsidRDefault="00E47EBC" w:rsidP="00017064">
            <w:pPr>
              <w:pStyle w:val="Napis"/>
              <w:spacing w:line="276" w:lineRule="auto"/>
              <w:jc w:val="both"/>
              <w:rPr>
                <w:rFonts w:asciiTheme="majorHAnsi" w:hAnsiTheme="majorHAnsi" w:cstheme="majorHAnsi"/>
                <w:b w:val="0"/>
                <w:bCs w:val="0"/>
                <w:color w:val="auto"/>
                <w:sz w:val="22"/>
                <w:szCs w:val="22"/>
                <w:lang w:eastAsia="zh-TW"/>
              </w:rPr>
            </w:pPr>
            <w:r w:rsidRPr="00E47EBC">
              <w:rPr>
                <w:rFonts w:asciiTheme="majorHAnsi" w:hAnsiTheme="majorHAnsi" w:cstheme="majorHAnsi"/>
                <w:b w:val="0"/>
                <w:bCs w:val="0"/>
                <w:color w:val="auto"/>
                <w:sz w:val="22"/>
                <w:szCs w:val="22"/>
                <w:lang w:eastAsia="zh-TW"/>
              </w:rPr>
              <w:t xml:space="preserve">2.920.552,53 </w:t>
            </w:r>
            <w:r w:rsidR="00017064" w:rsidRPr="00E47EBC">
              <w:rPr>
                <w:rFonts w:asciiTheme="majorHAnsi" w:hAnsiTheme="majorHAnsi" w:cstheme="majorHAnsi"/>
                <w:b w:val="0"/>
                <w:bCs w:val="0"/>
                <w:color w:val="auto"/>
                <w:sz w:val="22"/>
                <w:szCs w:val="22"/>
                <w:lang w:eastAsia="zh-TW"/>
              </w:rPr>
              <w:t xml:space="preserve">EUR brez DDV oziroma </w:t>
            </w:r>
            <w:r w:rsidRPr="00E47EBC">
              <w:rPr>
                <w:rFonts w:asciiTheme="majorHAnsi" w:hAnsiTheme="majorHAnsi" w:cstheme="majorHAnsi"/>
                <w:b w:val="0"/>
                <w:bCs w:val="0"/>
                <w:color w:val="auto"/>
                <w:sz w:val="22"/>
                <w:szCs w:val="22"/>
                <w:lang w:eastAsia="zh-TW"/>
              </w:rPr>
              <w:t xml:space="preserve">3.501.235,12 </w:t>
            </w:r>
            <w:r w:rsidR="00017064" w:rsidRPr="00E47EBC">
              <w:rPr>
                <w:rFonts w:asciiTheme="majorHAnsi" w:hAnsiTheme="majorHAnsi" w:cstheme="majorHAnsi"/>
                <w:b w:val="0"/>
                <w:bCs w:val="0"/>
                <w:color w:val="auto"/>
                <w:sz w:val="22"/>
                <w:szCs w:val="22"/>
                <w:lang w:eastAsia="zh-TW"/>
              </w:rPr>
              <w:t xml:space="preserve">EUR po stalnih cenah </w:t>
            </w:r>
          </w:p>
          <w:p w14:paraId="0003399A" w14:textId="7EC45F61" w:rsidR="009E6E1A" w:rsidRPr="00E47EBC" w:rsidRDefault="00E47EBC" w:rsidP="00017064">
            <w:pPr>
              <w:pStyle w:val="Napis"/>
              <w:spacing w:line="276" w:lineRule="auto"/>
              <w:jc w:val="both"/>
              <w:rPr>
                <w:rFonts w:asciiTheme="majorHAnsi" w:hAnsiTheme="majorHAnsi" w:cstheme="majorHAnsi"/>
                <w:b w:val="0"/>
                <w:bCs w:val="0"/>
                <w:color w:val="auto"/>
                <w:sz w:val="22"/>
                <w:szCs w:val="22"/>
                <w:highlight w:val="yellow"/>
                <w:lang w:eastAsia="zh-TW"/>
              </w:rPr>
            </w:pPr>
            <w:r w:rsidRPr="00E47EBC">
              <w:rPr>
                <w:rFonts w:asciiTheme="majorHAnsi" w:hAnsiTheme="majorHAnsi" w:cstheme="majorHAnsi"/>
                <w:b w:val="0"/>
                <w:bCs w:val="0"/>
                <w:color w:val="auto"/>
                <w:sz w:val="22"/>
                <w:szCs w:val="22"/>
                <w:lang w:eastAsia="zh-TW"/>
              </w:rPr>
              <w:t>3.051.761,81</w:t>
            </w:r>
            <w:r w:rsidR="00017064" w:rsidRPr="00E47EBC">
              <w:rPr>
                <w:rFonts w:asciiTheme="majorHAnsi" w:hAnsiTheme="majorHAnsi" w:cstheme="majorHAnsi"/>
                <w:b w:val="0"/>
                <w:bCs w:val="0"/>
                <w:color w:val="auto"/>
                <w:sz w:val="22"/>
                <w:szCs w:val="22"/>
                <w:lang w:eastAsia="zh-TW"/>
              </w:rPr>
              <w:t xml:space="preserve"> EUR brez DDV oziroma </w:t>
            </w:r>
            <w:r w:rsidRPr="00E47EBC">
              <w:rPr>
                <w:rFonts w:asciiTheme="majorHAnsi" w:hAnsiTheme="majorHAnsi" w:cstheme="majorHAnsi"/>
                <w:b w:val="0"/>
                <w:bCs w:val="0"/>
                <w:color w:val="auto"/>
                <w:sz w:val="22"/>
                <w:szCs w:val="22"/>
                <w:lang w:eastAsia="zh-TW"/>
              </w:rPr>
              <w:t xml:space="preserve">3.661.310,43 </w:t>
            </w:r>
            <w:r w:rsidR="00017064" w:rsidRPr="00E47EBC">
              <w:rPr>
                <w:rFonts w:asciiTheme="majorHAnsi" w:hAnsiTheme="majorHAnsi" w:cstheme="majorHAnsi"/>
                <w:b w:val="0"/>
                <w:bCs w:val="0"/>
                <w:color w:val="auto"/>
                <w:sz w:val="22"/>
                <w:szCs w:val="22"/>
                <w:lang w:eastAsia="zh-TW"/>
              </w:rPr>
              <w:t xml:space="preserve">EUR z DDV v tekočih cenah. </w:t>
            </w:r>
          </w:p>
        </w:tc>
      </w:tr>
      <w:tr w:rsidR="009E6E1A" w:rsidRPr="00B923E9" w14:paraId="7F7AE6B6" w14:textId="77777777" w:rsidTr="00B923E9">
        <w:trPr>
          <w:trHeight w:val="121"/>
        </w:trPr>
        <w:tc>
          <w:tcPr>
            <w:tcW w:w="1597" w:type="pct"/>
            <w:shd w:val="clear" w:color="auto" w:fill="DBE5F1"/>
            <w:vAlign w:val="center"/>
          </w:tcPr>
          <w:p w14:paraId="318809CE" w14:textId="77777777" w:rsidR="009E6E1A" w:rsidRPr="00B923E9" w:rsidRDefault="009E6E1A" w:rsidP="009E6E1A">
            <w:pPr>
              <w:spacing w:line="276" w:lineRule="auto"/>
              <w:rPr>
                <w:rFonts w:asciiTheme="majorHAnsi" w:hAnsiTheme="majorHAnsi" w:cstheme="majorHAnsi"/>
                <w:b/>
                <w:sz w:val="22"/>
                <w:szCs w:val="22"/>
                <w:lang w:eastAsia="en-US"/>
              </w:rPr>
            </w:pPr>
            <w:r w:rsidRPr="00B923E9">
              <w:rPr>
                <w:rFonts w:asciiTheme="majorHAnsi" w:hAnsiTheme="majorHAnsi" w:cstheme="majorHAnsi"/>
                <w:b/>
                <w:sz w:val="22"/>
                <w:szCs w:val="22"/>
                <w:lang w:eastAsia="en-US"/>
              </w:rPr>
              <w:t>VIRI FINANCIRANJA</w:t>
            </w:r>
          </w:p>
        </w:tc>
        <w:tc>
          <w:tcPr>
            <w:tcW w:w="3403" w:type="pct"/>
          </w:tcPr>
          <w:tbl>
            <w:tblPr>
              <w:tblW w:w="5888" w:type="dxa"/>
              <w:tblCellMar>
                <w:left w:w="70" w:type="dxa"/>
                <w:right w:w="70" w:type="dxa"/>
              </w:tblCellMar>
              <w:tblLook w:val="04A0" w:firstRow="1" w:lastRow="0" w:firstColumn="1" w:lastColumn="0" w:noHBand="0" w:noVBand="1"/>
            </w:tblPr>
            <w:tblGrid>
              <w:gridCol w:w="3359"/>
              <w:gridCol w:w="1425"/>
              <w:gridCol w:w="1104"/>
            </w:tblGrid>
            <w:tr w:rsidR="00E47EBC" w:rsidRPr="00E47EBC" w14:paraId="79CA975A" w14:textId="77777777" w:rsidTr="00617406">
              <w:trPr>
                <w:trHeight w:val="285"/>
              </w:trPr>
              <w:tc>
                <w:tcPr>
                  <w:tcW w:w="3359" w:type="dxa"/>
                  <w:tcBorders>
                    <w:top w:val="single" w:sz="4" w:space="0" w:color="auto"/>
                    <w:left w:val="single" w:sz="4" w:space="0" w:color="auto"/>
                    <w:bottom w:val="single" w:sz="4" w:space="0" w:color="auto"/>
                    <w:right w:val="single" w:sz="4" w:space="0" w:color="auto"/>
                  </w:tcBorders>
                  <w:noWrap/>
                  <w:vAlign w:val="bottom"/>
                  <w:hideMark/>
                </w:tcPr>
                <w:p w14:paraId="480D263B" w14:textId="77777777" w:rsidR="00E47EBC" w:rsidRPr="00E47EBC" w:rsidRDefault="00E47EBC" w:rsidP="00E47EBC">
                  <w:pPr>
                    <w:rPr>
                      <w:rFonts w:asciiTheme="majorHAnsi" w:hAnsiTheme="majorHAnsi" w:cstheme="majorHAnsi"/>
                      <w:color w:val="000000"/>
                      <w:sz w:val="22"/>
                      <w:szCs w:val="22"/>
                    </w:rPr>
                  </w:pPr>
                  <w:r w:rsidRPr="00E47EBC">
                    <w:rPr>
                      <w:rFonts w:asciiTheme="majorHAnsi" w:hAnsiTheme="majorHAnsi" w:cstheme="majorHAnsi"/>
                      <w:color w:val="000000"/>
                      <w:sz w:val="22"/>
                      <w:szCs w:val="22"/>
                    </w:rPr>
                    <w:t>EU sredstva</w:t>
                  </w:r>
                </w:p>
              </w:tc>
              <w:tc>
                <w:tcPr>
                  <w:tcW w:w="1425" w:type="dxa"/>
                  <w:tcBorders>
                    <w:top w:val="single" w:sz="4" w:space="0" w:color="auto"/>
                    <w:left w:val="single" w:sz="4" w:space="0" w:color="auto"/>
                    <w:bottom w:val="single" w:sz="4" w:space="0" w:color="auto"/>
                    <w:right w:val="single" w:sz="4" w:space="0" w:color="auto"/>
                  </w:tcBorders>
                  <w:noWrap/>
                  <w:vAlign w:val="bottom"/>
                  <w:hideMark/>
                </w:tcPr>
                <w:p w14:paraId="3B808724" w14:textId="04EB4C1D"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1.680.973,67</w:t>
                  </w:r>
                </w:p>
              </w:tc>
              <w:tc>
                <w:tcPr>
                  <w:tcW w:w="1104" w:type="dxa"/>
                  <w:tcBorders>
                    <w:top w:val="single" w:sz="4" w:space="0" w:color="auto"/>
                    <w:left w:val="nil"/>
                    <w:bottom w:val="single" w:sz="4" w:space="0" w:color="auto"/>
                    <w:right w:val="single" w:sz="4" w:space="0" w:color="auto"/>
                  </w:tcBorders>
                  <w:noWrap/>
                  <w:vAlign w:val="bottom"/>
                  <w:hideMark/>
                </w:tcPr>
                <w:p w14:paraId="4CCD4486" w14:textId="3D0A0D7B"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45,91%</w:t>
                  </w:r>
                </w:p>
              </w:tc>
            </w:tr>
            <w:tr w:rsidR="00E47EBC" w:rsidRPr="00E47EBC" w14:paraId="33F27010" w14:textId="77777777" w:rsidTr="00617406">
              <w:trPr>
                <w:trHeight w:val="285"/>
              </w:trPr>
              <w:tc>
                <w:tcPr>
                  <w:tcW w:w="3359" w:type="dxa"/>
                  <w:tcBorders>
                    <w:top w:val="nil"/>
                    <w:left w:val="single" w:sz="4" w:space="0" w:color="auto"/>
                    <w:bottom w:val="single" w:sz="4" w:space="0" w:color="auto"/>
                    <w:right w:val="single" w:sz="4" w:space="0" w:color="auto"/>
                  </w:tcBorders>
                  <w:noWrap/>
                  <w:vAlign w:val="bottom"/>
                  <w:hideMark/>
                </w:tcPr>
                <w:p w14:paraId="6C1D4D41" w14:textId="77777777" w:rsidR="00E47EBC" w:rsidRPr="00E47EBC" w:rsidRDefault="00E47EBC" w:rsidP="00E47EBC">
                  <w:pPr>
                    <w:rPr>
                      <w:rFonts w:asciiTheme="majorHAnsi" w:hAnsiTheme="majorHAnsi" w:cstheme="majorHAnsi"/>
                      <w:color w:val="000000"/>
                      <w:sz w:val="22"/>
                      <w:szCs w:val="22"/>
                    </w:rPr>
                  </w:pPr>
                  <w:r w:rsidRPr="00E47EBC">
                    <w:rPr>
                      <w:rFonts w:asciiTheme="majorHAnsi" w:hAnsiTheme="majorHAnsi" w:cstheme="majorHAnsi"/>
                      <w:color w:val="000000"/>
                      <w:sz w:val="22"/>
                      <w:szCs w:val="22"/>
                    </w:rPr>
                    <w:t>Slovenska udeležba</w:t>
                  </w:r>
                </w:p>
              </w:tc>
              <w:tc>
                <w:tcPr>
                  <w:tcW w:w="1425" w:type="dxa"/>
                  <w:tcBorders>
                    <w:top w:val="nil"/>
                    <w:left w:val="single" w:sz="4" w:space="0" w:color="auto"/>
                    <w:bottom w:val="single" w:sz="4" w:space="0" w:color="auto"/>
                    <w:right w:val="single" w:sz="4" w:space="0" w:color="auto"/>
                  </w:tcBorders>
                  <w:noWrap/>
                  <w:vAlign w:val="bottom"/>
                  <w:hideMark/>
                </w:tcPr>
                <w:p w14:paraId="3B29B6AB" w14:textId="269F985C"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296.642,41</w:t>
                  </w:r>
                </w:p>
              </w:tc>
              <w:tc>
                <w:tcPr>
                  <w:tcW w:w="1104" w:type="dxa"/>
                  <w:tcBorders>
                    <w:top w:val="nil"/>
                    <w:left w:val="nil"/>
                    <w:bottom w:val="single" w:sz="4" w:space="0" w:color="auto"/>
                    <w:right w:val="single" w:sz="4" w:space="0" w:color="auto"/>
                  </w:tcBorders>
                  <w:noWrap/>
                  <w:vAlign w:val="bottom"/>
                  <w:hideMark/>
                </w:tcPr>
                <w:p w14:paraId="4A5181EE" w14:textId="75AA9473"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8,10%</w:t>
                  </w:r>
                </w:p>
              </w:tc>
            </w:tr>
            <w:tr w:rsidR="00E47EBC" w:rsidRPr="00E47EBC" w14:paraId="304734FF" w14:textId="77777777" w:rsidTr="00617406">
              <w:trPr>
                <w:trHeight w:val="285"/>
              </w:trPr>
              <w:tc>
                <w:tcPr>
                  <w:tcW w:w="3359" w:type="dxa"/>
                  <w:tcBorders>
                    <w:top w:val="nil"/>
                    <w:left w:val="single" w:sz="4" w:space="0" w:color="auto"/>
                    <w:bottom w:val="single" w:sz="4" w:space="0" w:color="auto"/>
                    <w:right w:val="single" w:sz="4" w:space="0" w:color="auto"/>
                  </w:tcBorders>
                  <w:noWrap/>
                  <w:vAlign w:val="bottom"/>
                  <w:hideMark/>
                </w:tcPr>
                <w:p w14:paraId="76C1DF2A" w14:textId="77777777" w:rsidR="00E47EBC" w:rsidRPr="00E47EBC" w:rsidRDefault="00E47EBC" w:rsidP="00E47EBC">
                  <w:pPr>
                    <w:rPr>
                      <w:rFonts w:asciiTheme="majorHAnsi" w:hAnsiTheme="majorHAnsi" w:cstheme="majorHAnsi"/>
                      <w:color w:val="000000"/>
                      <w:sz w:val="22"/>
                      <w:szCs w:val="22"/>
                    </w:rPr>
                  </w:pPr>
                  <w:r w:rsidRPr="00E47EBC">
                    <w:rPr>
                      <w:rFonts w:asciiTheme="majorHAnsi" w:hAnsiTheme="majorHAnsi" w:cstheme="majorHAnsi"/>
                      <w:color w:val="000000"/>
                      <w:sz w:val="22"/>
                      <w:szCs w:val="22"/>
                    </w:rPr>
                    <w:t>Lastna sredstva</w:t>
                  </w:r>
                </w:p>
              </w:tc>
              <w:tc>
                <w:tcPr>
                  <w:tcW w:w="1425" w:type="dxa"/>
                  <w:tcBorders>
                    <w:top w:val="nil"/>
                    <w:left w:val="single" w:sz="4" w:space="0" w:color="auto"/>
                    <w:bottom w:val="single" w:sz="4" w:space="0" w:color="auto"/>
                    <w:right w:val="single" w:sz="4" w:space="0" w:color="auto"/>
                  </w:tcBorders>
                  <w:noWrap/>
                  <w:vAlign w:val="bottom"/>
                  <w:hideMark/>
                </w:tcPr>
                <w:p w14:paraId="069B47CC" w14:textId="2F27FD1C"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1.683.694,34</w:t>
                  </w:r>
                </w:p>
              </w:tc>
              <w:tc>
                <w:tcPr>
                  <w:tcW w:w="1104" w:type="dxa"/>
                  <w:tcBorders>
                    <w:top w:val="nil"/>
                    <w:left w:val="nil"/>
                    <w:bottom w:val="single" w:sz="4" w:space="0" w:color="auto"/>
                    <w:right w:val="single" w:sz="4" w:space="0" w:color="auto"/>
                  </w:tcBorders>
                  <w:noWrap/>
                  <w:vAlign w:val="bottom"/>
                  <w:hideMark/>
                </w:tcPr>
                <w:p w14:paraId="0E1E0234" w14:textId="436111DD" w:rsidR="00E47EBC" w:rsidRPr="00E47EBC" w:rsidRDefault="00E47EBC" w:rsidP="00E47EBC">
                  <w:pPr>
                    <w:jc w:val="right"/>
                    <w:rPr>
                      <w:rFonts w:asciiTheme="majorHAnsi" w:hAnsiTheme="majorHAnsi" w:cstheme="majorHAnsi"/>
                      <w:color w:val="000000"/>
                      <w:sz w:val="22"/>
                      <w:szCs w:val="22"/>
                      <w:highlight w:val="yellow"/>
                    </w:rPr>
                  </w:pPr>
                  <w:r>
                    <w:rPr>
                      <w:rFonts w:ascii="Arial" w:hAnsi="Arial" w:cs="Arial"/>
                      <w:color w:val="000000"/>
                      <w:sz w:val="22"/>
                      <w:szCs w:val="22"/>
                    </w:rPr>
                    <w:t>45,99%</w:t>
                  </w:r>
                </w:p>
              </w:tc>
            </w:tr>
          </w:tbl>
          <w:p w14:paraId="4AECF4DF" w14:textId="4C5A768F" w:rsidR="009E6E1A" w:rsidRPr="00E47EBC" w:rsidRDefault="009E6E1A" w:rsidP="009E6E1A">
            <w:pPr>
              <w:spacing w:line="276" w:lineRule="auto"/>
              <w:jc w:val="both"/>
              <w:rPr>
                <w:rFonts w:asciiTheme="majorHAnsi" w:eastAsia="Arial Unicode MS" w:hAnsiTheme="majorHAnsi" w:cstheme="majorHAnsi"/>
                <w:sz w:val="22"/>
                <w:szCs w:val="22"/>
                <w:highlight w:val="yellow"/>
              </w:rPr>
            </w:pPr>
          </w:p>
        </w:tc>
      </w:tr>
      <w:tr w:rsidR="009E6E1A" w:rsidRPr="00B923E9" w14:paraId="0202177C" w14:textId="77777777" w:rsidTr="00B923E9">
        <w:trPr>
          <w:trHeight w:val="121"/>
        </w:trPr>
        <w:tc>
          <w:tcPr>
            <w:tcW w:w="1597" w:type="pct"/>
            <w:shd w:val="clear" w:color="auto" w:fill="DBE5F1"/>
            <w:vAlign w:val="center"/>
          </w:tcPr>
          <w:p w14:paraId="1899AACC" w14:textId="75B37C9A" w:rsidR="009E6E1A" w:rsidRPr="00B923E9" w:rsidRDefault="009E6E1A" w:rsidP="009E6E1A">
            <w:pPr>
              <w:spacing w:line="276" w:lineRule="auto"/>
              <w:rPr>
                <w:rFonts w:asciiTheme="majorHAnsi" w:hAnsiTheme="majorHAnsi" w:cstheme="majorHAnsi"/>
                <w:b/>
                <w:sz w:val="22"/>
                <w:szCs w:val="22"/>
                <w:lang w:eastAsia="en-US"/>
              </w:rPr>
            </w:pPr>
            <w:r w:rsidRPr="00B923E9">
              <w:rPr>
                <w:rFonts w:asciiTheme="majorHAnsi" w:hAnsiTheme="majorHAnsi" w:cstheme="majorHAnsi"/>
                <w:b/>
                <w:sz w:val="22"/>
                <w:szCs w:val="22"/>
                <w:lang w:eastAsia="en-US"/>
              </w:rPr>
              <w:t>FINANČNI KAZALNIKI</w:t>
            </w:r>
          </w:p>
        </w:tc>
        <w:tc>
          <w:tcPr>
            <w:tcW w:w="3403" w:type="pct"/>
          </w:tcPr>
          <w:tbl>
            <w:tblPr>
              <w:tblW w:w="5761" w:type="dxa"/>
              <w:tblCellMar>
                <w:left w:w="70" w:type="dxa"/>
                <w:right w:w="70" w:type="dxa"/>
              </w:tblCellMar>
              <w:tblLook w:val="04A0" w:firstRow="1" w:lastRow="0" w:firstColumn="1" w:lastColumn="0" w:noHBand="0" w:noVBand="1"/>
            </w:tblPr>
            <w:tblGrid>
              <w:gridCol w:w="4498"/>
              <w:gridCol w:w="1263"/>
            </w:tblGrid>
            <w:tr w:rsidR="002555A8" w:rsidRPr="00E47EBC" w14:paraId="7CF7BF77" w14:textId="77777777" w:rsidTr="004169E8">
              <w:trPr>
                <w:trHeight w:val="300"/>
              </w:trPr>
              <w:tc>
                <w:tcPr>
                  <w:tcW w:w="4498" w:type="dxa"/>
                  <w:tcBorders>
                    <w:top w:val="nil"/>
                    <w:left w:val="nil"/>
                    <w:bottom w:val="nil"/>
                    <w:right w:val="nil"/>
                  </w:tcBorders>
                  <w:noWrap/>
                  <w:vAlign w:val="bottom"/>
                  <w:hideMark/>
                </w:tcPr>
                <w:p w14:paraId="0D452452" w14:textId="77777777" w:rsidR="002555A8" w:rsidRPr="00E47EBC" w:rsidRDefault="002555A8" w:rsidP="002555A8">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Neto sedanja vrednost (FNSV/C)</w:t>
                  </w:r>
                </w:p>
              </w:tc>
              <w:tc>
                <w:tcPr>
                  <w:tcW w:w="1263" w:type="dxa"/>
                  <w:tcBorders>
                    <w:top w:val="nil"/>
                    <w:left w:val="nil"/>
                    <w:bottom w:val="nil"/>
                    <w:right w:val="nil"/>
                  </w:tcBorders>
                  <w:noWrap/>
                  <w:vAlign w:val="bottom"/>
                </w:tcPr>
                <w:p w14:paraId="308F1A7B" w14:textId="6E5C4EDE" w:rsidR="002555A8" w:rsidRPr="00E47EBC" w:rsidRDefault="00E47EBC" w:rsidP="002555A8">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-3.304.864</w:t>
                  </w:r>
                </w:p>
              </w:tc>
            </w:tr>
            <w:tr w:rsidR="002555A8" w:rsidRPr="00E47EBC" w14:paraId="2EDB3D9A" w14:textId="77777777" w:rsidTr="004169E8">
              <w:trPr>
                <w:trHeight w:val="300"/>
              </w:trPr>
              <w:tc>
                <w:tcPr>
                  <w:tcW w:w="4498" w:type="dxa"/>
                  <w:tcBorders>
                    <w:top w:val="nil"/>
                    <w:left w:val="nil"/>
                    <w:bottom w:val="nil"/>
                    <w:right w:val="nil"/>
                  </w:tcBorders>
                  <w:noWrap/>
                  <w:vAlign w:val="bottom"/>
                  <w:hideMark/>
                </w:tcPr>
                <w:p w14:paraId="47792FD1" w14:textId="77777777" w:rsidR="002555A8" w:rsidRPr="00E47EBC" w:rsidRDefault="002555A8" w:rsidP="002555A8">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Finančna stopnja donosa  (FSD/C)</w:t>
                  </w:r>
                </w:p>
              </w:tc>
              <w:tc>
                <w:tcPr>
                  <w:tcW w:w="1263" w:type="dxa"/>
                  <w:tcBorders>
                    <w:top w:val="nil"/>
                    <w:left w:val="nil"/>
                    <w:bottom w:val="nil"/>
                    <w:right w:val="nil"/>
                  </w:tcBorders>
                  <w:noWrap/>
                  <w:vAlign w:val="bottom"/>
                </w:tcPr>
                <w:p w14:paraId="0F2C3ADF" w14:textId="3AE0E956" w:rsidR="002555A8" w:rsidRPr="00E47EBC" w:rsidRDefault="002555A8" w:rsidP="002555A8">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-7,</w:t>
                  </w:r>
                  <w:r w:rsidR="00E47EBC" w:rsidRPr="00E47EBC">
                    <w:rPr>
                      <w:rFonts w:asciiTheme="majorHAnsi" w:hAnsiTheme="majorHAnsi" w:cstheme="majorHAnsi"/>
                      <w:color w:val="000000"/>
                      <w:sz w:val="22"/>
                      <w:szCs w:val="22"/>
                    </w:rPr>
                    <w:t xml:space="preserve">85 </w:t>
                  </w:r>
                  <w:r w:rsidRPr="00E47EBC">
                    <w:rPr>
                      <w:rFonts w:asciiTheme="majorHAnsi" w:hAnsiTheme="majorHAnsi" w:cstheme="majorHAnsi"/>
                      <w:color w:val="000000"/>
                      <w:sz w:val="22"/>
                      <w:szCs w:val="22"/>
                    </w:rPr>
                    <w:t>%</w:t>
                  </w:r>
                </w:p>
              </w:tc>
            </w:tr>
            <w:tr w:rsidR="002555A8" w:rsidRPr="00E47EBC" w14:paraId="35071960" w14:textId="77777777" w:rsidTr="004169E8">
              <w:trPr>
                <w:trHeight w:val="300"/>
              </w:trPr>
              <w:tc>
                <w:tcPr>
                  <w:tcW w:w="4498" w:type="dxa"/>
                  <w:tcBorders>
                    <w:top w:val="nil"/>
                    <w:left w:val="nil"/>
                    <w:bottom w:val="nil"/>
                    <w:right w:val="nil"/>
                  </w:tcBorders>
                  <w:noWrap/>
                  <w:vAlign w:val="bottom"/>
                  <w:hideMark/>
                </w:tcPr>
                <w:p w14:paraId="1FDC6966" w14:textId="77777777" w:rsidR="002555A8" w:rsidRPr="00E47EBC" w:rsidRDefault="002555A8" w:rsidP="002555A8">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Relativna neto sedanja vrednost (RFNPV)</w:t>
                  </w:r>
                </w:p>
              </w:tc>
              <w:tc>
                <w:tcPr>
                  <w:tcW w:w="1263" w:type="dxa"/>
                  <w:tcBorders>
                    <w:top w:val="nil"/>
                    <w:left w:val="nil"/>
                    <w:bottom w:val="nil"/>
                    <w:right w:val="nil"/>
                  </w:tcBorders>
                  <w:noWrap/>
                  <w:vAlign w:val="bottom"/>
                </w:tcPr>
                <w:p w14:paraId="65C44139" w14:textId="432F810E" w:rsidR="002555A8" w:rsidRPr="00E47EBC" w:rsidRDefault="002555A8" w:rsidP="002555A8">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w:t>
                  </w:r>
                  <w:r w:rsidR="00E47EBC" w:rsidRPr="00E47EBC">
                    <w:rPr>
                      <w:rFonts w:asciiTheme="majorHAnsi" w:hAnsiTheme="majorHAnsi" w:cstheme="majorHAnsi"/>
                      <w:color w:val="000000"/>
                      <w:sz w:val="22"/>
                      <w:szCs w:val="22"/>
                    </w:rPr>
                    <w:t>1,03</w:t>
                  </w:r>
                </w:p>
              </w:tc>
            </w:tr>
          </w:tbl>
          <w:p w14:paraId="5A3A19F1" w14:textId="77777777" w:rsidR="009E6E1A" w:rsidRPr="00E47EBC" w:rsidRDefault="009E6E1A" w:rsidP="009E6E1A">
            <w:pPr>
              <w:spacing w:line="276" w:lineRule="auto"/>
              <w:jc w:val="both"/>
              <w:rPr>
                <w:rFonts w:asciiTheme="majorHAnsi" w:eastAsia="Arial Unicode MS" w:hAnsiTheme="majorHAnsi" w:cstheme="majorHAnsi"/>
                <w:sz w:val="22"/>
                <w:szCs w:val="22"/>
                <w:highlight w:val="yellow"/>
              </w:rPr>
            </w:pPr>
          </w:p>
        </w:tc>
      </w:tr>
      <w:tr w:rsidR="009E6E1A" w:rsidRPr="00B923E9" w14:paraId="38AA0F99" w14:textId="77777777" w:rsidTr="00B923E9">
        <w:trPr>
          <w:trHeight w:val="121"/>
        </w:trPr>
        <w:tc>
          <w:tcPr>
            <w:tcW w:w="1597" w:type="pct"/>
            <w:shd w:val="clear" w:color="auto" w:fill="DBE5F1"/>
            <w:vAlign w:val="center"/>
          </w:tcPr>
          <w:p w14:paraId="63FE8BBC" w14:textId="11D55429" w:rsidR="009E6E1A" w:rsidRPr="00B923E9" w:rsidRDefault="009E6E1A" w:rsidP="009E6E1A">
            <w:pPr>
              <w:spacing w:line="276" w:lineRule="auto"/>
              <w:rPr>
                <w:rFonts w:asciiTheme="majorHAnsi" w:hAnsiTheme="majorHAnsi" w:cstheme="majorHAnsi"/>
                <w:b/>
                <w:sz w:val="22"/>
                <w:szCs w:val="22"/>
                <w:lang w:eastAsia="en-US"/>
              </w:rPr>
            </w:pPr>
            <w:r w:rsidRPr="00B923E9">
              <w:rPr>
                <w:rFonts w:asciiTheme="majorHAnsi" w:hAnsiTheme="majorHAnsi" w:cstheme="majorHAnsi"/>
                <w:b/>
                <w:sz w:val="22"/>
                <w:szCs w:val="22"/>
                <w:lang w:eastAsia="en-US"/>
              </w:rPr>
              <w:t>EKONOMSKI KAZALNIKI</w:t>
            </w:r>
          </w:p>
        </w:tc>
        <w:tc>
          <w:tcPr>
            <w:tcW w:w="3403" w:type="pct"/>
          </w:tcPr>
          <w:tbl>
            <w:tblPr>
              <w:tblW w:w="5810" w:type="dxa"/>
              <w:tblCellMar>
                <w:left w:w="70" w:type="dxa"/>
                <w:right w:w="70" w:type="dxa"/>
              </w:tblCellMar>
              <w:tblLook w:val="04A0" w:firstRow="1" w:lastRow="0" w:firstColumn="1" w:lastColumn="0" w:noHBand="0" w:noVBand="1"/>
            </w:tblPr>
            <w:tblGrid>
              <w:gridCol w:w="4210"/>
              <w:gridCol w:w="1600"/>
            </w:tblGrid>
            <w:tr w:rsidR="00854CEF" w:rsidRPr="00E47EBC" w14:paraId="6405FF18" w14:textId="77777777" w:rsidTr="004169E8">
              <w:trPr>
                <w:trHeight w:val="285"/>
              </w:trPr>
              <w:tc>
                <w:tcPr>
                  <w:tcW w:w="4210" w:type="dxa"/>
                  <w:noWrap/>
                  <w:vAlign w:val="bottom"/>
                  <w:hideMark/>
                </w:tcPr>
                <w:p w14:paraId="495A05EB" w14:textId="77777777" w:rsidR="00854CEF" w:rsidRPr="00E47EBC" w:rsidRDefault="00854CEF" w:rsidP="00854CEF">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Neto sedanja vrednost (ENSV)</w:t>
                  </w:r>
                </w:p>
              </w:tc>
              <w:tc>
                <w:tcPr>
                  <w:tcW w:w="1600" w:type="dxa"/>
                  <w:noWrap/>
                  <w:vAlign w:val="bottom"/>
                </w:tcPr>
                <w:p w14:paraId="1DA1D21A" w14:textId="1BA55CBB" w:rsidR="00854CEF" w:rsidRPr="00E47EBC" w:rsidRDefault="00E47EBC" w:rsidP="00854CEF">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3.290.241</w:t>
                  </w:r>
                </w:p>
              </w:tc>
            </w:tr>
            <w:tr w:rsidR="00854CEF" w:rsidRPr="00E47EBC" w14:paraId="542CD673" w14:textId="77777777" w:rsidTr="004169E8">
              <w:trPr>
                <w:trHeight w:val="285"/>
              </w:trPr>
              <w:tc>
                <w:tcPr>
                  <w:tcW w:w="4210" w:type="dxa"/>
                  <w:noWrap/>
                  <w:vAlign w:val="bottom"/>
                  <w:hideMark/>
                </w:tcPr>
                <w:p w14:paraId="551818C7" w14:textId="77777777" w:rsidR="00854CEF" w:rsidRPr="00E47EBC" w:rsidRDefault="00854CEF" w:rsidP="00854CEF">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Ekonomska stopnja donosa (ESD)</w:t>
                  </w:r>
                </w:p>
              </w:tc>
              <w:tc>
                <w:tcPr>
                  <w:tcW w:w="1600" w:type="dxa"/>
                  <w:noWrap/>
                  <w:vAlign w:val="bottom"/>
                </w:tcPr>
                <w:p w14:paraId="187B7B10" w14:textId="3448DFDA" w:rsidR="00854CEF" w:rsidRPr="00E47EBC" w:rsidRDefault="00854CEF" w:rsidP="00854CEF">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1</w:t>
                  </w:r>
                  <w:r w:rsidR="00E47EBC" w:rsidRPr="00E47EBC">
                    <w:rPr>
                      <w:rFonts w:asciiTheme="majorHAnsi" w:hAnsiTheme="majorHAnsi" w:cstheme="majorHAnsi"/>
                      <w:color w:val="000000"/>
                      <w:sz w:val="22"/>
                      <w:szCs w:val="22"/>
                    </w:rPr>
                    <w:t>3,58</w:t>
                  </w:r>
                  <w:r w:rsidRPr="00E47EBC">
                    <w:rPr>
                      <w:rFonts w:asciiTheme="majorHAnsi" w:hAnsiTheme="majorHAnsi" w:cstheme="majorHAnsi"/>
                      <w:color w:val="000000"/>
                      <w:sz w:val="22"/>
                      <w:szCs w:val="22"/>
                    </w:rPr>
                    <w:t>%</w:t>
                  </w:r>
                </w:p>
              </w:tc>
            </w:tr>
            <w:tr w:rsidR="00854CEF" w:rsidRPr="00E47EBC" w14:paraId="73DC2B5E" w14:textId="77777777" w:rsidTr="004169E8">
              <w:trPr>
                <w:trHeight w:val="285"/>
              </w:trPr>
              <w:tc>
                <w:tcPr>
                  <w:tcW w:w="4210" w:type="dxa"/>
                  <w:noWrap/>
                  <w:vAlign w:val="bottom"/>
                  <w:hideMark/>
                </w:tcPr>
                <w:p w14:paraId="572BD81C" w14:textId="77777777" w:rsidR="00854CEF" w:rsidRPr="00E47EBC" w:rsidRDefault="00854CEF" w:rsidP="00854CEF">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Relativna neto sedanja vrednost (</w:t>
                  </w:r>
                  <w:proofErr w:type="spellStart"/>
                  <w:r w:rsidRPr="00E47EBC">
                    <w:rPr>
                      <w:rFonts w:asciiTheme="majorHAnsi" w:hAnsiTheme="majorHAnsi" w:cstheme="majorHAnsi"/>
                      <w:color w:val="000000"/>
                      <w:sz w:val="22"/>
                      <w:szCs w:val="22"/>
                    </w:rPr>
                    <w:t>ErNSV</w:t>
                  </w:r>
                  <w:proofErr w:type="spellEnd"/>
                  <w:r w:rsidRPr="00E47EBC">
                    <w:rPr>
                      <w:rFonts w:asciiTheme="majorHAnsi" w:hAnsiTheme="majorHAnsi" w:cstheme="majorHAnsi"/>
                      <w:color w:val="000000"/>
                      <w:sz w:val="22"/>
                      <w:szCs w:val="22"/>
                    </w:rPr>
                    <w:t>)</w:t>
                  </w:r>
                </w:p>
              </w:tc>
              <w:tc>
                <w:tcPr>
                  <w:tcW w:w="1600" w:type="dxa"/>
                  <w:noWrap/>
                  <w:vAlign w:val="bottom"/>
                </w:tcPr>
                <w:p w14:paraId="480E9E50" w14:textId="346C3253" w:rsidR="00854CEF" w:rsidRPr="00E47EBC" w:rsidRDefault="00854CEF" w:rsidP="00854CEF">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1,</w:t>
                  </w:r>
                  <w:r w:rsidR="00E47EBC" w:rsidRPr="00E47EBC">
                    <w:rPr>
                      <w:rFonts w:asciiTheme="majorHAnsi" w:hAnsiTheme="majorHAnsi" w:cstheme="majorHAnsi"/>
                      <w:color w:val="000000"/>
                      <w:sz w:val="22"/>
                      <w:szCs w:val="22"/>
                    </w:rPr>
                    <w:t>27</w:t>
                  </w:r>
                </w:p>
              </w:tc>
            </w:tr>
            <w:tr w:rsidR="00854CEF" w:rsidRPr="00E47EBC" w14:paraId="2BB294AB" w14:textId="77777777" w:rsidTr="004169E8">
              <w:trPr>
                <w:trHeight w:val="285"/>
              </w:trPr>
              <w:tc>
                <w:tcPr>
                  <w:tcW w:w="4210" w:type="dxa"/>
                  <w:noWrap/>
                  <w:vAlign w:val="bottom"/>
                  <w:hideMark/>
                </w:tcPr>
                <w:p w14:paraId="607899DA" w14:textId="77777777" w:rsidR="00854CEF" w:rsidRPr="00E47EBC" w:rsidRDefault="00854CEF" w:rsidP="00854CEF">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Razmerje med koristmi in stroški (B/</w:t>
                  </w:r>
                  <w:proofErr w:type="spellStart"/>
                  <w:r w:rsidRPr="00E47EBC">
                    <w:rPr>
                      <w:rFonts w:asciiTheme="majorHAnsi" w:hAnsiTheme="majorHAnsi" w:cstheme="majorHAnsi"/>
                      <w:color w:val="000000"/>
                      <w:sz w:val="22"/>
                      <w:szCs w:val="22"/>
                    </w:rPr>
                    <w:t>C</w:t>
                  </w:r>
                  <w:r w:rsidRPr="00E47EBC">
                    <w:rPr>
                      <w:rFonts w:asciiTheme="majorHAnsi" w:hAnsiTheme="majorHAnsi" w:cstheme="majorHAnsi"/>
                      <w:color w:val="000000"/>
                      <w:sz w:val="22"/>
                      <w:szCs w:val="22"/>
                      <w:vertAlign w:val="subscript"/>
                    </w:rPr>
                    <w:t>ratio</w:t>
                  </w:r>
                  <w:proofErr w:type="spellEnd"/>
                  <w:r w:rsidRPr="00E47EBC">
                    <w:rPr>
                      <w:rFonts w:asciiTheme="majorHAnsi" w:hAnsiTheme="majorHAnsi" w:cstheme="majorHAnsi"/>
                      <w:color w:val="000000"/>
                      <w:sz w:val="22"/>
                      <w:szCs w:val="22"/>
                    </w:rPr>
                    <w:t>)</w:t>
                  </w:r>
                </w:p>
              </w:tc>
              <w:tc>
                <w:tcPr>
                  <w:tcW w:w="1600" w:type="dxa"/>
                  <w:noWrap/>
                  <w:vAlign w:val="bottom"/>
                </w:tcPr>
                <w:p w14:paraId="0DB31ED5" w14:textId="2C4D55FC" w:rsidR="00854CEF" w:rsidRPr="00E47EBC" w:rsidRDefault="00E47EBC" w:rsidP="00854CEF">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2,02</w:t>
                  </w:r>
                </w:p>
              </w:tc>
            </w:tr>
            <w:tr w:rsidR="00854CEF" w:rsidRPr="00E47EBC" w14:paraId="24DC06AA" w14:textId="77777777" w:rsidTr="004169E8">
              <w:trPr>
                <w:trHeight w:val="285"/>
              </w:trPr>
              <w:tc>
                <w:tcPr>
                  <w:tcW w:w="4210" w:type="dxa"/>
                  <w:noWrap/>
                  <w:vAlign w:val="bottom"/>
                  <w:hideMark/>
                </w:tcPr>
                <w:p w14:paraId="7CFE1BF0" w14:textId="77777777" w:rsidR="00854CEF" w:rsidRPr="00E47EBC" w:rsidRDefault="00854CEF" w:rsidP="00854CEF">
                  <w:pPr>
                    <w:spacing w:line="276" w:lineRule="auto"/>
                    <w:rPr>
                      <w:rFonts w:asciiTheme="majorHAnsi" w:hAnsiTheme="majorHAnsi" w:cstheme="majorHAnsi"/>
                      <w:color w:val="000000"/>
                      <w:sz w:val="22"/>
                      <w:szCs w:val="22"/>
                    </w:rPr>
                  </w:pPr>
                  <w:r w:rsidRPr="00E47EBC">
                    <w:rPr>
                      <w:rFonts w:asciiTheme="majorHAnsi" w:hAnsiTheme="majorHAnsi" w:cstheme="majorHAnsi"/>
                      <w:color w:val="000000"/>
                      <w:sz w:val="22"/>
                      <w:szCs w:val="22"/>
                    </w:rPr>
                    <w:t>Doba vračanja</w:t>
                  </w:r>
                </w:p>
              </w:tc>
              <w:tc>
                <w:tcPr>
                  <w:tcW w:w="1600" w:type="dxa"/>
                  <w:noWrap/>
                  <w:vAlign w:val="bottom"/>
                </w:tcPr>
                <w:p w14:paraId="3B82D2C1" w14:textId="04BEC225" w:rsidR="00854CEF" w:rsidRPr="00E47EBC" w:rsidRDefault="00E47EBC" w:rsidP="00854CEF">
                  <w:pPr>
                    <w:spacing w:line="276" w:lineRule="auto"/>
                    <w:jc w:val="right"/>
                    <w:rPr>
                      <w:rFonts w:asciiTheme="majorHAnsi" w:hAnsiTheme="majorHAnsi" w:cstheme="majorHAnsi"/>
                      <w:color w:val="000000"/>
                      <w:sz w:val="22"/>
                      <w:szCs w:val="22"/>
                    </w:rPr>
                  </w:pPr>
                  <w:r w:rsidRPr="00E47EBC">
                    <w:rPr>
                      <w:rFonts w:asciiTheme="majorHAnsi" w:hAnsiTheme="majorHAnsi" w:cstheme="majorHAnsi"/>
                      <w:color w:val="000000"/>
                      <w:sz w:val="22"/>
                      <w:szCs w:val="22"/>
                    </w:rPr>
                    <w:t>6,22</w:t>
                  </w:r>
                </w:p>
              </w:tc>
            </w:tr>
          </w:tbl>
          <w:p w14:paraId="3743A1FC" w14:textId="77777777" w:rsidR="009E6E1A" w:rsidRPr="00E47EBC" w:rsidRDefault="009E6E1A" w:rsidP="009E6E1A">
            <w:pPr>
              <w:spacing w:line="276" w:lineRule="auto"/>
              <w:jc w:val="both"/>
              <w:rPr>
                <w:rFonts w:asciiTheme="majorHAnsi" w:eastAsia="Arial Unicode MS" w:hAnsiTheme="majorHAnsi" w:cstheme="majorHAnsi"/>
                <w:sz w:val="22"/>
                <w:szCs w:val="22"/>
                <w:highlight w:val="yellow"/>
              </w:rPr>
            </w:pPr>
          </w:p>
        </w:tc>
      </w:tr>
    </w:tbl>
    <w:p w14:paraId="18D48479" w14:textId="77777777" w:rsidR="00324C62" w:rsidRDefault="00324C62" w:rsidP="00661CF6">
      <w:pPr>
        <w:spacing w:after="200" w:line="276" w:lineRule="auto"/>
        <w:ind w:left="1418" w:hanging="1418"/>
        <w:rPr>
          <w:rFonts w:asciiTheme="majorHAnsi" w:hAnsiTheme="majorHAnsi" w:cstheme="majorHAnsi"/>
          <w:b/>
          <w:bCs/>
          <w:sz w:val="22"/>
          <w:szCs w:val="22"/>
          <w:lang w:eastAsia="en-US"/>
        </w:rPr>
      </w:pPr>
    </w:p>
    <w:p w14:paraId="6327C92A" w14:textId="09D2B6AD" w:rsidR="00661CF6" w:rsidRPr="00F11127" w:rsidRDefault="00661CF6" w:rsidP="00661CF6">
      <w:pPr>
        <w:spacing w:after="200" w:line="276" w:lineRule="auto"/>
        <w:ind w:left="1418" w:hanging="1418"/>
        <w:rPr>
          <w:rFonts w:asciiTheme="majorHAnsi" w:hAnsiTheme="majorHAnsi" w:cstheme="majorHAnsi"/>
          <w:sz w:val="22"/>
          <w:szCs w:val="22"/>
          <w:lang w:eastAsia="en-US"/>
        </w:rPr>
      </w:pPr>
      <w:bookmarkStart w:id="42" w:name="_Toc209528288"/>
      <w:r w:rsidRPr="00F11127">
        <w:rPr>
          <w:rFonts w:asciiTheme="majorHAnsi" w:hAnsiTheme="majorHAnsi" w:cstheme="majorHAnsi"/>
          <w:b/>
          <w:bCs/>
          <w:sz w:val="22"/>
          <w:szCs w:val="22"/>
          <w:lang w:eastAsia="en-US"/>
        </w:rPr>
        <w:t>Tabela</w:t>
      </w:r>
      <w:r w:rsidRPr="00F11127">
        <w:rPr>
          <w:rFonts w:asciiTheme="majorHAnsi" w:hAnsiTheme="majorHAnsi" w:cstheme="majorHAnsi"/>
          <w:bCs/>
          <w:sz w:val="22"/>
          <w:szCs w:val="22"/>
          <w:lang w:eastAsia="en-US"/>
        </w:rPr>
        <w:t xml:space="preserve"> </w:t>
      </w:r>
      <w:r w:rsidRPr="00F11127">
        <w:rPr>
          <w:rFonts w:asciiTheme="majorHAnsi" w:hAnsiTheme="majorHAnsi" w:cstheme="majorHAnsi"/>
          <w:b/>
          <w:bCs/>
          <w:sz w:val="22"/>
          <w:szCs w:val="22"/>
          <w:lang w:eastAsia="en-US"/>
        </w:rPr>
        <w:fldChar w:fldCharType="begin"/>
      </w:r>
      <w:r w:rsidRPr="00F11127">
        <w:rPr>
          <w:rFonts w:asciiTheme="majorHAnsi" w:hAnsiTheme="majorHAnsi" w:cstheme="majorHAnsi"/>
          <w:b/>
          <w:bCs/>
          <w:sz w:val="22"/>
          <w:szCs w:val="22"/>
          <w:lang w:eastAsia="en-US"/>
        </w:rPr>
        <w:instrText xml:space="preserve"> SEQ Tabela \* ARABIC </w:instrText>
      </w:r>
      <w:r w:rsidRPr="00F11127">
        <w:rPr>
          <w:rFonts w:asciiTheme="majorHAnsi" w:hAnsiTheme="majorHAnsi" w:cstheme="majorHAnsi"/>
          <w:b/>
          <w:bCs/>
          <w:sz w:val="22"/>
          <w:szCs w:val="22"/>
          <w:lang w:eastAsia="en-US"/>
        </w:rPr>
        <w:fldChar w:fldCharType="separate"/>
      </w:r>
      <w:r w:rsidR="00E74D26">
        <w:rPr>
          <w:rFonts w:asciiTheme="majorHAnsi" w:hAnsiTheme="majorHAnsi" w:cstheme="majorHAnsi"/>
          <w:b/>
          <w:bCs/>
          <w:noProof/>
          <w:sz w:val="22"/>
          <w:szCs w:val="22"/>
          <w:lang w:eastAsia="en-US"/>
        </w:rPr>
        <w:t>2</w:t>
      </w:r>
      <w:r w:rsidRPr="00F11127">
        <w:rPr>
          <w:rFonts w:asciiTheme="majorHAnsi" w:hAnsiTheme="majorHAnsi" w:cstheme="majorHAnsi"/>
          <w:b/>
          <w:bCs/>
          <w:sz w:val="22"/>
          <w:szCs w:val="22"/>
          <w:lang w:eastAsia="en-US"/>
        </w:rPr>
        <w:fldChar w:fldCharType="end"/>
      </w:r>
      <w:r w:rsidRPr="00F11127">
        <w:rPr>
          <w:rFonts w:asciiTheme="majorHAnsi" w:hAnsiTheme="majorHAnsi" w:cstheme="majorHAnsi"/>
          <w:bCs/>
          <w:sz w:val="22"/>
          <w:szCs w:val="22"/>
          <w:lang w:eastAsia="en-US"/>
        </w:rPr>
        <w:t xml:space="preserve">: </w:t>
      </w:r>
      <w:r>
        <w:rPr>
          <w:rFonts w:asciiTheme="majorHAnsi" w:hAnsiTheme="majorHAnsi" w:cstheme="majorHAnsi"/>
          <w:bCs/>
          <w:sz w:val="22"/>
          <w:szCs w:val="22"/>
          <w:lang w:eastAsia="en-US"/>
        </w:rPr>
        <w:t xml:space="preserve">Kazalniki vezani na </w:t>
      </w:r>
      <w:r w:rsidR="001341C7" w:rsidRPr="00E97769">
        <w:rPr>
          <w:rFonts w:ascii="Arial" w:hAnsi="Arial" w:cs="Arial"/>
          <w:bCs/>
          <w:sz w:val="22"/>
          <w:szCs w:val="22"/>
          <w:lang w:eastAsia="zh-TW"/>
        </w:rPr>
        <w:t>JR EKP UTM 2025</w:t>
      </w:r>
      <w:bookmarkEnd w:id="42"/>
    </w:p>
    <w:tbl>
      <w:tblPr>
        <w:tblW w:w="10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79"/>
        <w:gridCol w:w="1277"/>
        <w:gridCol w:w="1094"/>
        <w:gridCol w:w="624"/>
        <w:gridCol w:w="1094"/>
        <w:gridCol w:w="607"/>
        <w:gridCol w:w="1962"/>
      </w:tblGrid>
      <w:tr w:rsidR="00B923E9" w:rsidRPr="00B923E9" w14:paraId="2BCF7378" w14:textId="77777777" w:rsidTr="00B923E9">
        <w:trPr>
          <w:trHeight w:val="645"/>
          <w:tblHeader/>
        </w:trPr>
        <w:tc>
          <w:tcPr>
            <w:tcW w:w="3379" w:type="dxa"/>
            <w:vMerge w:val="restart"/>
            <w:shd w:val="clear" w:color="auto" w:fill="DBE5F1" w:themeFill="accent1" w:themeFillTint="33"/>
            <w:vAlign w:val="center"/>
            <w:hideMark/>
          </w:tcPr>
          <w:p w14:paraId="2DA4777B"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Specifični kazalniki učinka</w:t>
            </w:r>
          </w:p>
        </w:tc>
        <w:tc>
          <w:tcPr>
            <w:tcW w:w="1277" w:type="dxa"/>
            <w:vMerge w:val="restart"/>
            <w:shd w:val="clear" w:color="auto" w:fill="DBE5F1" w:themeFill="accent1" w:themeFillTint="33"/>
            <w:vAlign w:val="center"/>
            <w:hideMark/>
          </w:tcPr>
          <w:p w14:paraId="19886F4B"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Okvir smotrnosti</w:t>
            </w:r>
          </w:p>
        </w:tc>
        <w:tc>
          <w:tcPr>
            <w:tcW w:w="1718" w:type="dxa"/>
            <w:gridSpan w:val="2"/>
            <w:shd w:val="clear" w:color="auto" w:fill="DBE5F1" w:themeFill="accent1" w:themeFillTint="33"/>
            <w:vAlign w:val="center"/>
            <w:hideMark/>
          </w:tcPr>
          <w:p w14:paraId="22226046"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Izhodiščna vrednost</w:t>
            </w:r>
          </w:p>
        </w:tc>
        <w:tc>
          <w:tcPr>
            <w:tcW w:w="1701" w:type="dxa"/>
            <w:gridSpan w:val="2"/>
            <w:shd w:val="clear" w:color="auto" w:fill="DBE5F1" w:themeFill="accent1" w:themeFillTint="33"/>
            <w:vAlign w:val="center"/>
            <w:hideMark/>
          </w:tcPr>
          <w:p w14:paraId="1BD4109C"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Načrtovana vrednost</w:t>
            </w:r>
          </w:p>
        </w:tc>
        <w:tc>
          <w:tcPr>
            <w:tcW w:w="1962" w:type="dxa"/>
            <w:vMerge w:val="restart"/>
            <w:shd w:val="clear" w:color="auto" w:fill="DBE5F1" w:themeFill="accent1" w:themeFillTint="33"/>
            <w:vAlign w:val="center"/>
            <w:hideMark/>
          </w:tcPr>
          <w:p w14:paraId="318DE679"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Programska vrstica</w:t>
            </w:r>
          </w:p>
        </w:tc>
      </w:tr>
      <w:tr w:rsidR="00B923E9" w:rsidRPr="00B923E9" w14:paraId="15817222" w14:textId="77777777" w:rsidTr="00B923E9">
        <w:trPr>
          <w:trHeight w:val="57"/>
        </w:trPr>
        <w:tc>
          <w:tcPr>
            <w:tcW w:w="3379" w:type="dxa"/>
            <w:vMerge/>
            <w:vAlign w:val="center"/>
            <w:hideMark/>
          </w:tcPr>
          <w:p w14:paraId="508D8F52" w14:textId="77777777" w:rsidR="00324C62" w:rsidRPr="00B923E9" w:rsidRDefault="00324C62">
            <w:pPr>
              <w:rPr>
                <w:rFonts w:asciiTheme="majorHAnsi" w:hAnsiTheme="majorHAnsi" w:cstheme="majorHAnsi"/>
                <w:b/>
                <w:bCs/>
                <w:color w:val="000000"/>
                <w:sz w:val="20"/>
                <w:szCs w:val="20"/>
              </w:rPr>
            </w:pPr>
          </w:p>
        </w:tc>
        <w:tc>
          <w:tcPr>
            <w:tcW w:w="1277" w:type="dxa"/>
            <w:vMerge/>
            <w:vAlign w:val="center"/>
            <w:hideMark/>
          </w:tcPr>
          <w:p w14:paraId="61C016A0" w14:textId="77777777" w:rsidR="00324C62" w:rsidRPr="00B923E9" w:rsidRDefault="00324C62">
            <w:pPr>
              <w:rPr>
                <w:rFonts w:asciiTheme="majorHAnsi" w:hAnsiTheme="majorHAnsi" w:cstheme="majorHAnsi"/>
                <w:b/>
                <w:bCs/>
                <w:color w:val="000000"/>
                <w:sz w:val="20"/>
                <w:szCs w:val="20"/>
              </w:rPr>
            </w:pPr>
          </w:p>
        </w:tc>
        <w:tc>
          <w:tcPr>
            <w:tcW w:w="1094" w:type="dxa"/>
            <w:shd w:val="clear" w:color="000000" w:fill="D9D9D9"/>
            <w:vAlign w:val="center"/>
            <w:hideMark/>
          </w:tcPr>
          <w:p w14:paraId="2130F02A"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Vrednost</w:t>
            </w:r>
          </w:p>
        </w:tc>
        <w:tc>
          <w:tcPr>
            <w:tcW w:w="624" w:type="dxa"/>
            <w:shd w:val="clear" w:color="000000" w:fill="D9D9D9"/>
            <w:vAlign w:val="center"/>
            <w:hideMark/>
          </w:tcPr>
          <w:p w14:paraId="6D7A2E48"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Leto</w:t>
            </w:r>
          </w:p>
        </w:tc>
        <w:tc>
          <w:tcPr>
            <w:tcW w:w="1094" w:type="dxa"/>
            <w:shd w:val="clear" w:color="000000" w:fill="D9D9D9"/>
            <w:vAlign w:val="center"/>
            <w:hideMark/>
          </w:tcPr>
          <w:p w14:paraId="034E74C0"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Vrednost</w:t>
            </w:r>
          </w:p>
        </w:tc>
        <w:tc>
          <w:tcPr>
            <w:tcW w:w="607" w:type="dxa"/>
            <w:shd w:val="clear" w:color="000000" w:fill="D9D9D9"/>
            <w:vAlign w:val="center"/>
            <w:hideMark/>
          </w:tcPr>
          <w:p w14:paraId="73E18F23" w14:textId="77777777" w:rsidR="00324C62" w:rsidRPr="00B923E9" w:rsidRDefault="00324C62">
            <w:pPr>
              <w:jc w:val="center"/>
              <w:rPr>
                <w:rFonts w:asciiTheme="majorHAnsi" w:hAnsiTheme="majorHAnsi" w:cstheme="majorHAnsi"/>
                <w:b/>
                <w:bCs/>
                <w:color w:val="000000"/>
                <w:sz w:val="20"/>
                <w:szCs w:val="20"/>
              </w:rPr>
            </w:pPr>
            <w:r w:rsidRPr="00B923E9">
              <w:rPr>
                <w:rFonts w:asciiTheme="majorHAnsi" w:hAnsiTheme="majorHAnsi" w:cstheme="majorHAnsi"/>
                <w:b/>
                <w:bCs/>
                <w:color w:val="000000"/>
                <w:sz w:val="20"/>
                <w:szCs w:val="20"/>
              </w:rPr>
              <w:t>Leto</w:t>
            </w:r>
          </w:p>
        </w:tc>
        <w:tc>
          <w:tcPr>
            <w:tcW w:w="1962" w:type="dxa"/>
            <w:vMerge/>
            <w:vAlign w:val="center"/>
            <w:hideMark/>
          </w:tcPr>
          <w:p w14:paraId="2F3D240F" w14:textId="77777777" w:rsidR="00324C62" w:rsidRPr="00B923E9" w:rsidRDefault="00324C62">
            <w:pPr>
              <w:rPr>
                <w:rFonts w:asciiTheme="majorHAnsi" w:hAnsiTheme="majorHAnsi" w:cstheme="majorHAnsi"/>
                <w:b/>
                <w:bCs/>
                <w:color w:val="000000"/>
                <w:sz w:val="20"/>
                <w:szCs w:val="20"/>
              </w:rPr>
            </w:pPr>
          </w:p>
        </w:tc>
      </w:tr>
      <w:tr w:rsidR="00324C62" w:rsidRPr="00B923E9" w14:paraId="62E9F233" w14:textId="77777777" w:rsidTr="00B923E9">
        <w:trPr>
          <w:trHeight w:val="1050"/>
        </w:trPr>
        <w:tc>
          <w:tcPr>
            <w:tcW w:w="3379" w:type="dxa"/>
            <w:vAlign w:val="center"/>
            <w:hideMark/>
          </w:tcPr>
          <w:p w14:paraId="42A30FC8"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SK127 - Število celovito rekonstruiranih ulic ali cest skladno z načeli trajnostne mobilnosti</w:t>
            </w:r>
          </w:p>
        </w:tc>
        <w:tc>
          <w:tcPr>
            <w:tcW w:w="1277" w:type="dxa"/>
            <w:vAlign w:val="center"/>
            <w:hideMark/>
          </w:tcPr>
          <w:p w14:paraId="04A13E02"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38D477BE"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4A02838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5D7C7ACD"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w:t>
            </w:r>
          </w:p>
        </w:tc>
        <w:tc>
          <w:tcPr>
            <w:tcW w:w="607" w:type="dxa"/>
            <w:vAlign w:val="center"/>
            <w:hideMark/>
          </w:tcPr>
          <w:p w14:paraId="0B80037C"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49126CE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7A0230F0" w14:textId="77777777" w:rsidTr="00B923E9">
        <w:trPr>
          <w:trHeight w:val="585"/>
        </w:trPr>
        <w:tc>
          <w:tcPr>
            <w:tcW w:w="3379" w:type="dxa"/>
            <w:vAlign w:val="center"/>
            <w:hideMark/>
          </w:tcPr>
          <w:p w14:paraId="43FD8583"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SK128 - Površina celovito rekonstruiranih ulic ali cest skladno z načeli trajnostne</w:t>
            </w:r>
          </w:p>
        </w:tc>
        <w:tc>
          <w:tcPr>
            <w:tcW w:w="1277" w:type="dxa"/>
            <w:vAlign w:val="center"/>
            <w:hideMark/>
          </w:tcPr>
          <w:p w14:paraId="6FF7DD8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12F9CC2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1419947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346157B9" w14:textId="4B0FC5C0"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2781,80 m2</w:t>
            </w:r>
            <w:r w:rsidR="00E13CBC" w:rsidRPr="00B923E9">
              <w:rPr>
                <w:rFonts w:asciiTheme="majorHAnsi" w:hAnsiTheme="majorHAnsi" w:cstheme="majorHAnsi"/>
                <w:color w:val="000000"/>
                <w:sz w:val="20"/>
                <w:szCs w:val="20"/>
              </w:rPr>
              <w:t xml:space="preserve"> *</w:t>
            </w:r>
          </w:p>
        </w:tc>
        <w:tc>
          <w:tcPr>
            <w:tcW w:w="607" w:type="dxa"/>
            <w:vAlign w:val="center"/>
            <w:hideMark/>
          </w:tcPr>
          <w:p w14:paraId="156F1A6B"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625535EA"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5C7D7CFA" w14:textId="77777777" w:rsidTr="00B923E9">
        <w:trPr>
          <w:trHeight w:val="675"/>
        </w:trPr>
        <w:tc>
          <w:tcPr>
            <w:tcW w:w="3379" w:type="dxa"/>
            <w:vAlign w:val="center"/>
            <w:hideMark/>
          </w:tcPr>
          <w:p w14:paraId="411C6CB6"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SK129 - Število novih območij skupnega prometnega prostora</w:t>
            </w:r>
          </w:p>
        </w:tc>
        <w:tc>
          <w:tcPr>
            <w:tcW w:w="1277" w:type="dxa"/>
            <w:vAlign w:val="center"/>
            <w:hideMark/>
          </w:tcPr>
          <w:p w14:paraId="7A834FF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1A9FAC5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7AA472E1"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11D80EB0"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w:t>
            </w:r>
          </w:p>
        </w:tc>
        <w:tc>
          <w:tcPr>
            <w:tcW w:w="607" w:type="dxa"/>
            <w:vAlign w:val="center"/>
            <w:hideMark/>
          </w:tcPr>
          <w:p w14:paraId="28B82D9C"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3CBA91F0"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4FA75DCE" w14:textId="77777777" w:rsidTr="00B923E9">
        <w:trPr>
          <w:trHeight w:val="675"/>
        </w:trPr>
        <w:tc>
          <w:tcPr>
            <w:tcW w:w="3379" w:type="dxa"/>
            <w:vAlign w:val="center"/>
            <w:hideMark/>
          </w:tcPr>
          <w:p w14:paraId="55306606"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SK130 - Površina novih območij skupnega prometnega prostora</w:t>
            </w:r>
          </w:p>
        </w:tc>
        <w:tc>
          <w:tcPr>
            <w:tcW w:w="1277" w:type="dxa"/>
            <w:vAlign w:val="center"/>
            <w:hideMark/>
          </w:tcPr>
          <w:p w14:paraId="3CC6E0E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34AEC6E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30113C3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20411CCC"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2257,5</w:t>
            </w:r>
          </w:p>
        </w:tc>
        <w:tc>
          <w:tcPr>
            <w:tcW w:w="607" w:type="dxa"/>
            <w:vAlign w:val="center"/>
            <w:hideMark/>
          </w:tcPr>
          <w:p w14:paraId="7CFA84C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31C4380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68501087" w14:textId="77777777" w:rsidTr="00B923E9">
        <w:trPr>
          <w:trHeight w:val="675"/>
        </w:trPr>
        <w:tc>
          <w:tcPr>
            <w:tcW w:w="3379" w:type="dxa"/>
            <w:vAlign w:val="center"/>
            <w:hideMark/>
          </w:tcPr>
          <w:p w14:paraId="62C6972D"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SK137 - Število rekonstruiranih postajališč za JPP</w:t>
            </w:r>
          </w:p>
        </w:tc>
        <w:tc>
          <w:tcPr>
            <w:tcW w:w="1277" w:type="dxa"/>
            <w:vAlign w:val="center"/>
            <w:hideMark/>
          </w:tcPr>
          <w:p w14:paraId="77A2966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3370CD54"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0981D62D"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55023AD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1</w:t>
            </w:r>
          </w:p>
        </w:tc>
        <w:tc>
          <w:tcPr>
            <w:tcW w:w="607" w:type="dxa"/>
            <w:vAlign w:val="center"/>
            <w:hideMark/>
          </w:tcPr>
          <w:p w14:paraId="51981050"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51B6AE78"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754BA77B" w14:textId="77777777" w:rsidTr="00B923E9">
        <w:trPr>
          <w:trHeight w:val="315"/>
        </w:trPr>
        <w:tc>
          <w:tcPr>
            <w:tcW w:w="3379" w:type="dxa"/>
            <w:vAlign w:val="center"/>
            <w:hideMark/>
          </w:tcPr>
          <w:p w14:paraId="6296EA33"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SK144 - Število postavljenih kolesarnic</w:t>
            </w:r>
          </w:p>
        </w:tc>
        <w:tc>
          <w:tcPr>
            <w:tcW w:w="1277" w:type="dxa"/>
            <w:vAlign w:val="center"/>
            <w:hideMark/>
          </w:tcPr>
          <w:p w14:paraId="52A39A9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696E7A8E"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4E608269"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6777D46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w:t>
            </w:r>
          </w:p>
        </w:tc>
        <w:tc>
          <w:tcPr>
            <w:tcW w:w="607" w:type="dxa"/>
            <w:vAlign w:val="center"/>
            <w:hideMark/>
          </w:tcPr>
          <w:p w14:paraId="7B1C609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0AB24D49"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061417B6" w14:textId="77777777" w:rsidTr="00B923E9">
        <w:trPr>
          <w:trHeight w:val="675"/>
        </w:trPr>
        <w:tc>
          <w:tcPr>
            <w:tcW w:w="3379" w:type="dxa"/>
            <w:vAlign w:val="center"/>
            <w:hideMark/>
          </w:tcPr>
          <w:p w14:paraId="72652233"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SK145 - Število novih parkirnih mest za kolesa</w:t>
            </w:r>
          </w:p>
        </w:tc>
        <w:tc>
          <w:tcPr>
            <w:tcW w:w="1277" w:type="dxa"/>
            <w:vAlign w:val="center"/>
            <w:hideMark/>
          </w:tcPr>
          <w:p w14:paraId="2CDDFCE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5B3D20C8"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531F8F31"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7CC5324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50</w:t>
            </w:r>
          </w:p>
        </w:tc>
        <w:tc>
          <w:tcPr>
            <w:tcW w:w="607" w:type="dxa"/>
            <w:vAlign w:val="center"/>
            <w:hideMark/>
          </w:tcPr>
          <w:p w14:paraId="3426A1B7"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4916ADBD"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2EF45ACC" w14:textId="77777777" w:rsidTr="00B923E9">
        <w:trPr>
          <w:trHeight w:val="675"/>
        </w:trPr>
        <w:tc>
          <w:tcPr>
            <w:tcW w:w="3379" w:type="dxa"/>
            <w:vAlign w:val="center"/>
            <w:hideMark/>
          </w:tcPr>
          <w:p w14:paraId="4BDE51BF"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SK146 - Število postavljenih števcev kolesarjev</w:t>
            </w:r>
          </w:p>
        </w:tc>
        <w:tc>
          <w:tcPr>
            <w:tcW w:w="1277" w:type="dxa"/>
            <w:vAlign w:val="center"/>
            <w:hideMark/>
          </w:tcPr>
          <w:p w14:paraId="2AF2E1CE"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42CD785F"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5F8FBADD"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28008EC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1</w:t>
            </w:r>
          </w:p>
        </w:tc>
        <w:tc>
          <w:tcPr>
            <w:tcW w:w="607" w:type="dxa"/>
            <w:vAlign w:val="center"/>
            <w:hideMark/>
          </w:tcPr>
          <w:p w14:paraId="3871F748"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07284539"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11165BA6" w14:textId="77777777" w:rsidTr="00B923E9">
        <w:trPr>
          <w:trHeight w:val="675"/>
        </w:trPr>
        <w:tc>
          <w:tcPr>
            <w:tcW w:w="3379" w:type="dxa"/>
            <w:vAlign w:val="center"/>
            <w:hideMark/>
          </w:tcPr>
          <w:p w14:paraId="6F4C1BB3"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lastRenderedPageBreak/>
              <w:t>SK147 - Število novih sistemov izposoje javnih koles</w:t>
            </w:r>
          </w:p>
        </w:tc>
        <w:tc>
          <w:tcPr>
            <w:tcW w:w="1277" w:type="dxa"/>
            <w:vAlign w:val="center"/>
            <w:hideMark/>
          </w:tcPr>
          <w:p w14:paraId="55CF88D4"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15C10EF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2A674344"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568C4A0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1</w:t>
            </w:r>
          </w:p>
        </w:tc>
        <w:tc>
          <w:tcPr>
            <w:tcW w:w="607" w:type="dxa"/>
            <w:vAlign w:val="center"/>
            <w:hideMark/>
          </w:tcPr>
          <w:p w14:paraId="5F004BC6"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2967E058"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73CB4FD1" w14:textId="77777777" w:rsidTr="00B923E9">
        <w:trPr>
          <w:trHeight w:val="675"/>
        </w:trPr>
        <w:tc>
          <w:tcPr>
            <w:tcW w:w="3379" w:type="dxa"/>
            <w:vAlign w:val="center"/>
            <w:hideMark/>
          </w:tcPr>
          <w:p w14:paraId="21C6B451"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SK148 - Število novih postaj sistema izposoje javnih koles</w:t>
            </w:r>
          </w:p>
        </w:tc>
        <w:tc>
          <w:tcPr>
            <w:tcW w:w="1277" w:type="dxa"/>
            <w:vAlign w:val="center"/>
            <w:hideMark/>
          </w:tcPr>
          <w:p w14:paraId="5F004610"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288CCE52"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3CD3F8F4"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2B02885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w:t>
            </w:r>
          </w:p>
        </w:tc>
        <w:tc>
          <w:tcPr>
            <w:tcW w:w="607" w:type="dxa"/>
            <w:vAlign w:val="center"/>
            <w:hideMark/>
          </w:tcPr>
          <w:p w14:paraId="1B34B045"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4F5B11EB"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r w:rsidR="00324C62" w:rsidRPr="00B923E9" w14:paraId="39B84DF6" w14:textId="77777777" w:rsidTr="00B923E9">
        <w:trPr>
          <w:trHeight w:val="675"/>
        </w:trPr>
        <w:tc>
          <w:tcPr>
            <w:tcW w:w="3379" w:type="dxa"/>
            <w:vAlign w:val="center"/>
            <w:hideMark/>
          </w:tcPr>
          <w:p w14:paraId="59C1F0E5" w14:textId="77777777" w:rsidR="00324C62" w:rsidRPr="00B923E9" w:rsidRDefault="00324C62">
            <w:pPr>
              <w:rPr>
                <w:rFonts w:asciiTheme="majorHAnsi" w:hAnsiTheme="majorHAnsi" w:cstheme="majorHAnsi"/>
                <w:color w:val="000000"/>
                <w:sz w:val="20"/>
                <w:szCs w:val="20"/>
              </w:rPr>
            </w:pPr>
            <w:r w:rsidRPr="00B923E9">
              <w:rPr>
                <w:rFonts w:asciiTheme="majorHAnsi" w:hAnsiTheme="majorHAnsi" w:cstheme="majorHAnsi"/>
                <w:color w:val="000000"/>
                <w:sz w:val="20"/>
                <w:szCs w:val="20"/>
              </w:rPr>
              <w:t>SK150 - Število novih koles v sistemu izposoje javnih koles</w:t>
            </w:r>
          </w:p>
        </w:tc>
        <w:tc>
          <w:tcPr>
            <w:tcW w:w="1277" w:type="dxa"/>
            <w:vAlign w:val="center"/>
            <w:hideMark/>
          </w:tcPr>
          <w:p w14:paraId="004377A8"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NE</w:t>
            </w:r>
          </w:p>
        </w:tc>
        <w:tc>
          <w:tcPr>
            <w:tcW w:w="1094" w:type="dxa"/>
            <w:vAlign w:val="center"/>
            <w:hideMark/>
          </w:tcPr>
          <w:p w14:paraId="3752222D"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0</w:t>
            </w:r>
          </w:p>
        </w:tc>
        <w:tc>
          <w:tcPr>
            <w:tcW w:w="624" w:type="dxa"/>
            <w:vAlign w:val="center"/>
            <w:hideMark/>
          </w:tcPr>
          <w:p w14:paraId="64F5F063"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2025</w:t>
            </w:r>
          </w:p>
        </w:tc>
        <w:tc>
          <w:tcPr>
            <w:tcW w:w="1094" w:type="dxa"/>
            <w:vAlign w:val="center"/>
            <w:hideMark/>
          </w:tcPr>
          <w:p w14:paraId="4A13FE99"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8</w:t>
            </w:r>
          </w:p>
        </w:tc>
        <w:tc>
          <w:tcPr>
            <w:tcW w:w="607" w:type="dxa"/>
            <w:vAlign w:val="center"/>
            <w:hideMark/>
          </w:tcPr>
          <w:p w14:paraId="7C1B1E5A"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2029</w:t>
            </w:r>
          </w:p>
        </w:tc>
        <w:tc>
          <w:tcPr>
            <w:tcW w:w="1962" w:type="dxa"/>
            <w:vAlign w:val="center"/>
            <w:hideMark/>
          </w:tcPr>
          <w:p w14:paraId="37685CAE" w14:textId="77777777" w:rsidR="00324C62" w:rsidRPr="00B923E9" w:rsidRDefault="00324C62">
            <w:pPr>
              <w:jc w:val="center"/>
              <w:rPr>
                <w:rFonts w:asciiTheme="majorHAnsi" w:hAnsiTheme="majorHAnsi" w:cstheme="majorHAnsi"/>
                <w:color w:val="000000"/>
                <w:sz w:val="20"/>
                <w:szCs w:val="20"/>
              </w:rPr>
            </w:pPr>
            <w:r w:rsidRPr="00B923E9">
              <w:rPr>
                <w:rFonts w:asciiTheme="majorHAnsi" w:hAnsiTheme="majorHAnsi" w:cstheme="majorHAnsi"/>
                <w:color w:val="000000"/>
                <w:sz w:val="20"/>
                <w:szCs w:val="20"/>
              </w:rPr>
              <w:t>5/RSO3.2/KS/SLO</w:t>
            </w:r>
          </w:p>
        </w:tc>
      </w:tr>
    </w:tbl>
    <w:p w14:paraId="6E6758C7" w14:textId="2A3042D4" w:rsidR="00661CF6" w:rsidRDefault="00E13CBC" w:rsidP="00AA423F">
      <w:pPr>
        <w:pStyle w:val="Odstavekseznama"/>
        <w:numPr>
          <w:ilvl w:val="0"/>
          <w:numId w:val="110"/>
        </w:numPr>
        <w:rPr>
          <w:rFonts w:eastAsiaTheme="majorEastAsia"/>
        </w:rPr>
      </w:pPr>
      <w:r>
        <w:rPr>
          <w:rFonts w:eastAsiaTheme="majorEastAsia"/>
        </w:rPr>
        <w:t>od tega 2257,5 m</w:t>
      </w:r>
      <w:r>
        <w:rPr>
          <w:rFonts w:eastAsiaTheme="majorEastAsia"/>
          <w:vertAlign w:val="superscript"/>
        </w:rPr>
        <w:t>2</w:t>
      </w:r>
      <w:r>
        <w:rPr>
          <w:rFonts w:eastAsiaTheme="majorEastAsia"/>
        </w:rPr>
        <w:t xml:space="preserve"> skupni prometni prostor</w:t>
      </w:r>
    </w:p>
    <w:p w14:paraId="05012BEB" w14:textId="77777777" w:rsidR="00AA423F" w:rsidRPr="00AA423F" w:rsidRDefault="00AA423F" w:rsidP="00AA423F">
      <w:pPr>
        <w:pStyle w:val="Odstavekseznama"/>
        <w:rPr>
          <w:rFonts w:eastAsiaTheme="majorEastAsia"/>
        </w:rPr>
      </w:pPr>
    </w:p>
    <w:p w14:paraId="70A28C4E" w14:textId="794FF2A5" w:rsidR="00DE17E6" w:rsidRPr="00F11127" w:rsidRDefault="00DE17E6"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43" w:name="_Toc210033762"/>
      <w:r w:rsidRPr="00F11127">
        <w:rPr>
          <w:rFonts w:asciiTheme="majorHAnsi" w:eastAsiaTheme="majorEastAsia" w:hAnsiTheme="majorHAnsi" w:cstheme="majorHAnsi"/>
          <w:color w:val="244061" w:themeColor="accent1" w:themeShade="80"/>
        </w:rPr>
        <w:t>O investitorju</w:t>
      </w:r>
      <w:r w:rsidR="00AA5D4E">
        <w:rPr>
          <w:rFonts w:asciiTheme="majorHAnsi" w:eastAsiaTheme="majorEastAsia" w:hAnsiTheme="majorHAnsi" w:cstheme="majorHAnsi"/>
          <w:color w:val="244061" w:themeColor="accent1" w:themeShade="80"/>
        </w:rPr>
        <w:t>, upravljavcu in naročniku</w:t>
      </w:r>
      <w:bookmarkEnd w:id="43"/>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0A0" w:firstRow="1" w:lastRow="0" w:firstColumn="1" w:lastColumn="0" w:noHBand="0" w:noVBand="0"/>
      </w:tblPr>
      <w:tblGrid>
        <w:gridCol w:w="3038"/>
        <w:gridCol w:w="6271"/>
      </w:tblGrid>
      <w:tr w:rsidR="00D92045" w:rsidRPr="00F11127" w14:paraId="38A09EA4" w14:textId="77777777" w:rsidTr="004677E5">
        <w:tc>
          <w:tcPr>
            <w:tcW w:w="1632" w:type="pct"/>
            <w:shd w:val="clear" w:color="auto" w:fill="DBE5F1"/>
            <w:vAlign w:val="center"/>
          </w:tcPr>
          <w:p w14:paraId="0D92F61F"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NAZIV</w:t>
            </w:r>
          </w:p>
        </w:tc>
        <w:tc>
          <w:tcPr>
            <w:tcW w:w="3368" w:type="pct"/>
          </w:tcPr>
          <w:p w14:paraId="59F8CB6B" w14:textId="3EBB6183" w:rsidR="00D92045" w:rsidRPr="00B26BA7" w:rsidRDefault="00DD138C" w:rsidP="00BD1D20">
            <w:pPr>
              <w:autoSpaceDE w:val="0"/>
              <w:autoSpaceDN w:val="0"/>
              <w:adjustRightInd w:val="0"/>
              <w:spacing w:line="276" w:lineRule="auto"/>
              <w:jc w:val="both"/>
              <w:rPr>
                <w:rFonts w:asciiTheme="majorHAnsi" w:eastAsia="Arial Unicode MS" w:hAnsiTheme="majorHAnsi" w:cstheme="majorHAnsi"/>
                <w:b/>
                <w:bCs/>
                <w:color w:val="000000"/>
                <w:sz w:val="22"/>
                <w:szCs w:val="22"/>
                <w:lang w:eastAsia="en-US"/>
              </w:rPr>
            </w:pPr>
            <w:r w:rsidRPr="00B26BA7">
              <w:rPr>
                <w:rFonts w:asciiTheme="majorHAnsi" w:eastAsia="Arial Unicode MS" w:hAnsiTheme="majorHAnsi" w:cstheme="majorHAnsi"/>
                <w:b/>
                <w:bCs/>
                <w:color w:val="000000"/>
                <w:sz w:val="22"/>
                <w:szCs w:val="22"/>
                <w:lang w:eastAsia="en-US"/>
              </w:rPr>
              <w:t>Občina Ig</w:t>
            </w:r>
          </w:p>
        </w:tc>
      </w:tr>
      <w:tr w:rsidR="00D92045" w:rsidRPr="00F11127" w14:paraId="7A685693" w14:textId="77777777" w:rsidTr="004677E5">
        <w:tc>
          <w:tcPr>
            <w:tcW w:w="1632" w:type="pct"/>
            <w:shd w:val="clear" w:color="auto" w:fill="DBE5F1"/>
            <w:vAlign w:val="center"/>
          </w:tcPr>
          <w:p w14:paraId="0E86103C"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NASLOV</w:t>
            </w:r>
          </w:p>
        </w:tc>
        <w:tc>
          <w:tcPr>
            <w:tcW w:w="3368" w:type="pct"/>
          </w:tcPr>
          <w:p w14:paraId="48297B34" w14:textId="6A4B2CCC" w:rsidR="00D92045" w:rsidRPr="00F11127" w:rsidRDefault="00B26BA7"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B26BA7">
              <w:rPr>
                <w:rFonts w:asciiTheme="majorHAnsi" w:eastAsia="Arial Unicode MS" w:hAnsiTheme="majorHAnsi" w:cstheme="majorHAnsi"/>
                <w:color w:val="000000"/>
                <w:sz w:val="22"/>
                <w:szCs w:val="22"/>
                <w:lang w:eastAsia="en-US"/>
              </w:rPr>
              <w:t>Govekarjeva cesta 6, 1292 Ig</w:t>
            </w:r>
          </w:p>
        </w:tc>
      </w:tr>
      <w:tr w:rsidR="00D92045" w:rsidRPr="00F11127" w14:paraId="70BC7B50" w14:textId="77777777" w:rsidTr="004677E5">
        <w:tc>
          <w:tcPr>
            <w:tcW w:w="1632" w:type="pct"/>
            <w:shd w:val="clear" w:color="auto" w:fill="DBE5F1"/>
            <w:vAlign w:val="center"/>
          </w:tcPr>
          <w:p w14:paraId="0FCE39B2"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KONTAKT</w:t>
            </w:r>
          </w:p>
        </w:tc>
        <w:tc>
          <w:tcPr>
            <w:tcW w:w="3368" w:type="pct"/>
          </w:tcPr>
          <w:p w14:paraId="302A1BF3" w14:textId="5FE778A4" w:rsidR="00FF5FF0" w:rsidRPr="00FF5FF0" w:rsidRDefault="00FF5FF0" w:rsidP="00FF5FF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Pr>
                <w:rFonts w:asciiTheme="majorHAnsi" w:eastAsia="Arial Unicode MS" w:hAnsiTheme="majorHAnsi" w:cstheme="majorHAnsi"/>
                <w:color w:val="000000"/>
                <w:sz w:val="22"/>
                <w:szCs w:val="22"/>
                <w:lang w:eastAsia="en-US"/>
              </w:rPr>
              <w:t xml:space="preserve">T: </w:t>
            </w:r>
            <w:r w:rsidRPr="00FF5FF0">
              <w:rPr>
                <w:rFonts w:asciiTheme="majorHAnsi" w:eastAsia="Arial Unicode MS" w:hAnsiTheme="majorHAnsi" w:cstheme="majorHAnsi"/>
                <w:color w:val="000000"/>
                <w:sz w:val="22"/>
                <w:szCs w:val="22"/>
                <w:lang w:eastAsia="en-US"/>
              </w:rPr>
              <w:t>01 280 23 00</w:t>
            </w:r>
          </w:p>
          <w:p w14:paraId="61F0DF89" w14:textId="281FCCC7" w:rsidR="00D92045" w:rsidRPr="00F11127" w:rsidRDefault="00FF5FF0"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Pr>
                <w:rFonts w:asciiTheme="majorHAnsi" w:eastAsia="Arial Unicode MS" w:hAnsiTheme="majorHAnsi" w:cstheme="majorHAnsi"/>
                <w:color w:val="000000"/>
                <w:sz w:val="22"/>
                <w:szCs w:val="22"/>
                <w:lang w:eastAsia="en-US"/>
              </w:rPr>
              <w:t xml:space="preserve">E: </w:t>
            </w:r>
            <w:r w:rsidRPr="00FF5FF0">
              <w:rPr>
                <w:rFonts w:asciiTheme="majorHAnsi" w:eastAsia="Arial Unicode MS" w:hAnsiTheme="majorHAnsi" w:cstheme="majorHAnsi"/>
                <w:color w:val="000000"/>
                <w:sz w:val="22"/>
                <w:szCs w:val="22"/>
                <w:lang w:eastAsia="en-US"/>
              </w:rPr>
              <w:t>info@obcina-ig.si</w:t>
            </w:r>
          </w:p>
        </w:tc>
      </w:tr>
      <w:tr w:rsidR="00D92045" w:rsidRPr="00F11127" w14:paraId="426E280F" w14:textId="77777777" w:rsidTr="004677E5">
        <w:tc>
          <w:tcPr>
            <w:tcW w:w="1632" w:type="pct"/>
            <w:shd w:val="clear" w:color="auto" w:fill="DBE5F1"/>
            <w:vAlign w:val="center"/>
          </w:tcPr>
          <w:p w14:paraId="09D38CCC"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MATIČNA ŠTEVILKA</w:t>
            </w:r>
          </w:p>
        </w:tc>
        <w:tc>
          <w:tcPr>
            <w:tcW w:w="3368" w:type="pct"/>
          </w:tcPr>
          <w:p w14:paraId="13CD34C5" w14:textId="7BA65332" w:rsidR="00D92045" w:rsidRPr="00F11127" w:rsidRDefault="00F71185"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71185">
              <w:rPr>
                <w:rFonts w:asciiTheme="majorHAnsi" w:eastAsia="Arial Unicode MS" w:hAnsiTheme="majorHAnsi" w:cstheme="majorHAnsi"/>
                <w:color w:val="000000"/>
                <w:sz w:val="22"/>
                <w:szCs w:val="22"/>
                <w:lang w:eastAsia="en-US"/>
              </w:rPr>
              <w:t>5874769000</w:t>
            </w:r>
          </w:p>
        </w:tc>
      </w:tr>
      <w:tr w:rsidR="00D92045" w:rsidRPr="00F11127" w14:paraId="01E772A0" w14:textId="77777777" w:rsidTr="004677E5">
        <w:tc>
          <w:tcPr>
            <w:tcW w:w="1632" w:type="pct"/>
            <w:shd w:val="clear" w:color="auto" w:fill="DBE5F1"/>
            <w:vAlign w:val="center"/>
          </w:tcPr>
          <w:p w14:paraId="17038DA9"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DAVČNA ŠTEVILKA</w:t>
            </w:r>
          </w:p>
        </w:tc>
        <w:tc>
          <w:tcPr>
            <w:tcW w:w="3368" w:type="pct"/>
          </w:tcPr>
          <w:p w14:paraId="7E5E476F" w14:textId="3F6F0468" w:rsidR="00D92045" w:rsidRPr="00F11127" w:rsidRDefault="00D4410C"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D4410C">
              <w:rPr>
                <w:rFonts w:asciiTheme="majorHAnsi" w:eastAsia="Arial Unicode MS" w:hAnsiTheme="majorHAnsi" w:cstheme="majorHAnsi"/>
                <w:color w:val="000000"/>
                <w:sz w:val="22"/>
                <w:szCs w:val="22"/>
                <w:lang w:eastAsia="en-US"/>
              </w:rPr>
              <w:t>SI 47731206</w:t>
            </w:r>
          </w:p>
        </w:tc>
      </w:tr>
      <w:tr w:rsidR="00D92045" w:rsidRPr="00F11127" w14:paraId="1614A5EC" w14:textId="77777777" w:rsidTr="004677E5">
        <w:tc>
          <w:tcPr>
            <w:tcW w:w="1632" w:type="pct"/>
            <w:shd w:val="clear" w:color="auto" w:fill="DBE5F1"/>
            <w:vAlign w:val="center"/>
          </w:tcPr>
          <w:p w14:paraId="27251CFF"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ŠIFRA DEJAVNOSTI</w:t>
            </w:r>
          </w:p>
        </w:tc>
        <w:tc>
          <w:tcPr>
            <w:tcW w:w="3368" w:type="pct"/>
          </w:tcPr>
          <w:p w14:paraId="55D6374F" w14:textId="78AD1C11" w:rsidR="00D92045" w:rsidRPr="00F11127" w:rsidRDefault="003B764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3B764F">
              <w:rPr>
                <w:rFonts w:asciiTheme="majorHAnsi" w:eastAsia="Arial Unicode MS" w:hAnsiTheme="majorHAnsi" w:cstheme="majorHAnsi"/>
                <w:color w:val="000000"/>
                <w:sz w:val="22"/>
                <w:szCs w:val="22"/>
                <w:lang w:eastAsia="en-US"/>
              </w:rPr>
              <w:t xml:space="preserve">84.110 (Splošna </w:t>
            </w:r>
            <w:proofErr w:type="spellStart"/>
            <w:r w:rsidRPr="003B764F">
              <w:rPr>
                <w:rFonts w:asciiTheme="majorHAnsi" w:eastAsia="Arial Unicode MS" w:hAnsiTheme="majorHAnsi" w:cstheme="majorHAnsi"/>
                <w:color w:val="000000"/>
                <w:sz w:val="22"/>
                <w:szCs w:val="22"/>
                <w:lang w:eastAsia="en-US"/>
              </w:rPr>
              <w:t>dej.javne</w:t>
            </w:r>
            <w:proofErr w:type="spellEnd"/>
            <w:r w:rsidRPr="003B764F">
              <w:rPr>
                <w:rFonts w:asciiTheme="majorHAnsi" w:eastAsia="Arial Unicode MS" w:hAnsiTheme="majorHAnsi" w:cstheme="majorHAnsi"/>
                <w:color w:val="000000"/>
                <w:sz w:val="22"/>
                <w:szCs w:val="22"/>
                <w:lang w:eastAsia="en-US"/>
              </w:rPr>
              <w:t xml:space="preserve"> uprave)</w:t>
            </w:r>
          </w:p>
        </w:tc>
      </w:tr>
      <w:tr w:rsidR="00D92045" w:rsidRPr="00F11127" w14:paraId="4DFAE616" w14:textId="77777777" w:rsidTr="004677E5">
        <w:tc>
          <w:tcPr>
            <w:tcW w:w="1632" w:type="pct"/>
            <w:shd w:val="clear" w:color="auto" w:fill="DBE5F1"/>
            <w:vAlign w:val="center"/>
          </w:tcPr>
          <w:p w14:paraId="312E0881"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ŠT. TRANSAKCIJSKEGA RAČUNA</w:t>
            </w:r>
          </w:p>
        </w:tc>
        <w:tc>
          <w:tcPr>
            <w:tcW w:w="3368" w:type="pct"/>
          </w:tcPr>
          <w:p w14:paraId="5757CBFB" w14:textId="77777777" w:rsidR="008653A6" w:rsidRPr="008653A6" w:rsidRDefault="008653A6" w:rsidP="008653A6">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8653A6">
              <w:rPr>
                <w:rFonts w:asciiTheme="majorHAnsi" w:eastAsia="Arial Unicode MS" w:hAnsiTheme="majorHAnsi" w:cstheme="majorHAnsi"/>
                <w:color w:val="000000"/>
                <w:sz w:val="22"/>
                <w:szCs w:val="22"/>
                <w:lang w:eastAsia="en-US"/>
              </w:rPr>
              <w:t>SI56 0123 7010 0000 320</w:t>
            </w:r>
          </w:p>
          <w:p w14:paraId="4E09186D" w14:textId="59DE707D" w:rsidR="00D92045" w:rsidRPr="00F11127" w:rsidRDefault="00D92045" w:rsidP="008653A6">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p>
        </w:tc>
      </w:tr>
      <w:tr w:rsidR="00D92045" w:rsidRPr="00F11127" w14:paraId="26D59D24" w14:textId="77777777" w:rsidTr="004677E5">
        <w:tc>
          <w:tcPr>
            <w:tcW w:w="1632" w:type="pct"/>
            <w:shd w:val="clear" w:color="auto" w:fill="DBE5F1"/>
            <w:vAlign w:val="center"/>
          </w:tcPr>
          <w:p w14:paraId="2D59C7B0" w14:textId="77777777" w:rsidR="00D92045" w:rsidRPr="00F11127" w:rsidRDefault="00D92045"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ODGOVORNA OSEBA</w:t>
            </w:r>
          </w:p>
        </w:tc>
        <w:tc>
          <w:tcPr>
            <w:tcW w:w="3368" w:type="pct"/>
          </w:tcPr>
          <w:p w14:paraId="684E81C7" w14:textId="09B17F45" w:rsidR="00D92045" w:rsidRPr="00F11127" w:rsidRDefault="007A706A"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7A706A">
              <w:rPr>
                <w:rFonts w:asciiTheme="majorHAnsi" w:eastAsia="Arial Unicode MS" w:hAnsiTheme="majorHAnsi" w:cstheme="majorHAnsi"/>
                <w:color w:val="000000"/>
                <w:sz w:val="22"/>
                <w:szCs w:val="22"/>
                <w:lang w:eastAsia="en-US"/>
              </w:rPr>
              <w:t>Župan Zlatko Usenik</w:t>
            </w:r>
          </w:p>
        </w:tc>
      </w:tr>
    </w:tbl>
    <w:p w14:paraId="6BFA2C7E" w14:textId="77777777" w:rsidR="00D92045" w:rsidRDefault="00D92045" w:rsidP="00BD1D20">
      <w:pPr>
        <w:spacing w:line="276" w:lineRule="auto"/>
        <w:jc w:val="both"/>
        <w:rPr>
          <w:rFonts w:asciiTheme="majorHAnsi" w:eastAsia="Arial" w:hAnsiTheme="majorHAnsi" w:cstheme="majorHAnsi"/>
          <w:sz w:val="22"/>
          <w:szCs w:val="22"/>
        </w:rPr>
      </w:pPr>
    </w:p>
    <w:p w14:paraId="7D5168B3" w14:textId="77777777" w:rsidR="00387991" w:rsidRDefault="00387991" w:rsidP="00387991">
      <w:pPr>
        <w:spacing w:after="120" w:line="276" w:lineRule="auto"/>
        <w:jc w:val="both"/>
        <w:rPr>
          <w:rFonts w:ascii="Arial" w:hAnsi="Arial" w:cs="Arial"/>
          <w:sz w:val="22"/>
          <w:szCs w:val="22"/>
        </w:rPr>
      </w:pPr>
      <w:r w:rsidRPr="004422EF">
        <w:rPr>
          <w:rFonts w:ascii="Arial" w:hAnsi="Arial" w:cs="Arial"/>
          <w:sz w:val="22"/>
          <w:szCs w:val="22"/>
        </w:rPr>
        <w:t>Po podatkih Statističnega urada RS ima občina na dan 30. 6. 202</w:t>
      </w:r>
      <w:r>
        <w:rPr>
          <w:rFonts w:ascii="Arial" w:hAnsi="Arial" w:cs="Arial"/>
          <w:sz w:val="22"/>
          <w:szCs w:val="22"/>
        </w:rPr>
        <w:t>5</w:t>
      </w:r>
      <w:r w:rsidRPr="004422EF">
        <w:rPr>
          <w:rFonts w:ascii="Arial" w:hAnsi="Arial" w:cs="Arial"/>
          <w:sz w:val="22"/>
          <w:szCs w:val="22"/>
        </w:rPr>
        <w:t xml:space="preserve"> 7.</w:t>
      </w:r>
      <w:r>
        <w:rPr>
          <w:rFonts w:ascii="Arial" w:hAnsi="Arial" w:cs="Arial"/>
          <w:sz w:val="22"/>
          <w:szCs w:val="22"/>
        </w:rPr>
        <w:t>926</w:t>
      </w:r>
      <w:r w:rsidRPr="004422EF">
        <w:rPr>
          <w:rFonts w:ascii="Arial" w:hAnsi="Arial" w:cs="Arial"/>
          <w:sz w:val="22"/>
          <w:szCs w:val="22"/>
        </w:rPr>
        <w:t xml:space="preserve"> prebivalcev s stalnim prebivališčem, ki živijo v 25 naseljih.</w:t>
      </w:r>
    </w:p>
    <w:p w14:paraId="372A89C6" w14:textId="77777777" w:rsidR="00387991" w:rsidRPr="0093659F" w:rsidRDefault="00387991" w:rsidP="00387991">
      <w:pPr>
        <w:spacing w:after="120" w:line="276" w:lineRule="auto"/>
        <w:jc w:val="both"/>
        <w:rPr>
          <w:rFonts w:ascii="Arial" w:hAnsi="Arial" w:cs="Arial"/>
          <w:sz w:val="22"/>
          <w:szCs w:val="22"/>
        </w:rPr>
      </w:pPr>
      <w:r w:rsidRPr="0093659F">
        <w:rPr>
          <w:rFonts w:ascii="Arial" w:hAnsi="Arial" w:cs="Arial"/>
          <w:sz w:val="22"/>
          <w:szCs w:val="22"/>
        </w:rPr>
        <w:t xml:space="preserve">Na območju občine so številne naravne in kulturne znamenitosti, mnoge med njimi prepoznavne tudi v širšem slovenskem in celo svetovnem merilu (Unesco, Natura 2000). Najbolj prepoznavna naravna dediščina je Ljubljansko barje, zavarovano kot krajinski park, znotraj njega pa naravni rezervati: ribniki v dolini Drage, Iški morost. Gre za območje vključeno v mrežo Natura 2000. Nadalje je priljubljena destinacija Iški vintgar - soteska reke Iške, pa tudi vrh Krima. V občini je urejenih tudi več učnih poti npr. Gozdna učna pot Draga, Pot Barjanska okna, Pot ob reki Iški Okljuk, Koščeva učna pot, Zapotoška učna pot. </w:t>
      </w:r>
    </w:p>
    <w:p w14:paraId="3FE9A67B" w14:textId="77777777" w:rsidR="00387991" w:rsidRPr="0093659F" w:rsidRDefault="00387991" w:rsidP="00387991">
      <w:pPr>
        <w:spacing w:after="120" w:line="276" w:lineRule="auto"/>
        <w:jc w:val="both"/>
        <w:rPr>
          <w:rFonts w:ascii="Arial" w:hAnsi="Arial" w:cs="Arial"/>
          <w:sz w:val="22"/>
          <w:szCs w:val="22"/>
        </w:rPr>
      </w:pPr>
      <w:r w:rsidRPr="0093659F">
        <w:rPr>
          <w:rFonts w:ascii="Arial" w:hAnsi="Arial" w:cs="Arial"/>
          <w:sz w:val="22"/>
          <w:szCs w:val="22"/>
        </w:rPr>
        <w:t xml:space="preserve">Med kulturno dediščino izstopa arheološka dediščina, ki sega od koliščarske do rimske dobe. Kolišča na Igu so del Unescove svetovne dediščine (Prazgodovinska kolišča okoli Alp), ki jih obiskovalcem predstavljamo v </w:t>
      </w:r>
      <w:proofErr w:type="spellStart"/>
      <w:r w:rsidRPr="0093659F">
        <w:rPr>
          <w:rFonts w:ascii="Arial" w:hAnsi="Arial" w:cs="Arial"/>
          <w:sz w:val="22"/>
          <w:szCs w:val="22"/>
        </w:rPr>
        <w:t>Morostigu</w:t>
      </w:r>
      <w:proofErr w:type="spellEnd"/>
      <w:r w:rsidRPr="0093659F">
        <w:rPr>
          <w:rFonts w:ascii="Arial" w:hAnsi="Arial" w:cs="Arial"/>
          <w:sz w:val="22"/>
          <w:szCs w:val="22"/>
        </w:rPr>
        <w:t xml:space="preserve">, hiši narave in kolišč. Razstava je na ogled v središču Iga, urejena tematska pot in rekonstrukcija kolišča pa na barju. Kot lokalni kulturni spomeniki so zavarovani še: arheološko najdišče in cerkev sv. Marjete na Golem, rimski spomenik Stari Dedec, jez in mlinščica ter žaga v Iški, cerkvi sv. Jakoba v </w:t>
      </w:r>
      <w:proofErr w:type="spellStart"/>
      <w:r w:rsidRPr="0093659F">
        <w:rPr>
          <w:rFonts w:ascii="Arial" w:hAnsi="Arial" w:cs="Arial"/>
          <w:sz w:val="22"/>
          <w:szCs w:val="22"/>
        </w:rPr>
        <w:t>Strahomerju</w:t>
      </w:r>
      <w:proofErr w:type="spellEnd"/>
      <w:r w:rsidRPr="0093659F">
        <w:rPr>
          <w:rFonts w:ascii="Arial" w:hAnsi="Arial" w:cs="Arial"/>
          <w:sz w:val="22"/>
          <w:szCs w:val="22"/>
        </w:rPr>
        <w:t xml:space="preserve"> in sv. </w:t>
      </w:r>
      <w:proofErr w:type="spellStart"/>
      <w:r w:rsidRPr="0093659F">
        <w:rPr>
          <w:rFonts w:ascii="Arial" w:hAnsi="Arial" w:cs="Arial"/>
          <w:sz w:val="22"/>
          <w:szCs w:val="22"/>
        </w:rPr>
        <w:t>Nikolaga</w:t>
      </w:r>
      <w:proofErr w:type="spellEnd"/>
      <w:r w:rsidRPr="0093659F">
        <w:rPr>
          <w:rFonts w:ascii="Arial" w:hAnsi="Arial" w:cs="Arial"/>
          <w:sz w:val="22"/>
          <w:szCs w:val="22"/>
        </w:rPr>
        <w:t xml:space="preserve"> na Visokem ter več </w:t>
      </w:r>
      <w:proofErr w:type="spellStart"/>
      <w:r w:rsidRPr="0093659F">
        <w:rPr>
          <w:rFonts w:ascii="Arial" w:hAnsi="Arial" w:cs="Arial"/>
          <w:sz w:val="22"/>
          <w:szCs w:val="22"/>
        </w:rPr>
        <w:t>memorialne</w:t>
      </w:r>
      <w:proofErr w:type="spellEnd"/>
      <w:r w:rsidRPr="0093659F">
        <w:rPr>
          <w:rFonts w:ascii="Arial" w:hAnsi="Arial" w:cs="Arial"/>
          <w:sz w:val="22"/>
          <w:szCs w:val="22"/>
        </w:rPr>
        <w:t xml:space="preserve"> dediščine iz časa NOB. </w:t>
      </w:r>
    </w:p>
    <w:p w14:paraId="23A91F1A" w14:textId="01A49C5F" w:rsidR="00387991" w:rsidRPr="00F11127" w:rsidRDefault="00387991" w:rsidP="00387991">
      <w:pPr>
        <w:spacing w:line="276" w:lineRule="auto"/>
        <w:jc w:val="both"/>
        <w:rPr>
          <w:rFonts w:asciiTheme="majorHAnsi" w:eastAsia="Arial" w:hAnsiTheme="majorHAnsi" w:cstheme="majorHAnsi"/>
          <w:sz w:val="22"/>
          <w:szCs w:val="22"/>
        </w:rPr>
      </w:pPr>
      <w:r w:rsidRPr="0093659F">
        <w:rPr>
          <w:rFonts w:ascii="Arial" w:hAnsi="Arial" w:cs="Arial"/>
          <w:sz w:val="22"/>
          <w:szCs w:val="22"/>
        </w:rPr>
        <w:t>Naravna in kulturna dediščina sta pomemben del lokalne identitete kraja, zaradi česar jo želimo vključiti tudi pri urejanju središča Iga.</w:t>
      </w:r>
    </w:p>
    <w:p w14:paraId="7E75D829" w14:textId="76BE0844" w:rsidR="00387991" w:rsidRDefault="00387991">
      <w:pPr>
        <w:spacing w:after="200" w:line="276" w:lineRule="auto"/>
        <w:rPr>
          <w:rFonts w:ascii="Arial" w:eastAsiaTheme="minorEastAsia" w:hAnsi="Arial" w:cs="Arial"/>
          <w:b/>
          <w:bCs/>
          <w:sz w:val="22"/>
          <w:szCs w:val="22"/>
        </w:rPr>
      </w:pPr>
      <w:bookmarkStart w:id="44" w:name="_Toc209029190"/>
      <w:bookmarkStart w:id="45" w:name="_Toc65070483"/>
      <w:bookmarkStart w:id="46" w:name="_Toc99912503"/>
    </w:p>
    <w:p w14:paraId="5BB749AB" w14:textId="77777777" w:rsidR="00324C62" w:rsidRDefault="00324C62">
      <w:pPr>
        <w:spacing w:after="200" w:line="276" w:lineRule="auto"/>
        <w:rPr>
          <w:rFonts w:ascii="Arial" w:eastAsiaTheme="minorEastAsia" w:hAnsi="Arial" w:cs="Arial"/>
          <w:b/>
          <w:bCs/>
          <w:sz w:val="22"/>
          <w:szCs w:val="22"/>
        </w:rPr>
      </w:pPr>
      <w:r>
        <w:rPr>
          <w:rFonts w:ascii="Arial" w:hAnsi="Arial" w:cs="Arial"/>
          <w:sz w:val="22"/>
          <w:szCs w:val="22"/>
        </w:rPr>
        <w:br w:type="page"/>
      </w:r>
    </w:p>
    <w:p w14:paraId="5779F6F5" w14:textId="611E31D6" w:rsidR="0051033E" w:rsidRPr="00615BF3" w:rsidRDefault="0051033E" w:rsidP="0051033E">
      <w:pPr>
        <w:pStyle w:val="Napis"/>
        <w:spacing w:line="276" w:lineRule="auto"/>
        <w:rPr>
          <w:rFonts w:ascii="Arial" w:hAnsi="Arial" w:cs="Arial"/>
          <w:b w:val="0"/>
          <w:color w:val="auto"/>
          <w:sz w:val="22"/>
          <w:szCs w:val="22"/>
        </w:rPr>
      </w:pPr>
      <w:bookmarkStart w:id="47" w:name="_Toc210033650"/>
      <w:r w:rsidRPr="00615BF3">
        <w:rPr>
          <w:rFonts w:ascii="Arial" w:hAnsi="Arial" w:cs="Arial"/>
          <w:color w:val="auto"/>
          <w:sz w:val="22"/>
          <w:szCs w:val="22"/>
        </w:rPr>
        <w:lastRenderedPageBreak/>
        <w:t xml:space="preserve">Slika </w:t>
      </w:r>
      <w:r w:rsidRPr="00615BF3">
        <w:rPr>
          <w:rFonts w:ascii="Arial" w:hAnsi="Arial" w:cs="Arial"/>
          <w:color w:val="auto"/>
          <w:sz w:val="22"/>
          <w:szCs w:val="22"/>
        </w:rPr>
        <w:fldChar w:fldCharType="begin"/>
      </w:r>
      <w:r w:rsidRPr="00615BF3">
        <w:rPr>
          <w:rFonts w:ascii="Arial" w:hAnsi="Arial" w:cs="Arial"/>
          <w:color w:val="auto"/>
          <w:sz w:val="22"/>
          <w:szCs w:val="22"/>
        </w:rPr>
        <w:instrText xml:space="preserve"> SEQ Slika \* ARABIC </w:instrText>
      </w:r>
      <w:r w:rsidRPr="00615BF3">
        <w:rPr>
          <w:rFonts w:ascii="Arial" w:hAnsi="Arial" w:cs="Arial"/>
          <w:color w:val="auto"/>
          <w:sz w:val="22"/>
          <w:szCs w:val="22"/>
        </w:rPr>
        <w:fldChar w:fldCharType="separate"/>
      </w:r>
      <w:r w:rsidR="00E74D26">
        <w:rPr>
          <w:rFonts w:ascii="Arial" w:hAnsi="Arial" w:cs="Arial"/>
          <w:noProof/>
          <w:color w:val="auto"/>
          <w:sz w:val="22"/>
          <w:szCs w:val="22"/>
        </w:rPr>
        <w:t>2</w:t>
      </w:r>
      <w:r w:rsidRPr="00615BF3">
        <w:rPr>
          <w:rFonts w:ascii="Arial" w:hAnsi="Arial" w:cs="Arial"/>
          <w:color w:val="auto"/>
          <w:sz w:val="22"/>
          <w:szCs w:val="22"/>
        </w:rPr>
        <w:fldChar w:fldCharType="end"/>
      </w:r>
      <w:r w:rsidRPr="00615BF3">
        <w:rPr>
          <w:rFonts w:ascii="Arial" w:hAnsi="Arial" w:cs="Arial"/>
          <w:color w:val="auto"/>
          <w:sz w:val="22"/>
          <w:szCs w:val="22"/>
        </w:rPr>
        <w:t>:</w:t>
      </w:r>
      <w:r w:rsidR="00387991">
        <w:rPr>
          <w:rFonts w:ascii="Arial" w:hAnsi="Arial" w:cs="Arial"/>
          <w:color w:val="auto"/>
          <w:sz w:val="22"/>
          <w:szCs w:val="22"/>
        </w:rPr>
        <w:t xml:space="preserve"> </w:t>
      </w:r>
      <w:r w:rsidRPr="00615BF3">
        <w:rPr>
          <w:rFonts w:ascii="Arial" w:hAnsi="Arial" w:cs="Arial"/>
          <w:b w:val="0"/>
          <w:color w:val="auto"/>
          <w:sz w:val="22"/>
          <w:szCs w:val="22"/>
        </w:rPr>
        <w:t xml:space="preserve">Organigram </w:t>
      </w:r>
      <w:r>
        <w:rPr>
          <w:rFonts w:ascii="Arial" w:hAnsi="Arial" w:cs="Arial"/>
          <w:b w:val="0"/>
          <w:color w:val="auto"/>
          <w:sz w:val="22"/>
          <w:szCs w:val="22"/>
        </w:rPr>
        <w:t>Občine Ig</w:t>
      </w:r>
      <w:bookmarkEnd w:id="44"/>
      <w:bookmarkEnd w:id="47"/>
      <w:r>
        <w:rPr>
          <w:rFonts w:ascii="Arial" w:hAnsi="Arial" w:cs="Arial"/>
          <w:b w:val="0"/>
          <w:color w:val="auto"/>
          <w:sz w:val="22"/>
          <w:szCs w:val="22"/>
        </w:rPr>
        <w:t xml:space="preserve"> </w:t>
      </w:r>
    </w:p>
    <w:p w14:paraId="7D03F7AE" w14:textId="7C743B84" w:rsidR="0051033E" w:rsidRPr="00615BF3" w:rsidRDefault="0051033E" w:rsidP="0051033E">
      <w:pPr>
        <w:spacing w:line="276" w:lineRule="auto"/>
        <w:rPr>
          <w:rFonts w:ascii="Arial" w:hAnsi="Arial" w:cs="Arial"/>
        </w:rPr>
      </w:pPr>
      <w:r>
        <w:rPr>
          <w:rFonts w:ascii="Arial" w:hAnsi="Arial" w:cs="Arial"/>
          <w:noProof/>
          <w:color w:val="000000"/>
        </w:rPr>
        <mc:AlternateContent>
          <mc:Choice Requires="wpc">
            <w:drawing>
              <wp:inline distT="0" distB="0" distL="0" distR="0" wp14:anchorId="49C53DEE" wp14:editId="40A9BE8A">
                <wp:extent cx="4992370" cy="4752340"/>
                <wp:effectExtent l="0" t="0" r="17780" b="29210"/>
                <wp:docPr id="411619735"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24985380" name="Rectangle 5"/>
                        <wps:cNvSpPr>
                          <a:spLocks noChangeArrowheads="1"/>
                        </wps:cNvSpPr>
                        <wps:spPr bwMode="auto">
                          <a:xfrm>
                            <a:off x="420553" y="35999"/>
                            <a:ext cx="1143000" cy="342900"/>
                          </a:xfrm>
                          <a:prstGeom prst="rect">
                            <a:avLst/>
                          </a:prstGeom>
                          <a:solidFill>
                            <a:srgbClr val="FFFFFF"/>
                          </a:solidFill>
                          <a:ln w="9525">
                            <a:solidFill>
                              <a:srgbClr val="000000"/>
                            </a:solidFill>
                            <a:miter lim="800000"/>
                            <a:headEnd/>
                            <a:tailEnd/>
                          </a:ln>
                        </wps:spPr>
                        <wps:txbx>
                          <w:txbxContent>
                            <w:p w14:paraId="67915D66" w14:textId="77777777" w:rsidR="0051033E" w:rsidRPr="001D2742" w:rsidRDefault="0051033E" w:rsidP="0051033E">
                              <w:pPr>
                                <w:rPr>
                                  <w:rFonts w:ascii="Arial" w:hAnsi="Arial" w:cs="Arial"/>
                                  <w:sz w:val="20"/>
                                  <w:szCs w:val="20"/>
                                </w:rPr>
                              </w:pPr>
                              <w:hyperlink r:id="rId17" w:history="1">
                                <w:r w:rsidRPr="001D2742">
                                  <w:rPr>
                                    <w:rStyle w:val="Hiperpovezava"/>
                                    <w:rFonts w:ascii="Arial" w:eastAsiaTheme="majorEastAsia" w:hAnsi="Arial" w:cs="Arial"/>
                                    <w:color w:val="auto"/>
                                    <w:sz w:val="20"/>
                                    <w:szCs w:val="20"/>
                                    <w:u w:val="none"/>
                                  </w:rPr>
                                  <w:t>Občinski  svet</w:t>
                                </w:r>
                              </w:hyperlink>
                              <w:r w:rsidRPr="001D2742">
                                <w:rPr>
                                  <w:rFonts w:ascii="Arial" w:hAnsi="Arial" w:cs="Arial"/>
                                  <w:sz w:val="20"/>
                                  <w:szCs w:val="20"/>
                                </w:rPr>
                                <w:t xml:space="preserve"> </w:t>
                              </w:r>
                            </w:p>
                          </w:txbxContent>
                        </wps:txbx>
                        <wps:bodyPr rot="0" vert="horz" wrap="square" lIns="91440" tIns="45720" rIns="91440" bIns="45720" anchor="t" anchorCtr="0" upright="1">
                          <a:noAutofit/>
                        </wps:bodyPr>
                      </wps:wsp>
                      <wps:wsp>
                        <wps:cNvPr id="1730773604" name="Rectangle 6"/>
                        <wps:cNvSpPr>
                          <a:spLocks noChangeArrowheads="1"/>
                        </wps:cNvSpPr>
                        <wps:spPr bwMode="auto">
                          <a:xfrm>
                            <a:off x="2249353" y="35999"/>
                            <a:ext cx="914400" cy="457200"/>
                          </a:xfrm>
                          <a:prstGeom prst="rect">
                            <a:avLst/>
                          </a:prstGeom>
                          <a:solidFill>
                            <a:srgbClr val="FFFFFF"/>
                          </a:solidFill>
                          <a:ln w="9525">
                            <a:solidFill>
                              <a:srgbClr val="000000"/>
                            </a:solidFill>
                            <a:miter lim="800000"/>
                            <a:headEnd/>
                            <a:tailEnd/>
                          </a:ln>
                        </wps:spPr>
                        <wps:txbx>
                          <w:txbxContent>
                            <w:p w14:paraId="4EB8F1E3" w14:textId="77777777" w:rsidR="0051033E" w:rsidRPr="00492856" w:rsidRDefault="0051033E" w:rsidP="0051033E">
                              <w:pPr>
                                <w:rPr>
                                  <w:rFonts w:ascii="Arial" w:hAnsi="Arial" w:cs="Arial"/>
                                </w:rPr>
                              </w:pPr>
                              <w:r w:rsidRPr="00492856">
                                <w:rPr>
                                  <w:rFonts w:ascii="Arial" w:hAnsi="Arial" w:cs="Arial"/>
                                </w:rPr>
                                <w:t xml:space="preserve">OBČINA    </w:t>
                              </w:r>
                            </w:p>
                            <w:p w14:paraId="28247785" w14:textId="77777777" w:rsidR="0051033E" w:rsidRPr="00492856" w:rsidRDefault="0051033E" w:rsidP="0051033E">
                              <w:pPr>
                                <w:rPr>
                                  <w:rFonts w:ascii="Arial" w:hAnsi="Arial" w:cs="Arial"/>
                                </w:rPr>
                              </w:pPr>
                              <w:r w:rsidRPr="00492856">
                                <w:rPr>
                                  <w:rFonts w:ascii="Arial" w:hAnsi="Arial" w:cs="Arial"/>
                                </w:rPr>
                                <w:t xml:space="preserve">     IG</w:t>
                              </w:r>
                            </w:p>
                            <w:p w14:paraId="1A09EBEE" w14:textId="77777777" w:rsidR="0051033E" w:rsidRDefault="0051033E" w:rsidP="0051033E"/>
                          </w:txbxContent>
                        </wps:txbx>
                        <wps:bodyPr rot="0" vert="horz" wrap="square" lIns="91440" tIns="45720" rIns="91440" bIns="45720" anchor="t" anchorCtr="0" upright="1">
                          <a:noAutofit/>
                        </wps:bodyPr>
                      </wps:wsp>
                      <wps:wsp>
                        <wps:cNvPr id="974184490" name="Rectangle 7"/>
                        <wps:cNvSpPr>
                          <a:spLocks noChangeArrowheads="1"/>
                        </wps:cNvSpPr>
                        <wps:spPr bwMode="auto">
                          <a:xfrm>
                            <a:off x="4078153" y="35999"/>
                            <a:ext cx="914400" cy="457200"/>
                          </a:xfrm>
                          <a:prstGeom prst="rect">
                            <a:avLst/>
                          </a:prstGeom>
                          <a:solidFill>
                            <a:srgbClr val="FFFFFF"/>
                          </a:solidFill>
                          <a:ln w="9525">
                            <a:solidFill>
                              <a:srgbClr val="000000"/>
                            </a:solidFill>
                            <a:miter lim="800000"/>
                            <a:headEnd/>
                            <a:tailEnd/>
                          </a:ln>
                        </wps:spPr>
                        <wps:txbx>
                          <w:txbxContent>
                            <w:p w14:paraId="09ACCF4C" w14:textId="77777777" w:rsidR="0051033E" w:rsidRPr="00492856" w:rsidRDefault="0051033E" w:rsidP="0051033E">
                              <w:pPr>
                                <w:rPr>
                                  <w:rFonts w:ascii="Arial" w:hAnsi="Arial" w:cs="Arial"/>
                                  <w:sz w:val="20"/>
                                  <w:szCs w:val="20"/>
                                </w:rPr>
                              </w:pPr>
                              <w:r w:rsidRPr="00492856">
                                <w:rPr>
                                  <w:rFonts w:ascii="Arial" w:hAnsi="Arial" w:cs="Arial"/>
                                  <w:sz w:val="20"/>
                                  <w:szCs w:val="20"/>
                                </w:rPr>
                                <w:t xml:space="preserve">Nadzorni </w:t>
                              </w:r>
                              <w:r>
                                <w:rPr>
                                  <w:rFonts w:ascii="Arial" w:hAnsi="Arial" w:cs="Arial"/>
                                  <w:sz w:val="20"/>
                                  <w:szCs w:val="20"/>
                                </w:rPr>
                                <w:t xml:space="preserve">    </w:t>
                              </w:r>
                              <w:r w:rsidRPr="00492856">
                                <w:rPr>
                                  <w:rFonts w:ascii="Arial" w:hAnsi="Arial" w:cs="Arial"/>
                                  <w:sz w:val="20"/>
                                  <w:szCs w:val="20"/>
                                </w:rPr>
                                <w:t>odbor</w:t>
                              </w:r>
                            </w:p>
                          </w:txbxContent>
                        </wps:txbx>
                        <wps:bodyPr rot="0" vert="horz" wrap="square" lIns="91440" tIns="45720" rIns="91440" bIns="45720" anchor="t" anchorCtr="0" upright="1">
                          <a:noAutofit/>
                        </wps:bodyPr>
                      </wps:wsp>
                      <wps:wsp>
                        <wps:cNvPr id="1759920530" name="Line 8"/>
                        <wps:cNvCnPr>
                          <a:cxnSpLocks noChangeShapeType="1"/>
                        </wps:cNvCnPr>
                        <wps:spPr bwMode="auto">
                          <a:xfrm>
                            <a:off x="1563553" y="264599"/>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1917303" name="Rectangle 9"/>
                        <wps:cNvSpPr>
                          <a:spLocks noChangeArrowheads="1"/>
                        </wps:cNvSpPr>
                        <wps:spPr bwMode="auto">
                          <a:xfrm>
                            <a:off x="2249353" y="836099"/>
                            <a:ext cx="914400" cy="228600"/>
                          </a:xfrm>
                          <a:prstGeom prst="rect">
                            <a:avLst/>
                          </a:prstGeom>
                          <a:solidFill>
                            <a:srgbClr val="FFFFFF"/>
                          </a:solidFill>
                          <a:ln w="9525">
                            <a:solidFill>
                              <a:srgbClr val="000000"/>
                            </a:solidFill>
                            <a:miter lim="800000"/>
                            <a:headEnd/>
                            <a:tailEnd/>
                          </a:ln>
                        </wps:spPr>
                        <wps:txbx>
                          <w:txbxContent>
                            <w:p w14:paraId="26656C87" w14:textId="77777777" w:rsidR="0051033E" w:rsidRPr="001D2742" w:rsidRDefault="0051033E" w:rsidP="0051033E">
                              <w:pPr>
                                <w:rPr>
                                  <w:rFonts w:ascii="Arial" w:hAnsi="Arial" w:cs="Arial"/>
                                  <w:sz w:val="20"/>
                                  <w:szCs w:val="20"/>
                                </w:rPr>
                              </w:pPr>
                              <w:r w:rsidRPr="001D2742">
                                <w:rPr>
                                  <w:rFonts w:ascii="Arial" w:hAnsi="Arial" w:cs="Arial"/>
                                  <w:sz w:val="20"/>
                                  <w:szCs w:val="20"/>
                                </w:rPr>
                                <w:t xml:space="preserve">  </w:t>
                              </w:r>
                              <w:hyperlink r:id="rId18" w:history="1">
                                <w:r w:rsidRPr="001D2742">
                                  <w:rPr>
                                    <w:rStyle w:val="Hiperpovezava"/>
                                    <w:rFonts w:ascii="Arial" w:eastAsiaTheme="majorEastAsia" w:hAnsi="Arial" w:cs="Arial"/>
                                    <w:color w:val="auto"/>
                                    <w:sz w:val="20"/>
                                    <w:szCs w:val="20"/>
                                  </w:rPr>
                                  <w:t xml:space="preserve"> ŽUPAN</w:t>
                                </w:r>
                              </w:hyperlink>
                            </w:p>
                          </w:txbxContent>
                        </wps:txbx>
                        <wps:bodyPr rot="0" vert="horz" wrap="square" lIns="91440" tIns="45720" rIns="91440" bIns="45720" anchor="t" anchorCtr="0" upright="1">
                          <a:noAutofit/>
                        </wps:bodyPr>
                      </wps:wsp>
                      <wps:wsp>
                        <wps:cNvPr id="2116608291" name="Rectangle 10"/>
                        <wps:cNvSpPr>
                          <a:spLocks noChangeArrowheads="1"/>
                        </wps:cNvSpPr>
                        <wps:spPr bwMode="auto">
                          <a:xfrm>
                            <a:off x="534853" y="836099"/>
                            <a:ext cx="914400" cy="228600"/>
                          </a:xfrm>
                          <a:prstGeom prst="rect">
                            <a:avLst/>
                          </a:prstGeom>
                          <a:solidFill>
                            <a:srgbClr val="FFFFFF"/>
                          </a:solidFill>
                          <a:ln w="9525">
                            <a:solidFill>
                              <a:srgbClr val="000000"/>
                            </a:solidFill>
                            <a:miter lim="800000"/>
                            <a:headEnd/>
                            <a:tailEnd/>
                          </a:ln>
                        </wps:spPr>
                        <wps:txbx>
                          <w:txbxContent>
                            <w:p w14:paraId="744D3C09" w14:textId="77777777" w:rsidR="0051033E" w:rsidRPr="001D2742" w:rsidRDefault="0051033E" w:rsidP="0051033E">
                              <w:pPr>
                                <w:rPr>
                                  <w:rFonts w:ascii="Arial" w:hAnsi="Arial" w:cs="Arial"/>
                                  <w:sz w:val="20"/>
                                  <w:szCs w:val="20"/>
                                  <w:u w:val="single"/>
                                </w:rPr>
                              </w:pPr>
                              <w:r w:rsidRPr="001D2742">
                                <w:rPr>
                                  <w:rFonts w:ascii="Arial" w:hAnsi="Arial" w:cs="Arial"/>
                                  <w:sz w:val="20"/>
                                  <w:szCs w:val="20"/>
                                  <w:u w:val="single"/>
                                </w:rPr>
                                <w:t xml:space="preserve">  </w:t>
                              </w:r>
                              <w:hyperlink r:id="rId19" w:history="1">
                                <w:r w:rsidRPr="001D2742">
                                  <w:rPr>
                                    <w:rStyle w:val="Hiperpovezava"/>
                                    <w:rFonts w:ascii="Arial" w:eastAsiaTheme="majorEastAsia" w:hAnsi="Arial" w:cs="Arial"/>
                                    <w:color w:val="auto"/>
                                    <w:sz w:val="20"/>
                                    <w:szCs w:val="20"/>
                                  </w:rPr>
                                  <w:t>Podžupani</w:t>
                                </w:r>
                              </w:hyperlink>
                            </w:p>
                          </w:txbxContent>
                        </wps:txbx>
                        <wps:bodyPr rot="0" vert="horz" wrap="square" lIns="91440" tIns="45720" rIns="91440" bIns="45720" anchor="t" anchorCtr="0" upright="1">
                          <a:noAutofit/>
                        </wps:bodyPr>
                      </wps:wsp>
                      <wps:wsp>
                        <wps:cNvPr id="245799896" name="Rectangle 11"/>
                        <wps:cNvSpPr>
                          <a:spLocks noChangeArrowheads="1"/>
                        </wps:cNvSpPr>
                        <wps:spPr bwMode="auto">
                          <a:xfrm>
                            <a:off x="2249353" y="1407599"/>
                            <a:ext cx="914400" cy="457200"/>
                          </a:xfrm>
                          <a:prstGeom prst="rect">
                            <a:avLst/>
                          </a:prstGeom>
                          <a:solidFill>
                            <a:srgbClr val="FFFFFF"/>
                          </a:solidFill>
                          <a:ln w="9525">
                            <a:solidFill>
                              <a:srgbClr val="000000"/>
                            </a:solidFill>
                            <a:miter lim="800000"/>
                            <a:headEnd/>
                            <a:tailEnd/>
                          </a:ln>
                        </wps:spPr>
                        <wps:txbx>
                          <w:txbxContent>
                            <w:p w14:paraId="2AC0619A" w14:textId="77777777" w:rsidR="0051033E" w:rsidRDefault="0051033E" w:rsidP="0051033E">
                              <w:r>
                                <w:rPr>
                                  <w:rFonts w:ascii="Arial" w:hAnsi="Arial" w:cs="Arial"/>
                                  <w:sz w:val="20"/>
                                  <w:szCs w:val="20"/>
                                </w:rPr>
                                <w:t>OBČINSKA UPRAVA</w:t>
                              </w:r>
                            </w:p>
                          </w:txbxContent>
                        </wps:txbx>
                        <wps:bodyPr rot="0" vert="horz" wrap="square" lIns="91440" tIns="45720" rIns="91440" bIns="45720" anchor="t" anchorCtr="0" upright="1">
                          <a:noAutofit/>
                        </wps:bodyPr>
                      </wps:wsp>
                      <wps:wsp>
                        <wps:cNvPr id="237137022" name="Rectangle 12"/>
                        <wps:cNvSpPr>
                          <a:spLocks noChangeArrowheads="1"/>
                        </wps:cNvSpPr>
                        <wps:spPr bwMode="auto">
                          <a:xfrm>
                            <a:off x="2135053" y="2207699"/>
                            <a:ext cx="1257300" cy="457200"/>
                          </a:xfrm>
                          <a:prstGeom prst="rect">
                            <a:avLst/>
                          </a:prstGeom>
                          <a:solidFill>
                            <a:srgbClr val="FFFFFF"/>
                          </a:solidFill>
                          <a:ln w="9525">
                            <a:solidFill>
                              <a:srgbClr val="000000"/>
                            </a:solidFill>
                            <a:miter lim="800000"/>
                            <a:headEnd/>
                            <a:tailEnd/>
                          </a:ln>
                        </wps:spPr>
                        <wps:txbx>
                          <w:txbxContent>
                            <w:p w14:paraId="41B66DB8" w14:textId="77777777" w:rsidR="0051033E" w:rsidRPr="001D2742" w:rsidRDefault="0051033E" w:rsidP="0051033E">
                              <w:pPr>
                                <w:rPr>
                                  <w:rStyle w:val="Hiperpovezava"/>
                                  <w:rFonts w:ascii="Arial" w:eastAsiaTheme="majorEastAsia" w:hAnsi="Arial" w:cs="Arial"/>
                                  <w:color w:val="auto"/>
                                  <w:sz w:val="20"/>
                                  <w:szCs w:val="20"/>
                                  <w:u w:val="none"/>
                                </w:rPr>
                              </w:pPr>
                              <w:r w:rsidRPr="001D2742">
                                <w:rPr>
                                  <w:rFonts w:ascii="Arial" w:hAnsi="Arial" w:cs="Arial"/>
                                  <w:sz w:val="20"/>
                                  <w:szCs w:val="20"/>
                                </w:rPr>
                                <w:t xml:space="preserve">      </w:t>
                              </w:r>
                              <w:r w:rsidRPr="001D2742">
                                <w:rPr>
                                  <w:rFonts w:ascii="Arial" w:hAnsi="Arial" w:cs="Arial"/>
                                  <w:sz w:val="20"/>
                                  <w:szCs w:val="20"/>
                                </w:rPr>
                                <w:fldChar w:fldCharType="begin"/>
                              </w:r>
                              <w:r w:rsidRPr="001D2742">
                                <w:rPr>
                                  <w:rFonts w:ascii="Arial" w:hAnsi="Arial" w:cs="Arial"/>
                                  <w:sz w:val="20"/>
                                  <w:szCs w:val="20"/>
                                </w:rPr>
                                <w:instrText>HYPERLINK "http://www.obcina-ig.si/index.php?option=com_content&amp;view=article&amp;id=50&amp;Itemid=84&amp;lang=sl"</w:instrText>
                              </w:r>
                              <w:r w:rsidRPr="001D2742">
                                <w:rPr>
                                  <w:rFonts w:ascii="Arial" w:hAnsi="Arial" w:cs="Arial"/>
                                  <w:sz w:val="20"/>
                                  <w:szCs w:val="20"/>
                                </w:rPr>
                              </w:r>
                              <w:r w:rsidRPr="001D2742">
                                <w:rPr>
                                  <w:rFonts w:ascii="Arial" w:hAnsi="Arial" w:cs="Arial"/>
                                  <w:sz w:val="20"/>
                                  <w:szCs w:val="20"/>
                                </w:rPr>
                                <w:fldChar w:fldCharType="separate"/>
                              </w:r>
                              <w:r w:rsidRPr="001D2742">
                                <w:rPr>
                                  <w:rStyle w:val="Hiperpovezava"/>
                                  <w:rFonts w:ascii="Arial" w:eastAsiaTheme="majorEastAsia" w:hAnsi="Arial" w:cs="Arial"/>
                                  <w:color w:val="auto"/>
                                  <w:sz w:val="20"/>
                                  <w:szCs w:val="20"/>
                                  <w:u w:val="none"/>
                                </w:rPr>
                                <w:t xml:space="preserve">Direktor </w:t>
                              </w:r>
                            </w:p>
                            <w:p w14:paraId="0E9C168C" w14:textId="77777777" w:rsidR="0051033E" w:rsidRPr="001D2742" w:rsidRDefault="0051033E" w:rsidP="0051033E">
                              <w:pPr>
                                <w:rPr>
                                  <w:rFonts w:ascii="Arial" w:hAnsi="Arial" w:cs="Arial"/>
                                  <w:sz w:val="20"/>
                                  <w:szCs w:val="20"/>
                                </w:rPr>
                              </w:pPr>
                              <w:r w:rsidRPr="001D2742">
                                <w:rPr>
                                  <w:rStyle w:val="Hiperpovezava"/>
                                  <w:rFonts w:ascii="Arial" w:eastAsiaTheme="majorEastAsia" w:hAnsi="Arial" w:cs="Arial"/>
                                  <w:color w:val="auto"/>
                                  <w:sz w:val="20"/>
                                  <w:szCs w:val="20"/>
                                  <w:u w:val="none"/>
                                </w:rPr>
                                <w:t>Občinske uprave</w:t>
                              </w:r>
                              <w:r w:rsidRPr="001D2742">
                                <w:rPr>
                                  <w:rFonts w:ascii="Arial" w:hAnsi="Arial" w:cs="Arial"/>
                                  <w:sz w:val="20"/>
                                  <w:szCs w:val="20"/>
                                </w:rPr>
                                <w:fldChar w:fldCharType="end"/>
                              </w:r>
                            </w:p>
                          </w:txbxContent>
                        </wps:txbx>
                        <wps:bodyPr rot="0" vert="horz" wrap="square" lIns="91440" tIns="45720" rIns="91440" bIns="45720" anchor="t" anchorCtr="0" upright="1">
                          <a:noAutofit/>
                        </wps:bodyPr>
                      </wps:wsp>
                      <wps:wsp>
                        <wps:cNvPr id="799382466" name="Line 13"/>
                        <wps:cNvCnPr>
                          <a:cxnSpLocks noChangeShapeType="1"/>
                        </wps:cNvCnPr>
                        <wps:spPr bwMode="auto">
                          <a:xfrm flipH="1">
                            <a:off x="3163753" y="264599"/>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927689" name="Line 14"/>
                        <wps:cNvCnPr>
                          <a:cxnSpLocks noChangeShapeType="1"/>
                        </wps:cNvCnPr>
                        <wps:spPr bwMode="auto">
                          <a:xfrm>
                            <a:off x="2706553" y="493199"/>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5525349" name="Line 15"/>
                        <wps:cNvCnPr>
                          <a:cxnSpLocks noChangeShapeType="1"/>
                        </wps:cNvCnPr>
                        <wps:spPr bwMode="auto">
                          <a:xfrm flipH="1">
                            <a:off x="1449253" y="950399"/>
                            <a:ext cx="8001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6815044" name="Line 16"/>
                        <wps:cNvCnPr>
                          <a:cxnSpLocks noChangeShapeType="1"/>
                        </wps:cNvCnPr>
                        <wps:spPr bwMode="auto">
                          <a:xfrm>
                            <a:off x="2706553" y="1064699"/>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1282842" name="Line 17"/>
                        <wps:cNvCnPr>
                          <a:cxnSpLocks noChangeShapeType="1"/>
                        </wps:cNvCnPr>
                        <wps:spPr bwMode="auto">
                          <a:xfrm>
                            <a:off x="2706553" y="1864799"/>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7837712" name="Line 18"/>
                        <wps:cNvCnPr>
                          <a:cxnSpLocks noChangeShapeType="1"/>
                        </wps:cNvCnPr>
                        <wps:spPr bwMode="auto">
                          <a:xfrm>
                            <a:off x="2706553" y="2664899"/>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4732303" name="Rectangle 19"/>
                        <wps:cNvSpPr>
                          <a:spLocks noChangeArrowheads="1"/>
                        </wps:cNvSpPr>
                        <wps:spPr bwMode="auto">
                          <a:xfrm>
                            <a:off x="1744464" y="3026594"/>
                            <a:ext cx="2171700" cy="1726381"/>
                          </a:xfrm>
                          <a:prstGeom prst="rect">
                            <a:avLst/>
                          </a:prstGeom>
                          <a:solidFill>
                            <a:srgbClr val="FFFFFF"/>
                          </a:solidFill>
                          <a:ln w="9525">
                            <a:solidFill>
                              <a:srgbClr val="000000"/>
                            </a:solidFill>
                            <a:miter lim="800000"/>
                            <a:headEnd/>
                            <a:tailEnd/>
                          </a:ln>
                        </wps:spPr>
                        <wps:txbx>
                          <w:txbxContent>
                            <w:p w14:paraId="12FB47AE" w14:textId="77777777" w:rsidR="0051033E" w:rsidRPr="001D2742" w:rsidRDefault="0051033E" w:rsidP="0051033E">
                              <w:pPr>
                                <w:rPr>
                                  <w:rFonts w:ascii="Arial" w:hAnsi="Arial" w:cs="Arial"/>
                                  <w:sz w:val="20"/>
                                  <w:szCs w:val="20"/>
                                </w:rPr>
                              </w:pPr>
                              <w:hyperlink r:id="rId20" w:history="1">
                                <w:r w:rsidRPr="001D2742">
                                  <w:rPr>
                                    <w:rStyle w:val="Hiperpovezava"/>
                                    <w:rFonts w:ascii="Arial" w:eastAsiaTheme="majorEastAsia" w:hAnsi="Arial" w:cs="Arial"/>
                                    <w:color w:val="auto"/>
                                    <w:sz w:val="20"/>
                                    <w:szCs w:val="20"/>
                                    <w:u w:val="none"/>
                                  </w:rPr>
                                  <w:t>Sprejemna pisarna</w:t>
                                </w:r>
                              </w:hyperlink>
                            </w:p>
                            <w:p w14:paraId="4CF98DA4" w14:textId="77777777" w:rsidR="0051033E" w:rsidRPr="001D2742" w:rsidRDefault="0051033E" w:rsidP="0051033E">
                              <w:pPr>
                                <w:rPr>
                                  <w:rFonts w:ascii="Arial" w:hAnsi="Arial" w:cs="Arial"/>
                                  <w:sz w:val="20"/>
                                  <w:szCs w:val="20"/>
                                </w:rPr>
                              </w:pPr>
                              <w:hyperlink r:id="rId21" w:history="1">
                                <w:r w:rsidRPr="001D2742">
                                  <w:rPr>
                                    <w:rStyle w:val="Hiperpovezava"/>
                                    <w:rFonts w:ascii="Arial" w:eastAsiaTheme="majorEastAsia" w:hAnsi="Arial" w:cs="Arial"/>
                                    <w:color w:val="auto"/>
                                    <w:sz w:val="20"/>
                                    <w:szCs w:val="20"/>
                                    <w:u w:val="none"/>
                                  </w:rPr>
                                  <w:t>Urbanizem</w:t>
                                </w:r>
                              </w:hyperlink>
                            </w:p>
                            <w:p w14:paraId="1CBBA598" w14:textId="77777777" w:rsidR="0051033E" w:rsidRPr="001D2742" w:rsidRDefault="0051033E" w:rsidP="0051033E">
                              <w:pPr>
                                <w:rPr>
                                  <w:rFonts w:ascii="Arial" w:hAnsi="Arial" w:cs="Arial"/>
                                  <w:sz w:val="20"/>
                                  <w:szCs w:val="20"/>
                                </w:rPr>
                              </w:pPr>
                              <w:hyperlink r:id="rId22" w:history="1">
                                <w:r w:rsidRPr="001D2742">
                                  <w:rPr>
                                    <w:rStyle w:val="Hiperpovezava"/>
                                    <w:rFonts w:ascii="Arial" w:eastAsiaTheme="majorEastAsia" w:hAnsi="Arial" w:cs="Arial"/>
                                    <w:color w:val="auto"/>
                                    <w:sz w:val="20"/>
                                    <w:szCs w:val="20"/>
                                    <w:u w:val="none"/>
                                  </w:rPr>
                                  <w:t>Turizem</w:t>
                                </w:r>
                              </w:hyperlink>
                            </w:p>
                            <w:p w14:paraId="65CC89F7" w14:textId="77777777" w:rsidR="0051033E" w:rsidRPr="001D2742" w:rsidRDefault="0051033E" w:rsidP="0051033E">
                              <w:pPr>
                                <w:rPr>
                                  <w:rFonts w:ascii="Arial" w:hAnsi="Arial" w:cs="Arial"/>
                                  <w:sz w:val="20"/>
                                  <w:szCs w:val="20"/>
                                </w:rPr>
                              </w:pPr>
                              <w:hyperlink r:id="rId23" w:history="1">
                                <w:r w:rsidRPr="001D2742">
                                  <w:rPr>
                                    <w:rStyle w:val="Hiperpovezava"/>
                                    <w:rFonts w:ascii="Arial" w:eastAsiaTheme="majorEastAsia" w:hAnsi="Arial" w:cs="Arial"/>
                                    <w:color w:val="auto"/>
                                    <w:sz w:val="20"/>
                                    <w:szCs w:val="20"/>
                                    <w:u w:val="none"/>
                                  </w:rPr>
                                  <w:t>Komunala</w:t>
                                </w:r>
                              </w:hyperlink>
                            </w:p>
                            <w:p w14:paraId="72D5A916" w14:textId="77777777" w:rsidR="0051033E" w:rsidRPr="001D2742" w:rsidRDefault="0051033E" w:rsidP="0051033E">
                              <w:pPr>
                                <w:rPr>
                                  <w:rFonts w:ascii="Arial" w:hAnsi="Arial" w:cs="Arial"/>
                                  <w:sz w:val="20"/>
                                  <w:szCs w:val="20"/>
                                </w:rPr>
                              </w:pPr>
                              <w:hyperlink r:id="rId24" w:history="1">
                                <w:r w:rsidRPr="001D2742">
                                  <w:rPr>
                                    <w:rStyle w:val="Hiperpovezava"/>
                                    <w:rFonts w:ascii="Arial" w:eastAsiaTheme="majorEastAsia" w:hAnsi="Arial" w:cs="Arial"/>
                                    <w:color w:val="auto"/>
                                    <w:sz w:val="20"/>
                                    <w:szCs w:val="20"/>
                                    <w:u w:val="none"/>
                                  </w:rPr>
                                  <w:t>Finančno računovodstvo</w:t>
                                </w:r>
                              </w:hyperlink>
                            </w:p>
                            <w:p w14:paraId="09C4A177" w14:textId="77777777" w:rsidR="0051033E" w:rsidRPr="001D2742" w:rsidRDefault="0051033E" w:rsidP="0051033E">
                              <w:pPr>
                                <w:rPr>
                                  <w:rFonts w:ascii="Arial" w:hAnsi="Arial" w:cs="Arial"/>
                                  <w:sz w:val="20"/>
                                  <w:szCs w:val="20"/>
                                </w:rPr>
                              </w:pPr>
                              <w:hyperlink r:id="rId25" w:history="1">
                                <w:r w:rsidRPr="001D2742">
                                  <w:rPr>
                                    <w:rStyle w:val="Hiperpovezava"/>
                                    <w:rFonts w:ascii="Arial" w:eastAsiaTheme="majorEastAsia" w:hAnsi="Arial" w:cs="Arial"/>
                                    <w:color w:val="auto"/>
                                    <w:sz w:val="20"/>
                                    <w:szCs w:val="20"/>
                                    <w:u w:val="none"/>
                                  </w:rPr>
                                  <w:t>Družbene dejavnosti</w:t>
                                </w:r>
                              </w:hyperlink>
                            </w:p>
                            <w:p w14:paraId="5772F811" w14:textId="77777777" w:rsidR="0051033E" w:rsidRPr="001D2742" w:rsidRDefault="0051033E" w:rsidP="0051033E">
                              <w:pPr>
                                <w:rPr>
                                  <w:rFonts w:ascii="Arial" w:hAnsi="Arial" w:cs="Arial"/>
                                  <w:sz w:val="20"/>
                                  <w:szCs w:val="20"/>
                                </w:rPr>
                              </w:pPr>
                              <w:hyperlink r:id="rId26" w:history="1">
                                <w:r w:rsidRPr="001D2742">
                                  <w:rPr>
                                    <w:rStyle w:val="Hiperpovezava"/>
                                    <w:rFonts w:ascii="Arial" w:eastAsiaTheme="majorEastAsia" w:hAnsi="Arial" w:cs="Arial"/>
                                    <w:color w:val="auto"/>
                                    <w:sz w:val="20"/>
                                    <w:szCs w:val="20"/>
                                    <w:u w:val="none"/>
                                  </w:rPr>
                                  <w:t>Gospodarske in splošne dejavnosti</w:t>
                                </w:r>
                              </w:hyperlink>
                            </w:p>
                            <w:p w14:paraId="70A399F6" w14:textId="77777777" w:rsidR="0051033E" w:rsidRPr="001D2742" w:rsidRDefault="0051033E" w:rsidP="0051033E">
                              <w:pPr>
                                <w:rPr>
                                  <w:rFonts w:ascii="Arial" w:hAnsi="Arial" w:cs="Arial"/>
                                  <w:sz w:val="20"/>
                                  <w:szCs w:val="20"/>
                                </w:rPr>
                              </w:pPr>
                              <w:hyperlink r:id="rId27" w:history="1">
                                <w:r w:rsidRPr="001D2742">
                                  <w:rPr>
                                    <w:rStyle w:val="Hiperpovezava"/>
                                    <w:rFonts w:ascii="Arial" w:eastAsiaTheme="majorEastAsia" w:hAnsi="Arial" w:cs="Arial"/>
                                    <w:color w:val="auto"/>
                                    <w:sz w:val="20"/>
                                    <w:szCs w:val="20"/>
                                    <w:u w:val="none"/>
                                  </w:rPr>
                                  <w:t>Kmetijstvo</w:t>
                                </w:r>
                              </w:hyperlink>
                            </w:p>
                            <w:p w14:paraId="4F5660E3" w14:textId="77777777" w:rsidR="0051033E" w:rsidRPr="001D2742" w:rsidRDefault="0051033E" w:rsidP="0051033E">
                              <w:pPr>
                                <w:rPr>
                                  <w:rFonts w:ascii="Arial" w:hAnsi="Arial" w:cs="Arial"/>
                                  <w:sz w:val="20"/>
                                  <w:szCs w:val="20"/>
                                </w:rPr>
                              </w:pPr>
                              <w:hyperlink r:id="rId28" w:history="1">
                                <w:r w:rsidRPr="001D2742">
                                  <w:rPr>
                                    <w:rStyle w:val="Hiperpovezava"/>
                                    <w:rFonts w:ascii="Arial" w:eastAsiaTheme="majorEastAsia" w:hAnsi="Arial" w:cs="Arial"/>
                                    <w:color w:val="auto"/>
                                    <w:sz w:val="20"/>
                                    <w:szCs w:val="20"/>
                                    <w:u w:val="none"/>
                                  </w:rPr>
                                  <w:t>Požarna varnost in zaščita</w:t>
                                </w:r>
                              </w:hyperlink>
                            </w:p>
                            <w:p w14:paraId="3FCFBB4F" w14:textId="77777777" w:rsidR="0051033E" w:rsidRPr="001D2742" w:rsidRDefault="0051033E" w:rsidP="0051033E">
                              <w:pPr>
                                <w:rPr>
                                  <w:rFonts w:ascii="Arial" w:hAnsi="Arial" w:cs="Arial"/>
                                  <w:sz w:val="20"/>
                                  <w:szCs w:val="20"/>
                                </w:rPr>
                              </w:pPr>
                              <w:hyperlink r:id="rId29" w:history="1">
                                <w:r w:rsidRPr="001D2742">
                                  <w:rPr>
                                    <w:rStyle w:val="Hiperpovezava"/>
                                    <w:rFonts w:ascii="Arial" w:eastAsiaTheme="majorEastAsia" w:hAnsi="Arial" w:cs="Arial"/>
                                    <w:color w:val="auto"/>
                                    <w:sz w:val="20"/>
                                    <w:szCs w:val="20"/>
                                    <w:u w:val="none"/>
                                  </w:rPr>
                                  <w:t>Režijski obrat</w:t>
                                </w:r>
                              </w:hyperlink>
                            </w:p>
                          </w:txbxContent>
                        </wps:txbx>
                        <wps:bodyPr rot="0" vert="horz" wrap="square" lIns="91440" tIns="45720" rIns="91440" bIns="45720" anchor="t" anchorCtr="0" upright="1">
                          <a:noAutofit/>
                        </wps:bodyPr>
                      </wps:wsp>
                    </wpc:wpc>
                  </a:graphicData>
                </a:graphic>
              </wp:inline>
            </w:drawing>
          </mc:Choice>
          <mc:Fallback>
            <w:pict>
              <v:group w14:anchorId="49C53DEE" id="Canvas 7" o:spid="_x0000_s1035" editas="canvas" style="width:393.1pt;height:374.2pt;mso-position-horizontal-relative:char;mso-position-vertical-relative:line" coordsize="49923,47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width:49923;height:47523;visibility:visible;mso-wrap-style:square">
                  <v:fill o:detectmouseclick="t"/>
                  <v:path o:connecttype="none"/>
                </v:shape>
                <v:rect id="Rectangle 5" o:spid="_x0000_s1037" style="position:absolute;left:4205;top:359;width:114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">
                  <v:textbox>
                    <w:txbxContent>
                      <w:p w14:paraId="67915D66" w14:textId="77777777" w:rsidR="0051033E" w:rsidRPr="001D2742" w:rsidRDefault="0051033E" w:rsidP="0051033E">
                        <w:pPr>
                          <w:rPr>
                            <w:rFonts w:ascii="Arial" w:hAnsi="Arial" w:cs="Arial"/>
                            <w:sz w:val="20"/>
                            <w:szCs w:val="20"/>
                          </w:rPr>
                        </w:pPr>
                        <w:hyperlink r:id="rId34" w:history="1">
                          <w:r w:rsidRPr="001D2742">
                            <w:rPr>
                              <w:rStyle w:val="Hyperlink"/>
                              <w:rFonts w:ascii="Arial" w:eastAsiaTheme="majorEastAsia" w:hAnsi="Arial" w:cs="Arial"/>
                              <w:color w:val="auto"/>
                              <w:sz w:val="20"/>
                              <w:szCs w:val="20"/>
                              <w:u w:val="none"/>
                            </w:rPr>
                            <w:t>Občinski  svet</w:t>
                          </w:r>
                        </w:hyperlink>
                        <w:r w:rsidRPr="001D2742">
                          <w:rPr>
                            <w:rFonts w:ascii="Arial" w:hAnsi="Arial" w:cs="Arial"/>
                            <w:sz w:val="20"/>
                            <w:szCs w:val="20"/>
                          </w:rPr>
                          <w:t xml:space="preserve"> </w:t>
                        </w:r>
                      </w:p>
                    </w:txbxContent>
                  </v:textbox>
                </v:rect>
                <v:rect id="Rectangle 6" o:spid="_x0000_s1038" style="position:absolute;left:22493;top:359;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">
                  <v:textbox>
                    <w:txbxContent>
                      <w:p w14:paraId="4EB8F1E3" w14:textId="77777777" w:rsidR="0051033E" w:rsidRPr="00492856" w:rsidRDefault="0051033E" w:rsidP="0051033E">
                        <w:pPr>
                          <w:rPr>
                            <w:rFonts w:ascii="Arial" w:hAnsi="Arial" w:cs="Arial"/>
                          </w:rPr>
                        </w:pPr>
                        <w:r w:rsidRPr="00492856">
                          <w:rPr>
                            <w:rFonts w:ascii="Arial" w:hAnsi="Arial" w:cs="Arial"/>
                          </w:rPr>
                          <w:t xml:space="preserve">OBČINA    </w:t>
                        </w:r>
                      </w:p>
                      <w:p w14:paraId="28247785" w14:textId="77777777" w:rsidR="0051033E" w:rsidRPr="00492856" w:rsidRDefault="0051033E" w:rsidP="0051033E">
                        <w:pPr>
                          <w:rPr>
                            <w:rFonts w:ascii="Arial" w:hAnsi="Arial" w:cs="Arial"/>
                          </w:rPr>
                        </w:pPr>
                        <w:r w:rsidRPr="00492856">
                          <w:rPr>
                            <w:rFonts w:ascii="Arial" w:hAnsi="Arial" w:cs="Arial"/>
                          </w:rPr>
                          <w:t xml:space="preserve">     IG</w:t>
                        </w:r>
                      </w:p>
                      <w:p w14:paraId="1A09EBEE" w14:textId="77777777" w:rsidR="0051033E" w:rsidRDefault="0051033E" w:rsidP="0051033E"/>
                    </w:txbxContent>
                  </v:textbox>
                </v:rect>
                <v:rect id="Rectangle 7" o:spid="_x0000_s1039" style="position:absolute;left:40781;top:359;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">
                  <v:textbox>
                    <w:txbxContent>
                      <w:p w14:paraId="09ACCF4C" w14:textId="77777777" w:rsidR="0051033E" w:rsidRPr="00492856" w:rsidRDefault="0051033E" w:rsidP="0051033E">
                        <w:pPr>
                          <w:rPr>
                            <w:rFonts w:ascii="Arial" w:hAnsi="Arial" w:cs="Arial"/>
                            <w:sz w:val="20"/>
                            <w:szCs w:val="20"/>
                          </w:rPr>
                        </w:pPr>
                        <w:r w:rsidRPr="00492856">
                          <w:rPr>
                            <w:rFonts w:ascii="Arial" w:hAnsi="Arial" w:cs="Arial"/>
                            <w:sz w:val="20"/>
                            <w:szCs w:val="20"/>
                          </w:rPr>
                          <w:t xml:space="preserve">Nadzorni </w:t>
                        </w:r>
                        <w:r>
                          <w:rPr>
                            <w:rFonts w:ascii="Arial" w:hAnsi="Arial" w:cs="Arial"/>
                            <w:sz w:val="20"/>
                            <w:szCs w:val="20"/>
                          </w:rPr>
                          <w:t xml:space="preserve">    </w:t>
                        </w:r>
                        <w:r w:rsidRPr="00492856">
                          <w:rPr>
                            <w:rFonts w:ascii="Arial" w:hAnsi="Arial" w:cs="Arial"/>
                            <w:sz w:val="20"/>
                            <w:szCs w:val="20"/>
                          </w:rPr>
                          <w:t>odbor</w:t>
                        </w:r>
                      </w:p>
                    </w:txbxContent>
                  </v:textbox>
                </v:rect>
                <v:line id="Line 8" o:spid="_x0000_s1040" style="position:absolute;visibility:visible;mso-wrap-style:square" from="15635,2645" to="22493,2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">
                  <v:stroke endarrow="block"/>
                </v:line>
                <v:rect id="Rectangle 9" o:spid="_x0000_s1041" style="position:absolute;left:22493;top:8360;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">
                  <v:textbox>
                    <w:txbxContent>
                      <w:p w14:paraId="26656C87" w14:textId="77777777" w:rsidR="0051033E" w:rsidRPr="001D2742" w:rsidRDefault="0051033E" w:rsidP="0051033E">
                        <w:pPr>
                          <w:rPr>
                            <w:rFonts w:ascii="Arial" w:hAnsi="Arial" w:cs="Arial"/>
                            <w:sz w:val="20"/>
                            <w:szCs w:val="20"/>
                          </w:rPr>
                        </w:pPr>
                        <w:r w:rsidRPr="001D2742">
                          <w:rPr>
                            <w:rFonts w:ascii="Arial" w:hAnsi="Arial" w:cs="Arial"/>
                            <w:sz w:val="20"/>
                            <w:szCs w:val="20"/>
                          </w:rPr>
                          <w:t xml:space="preserve">  </w:t>
                        </w:r>
                        <w:hyperlink r:id="rId35" w:history="1">
                          <w:r w:rsidRPr="001D2742">
                            <w:rPr>
                              <w:rStyle w:val="Hyperlink"/>
                              <w:rFonts w:ascii="Arial" w:eastAsiaTheme="majorEastAsia" w:hAnsi="Arial" w:cs="Arial"/>
                              <w:color w:val="auto"/>
                              <w:sz w:val="20"/>
                              <w:szCs w:val="20"/>
                            </w:rPr>
                            <w:t xml:space="preserve"> ŽUPAN</w:t>
                          </w:r>
                        </w:hyperlink>
                      </w:p>
                    </w:txbxContent>
                  </v:textbox>
                </v:rect>
                <v:rect id="Rectangle 10" o:spid="_x0000_s1042" style="position:absolute;left:5348;top:8360;width:914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">
                  <v:textbox>
                    <w:txbxContent>
                      <w:p w14:paraId="744D3C09" w14:textId="77777777" w:rsidR="0051033E" w:rsidRPr="001D2742" w:rsidRDefault="0051033E" w:rsidP="0051033E">
                        <w:pPr>
                          <w:rPr>
                            <w:rFonts w:ascii="Arial" w:hAnsi="Arial" w:cs="Arial"/>
                            <w:sz w:val="20"/>
                            <w:szCs w:val="20"/>
                            <w:u w:val="single"/>
                          </w:rPr>
                        </w:pPr>
                        <w:r w:rsidRPr="001D2742">
                          <w:rPr>
                            <w:rFonts w:ascii="Arial" w:hAnsi="Arial" w:cs="Arial"/>
                            <w:sz w:val="20"/>
                            <w:szCs w:val="20"/>
                            <w:u w:val="single"/>
                          </w:rPr>
                          <w:t xml:space="preserve">  </w:t>
                        </w:r>
                        <w:hyperlink r:id="rId36" w:history="1">
                          <w:r w:rsidRPr="001D2742">
                            <w:rPr>
                              <w:rStyle w:val="Hyperlink"/>
                              <w:rFonts w:ascii="Arial" w:eastAsiaTheme="majorEastAsia" w:hAnsi="Arial" w:cs="Arial"/>
                              <w:color w:val="auto"/>
                              <w:sz w:val="20"/>
                              <w:szCs w:val="20"/>
                            </w:rPr>
                            <w:t>Podžupani</w:t>
                          </w:r>
                        </w:hyperlink>
                      </w:p>
                    </w:txbxContent>
                  </v:textbox>
                </v:rect>
                <v:rect id="Rectangle 11" o:spid="_x0000_s1043" style="position:absolute;left:22493;top:14075;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">
                  <v:textbox>
                    <w:txbxContent>
                      <w:p w14:paraId="2AC0619A" w14:textId="77777777" w:rsidR="0051033E" w:rsidRDefault="0051033E" w:rsidP="0051033E">
                        <w:r>
                          <w:rPr>
                            <w:rFonts w:ascii="Arial" w:hAnsi="Arial" w:cs="Arial"/>
                            <w:sz w:val="20"/>
                            <w:szCs w:val="20"/>
                          </w:rPr>
                          <w:t>OBČINSKA UPRAVA</w:t>
                        </w:r>
                      </w:p>
                    </w:txbxContent>
                  </v:textbox>
                </v:rect>
                <v:rect id="Rectangle 12" o:spid="_x0000_s1044" style="position:absolute;left:21350;top:22076;width:1257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">
                  <v:textbox>
                    <w:txbxContent>
                      <w:p w14:paraId="41B66DB8" w14:textId="77777777" w:rsidR="0051033E" w:rsidRPr="001D2742" w:rsidRDefault="0051033E" w:rsidP="0051033E">
                        <w:pPr>
                          <w:rPr>
                            <w:rStyle w:val="Hyperlink"/>
                            <w:rFonts w:ascii="Arial" w:eastAsiaTheme="majorEastAsia" w:hAnsi="Arial" w:cs="Arial"/>
                            <w:color w:val="auto"/>
                            <w:sz w:val="20"/>
                            <w:szCs w:val="20"/>
                            <w:u w:val="none"/>
                          </w:rPr>
                        </w:pPr>
                        <w:r w:rsidRPr="001D2742">
                          <w:rPr>
                            <w:rFonts w:ascii="Arial" w:hAnsi="Arial" w:cs="Arial"/>
                            <w:sz w:val="20"/>
                            <w:szCs w:val="20"/>
                          </w:rPr>
                          <w:t xml:space="preserve">      </w:t>
                        </w:r>
                        <w:r w:rsidRPr="001D2742">
                          <w:rPr>
                            <w:rFonts w:ascii="Arial" w:hAnsi="Arial" w:cs="Arial"/>
                            <w:sz w:val="20"/>
                            <w:szCs w:val="20"/>
                          </w:rPr>
                          <w:fldChar w:fldCharType="begin"/>
                        </w:r>
                        <w:r w:rsidRPr="001D2742">
                          <w:rPr>
                            <w:rFonts w:ascii="Arial" w:hAnsi="Arial" w:cs="Arial"/>
                            <w:sz w:val="20"/>
                            <w:szCs w:val="20"/>
                          </w:rPr>
                          <w:instrText>HYPERLINK "http://www.obcina-ig.si/index.php?option=com_content&amp;view=article&amp;id=50&amp;Itemid=84&amp;lang=sl"</w:instrText>
                        </w:r>
                        <w:r w:rsidRPr="001D2742">
                          <w:rPr>
                            <w:rFonts w:ascii="Arial" w:hAnsi="Arial" w:cs="Arial"/>
                            <w:sz w:val="20"/>
                            <w:szCs w:val="20"/>
                          </w:rPr>
                        </w:r>
                        <w:r w:rsidRPr="001D2742">
                          <w:rPr>
                            <w:rFonts w:ascii="Arial" w:hAnsi="Arial" w:cs="Arial"/>
                            <w:sz w:val="20"/>
                            <w:szCs w:val="20"/>
                          </w:rPr>
                          <w:fldChar w:fldCharType="separate"/>
                        </w:r>
                        <w:r w:rsidRPr="001D2742">
                          <w:rPr>
                            <w:rStyle w:val="Hyperlink"/>
                            <w:rFonts w:ascii="Arial" w:eastAsiaTheme="majorEastAsia" w:hAnsi="Arial" w:cs="Arial"/>
                            <w:color w:val="auto"/>
                            <w:sz w:val="20"/>
                            <w:szCs w:val="20"/>
                            <w:u w:val="none"/>
                          </w:rPr>
                          <w:t xml:space="preserve">Direktor </w:t>
                        </w:r>
                      </w:p>
                      <w:p w14:paraId="0E9C168C" w14:textId="77777777" w:rsidR="0051033E" w:rsidRPr="001D2742" w:rsidRDefault="0051033E" w:rsidP="0051033E">
                        <w:pPr>
                          <w:rPr>
                            <w:rFonts w:ascii="Arial" w:hAnsi="Arial" w:cs="Arial"/>
                            <w:sz w:val="20"/>
                            <w:szCs w:val="20"/>
                          </w:rPr>
                        </w:pPr>
                        <w:r w:rsidRPr="001D2742">
                          <w:rPr>
                            <w:rStyle w:val="Hyperlink"/>
                            <w:rFonts w:ascii="Arial" w:eastAsiaTheme="majorEastAsia" w:hAnsi="Arial" w:cs="Arial"/>
                            <w:color w:val="auto"/>
                            <w:sz w:val="20"/>
                            <w:szCs w:val="20"/>
                            <w:u w:val="none"/>
                          </w:rPr>
                          <w:t>Občinske uprave</w:t>
                        </w:r>
                        <w:r w:rsidRPr="001D2742">
                          <w:rPr>
                            <w:rFonts w:ascii="Arial" w:hAnsi="Arial" w:cs="Arial"/>
                            <w:sz w:val="20"/>
                            <w:szCs w:val="20"/>
                          </w:rPr>
                          <w:fldChar w:fldCharType="end"/>
                        </w:r>
                      </w:p>
                    </w:txbxContent>
                  </v:textbox>
                </v:rect>
                <v:line id="Line 13" o:spid="_x0000_s1045" style="position:absolute;flip:x;visibility:visible;mso-wrap-style:square" from="31637,2645" to="40781,2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">
                  <v:stroke endarrow="block"/>
                </v:line>
                <v:line id="Line 14" o:spid="_x0000_s1046" style="position:absolute;visibility:visible;mso-wrap-style:square" from="27065,4931" to="27065,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">
                  <v:stroke endarrow="block"/>
                </v:line>
                <v:line id="Line 15" o:spid="_x0000_s1047" style="position:absolute;flip:x;visibility:visible;mso-wrap-style:square" from="14492,9503" to="22493,9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">
                  <v:stroke endarrow="block"/>
                </v:line>
                <v:line id="Line 16" o:spid="_x0000_s1048" style="position:absolute;visibility:visible;mso-wrap-style:square" from="27065,10646" to="27065,14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">
                  <v:stroke endarrow="block"/>
                </v:line>
                <v:line id="Line 17" o:spid="_x0000_s1049" style="position:absolute;visibility:visible;mso-wrap-style:square" from="27065,18647" to="27065,22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">
                  <v:stroke endarrow="block"/>
                </v:line>
                <v:line id="Line 18" o:spid="_x0000_s1050" style="position:absolute;visibility:visible;mso-wrap-style:square" from="27065,26648" to="27065,30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">
                  <v:stroke endarrow="block"/>
                </v:line>
                <v:rect id="Rectangle 19" o:spid="_x0000_s1051" style="position:absolute;left:17444;top:30265;width:21717;height:17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">
                  <v:textbox>
                    <w:txbxContent>
                      <w:p w14:paraId="12FB47AE" w14:textId="77777777" w:rsidR="0051033E" w:rsidRPr="001D2742" w:rsidRDefault="0051033E" w:rsidP="0051033E">
                        <w:pPr>
                          <w:rPr>
                            <w:rFonts w:ascii="Arial" w:hAnsi="Arial" w:cs="Arial"/>
                            <w:sz w:val="20"/>
                            <w:szCs w:val="20"/>
                          </w:rPr>
                        </w:pPr>
                        <w:hyperlink r:id="rId37" w:history="1">
                          <w:r w:rsidRPr="001D2742">
                            <w:rPr>
                              <w:rStyle w:val="Hyperlink"/>
                              <w:rFonts w:ascii="Arial" w:eastAsiaTheme="majorEastAsia" w:hAnsi="Arial" w:cs="Arial"/>
                              <w:color w:val="auto"/>
                              <w:sz w:val="20"/>
                              <w:szCs w:val="20"/>
                              <w:u w:val="none"/>
                            </w:rPr>
                            <w:t>Sprejemna pisarna</w:t>
                          </w:r>
                        </w:hyperlink>
                      </w:p>
                      <w:p w14:paraId="4CF98DA4" w14:textId="77777777" w:rsidR="0051033E" w:rsidRPr="001D2742" w:rsidRDefault="0051033E" w:rsidP="0051033E">
                        <w:pPr>
                          <w:rPr>
                            <w:rFonts w:ascii="Arial" w:hAnsi="Arial" w:cs="Arial"/>
                            <w:sz w:val="20"/>
                            <w:szCs w:val="20"/>
                          </w:rPr>
                        </w:pPr>
                        <w:hyperlink r:id="rId38" w:history="1">
                          <w:r w:rsidRPr="001D2742">
                            <w:rPr>
                              <w:rStyle w:val="Hyperlink"/>
                              <w:rFonts w:ascii="Arial" w:eastAsiaTheme="majorEastAsia" w:hAnsi="Arial" w:cs="Arial"/>
                              <w:color w:val="auto"/>
                              <w:sz w:val="20"/>
                              <w:szCs w:val="20"/>
                              <w:u w:val="none"/>
                            </w:rPr>
                            <w:t>Urbanizem</w:t>
                          </w:r>
                        </w:hyperlink>
                      </w:p>
                      <w:p w14:paraId="1CBBA598" w14:textId="77777777" w:rsidR="0051033E" w:rsidRPr="001D2742" w:rsidRDefault="0051033E" w:rsidP="0051033E">
                        <w:pPr>
                          <w:rPr>
                            <w:rFonts w:ascii="Arial" w:hAnsi="Arial" w:cs="Arial"/>
                            <w:sz w:val="20"/>
                            <w:szCs w:val="20"/>
                          </w:rPr>
                        </w:pPr>
                        <w:hyperlink r:id="rId39" w:history="1">
                          <w:r w:rsidRPr="001D2742">
                            <w:rPr>
                              <w:rStyle w:val="Hyperlink"/>
                              <w:rFonts w:ascii="Arial" w:eastAsiaTheme="majorEastAsia" w:hAnsi="Arial" w:cs="Arial"/>
                              <w:color w:val="auto"/>
                              <w:sz w:val="20"/>
                              <w:szCs w:val="20"/>
                              <w:u w:val="none"/>
                            </w:rPr>
                            <w:t>Turizem</w:t>
                          </w:r>
                        </w:hyperlink>
                      </w:p>
                      <w:p w14:paraId="65CC89F7" w14:textId="77777777" w:rsidR="0051033E" w:rsidRPr="001D2742" w:rsidRDefault="0051033E" w:rsidP="0051033E">
                        <w:pPr>
                          <w:rPr>
                            <w:rFonts w:ascii="Arial" w:hAnsi="Arial" w:cs="Arial"/>
                            <w:sz w:val="20"/>
                            <w:szCs w:val="20"/>
                          </w:rPr>
                        </w:pPr>
                        <w:hyperlink r:id="rId40" w:history="1">
                          <w:r w:rsidRPr="001D2742">
                            <w:rPr>
                              <w:rStyle w:val="Hyperlink"/>
                              <w:rFonts w:ascii="Arial" w:eastAsiaTheme="majorEastAsia" w:hAnsi="Arial" w:cs="Arial"/>
                              <w:color w:val="auto"/>
                              <w:sz w:val="20"/>
                              <w:szCs w:val="20"/>
                              <w:u w:val="none"/>
                            </w:rPr>
                            <w:t>Komunala</w:t>
                          </w:r>
                        </w:hyperlink>
                      </w:p>
                      <w:p w14:paraId="72D5A916" w14:textId="77777777" w:rsidR="0051033E" w:rsidRPr="001D2742" w:rsidRDefault="0051033E" w:rsidP="0051033E">
                        <w:pPr>
                          <w:rPr>
                            <w:rFonts w:ascii="Arial" w:hAnsi="Arial" w:cs="Arial"/>
                            <w:sz w:val="20"/>
                            <w:szCs w:val="20"/>
                          </w:rPr>
                        </w:pPr>
                        <w:hyperlink r:id="rId41" w:history="1">
                          <w:r w:rsidRPr="001D2742">
                            <w:rPr>
                              <w:rStyle w:val="Hyperlink"/>
                              <w:rFonts w:ascii="Arial" w:eastAsiaTheme="majorEastAsia" w:hAnsi="Arial" w:cs="Arial"/>
                              <w:color w:val="auto"/>
                              <w:sz w:val="20"/>
                              <w:szCs w:val="20"/>
                              <w:u w:val="none"/>
                            </w:rPr>
                            <w:t>Finančno računovodstvo</w:t>
                          </w:r>
                        </w:hyperlink>
                      </w:p>
                      <w:p w14:paraId="09C4A177" w14:textId="77777777" w:rsidR="0051033E" w:rsidRPr="001D2742" w:rsidRDefault="0051033E" w:rsidP="0051033E">
                        <w:pPr>
                          <w:rPr>
                            <w:rFonts w:ascii="Arial" w:hAnsi="Arial" w:cs="Arial"/>
                            <w:sz w:val="20"/>
                            <w:szCs w:val="20"/>
                          </w:rPr>
                        </w:pPr>
                        <w:hyperlink r:id="rId42" w:history="1">
                          <w:r w:rsidRPr="001D2742">
                            <w:rPr>
                              <w:rStyle w:val="Hyperlink"/>
                              <w:rFonts w:ascii="Arial" w:eastAsiaTheme="majorEastAsia" w:hAnsi="Arial" w:cs="Arial"/>
                              <w:color w:val="auto"/>
                              <w:sz w:val="20"/>
                              <w:szCs w:val="20"/>
                              <w:u w:val="none"/>
                            </w:rPr>
                            <w:t>Družbene dejavnosti</w:t>
                          </w:r>
                        </w:hyperlink>
                      </w:p>
                      <w:p w14:paraId="5772F811" w14:textId="77777777" w:rsidR="0051033E" w:rsidRPr="001D2742" w:rsidRDefault="0051033E" w:rsidP="0051033E">
                        <w:pPr>
                          <w:rPr>
                            <w:rFonts w:ascii="Arial" w:hAnsi="Arial" w:cs="Arial"/>
                            <w:sz w:val="20"/>
                            <w:szCs w:val="20"/>
                          </w:rPr>
                        </w:pPr>
                        <w:hyperlink r:id="rId43" w:history="1">
                          <w:r w:rsidRPr="001D2742">
                            <w:rPr>
                              <w:rStyle w:val="Hyperlink"/>
                              <w:rFonts w:ascii="Arial" w:eastAsiaTheme="majorEastAsia" w:hAnsi="Arial" w:cs="Arial"/>
                              <w:color w:val="auto"/>
                              <w:sz w:val="20"/>
                              <w:szCs w:val="20"/>
                              <w:u w:val="none"/>
                            </w:rPr>
                            <w:t>Gospodarske in splošne dejavnosti</w:t>
                          </w:r>
                        </w:hyperlink>
                      </w:p>
                      <w:p w14:paraId="70A399F6" w14:textId="77777777" w:rsidR="0051033E" w:rsidRPr="001D2742" w:rsidRDefault="0051033E" w:rsidP="0051033E">
                        <w:pPr>
                          <w:rPr>
                            <w:rFonts w:ascii="Arial" w:hAnsi="Arial" w:cs="Arial"/>
                            <w:sz w:val="20"/>
                            <w:szCs w:val="20"/>
                          </w:rPr>
                        </w:pPr>
                        <w:hyperlink r:id="rId44" w:history="1">
                          <w:r w:rsidRPr="001D2742">
                            <w:rPr>
                              <w:rStyle w:val="Hyperlink"/>
                              <w:rFonts w:ascii="Arial" w:eastAsiaTheme="majorEastAsia" w:hAnsi="Arial" w:cs="Arial"/>
                              <w:color w:val="auto"/>
                              <w:sz w:val="20"/>
                              <w:szCs w:val="20"/>
                              <w:u w:val="none"/>
                            </w:rPr>
                            <w:t>Kmetijstvo</w:t>
                          </w:r>
                        </w:hyperlink>
                      </w:p>
                      <w:p w14:paraId="4F5660E3" w14:textId="77777777" w:rsidR="0051033E" w:rsidRPr="001D2742" w:rsidRDefault="0051033E" w:rsidP="0051033E">
                        <w:pPr>
                          <w:rPr>
                            <w:rFonts w:ascii="Arial" w:hAnsi="Arial" w:cs="Arial"/>
                            <w:sz w:val="20"/>
                            <w:szCs w:val="20"/>
                          </w:rPr>
                        </w:pPr>
                        <w:hyperlink r:id="rId45" w:history="1">
                          <w:r w:rsidRPr="001D2742">
                            <w:rPr>
                              <w:rStyle w:val="Hyperlink"/>
                              <w:rFonts w:ascii="Arial" w:eastAsiaTheme="majorEastAsia" w:hAnsi="Arial" w:cs="Arial"/>
                              <w:color w:val="auto"/>
                              <w:sz w:val="20"/>
                              <w:szCs w:val="20"/>
                              <w:u w:val="none"/>
                            </w:rPr>
                            <w:t>Požarna varnost in zaščita</w:t>
                          </w:r>
                        </w:hyperlink>
                      </w:p>
                      <w:p w14:paraId="3FCFBB4F" w14:textId="77777777" w:rsidR="0051033E" w:rsidRPr="001D2742" w:rsidRDefault="0051033E" w:rsidP="0051033E">
                        <w:pPr>
                          <w:rPr>
                            <w:rFonts w:ascii="Arial" w:hAnsi="Arial" w:cs="Arial"/>
                            <w:sz w:val="20"/>
                            <w:szCs w:val="20"/>
                          </w:rPr>
                        </w:pPr>
                        <w:hyperlink r:id="rId46" w:history="1">
                          <w:r w:rsidRPr="001D2742">
                            <w:rPr>
                              <w:rStyle w:val="Hyperlink"/>
                              <w:rFonts w:ascii="Arial" w:eastAsiaTheme="majorEastAsia" w:hAnsi="Arial" w:cs="Arial"/>
                              <w:color w:val="auto"/>
                              <w:sz w:val="20"/>
                              <w:szCs w:val="20"/>
                              <w:u w:val="none"/>
                            </w:rPr>
                            <w:t>Režijski obrat</w:t>
                          </w:r>
                        </w:hyperlink>
                      </w:p>
                    </w:txbxContent>
                  </v:textbox>
                </v:rect>
                <w10:anchorlock/>
              </v:group>
            </w:pict>
          </mc:Fallback>
        </mc:AlternateContent>
      </w:r>
    </w:p>
    <w:p w14:paraId="1C41D6E2" w14:textId="3E93CD4F" w:rsidR="0051033E" w:rsidRPr="00EA1002" w:rsidRDefault="0051033E" w:rsidP="0051033E">
      <w:pPr>
        <w:spacing w:line="276" w:lineRule="auto"/>
        <w:jc w:val="both"/>
        <w:rPr>
          <w:rFonts w:asciiTheme="majorHAnsi" w:hAnsiTheme="majorHAnsi" w:cstheme="majorHAnsi"/>
          <w:sz w:val="22"/>
          <w:szCs w:val="22"/>
        </w:rPr>
      </w:pPr>
      <w:r w:rsidRPr="00EA1002">
        <w:rPr>
          <w:rFonts w:asciiTheme="majorHAnsi" w:hAnsiTheme="majorHAnsi" w:cstheme="majorHAnsi"/>
          <w:sz w:val="22"/>
          <w:szCs w:val="22"/>
        </w:rPr>
        <w:t xml:space="preserve">Vir: </w:t>
      </w:r>
      <w:hyperlink r:id="rId47" w:history="1">
        <w:r w:rsidRPr="00EA1002">
          <w:rPr>
            <w:rStyle w:val="Hiperpovezava"/>
            <w:rFonts w:asciiTheme="majorHAnsi" w:hAnsiTheme="majorHAnsi" w:cstheme="majorHAnsi"/>
            <w:sz w:val="22"/>
            <w:szCs w:val="22"/>
          </w:rPr>
          <w:t>https://www.obcina-ig.si/obcina/katalog-informacij-javnega-znacaja/</w:t>
        </w:r>
      </w:hyperlink>
    </w:p>
    <w:p w14:paraId="050D6D92" w14:textId="60EDBEDF" w:rsidR="0051033E" w:rsidRPr="0093659F" w:rsidRDefault="0051033E" w:rsidP="0051033E">
      <w:pPr>
        <w:spacing w:after="120" w:line="276" w:lineRule="auto"/>
        <w:jc w:val="both"/>
        <w:rPr>
          <w:rFonts w:ascii="Arial" w:hAnsi="Arial" w:cs="Arial"/>
          <w:sz w:val="22"/>
          <w:szCs w:val="22"/>
        </w:rPr>
      </w:pPr>
      <w:bookmarkStart w:id="48" w:name="_Hlk207624790"/>
      <w:r w:rsidRPr="0093659F">
        <w:rPr>
          <w:rFonts w:ascii="Arial" w:hAnsi="Arial" w:cs="Arial"/>
          <w:sz w:val="22"/>
          <w:szCs w:val="22"/>
        </w:rPr>
        <w:t xml:space="preserve"> </w:t>
      </w:r>
    </w:p>
    <w:p w14:paraId="1372D8A8" w14:textId="77777777" w:rsidR="006B2762" w:rsidRPr="00F11127" w:rsidRDefault="006B276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49" w:name="_Toc210033763"/>
      <w:bookmarkEnd w:id="45"/>
      <w:bookmarkEnd w:id="46"/>
      <w:bookmarkEnd w:id="48"/>
      <w:r w:rsidRPr="00F11127">
        <w:rPr>
          <w:rFonts w:asciiTheme="majorHAnsi" w:eastAsiaTheme="majorEastAsia" w:hAnsiTheme="majorHAnsi" w:cstheme="majorHAnsi"/>
          <w:color w:val="244061" w:themeColor="accent1" w:themeShade="80"/>
        </w:rPr>
        <w:t>Predstavitev izdelovalca investicijskega programa</w:t>
      </w:r>
      <w:bookmarkEnd w:id="49"/>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0A0" w:firstRow="1" w:lastRow="0" w:firstColumn="1" w:lastColumn="0" w:noHBand="0" w:noVBand="0"/>
      </w:tblPr>
      <w:tblGrid>
        <w:gridCol w:w="3833"/>
        <w:gridCol w:w="5476"/>
      </w:tblGrid>
      <w:tr w:rsidR="0084546F" w:rsidRPr="00F11127" w14:paraId="7A4359EB" w14:textId="77777777" w:rsidTr="0084546F">
        <w:tc>
          <w:tcPr>
            <w:tcW w:w="2059" w:type="pct"/>
            <w:shd w:val="clear" w:color="auto" w:fill="DBE5F1"/>
            <w:vAlign w:val="center"/>
          </w:tcPr>
          <w:p w14:paraId="021EEA30"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NAZIV</w:t>
            </w:r>
          </w:p>
        </w:tc>
        <w:tc>
          <w:tcPr>
            <w:tcW w:w="2941" w:type="pct"/>
          </w:tcPr>
          <w:p w14:paraId="770AF419"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proofErr w:type="spellStart"/>
            <w:r w:rsidRPr="00F11127">
              <w:rPr>
                <w:rFonts w:asciiTheme="majorHAnsi" w:eastAsia="Arial Unicode MS" w:hAnsiTheme="majorHAnsi" w:cstheme="majorHAnsi"/>
                <w:color w:val="000000"/>
                <w:sz w:val="22"/>
                <w:szCs w:val="22"/>
                <w:lang w:eastAsia="en-US"/>
              </w:rPr>
              <w:t>ProSVET</w:t>
            </w:r>
            <w:proofErr w:type="spellEnd"/>
            <w:r w:rsidRPr="00F11127">
              <w:rPr>
                <w:rFonts w:asciiTheme="majorHAnsi" w:eastAsia="Arial Unicode MS" w:hAnsiTheme="majorHAnsi" w:cstheme="majorHAnsi"/>
                <w:color w:val="000000"/>
                <w:sz w:val="22"/>
                <w:szCs w:val="22"/>
                <w:lang w:eastAsia="en-US"/>
              </w:rPr>
              <w:t xml:space="preserve">, Martina Magajna </w:t>
            </w:r>
            <w:proofErr w:type="spellStart"/>
            <w:r w:rsidRPr="00F11127">
              <w:rPr>
                <w:rFonts w:asciiTheme="majorHAnsi" w:eastAsia="Arial Unicode MS" w:hAnsiTheme="majorHAnsi" w:cstheme="majorHAnsi"/>
                <w:color w:val="000000"/>
                <w:sz w:val="22"/>
                <w:szCs w:val="22"/>
                <w:lang w:eastAsia="en-US"/>
              </w:rPr>
              <w:t>s.p</w:t>
            </w:r>
            <w:proofErr w:type="spellEnd"/>
            <w:r w:rsidRPr="00F11127">
              <w:rPr>
                <w:rFonts w:asciiTheme="majorHAnsi" w:eastAsia="Arial Unicode MS" w:hAnsiTheme="majorHAnsi" w:cstheme="majorHAnsi"/>
                <w:color w:val="000000"/>
                <w:sz w:val="22"/>
                <w:szCs w:val="22"/>
                <w:lang w:eastAsia="en-US"/>
              </w:rPr>
              <w:t>.</w:t>
            </w:r>
          </w:p>
        </w:tc>
      </w:tr>
      <w:tr w:rsidR="0084546F" w:rsidRPr="00F11127" w14:paraId="30B150E0" w14:textId="77777777" w:rsidTr="0084546F">
        <w:tc>
          <w:tcPr>
            <w:tcW w:w="2059" w:type="pct"/>
            <w:shd w:val="clear" w:color="auto" w:fill="DBE5F1"/>
            <w:vAlign w:val="center"/>
          </w:tcPr>
          <w:p w14:paraId="04DD8070"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NASLOV</w:t>
            </w:r>
          </w:p>
        </w:tc>
        <w:tc>
          <w:tcPr>
            <w:tcW w:w="2941" w:type="pct"/>
          </w:tcPr>
          <w:p w14:paraId="40950A1A"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Dilce 40, 6230 Postojna</w:t>
            </w:r>
          </w:p>
        </w:tc>
      </w:tr>
      <w:tr w:rsidR="0084546F" w:rsidRPr="00F11127" w14:paraId="26878D9F" w14:textId="77777777" w:rsidTr="0084546F">
        <w:tc>
          <w:tcPr>
            <w:tcW w:w="2059" w:type="pct"/>
            <w:shd w:val="clear" w:color="auto" w:fill="DBE5F1"/>
            <w:vAlign w:val="center"/>
          </w:tcPr>
          <w:p w14:paraId="1D787B84"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MATIČNA ŠTEVILKA</w:t>
            </w:r>
          </w:p>
        </w:tc>
        <w:tc>
          <w:tcPr>
            <w:tcW w:w="2941" w:type="pct"/>
          </w:tcPr>
          <w:p w14:paraId="32273E23"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6679889000</w:t>
            </w:r>
          </w:p>
        </w:tc>
      </w:tr>
      <w:tr w:rsidR="0084546F" w:rsidRPr="00F11127" w14:paraId="785D768C" w14:textId="77777777" w:rsidTr="0084546F">
        <w:tc>
          <w:tcPr>
            <w:tcW w:w="2059" w:type="pct"/>
            <w:shd w:val="clear" w:color="auto" w:fill="DBE5F1"/>
            <w:vAlign w:val="center"/>
          </w:tcPr>
          <w:p w14:paraId="3950DC7C"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DAVČNA ŠTEVILKA</w:t>
            </w:r>
          </w:p>
        </w:tc>
        <w:tc>
          <w:tcPr>
            <w:tcW w:w="2941" w:type="pct"/>
          </w:tcPr>
          <w:p w14:paraId="6E276513"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SI 23051094</w:t>
            </w:r>
          </w:p>
        </w:tc>
      </w:tr>
      <w:tr w:rsidR="0084546F" w:rsidRPr="00F11127" w14:paraId="5BE8F4DB" w14:textId="77777777" w:rsidTr="0084546F">
        <w:tc>
          <w:tcPr>
            <w:tcW w:w="2059" w:type="pct"/>
            <w:shd w:val="clear" w:color="auto" w:fill="DBE5F1"/>
            <w:vAlign w:val="center"/>
          </w:tcPr>
          <w:p w14:paraId="3499C163"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ŠIFRA DEJAVNOSTI</w:t>
            </w:r>
          </w:p>
        </w:tc>
        <w:tc>
          <w:tcPr>
            <w:tcW w:w="2941" w:type="pct"/>
          </w:tcPr>
          <w:p w14:paraId="099CB56E"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70.220 (Dr. podjetniško in poslovno svetovanje)</w:t>
            </w:r>
          </w:p>
        </w:tc>
      </w:tr>
      <w:tr w:rsidR="0084546F" w:rsidRPr="00F11127" w14:paraId="4C77E9C0" w14:textId="77777777" w:rsidTr="0084546F">
        <w:tc>
          <w:tcPr>
            <w:tcW w:w="2059" w:type="pct"/>
            <w:shd w:val="clear" w:color="auto" w:fill="DBE5F1"/>
            <w:vAlign w:val="center"/>
          </w:tcPr>
          <w:p w14:paraId="130662BB"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POSLOVNA BANKA</w:t>
            </w:r>
          </w:p>
        </w:tc>
        <w:tc>
          <w:tcPr>
            <w:tcW w:w="2941" w:type="pct"/>
          </w:tcPr>
          <w:p w14:paraId="77066C5B"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 xml:space="preserve">Banka </w:t>
            </w:r>
            <w:proofErr w:type="spellStart"/>
            <w:r w:rsidRPr="00F11127">
              <w:rPr>
                <w:rFonts w:asciiTheme="majorHAnsi" w:eastAsia="Arial Unicode MS" w:hAnsiTheme="majorHAnsi" w:cstheme="majorHAnsi"/>
                <w:color w:val="000000"/>
                <w:sz w:val="22"/>
                <w:szCs w:val="22"/>
                <w:lang w:eastAsia="en-US"/>
              </w:rPr>
              <w:t>Intesa</w:t>
            </w:r>
            <w:proofErr w:type="spellEnd"/>
            <w:r w:rsidRPr="00F11127">
              <w:rPr>
                <w:rFonts w:asciiTheme="majorHAnsi" w:eastAsia="Arial Unicode MS" w:hAnsiTheme="majorHAnsi" w:cstheme="majorHAnsi"/>
                <w:color w:val="000000"/>
                <w:sz w:val="22"/>
                <w:szCs w:val="22"/>
                <w:lang w:eastAsia="en-US"/>
              </w:rPr>
              <w:t xml:space="preserve"> </w:t>
            </w:r>
            <w:proofErr w:type="spellStart"/>
            <w:r w:rsidRPr="00F11127">
              <w:rPr>
                <w:rFonts w:asciiTheme="majorHAnsi" w:eastAsia="Arial Unicode MS" w:hAnsiTheme="majorHAnsi" w:cstheme="majorHAnsi"/>
                <w:color w:val="000000"/>
                <w:sz w:val="22"/>
                <w:szCs w:val="22"/>
                <w:lang w:eastAsia="en-US"/>
              </w:rPr>
              <w:t>Sanpaolo</w:t>
            </w:r>
            <w:proofErr w:type="spellEnd"/>
            <w:r w:rsidRPr="00F11127">
              <w:rPr>
                <w:rFonts w:asciiTheme="majorHAnsi" w:eastAsia="Arial Unicode MS" w:hAnsiTheme="majorHAnsi" w:cstheme="majorHAnsi"/>
                <w:color w:val="000000"/>
                <w:sz w:val="22"/>
                <w:szCs w:val="22"/>
                <w:lang w:eastAsia="en-US"/>
              </w:rPr>
              <w:t xml:space="preserve"> </w:t>
            </w:r>
            <w:proofErr w:type="spellStart"/>
            <w:r w:rsidRPr="00F11127">
              <w:rPr>
                <w:rFonts w:asciiTheme="majorHAnsi" w:eastAsia="Arial Unicode MS" w:hAnsiTheme="majorHAnsi" w:cstheme="majorHAnsi"/>
                <w:color w:val="000000"/>
                <w:sz w:val="22"/>
                <w:szCs w:val="22"/>
                <w:lang w:eastAsia="en-US"/>
              </w:rPr>
              <w:t>d.d</w:t>
            </w:r>
            <w:proofErr w:type="spellEnd"/>
            <w:r w:rsidRPr="00F11127">
              <w:rPr>
                <w:rFonts w:asciiTheme="majorHAnsi" w:eastAsia="Arial Unicode MS" w:hAnsiTheme="majorHAnsi" w:cstheme="majorHAnsi"/>
                <w:color w:val="000000"/>
                <w:sz w:val="22"/>
                <w:szCs w:val="22"/>
                <w:lang w:eastAsia="en-US"/>
              </w:rPr>
              <w:t>.</w:t>
            </w:r>
          </w:p>
        </w:tc>
      </w:tr>
      <w:tr w:rsidR="0084546F" w:rsidRPr="00F11127" w14:paraId="5F2C362F" w14:textId="77777777" w:rsidTr="0084546F">
        <w:tc>
          <w:tcPr>
            <w:tcW w:w="2059" w:type="pct"/>
            <w:shd w:val="clear" w:color="auto" w:fill="DBE5F1"/>
            <w:vAlign w:val="center"/>
          </w:tcPr>
          <w:p w14:paraId="2F4F4CFB"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ŠT. TRANSAKCIJSKEGA RAČUNA</w:t>
            </w:r>
          </w:p>
        </w:tc>
        <w:tc>
          <w:tcPr>
            <w:tcW w:w="2941" w:type="pct"/>
          </w:tcPr>
          <w:p w14:paraId="1049180C"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IBAN SI56 1010 0005 3587 257</w:t>
            </w:r>
          </w:p>
        </w:tc>
      </w:tr>
      <w:tr w:rsidR="0084546F" w:rsidRPr="00F11127" w14:paraId="027C9E53" w14:textId="77777777" w:rsidTr="0084546F">
        <w:tc>
          <w:tcPr>
            <w:tcW w:w="2059" w:type="pct"/>
            <w:shd w:val="clear" w:color="auto" w:fill="DBE5F1"/>
            <w:vAlign w:val="center"/>
          </w:tcPr>
          <w:p w14:paraId="3E27A142" w14:textId="77777777" w:rsidR="0084546F" w:rsidRPr="00F11127" w:rsidRDefault="0084546F" w:rsidP="00BD1D20">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ODGOVORNA OSEBA</w:t>
            </w:r>
          </w:p>
        </w:tc>
        <w:tc>
          <w:tcPr>
            <w:tcW w:w="2941" w:type="pct"/>
          </w:tcPr>
          <w:p w14:paraId="1162484E" w14:textId="77777777" w:rsidR="0084546F" w:rsidRPr="00F11127" w:rsidRDefault="0084546F" w:rsidP="00BD1D20">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11127">
              <w:rPr>
                <w:rFonts w:asciiTheme="majorHAnsi" w:eastAsia="Arial Unicode MS" w:hAnsiTheme="majorHAnsi" w:cstheme="majorHAnsi"/>
                <w:color w:val="000000"/>
                <w:sz w:val="22"/>
                <w:szCs w:val="22"/>
                <w:lang w:eastAsia="en-US"/>
              </w:rPr>
              <w:t xml:space="preserve">Martina Magajna </w:t>
            </w:r>
          </w:p>
        </w:tc>
      </w:tr>
    </w:tbl>
    <w:p w14:paraId="0592ED1A" w14:textId="77777777" w:rsidR="00EA2A02" w:rsidRPr="00F11127" w:rsidRDefault="00EA2A02" w:rsidP="00BD1D20">
      <w:pPr>
        <w:autoSpaceDE w:val="0"/>
        <w:autoSpaceDN w:val="0"/>
        <w:adjustRightInd w:val="0"/>
        <w:spacing w:line="276" w:lineRule="auto"/>
        <w:jc w:val="both"/>
        <w:rPr>
          <w:rFonts w:asciiTheme="majorHAnsi" w:hAnsiTheme="majorHAnsi" w:cstheme="majorHAnsi"/>
          <w:sz w:val="22"/>
          <w:szCs w:val="22"/>
        </w:rPr>
      </w:pPr>
    </w:p>
    <w:p w14:paraId="0F6B5C73" w14:textId="1FDFD54D" w:rsidR="00DA1AC5" w:rsidRPr="00F11127" w:rsidRDefault="00DA1AC5" w:rsidP="00BD1D20">
      <w:pPr>
        <w:autoSpaceDE w:val="0"/>
        <w:autoSpaceDN w:val="0"/>
        <w:adjustRightInd w:val="0"/>
        <w:spacing w:after="20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Izdelovalec predmetnega investicijskega </w:t>
      </w:r>
      <w:r w:rsidR="003406BD">
        <w:rPr>
          <w:rFonts w:asciiTheme="majorHAnsi" w:hAnsiTheme="majorHAnsi" w:cstheme="majorHAnsi"/>
          <w:sz w:val="22"/>
          <w:szCs w:val="22"/>
        </w:rPr>
        <w:t>programa</w:t>
      </w:r>
      <w:r w:rsidRPr="00F11127">
        <w:rPr>
          <w:rFonts w:asciiTheme="majorHAnsi" w:hAnsiTheme="majorHAnsi" w:cstheme="majorHAnsi"/>
          <w:sz w:val="22"/>
          <w:szCs w:val="22"/>
        </w:rPr>
        <w:t xml:space="preserve"> je podjetje </w:t>
      </w:r>
      <w:proofErr w:type="spellStart"/>
      <w:r w:rsidRPr="00F11127">
        <w:rPr>
          <w:rFonts w:asciiTheme="majorHAnsi" w:hAnsiTheme="majorHAnsi" w:cstheme="majorHAnsi"/>
          <w:sz w:val="22"/>
          <w:szCs w:val="22"/>
        </w:rPr>
        <w:t>ProSVET</w:t>
      </w:r>
      <w:proofErr w:type="spellEnd"/>
      <w:r w:rsidRPr="00F11127">
        <w:rPr>
          <w:rFonts w:asciiTheme="majorHAnsi" w:hAnsiTheme="majorHAnsi" w:cstheme="majorHAnsi"/>
          <w:sz w:val="22"/>
          <w:szCs w:val="22"/>
        </w:rPr>
        <w:t xml:space="preserve">, Martina Magajna </w:t>
      </w:r>
      <w:proofErr w:type="spellStart"/>
      <w:r w:rsidRPr="00F11127">
        <w:rPr>
          <w:rFonts w:asciiTheme="majorHAnsi" w:hAnsiTheme="majorHAnsi" w:cstheme="majorHAnsi"/>
          <w:sz w:val="22"/>
          <w:szCs w:val="22"/>
        </w:rPr>
        <w:t>s.p</w:t>
      </w:r>
      <w:proofErr w:type="spellEnd"/>
      <w:r w:rsidRPr="00F11127">
        <w:rPr>
          <w:rFonts w:asciiTheme="majorHAnsi" w:hAnsiTheme="majorHAnsi" w:cstheme="majorHAnsi"/>
          <w:sz w:val="22"/>
          <w:szCs w:val="22"/>
        </w:rPr>
        <w:t>., ki se ukvarja s pripravo investicijske dokumentacije in strokovnim svetovanjem za javne in zasebne naročnike na področju infrastrukturnih, turističnih, kulturnih in razvojnih projektov.</w:t>
      </w:r>
    </w:p>
    <w:p w14:paraId="24C65FFA" w14:textId="4E619EE3" w:rsidR="00DA1AC5" w:rsidRPr="00F11127" w:rsidRDefault="00571B73" w:rsidP="00BD1D20">
      <w:pPr>
        <w:autoSpaceDE w:val="0"/>
        <w:autoSpaceDN w:val="0"/>
        <w:adjustRightInd w:val="0"/>
        <w:spacing w:line="276" w:lineRule="auto"/>
        <w:jc w:val="both"/>
        <w:rPr>
          <w:rFonts w:asciiTheme="majorHAnsi" w:hAnsiTheme="majorHAnsi" w:cstheme="majorHAnsi"/>
          <w:sz w:val="22"/>
          <w:szCs w:val="22"/>
        </w:rPr>
      </w:pPr>
      <w:r>
        <w:rPr>
          <w:rFonts w:asciiTheme="majorHAnsi" w:hAnsiTheme="majorHAnsi" w:cstheme="majorHAnsi"/>
          <w:sz w:val="22"/>
          <w:szCs w:val="22"/>
        </w:rPr>
        <w:t>Podjetje ima bogate izkušnje z</w:t>
      </w:r>
      <w:r w:rsidR="00DA1AC5" w:rsidRPr="00F11127">
        <w:rPr>
          <w:rFonts w:asciiTheme="majorHAnsi" w:hAnsiTheme="majorHAnsi" w:cstheme="majorHAnsi"/>
          <w:sz w:val="22"/>
          <w:szCs w:val="22"/>
        </w:rPr>
        <w:t>:</w:t>
      </w:r>
    </w:p>
    <w:p w14:paraId="695CB623" w14:textId="77777777" w:rsidR="00DA1AC5" w:rsidRPr="00F11127" w:rsidRDefault="00DA1AC5" w:rsidP="00BD1D20">
      <w:pPr>
        <w:numPr>
          <w:ilvl w:val="0"/>
          <w:numId w:val="31"/>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lastRenderedPageBreak/>
        <w:t>pripravo investicijskih programov (IP) in dokumentov identifikacije investicijskih projektov (DIIP),</w:t>
      </w:r>
    </w:p>
    <w:p w14:paraId="24C43F06" w14:textId="77777777" w:rsidR="00DA1AC5" w:rsidRPr="00F11127" w:rsidRDefault="00DA1AC5" w:rsidP="00BD1D20">
      <w:pPr>
        <w:numPr>
          <w:ilvl w:val="0"/>
          <w:numId w:val="31"/>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izdelavo analiz stroškov in koristi (CBA) za pridobivanje evropskih sredstev,</w:t>
      </w:r>
    </w:p>
    <w:p w14:paraId="17B288A6" w14:textId="77777777" w:rsidR="00DA1AC5" w:rsidRPr="00F11127" w:rsidRDefault="00DA1AC5" w:rsidP="00BD1D20">
      <w:pPr>
        <w:numPr>
          <w:ilvl w:val="0"/>
          <w:numId w:val="31"/>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svetovanjem pri postopkih javno-finančnega načrtovanja, razvojnega programiranja in usklajevanja projektov z EU politikami.</w:t>
      </w:r>
    </w:p>
    <w:p w14:paraId="15F1539D" w14:textId="77777777"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p>
    <w:p w14:paraId="3730F603" w14:textId="231FCC67"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Martina Magajna, ustanoviteljica podjetja, je strokovnjakinja z več kot desetletjem izkušenj na področju priprave razvojne dokumentacije. Sodelovala je pri številnih projektih, financiranih iz evropskih sredstev, zlasti v okviru:</w:t>
      </w:r>
    </w:p>
    <w:p w14:paraId="6C5AA349" w14:textId="77777777" w:rsidR="00DA1AC5" w:rsidRPr="00F11127" w:rsidRDefault="00DA1AC5" w:rsidP="00BD1D20">
      <w:pPr>
        <w:numPr>
          <w:ilvl w:val="0"/>
          <w:numId w:val="32"/>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Evropskega sklada za regionalni razvoj (ESRR),</w:t>
      </w:r>
    </w:p>
    <w:p w14:paraId="6C370B52" w14:textId="77777777" w:rsidR="00DA1AC5" w:rsidRPr="00F11127" w:rsidRDefault="00DA1AC5" w:rsidP="00BD1D20">
      <w:pPr>
        <w:numPr>
          <w:ilvl w:val="0"/>
          <w:numId w:val="32"/>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Kohezijskega sklada,</w:t>
      </w:r>
    </w:p>
    <w:p w14:paraId="16BA46E5" w14:textId="77777777" w:rsidR="00DA1AC5" w:rsidRPr="00F11127" w:rsidRDefault="00DA1AC5" w:rsidP="00BD1D20">
      <w:pPr>
        <w:numPr>
          <w:ilvl w:val="0"/>
          <w:numId w:val="32"/>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programov </w:t>
      </w:r>
      <w:proofErr w:type="spellStart"/>
      <w:r w:rsidRPr="00F11127">
        <w:rPr>
          <w:rFonts w:asciiTheme="majorHAnsi" w:hAnsiTheme="majorHAnsi" w:cstheme="majorHAnsi"/>
          <w:sz w:val="22"/>
          <w:szCs w:val="22"/>
        </w:rPr>
        <w:t>Interreg</w:t>
      </w:r>
      <w:proofErr w:type="spellEnd"/>
      <w:r w:rsidRPr="00F11127">
        <w:rPr>
          <w:rFonts w:asciiTheme="majorHAnsi" w:hAnsiTheme="majorHAnsi" w:cstheme="majorHAnsi"/>
          <w:sz w:val="22"/>
          <w:szCs w:val="22"/>
        </w:rPr>
        <w:t xml:space="preserve"> (čezmejno sodelovanje),</w:t>
      </w:r>
    </w:p>
    <w:p w14:paraId="033E8DA5" w14:textId="77777777" w:rsidR="00DA1AC5" w:rsidRPr="00F11127" w:rsidRDefault="00DA1AC5" w:rsidP="00BD1D20">
      <w:pPr>
        <w:numPr>
          <w:ilvl w:val="0"/>
          <w:numId w:val="32"/>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ter priprave projektov v okviru Načrta za okrevanje in odpornost (NOO).</w:t>
      </w:r>
    </w:p>
    <w:p w14:paraId="72A78A24" w14:textId="77777777"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p>
    <w:p w14:paraId="11CCAD3D" w14:textId="7011B707"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Pri tem je izvajala:</w:t>
      </w:r>
    </w:p>
    <w:p w14:paraId="741EBCC6" w14:textId="715A1648" w:rsidR="00DA1AC5" w:rsidRPr="00F11127" w:rsidRDefault="00DA1AC5" w:rsidP="00BD1D20">
      <w:pPr>
        <w:numPr>
          <w:ilvl w:val="0"/>
          <w:numId w:val="33"/>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pripravo celovitih CBA analiz</w:t>
      </w:r>
      <w:r w:rsidR="00F705B0">
        <w:rPr>
          <w:rFonts w:asciiTheme="majorHAnsi" w:hAnsiTheme="majorHAnsi" w:cstheme="majorHAnsi"/>
          <w:sz w:val="22"/>
          <w:szCs w:val="22"/>
        </w:rPr>
        <w:t>,</w:t>
      </w:r>
      <w:r w:rsidRPr="00F11127">
        <w:rPr>
          <w:rFonts w:asciiTheme="majorHAnsi" w:hAnsiTheme="majorHAnsi" w:cstheme="majorHAnsi"/>
          <w:sz w:val="22"/>
          <w:szCs w:val="22"/>
        </w:rPr>
        <w:t xml:space="preserve"> skladno z metodologijo Evropske komisije,</w:t>
      </w:r>
    </w:p>
    <w:p w14:paraId="5A3CF0F0" w14:textId="77777777" w:rsidR="00DA1AC5" w:rsidRPr="00F11127" w:rsidRDefault="00DA1AC5" w:rsidP="00BD1D20">
      <w:pPr>
        <w:numPr>
          <w:ilvl w:val="0"/>
          <w:numId w:val="33"/>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usklajevanje z organi upravljanja (ministrstva, posredniški organi),</w:t>
      </w:r>
    </w:p>
    <w:p w14:paraId="6EF40E83" w14:textId="77777777" w:rsidR="00DA1AC5" w:rsidRPr="00F11127" w:rsidRDefault="00DA1AC5" w:rsidP="00BD1D20">
      <w:pPr>
        <w:numPr>
          <w:ilvl w:val="0"/>
          <w:numId w:val="33"/>
        </w:num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in svetovanje pri oceni upravičenosti, trajnosti in dodatne vrednosti naložb.</w:t>
      </w:r>
    </w:p>
    <w:p w14:paraId="2E43B80D" w14:textId="2CE026E0"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p>
    <w:p w14:paraId="76F89C77" w14:textId="6BD7FE97" w:rsidR="00DA1AC5" w:rsidRPr="00F11127" w:rsidRDefault="00DA1AC5" w:rsidP="00BD1D20">
      <w:pPr>
        <w:autoSpaceDE w:val="0"/>
        <w:autoSpaceDN w:val="0"/>
        <w:adjustRightInd w:val="0"/>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Podjetje </w:t>
      </w:r>
      <w:proofErr w:type="spellStart"/>
      <w:r w:rsidRPr="00F11127">
        <w:rPr>
          <w:rFonts w:asciiTheme="majorHAnsi" w:hAnsiTheme="majorHAnsi" w:cstheme="majorHAnsi"/>
          <w:sz w:val="22"/>
          <w:szCs w:val="22"/>
        </w:rPr>
        <w:t>ProSVET</w:t>
      </w:r>
      <w:proofErr w:type="spellEnd"/>
      <w:r w:rsidRPr="00F11127">
        <w:rPr>
          <w:rFonts w:asciiTheme="majorHAnsi" w:hAnsiTheme="majorHAnsi" w:cstheme="majorHAnsi"/>
          <w:sz w:val="22"/>
          <w:szCs w:val="22"/>
        </w:rPr>
        <w:t xml:space="preserve">, Martina Magajna </w:t>
      </w:r>
      <w:proofErr w:type="spellStart"/>
      <w:r w:rsidRPr="00F11127">
        <w:rPr>
          <w:rFonts w:asciiTheme="majorHAnsi" w:hAnsiTheme="majorHAnsi" w:cstheme="majorHAnsi"/>
          <w:sz w:val="22"/>
          <w:szCs w:val="22"/>
        </w:rPr>
        <w:t>s.p</w:t>
      </w:r>
      <w:proofErr w:type="spellEnd"/>
      <w:r w:rsidRPr="00F11127">
        <w:rPr>
          <w:rFonts w:asciiTheme="majorHAnsi" w:hAnsiTheme="majorHAnsi" w:cstheme="majorHAnsi"/>
          <w:sz w:val="22"/>
          <w:szCs w:val="22"/>
        </w:rPr>
        <w:t>., združuje strokovno natančnost, poznavanje zakonodaje in praktične izkušnje z evropskimi projekti, kar omogoča pripravo celovitih, izvedljivih in razvojno usmerjenih investicijskih dokumentov.</w:t>
      </w:r>
    </w:p>
    <w:p w14:paraId="124D85B9" w14:textId="77777777" w:rsidR="006B2762" w:rsidRPr="00F11127" w:rsidRDefault="006B276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50" w:name="_Toc210033764"/>
      <w:r w:rsidRPr="00F11127">
        <w:rPr>
          <w:rFonts w:asciiTheme="majorHAnsi" w:eastAsiaTheme="majorEastAsia" w:hAnsiTheme="majorHAnsi" w:cstheme="majorHAnsi"/>
          <w:color w:val="244061" w:themeColor="accent1" w:themeShade="80"/>
        </w:rPr>
        <w:t>Namen in cilj investicijskega projekta</w:t>
      </w:r>
      <w:bookmarkEnd w:id="50"/>
    </w:p>
    <w:p w14:paraId="6B2DC90C" w14:textId="77777777" w:rsidR="004D6B17" w:rsidRDefault="004D6B17" w:rsidP="00BD1D20">
      <w:pPr>
        <w:spacing w:line="276" w:lineRule="auto"/>
        <w:jc w:val="both"/>
        <w:rPr>
          <w:rFonts w:ascii="Arial" w:hAnsi="Arial" w:cs="Arial"/>
          <w:bCs/>
          <w:sz w:val="22"/>
          <w:szCs w:val="22"/>
          <w:lang w:eastAsia="zh-TW"/>
        </w:rPr>
      </w:pPr>
    </w:p>
    <w:p w14:paraId="1053E1FF" w14:textId="77777777" w:rsidR="004D6B17" w:rsidRPr="00E97769" w:rsidRDefault="004D6B17" w:rsidP="004D6B17">
      <w:pPr>
        <w:spacing w:after="120" w:line="276" w:lineRule="auto"/>
        <w:jc w:val="both"/>
        <w:rPr>
          <w:rFonts w:ascii="Arial" w:hAnsi="Arial" w:cs="Arial"/>
          <w:bCs/>
          <w:sz w:val="22"/>
          <w:szCs w:val="22"/>
          <w:lang w:eastAsia="zh-TW"/>
        </w:rPr>
      </w:pPr>
      <w:r w:rsidRPr="00E97769">
        <w:rPr>
          <w:rFonts w:ascii="Arial" w:hAnsi="Arial" w:cs="Arial"/>
          <w:bCs/>
          <w:sz w:val="22"/>
          <w:szCs w:val="22"/>
          <w:lang w:eastAsia="zh-TW"/>
        </w:rPr>
        <w:t>Namen projekta je izboljšati pogoje za hojo, kolesarjenje in uporabo javnega potniškega prometa ter s tem zmanjšati odvisnost od osebnih vozil v središču Občine Ig. Z izvedbo ukrepov trajnostne mobilnosti se bo zagotovila varnejša in bolj vključujoča raba javnih površin, povečala prometna varnost ranljivih skupin (otroci, starejši, gibalno ovirani) ter zmanjšali negativni vplivi motornega prometa na okolje.</w:t>
      </w:r>
    </w:p>
    <w:p w14:paraId="7D11B306" w14:textId="77777777" w:rsidR="004D6B17" w:rsidRPr="00E97769" w:rsidRDefault="004D6B17" w:rsidP="004D6B17">
      <w:pPr>
        <w:spacing w:after="120" w:line="276" w:lineRule="auto"/>
        <w:jc w:val="both"/>
        <w:rPr>
          <w:rFonts w:ascii="Arial" w:hAnsi="Arial" w:cs="Arial"/>
          <w:bCs/>
          <w:sz w:val="22"/>
          <w:szCs w:val="22"/>
          <w:lang w:eastAsia="zh-TW"/>
        </w:rPr>
      </w:pPr>
      <w:r w:rsidRPr="00E97769">
        <w:rPr>
          <w:rFonts w:ascii="Arial" w:hAnsi="Arial" w:cs="Arial"/>
          <w:bCs/>
          <w:sz w:val="22"/>
          <w:szCs w:val="22"/>
          <w:lang w:eastAsia="zh-TW"/>
        </w:rPr>
        <w:t>Projekt neposredno zasleduje namen javnega razpisa JR EKP UTM 2025, ki je spodbujanje trajnostne mobilnosti, zmanjšanje emisij toplogrednih plinov, izboljšanje kakovosti zraka in bivanja ter razvoj zelene infrastrukture kot podpornega elementa trajnostnega prometa. S tem bo občina prispevala k uresničevanju nacionalnih in evropskih podnebno-</w:t>
      </w:r>
      <w:proofErr w:type="spellStart"/>
      <w:r w:rsidRPr="00E97769">
        <w:rPr>
          <w:rFonts w:ascii="Arial" w:hAnsi="Arial" w:cs="Arial"/>
          <w:bCs/>
          <w:sz w:val="22"/>
          <w:szCs w:val="22"/>
          <w:lang w:eastAsia="zh-TW"/>
        </w:rPr>
        <w:t>okoljskih</w:t>
      </w:r>
      <w:proofErr w:type="spellEnd"/>
      <w:r w:rsidRPr="00E97769">
        <w:rPr>
          <w:rFonts w:ascii="Arial" w:hAnsi="Arial" w:cs="Arial"/>
          <w:bCs/>
          <w:sz w:val="22"/>
          <w:szCs w:val="22"/>
          <w:lang w:eastAsia="zh-TW"/>
        </w:rPr>
        <w:t xml:space="preserve"> ciljev, hkrati pa zagotovila višjo kakovost življenja svojih prebivalcev in obiskovalcev.</w:t>
      </w:r>
    </w:p>
    <w:p w14:paraId="2B0DE0A5" w14:textId="77777777" w:rsidR="004D6B17" w:rsidRPr="00E97769" w:rsidRDefault="004D6B17" w:rsidP="004D6B17">
      <w:pPr>
        <w:spacing w:line="276" w:lineRule="auto"/>
        <w:jc w:val="both"/>
        <w:rPr>
          <w:rFonts w:ascii="Arial" w:hAnsi="Arial" w:cs="Arial"/>
          <w:sz w:val="22"/>
          <w:szCs w:val="22"/>
          <w:lang w:eastAsia="zh-TW"/>
        </w:rPr>
      </w:pPr>
      <w:r w:rsidRPr="00E97769">
        <w:rPr>
          <w:rFonts w:ascii="Arial" w:hAnsi="Arial" w:cs="Arial"/>
          <w:sz w:val="22"/>
          <w:szCs w:val="22"/>
          <w:lang w:eastAsia="zh-TW"/>
        </w:rPr>
        <w:t>Prav tako je namen z inovativnostjo zagotoviti površine v kraju z namenom:</w:t>
      </w:r>
    </w:p>
    <w:p w14:paraId="4E6FF055"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celovite preureditve središča Iga (Govekarjeva cesta) z vidika načel trajnostne mobilnosti,</w:t>
      </w:r>
    </w:p>
    <w:p w14:paraId="3763D747"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vzpostavitve skupnega prometnega prostora po sistemu »</w:t>
      </w:r>
      <w:proofErr w:type="spellStart"/>
      <w:r w:rsidRPr="00E97769">
        <w:rPr>
          <w:rFonts w:ascii="Arial" w:hAnsi="Arial" w:cs="Arial"/>
          <w:sz w:val="22"/>
          <w:szCs w:val="22"/>
          <w:lang w:eastAsia="zh-TW"/>
        </w:rPr>
        <w:t>space</w:t>
      </w:r>
      <w:proofErr w:type="spellEnd"/>
      <w:r w:rsidRPr="00E97769">
        <w:rPr>
          <w:rFonts w:ascii="Arial" w:hAnsi="Arial" w:cs="Arial"/>
          <w:sz w:val="22"/>
          <w:szCs w:val="22"/>
          <w:lang w:eastAsia="zh-TW"/>
        </w:rPr>
        <w:t xml:space="preserve"> </w:t>
      </w:r>
      <w:proofErr w:type="spellStart"/>
      <w:r w:rsidRPr="00E97769">
        <w:rPr>
          <w:rFonts w:ascii="Arial" w:hAnsi="Arial" w:cs="Arial"/>
          <w:sz w:val="22"/>
          <w:szCs w:val="22"/>
          <w:lang w:eastAsia="zh-TW"/>
        </w:rPr>
        <w:t>sharing</w:t>
      </w:r>
      <w:proofErr w:type="spellEnd"/>
      <w:r w:rsidRPr="00E97769">
        <w:rPr>
          <w:rFonts w:ascii="Arial" w:hAnsi="Arial" w:cs="Arial"/>
          <w:sz w:val="22"/>
          <w:szCs w:val="22"/>
          <w:lang w:eastAsia="zh-TW"/>
        </w:rPr>
        <w:t xml:space="preserve">«, </w:t>
      </w:r>
    </w:p>
    <w:p w14:paraId="0C4695F0"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ureditve namenskih površin za javni potniški promet (JPP),</w:t>
      </w:r>
    </w:p>
    <w:p w14:paraId="0AF2D52F"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ureditve infrastrukture za pešce,</w:t>
      </w:r>
    </w:p>
    <w:p w14:paraId="20E91A02"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ureditve infrastrukture za kolesarje,</w:t>
      </w:r>
    </w:p>
    <w:p w14:paraId="29977F77" w14:textId="77777777" w:rsidR="004D6B17" w:rsidRPr="00E97769" w:rsidRDefault="004D6B17" w:rsidP="004D6B17">
      <w:pPr>
        <w:numPr>
          <w:ilvl w:val="0"/>
          <w:numId w:val="111"/>
        </w:numPr>
        <w:spacing w:after="120" w:line="276" w:lineRule="auto"/>
        <w:jc w:val="both"/>
        <w:rPr>
          <w:rFonts w:ascii="Arial" w:hAnsi="Arial" w:cs="Arial"/>
          <w:sz w:val="22"/>
          <w:szCs w:val="22"/>
          <w:lang w:eastAsia="zh-TW"/>
        </w:rPr>
      </w:pPr>
      <w:r w:rsidRPr="00E97769">
        <w:rPr>
          <w:rFonts w:ascii="Arial" w:hAnsi="Arial" w:cs="Arial"/>
          <w:sz w:val="22"/>
          <w:szCs w:val="22"/>
          <w:lang w:eastAsia="zh-TW"/>
        </w:rPr>
        <w:t>povečanja prometne varnosti,</w:t>
      </w:r>
    </w:p>
    <w:p w14:paraId="3401CFAC" w14:textId="77777777" w:rsidR="004D6B17" w:rsidRPr="00E97769" w:rsidRDefault="004D6B17" w:rsidP="004D6B17">
      <w:pPr>
        <w:numPr>
          <w:ilvl w:val="0"/>
          <w:numId w:val="111"/>
        </w:numPr>
        <w:spacing w:line="276" w:lineRule="auto"/>
        <w:jc w:val="both"/>
        <w:rPr>
          <w:rFonts w:ascii="Arial" w:hAnsi="Arial" w:cs="Arial"/>
          <w:sz w:val="22"/>
          <w:szCs w:val="22"/>
          <w:lang w:eastAsia="zh-TW"/>
        </w:rPr>
      </w:pPr>
      <w:r w:rsidRPr="00E97769">
        <w:rPr>
          <w:rFonts w:ascii="Arial" w:hAnsi="Arial" w:cs="Arial"/>
          <w:sz w:val="22"/>
          <w:szCs w:val="22"/>
          <w:lang w:eastAsia="zh-TW"/>
        </w:rPr>
        <w:t>izboljšanja kakovosti zraka in vode, zmanjševanja učinkov toplotnih otokov, blaženja hrupa v urbanih naseljih in prispevek k biotski raznovrstnosti,</w:t>
      </w:r>
    </w:p>
    <w:p w14:paraId="4488D259" w14:textId="77777777" w:rsidR="004D6B17" w:rsidRPr="00E97769" w:rsidRDefault="004D6B17" w:rsidP="004D6B17">
      <w:pPr>
        <w:numPr>
          <w:ilvl w:val="0"/>
          <w:numId w:val="111"/>
        </w:numPr>
        <w:spacing w:after="120" w:line="276" w:lineRule="auto"/>
        <w:jc w:val="both"/>
        <w:rPr>
          <w:rFonts w:ascii="Arial" w:hAnsi="Arial" w:cs="Arial"/>
          <w:sz w:val="22"/>
          <w:szCs w:val="22"/>
          <w:lang w:eastAsia="zh-TW"/>
        </w:rPr>
      </w:pPr>
      <w:r w:rsidRPr="00E97769">
        <w:rPr>
          <w:rFonts w:ascii="Arial" w:hAnsi="Arial" w:cs="Arial"/>
          <w:sz w:val="22"/>
          <w:szCs w:val="22"/>
          <w:lang w:eastAsia="zh-TW"/>
        </w:rPr>
        <w:t>v sklopu vzporednega projekta pa tudi ureditev zelene infrastrukture.</w:t>
      </w:r>
    </w:p>
    <w:p w14:paraId="4FFA8A81" w14:textId="77777777" w:rsidR="004D6B17" w:rsidRPr="00E97769" w:rsidRDefault="004D6B17" w:rsidP="004D6B17">
      <w:pPr>
        <w:spacing w:after="120" w:line="276" w:lineRule="auto"/>
        <w:jc w:val="both"/>
        <w:rPr>
          <w:rFonts w:ascii="Arial" w:hAnsi="Arial" w:cs="Arial"/>
          <w:sz w:val="22"/>
          <w:szCs w:val="22"/>
          <w:lang w:eastAsia="zh-TW"/>
        </w:rPr>
      </w:pPr>
    </w:p>
    <w:p w14:paraId="59A05F76" w14:textId="77777777" w:rsidR="004D6B17" w:rsidRPr="00E97769" w:rsidRDefault="004D6B17" w:rsidP="004D6B17">
      <w:pPr>
        <w:spacing w:after="120" w:line="276" w:lineRule="auto"/>
        <w:jc w:val="both"/>
        <w:rPr>
          <w:rFonts w:ascii="Arial" w:hAnsi="Arial" w:cs="Arial"/>
          <w:sz w:val="22"/>
          <w:szCs w:val="22"/>
          <w:lang w:eastAsia="zh-TW"/>
        </w:rPr>
      </w:pPr>
      <w:r w:rsidRPr="00E97769">
        <w:rPr>
          <w:rFonts w:ascii="Arial" w:hAnsi="Arial" w:cs="Arial"/>
          <w:b/>
          <w:bCs/>
          <w:sz w:val="22"/>
          <w:szCs w:val="22"/>
          <w:lang w:eastAsia="zh-TW"/>
        </w:rPr>
        <w:lastRenderedPageBreak/>
        <w:t xml:space="preserve">Splošni cilj </w:t>
      </w:r>
      <w:r w:rsidRPr="00E97769">
        <w:rPr>
          <w:rFonts w:ascii="Arial" w:hAnsi="Arial" w:cs="Arial"/>
          <w:sz w:val="22"/>
          <w:szCs w:val="22"/>
          <w:lang w:eastAsia="zh-TW"/>
        </w:rPr>
        <w:t>projekta je prispevati k razvoju trajnostne mobilnosti v Občini Ig z zmanjšanjem obsega motoriziranega prometa in emisij toplogrednih plinov, izboljšanjem kakovosti zraka in bivanja ter zagotavljanjem varnega, vključujočega in privlačnega javnega prostora skladno z načeli trajnostnega razvoja.</w:t>
      </w:r>
    </w:p>
    <w:p w14:paraId="787B2195" w14:textId="77777777" w:rsidR="004D6B17" w:rsidRPr="00E97769" w:rsidRDefault="004D6B17" w:rsidP="004D6B17">
      <w:pPr>
        <w:spacing w:after="120" w:line="276" w:lineRule="auto"/>
        <w:jc w:val="both"/>
        <w:rPr>
          <w:rFonts w:ascii="Arial" w:hAnsi="Arial" w:cs="Arial"/>
          <w:b/>
          <w:bCs/>
          <w:sz w:val="22"/>
          <w:szCs w:val="22"/>
          <w:lang w:eastAsia="zh-TW"/>
        </w:rPr>
      </w:pPr>
      <w:r w:rsidRPr="00E97769">
        <w:rPr>
          <w:rFonts w:ascii="Arial" w:hAnsi="Arial" w:cs="Arial"/>
          <w:b/>
          <w:bCs/>
          <w:sz w:val="22"/>
          <w:szCs w:val="22"/>
          <w:lang w:eastAsia="zh-TW"/>
        </w:rPr>
        <w:t>Specifični cilji projekta so:</w:t>
      </w:r>
    </w:p>
    <w:p w14:paraId="26C44AAA" w14:textId="77777777" w:rsidR="004D6B17" w:rsidRPr="00E97769" w:rsidRDefault="004D6B17" w:rsidP="00F04175">
      <w:pPr>
        <w:numPr>
          <w:ilvl w:val="0"/>
          <w:numId w:val="218"/>
        </w:numPr>
        <w:tabs>
          <w:tab w:val="clear" w:pos="786"/>
        </w:tabs>
        <w:spacing w:line="276" w:lineRule="auto"/>
        <w:ind w:left="709"/>
        <w:jc w:val="both"/>
        <w:rPr>
          <w:rFonts w:ascii="Arial" w:hAnsi="Arial" w:cs="Arial"/>
          <w:sz w:val="22"/>
          <w:szCs w:val="22"/>
          <w:lang w:eastAsia="zh-TW"/>
        </w:rPr>
      </w:pPr>
      <w:r w:rsidRPr="00E97769">
        <w:rPr>
          <w:rFonts w:ascii="Arial" w:hAnsi="Arial" w:cs="Arial"/>
          <w:b/>
          <w:bCs/>
          <w:sz w:val="22"/>
          <w:szCs w:val="22"/>
          <w:lang w:eastAsia="zh-TW"/>
        </w:rPr>
        <w:t>Izboljšati pogoje za trajnostne oblike mobilnosti</w:t>
      </w:r>
    </w:p>
    <w:p w14:paraId="53712736" w14:textId="77777777" w:rsidR="004D6B17" w:rsidRPr="00E97769" w:rsidRDefault="004D6B17" w:rsidP="00F04175">
      <w:pPr>
        <w:numPr>
          <w:ilvl w:val="1"/>
          <w:numId w:val="218"/>
        </w:numPr>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vzpostaviti ustrezno infrastrukturo za pešce, kolesarje in uporabnike javnega potniškega prometa (skupni prometni prostori, kolesarska parkirišča, avtobusno postajališče).</w:t>
      </w:r>
    </w:p>
    <w:p w14:paraId="36FA1916" w14:textId="77777777" w:rsidR="004D6B17" w:rsidRPr="00E97769" w:rsidRDefault="004D6B17" w:rsidP="00F04175">
      <w:pPr>
        <w:numPr>
          <w:ilvl w:val="0"/>
          <w:numId w:val="218"/>
        </w:numPr>
        <w:spacing w:line="276" w:lineRule="auto"/>
        <w:ind w:left="714" w:hanging="357"/>
        <w:jc w:val="both"/>
        <w:rPr>
          <w:rFonts w:ascii="Arial" w:hAnsi="Arial" w:cs="Arial"/>
          <w:sz w:val="22"/>
          <w:szCs w:val="22"/>
          <w:lang w:eastAsia="zh-TW"/>
        </w:rPr>
      </w:pPr>
      <w:r w:rsidRPr="00E97769">
        <w:rPr>
          <w:rFonts w:ascii="Arial" w:hAnsi="Arial" w:cs="Arial"/>
          <w:b/>
          <w:bCs/>
          <w:sz w:val="22"/>
          <w:szCs w:val="22"/>
          <w:lang w:eastAsia="zh-TW"/>
        </w:rPr>
        <w:t>Zmanjšati negativne vplive motornega prometa</w:t>
      </w:r>
    </w:p>
    <w:p w14:paraId="33A12BFF" w14:textId="77777777" w:rsidR="004D6B17" w:rsidRPr="00E97769" w:rsidRDefault="004D6B17" w:rsidP="00F04175">
      <w:pPr>
        <w:numPr>
          <w:ilvl w:val="1"/>
          <w:numId w:val="218"/>
        </w:numPr>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umirjanje prometa z rekonstrukcijo cest, zožitvijo vozišč, uporabo merilca in dveh prikazovalnikov hitrosti in ukrepi »</w:t>
      </w:r>
      <w:proofErr w:type="spellStart"/>
      <w:r w:rsidRPr="00E97769">
        <w:rPr>
          <w:rFonts w:ascii="Arial" w:hAnsi="Arial" w:cs="Arial"/>
          <w:sz w:val="22"/>
          <w:szCs w:val="22"/>
          <w:lang w:eastAsia="zh-TW"/>
        </w:rPr>
        <w:t>space</w:t>
      </w:r>
      <w:proofErr w:type="spellEnd"/>
      <w:r w:rsidRPr="00E97769">
        <w:rPr>
          <w:rFonts w:ascii="Arial" w:hAnsi="Arial" w:cs="Arial"/>
          <w:sz w:val="22"/>
          <w:szCs w:val="22"/>
          <w:lang w:eastAsia="zh-TW"/>
        </w:rPr>
        <w:t xml:space="preserve"> </w:t>
      </w:r>
      <w:proofErr w:type="spellStart"/>
      <w:r w:rsidRPr="00E97769">
        <w:rPr>
          <w:rFonts w:ascii="Arial" w:hAnsi="Arial" w:cs="Arial"/>
          <w:sz w:val="22"/>
          <w:szCs w:val="22"/>
          <w:lang w:eastAsia="zh-TW"/>
        </w:rPr>
        <w:t>sharing</w:t>
      </w:r>
      <w:proofErr w:type="spellEnd"/>
      <w:r w:rsidRPr="00E97769">
        <w:rPr>
          <w:rFonts w:ascii="Arial" w:hAnsi="Arial" w:cs="Arial"/>
          <w:sz w:val="22"/>
          <w:szCs w:val="22"/>
          <w:lang w:eastAsia="zh-TW"/>
        </w:rPr>
        <w:t>«.</w:t>
      </w:r>
    </w:p>
    <w:p w14:paraId="4921A8A8" w14:textId="77777777" w:rsidR="004D6B17" w:rsidRPr="00E97769" w:rsidRDefault="004D6B17" w:rsidP="00F04175">
      <w:pPr>
        <w:numPr>
          <w:ilvl w:val="0"/>
          <w:numId w:val="218"/>
        </w:numPr>
        <w:spacing w:line="276" w:lineRule="auto"/>
        <w:ind w:left="714" w:hanging="357"/>
        <w:jc w:val="both"/>
        <w:rPr>
          <w:rFonts w:ascii="Arial" w:hAnsi="Arial" w:cs="Arial"/>
          <w:sz w:val="22"/>
          <w:szCs w:val="22"/>
          <w:lang w:eastAsia="zh-TW"/>
        </w:rPr>
      </w:pPr>
      <w:r w:rsidRPr="00E97769">
        <w:rPr>
          <w:rFonts w:ascii="Arial" w:hAnsi="Arial" w:cs="Arial"/>
          <w:b/>
          <w:bCs/>
          <w:sz w:val="22"/>
          <w:szCs w:val="22"/>
          <w:lang w:eastAsia="zh-TW"/>
        </w:rPr>
        <w:t>Povečati prometno varnost ranljivih skupin</w:t>
      </w:r>
    </w:p>
    <w:p w14:paraId="2B5018C3" w14:textId="77777777" w:rsidR="004D6B17" w:rsidRPr="00E97769" w:rsidRDefault="004D6B17" w:rsidP="00F04175">
      <w:pPr>
        <w:numPr>
          <w:ilvl w:val="1"/>
          <w:numId w:val="218"/>
        </w:numPr>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otroci, starejši, gibalno ovirani – z novimi prometnimi ureditvami, »</w:t>
      </w:r>
      <w:proofErr w:type="spellStart"/>
      <w:r w:rsidRPr="00E97769">
        <w:rPr>
          <w:rFonts w:ascii="Arial" w:hAnsi="Arial" w:cs="Arial"/>
          <w:sz w:val="22"/>
          <w:szCs w:val="22"/>
          <w:lang w:eastAsia="zh-TW"/>
        </w:rPr>
        <w:t>drop-off</w:t>
      </w:r>
      <w:proofErr w:type="spellEnd"/>
      <w:r w:rsidRPr="00E97769">
        <w:rPr>
          <w:rFonts w:ascii="Arial" w:hAnsi="Arial" w:cs="Arial"/>
          <w:sz w:val="22"/>
          <w:szCs w:val="22"/>
          <w:lang w:eastAsia="zh-TW"/>
        </w:rPr>
        <w:t>« cono pri OŠ, haptičnimi oznakami in razširjenimi pločniki.</w:t>
      </w:r>
    </w:p>
    <w:p w14:paraId="3AD2C19D" w14:textId="77777777" w:rsidR="004D6B17" w:rsidRPr="00E97769" w:rsidRDefault="004D6B17" w:rsidP="00F04175">
      <w:pPr>
        <w:numPr>
          <w:ilvl w:val="0"/>
          <w:numId w:val="218"/>
        </w:numPr>
        <w:spacing w:line="276" w:lineRule="auto"/>
        <w:ind w:left="714" w:hanging="357"/>
        <w:jc w:val="both"/>
        <w:rPr>
          <w:rFonts w:ascii="Arial" w:hAnsi="Arial" w:cs="Arial"/>
          <w:sz w:val="22"/>
          <w:szCs w:val="22"/>
          <w:lang w:eastAsia="zh-TW"/>
        </w:rPr>
      </w:pPr>
      <w:r w:rsidRPr="00E97769">
        <w:rPr>
          <w:rFonts w:ascii="Arial" w:hAnsi="Arial" w:cs="Arial"/>
          <w:b/>
          <w:bCs/>
          <w:sz w:val="22"/>
          <w:szCs w:val="22"/>
          <w:lang w:eastAsia="zh-TW"/>
        </w:rPr>
        <w:t>Razviti in povezati zeleno in modro infrastrukturo</w:t>
      </w:r>
    </w:p>
    <w:p w14:paraId="425A7688" w14:textId="25635F82" w:rsidR="004D6B17" w:rsidRPr="00E97769" w:rsidRDefault="004D6B17" w:rsidP="00F04175">
      <w:pPr>
        <w:numPr>
          <w:ilvl w:val="1"/>
          <w:numId w:val="218"/>
        </w:numPr>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zasaditve, drevoredi, zelene pasove, ponovna uporaba padavinskih voda, ozelenitev objektov.</w:t>
      </w:r>
    </w:p>
    <w:p w14:paraId="238218B9" w14:textId="77777777" w:rsidR="004D6B17" w:rsidRPr="00E97769" w:rsidRDefault="004D6B17" w:rsidP="00F04175">
      <w:pPr>
        <w:numPr>
          <w:ilvl w:val="0"/>
          <w:numId w:val="218"/>
        </w:numPr>
        <w:spacing w:line="276" w:lineRule="auto"/>
        <w:ind w:left="714" w:hanging="357"/>
        <w:jc w:val="both"/>
        <w:rPr>
          <w:rFonts w:ascii="Arial" w:hAnsi="Arial" w:cs="Arial"/>
          <w:sz w:val="22"/>
          <w:szCs w:val="22"/>
          <w:lang w:eastAsia="zh-TW"/>
        </w:rPr>
      </w:pPr>
      <w:r w:rsidRPr="00E97769">
        <w:rPr>
          <w:rFonts w:ascii="Arial" w:hAnsi="Arial" w:cs="Arial"/>
          <w:b/>
          <w:bCs/>
          <w:sz w:val="22"/>
          <w:szCs w:val="22"/>
          <w:lang w:eastAsia="zh-TW"/>
        </w:rPr>
        <w:t>Vzpostaviti inovativne rešitve za spremljanje prometa in spodbujanje trajnostnih navad</w:t>
      </w:r>
    </w:p>
    <w:p w14:paraId="50FB3877" w14:textId="77777777" w:rsidR="004D6B17" w:rsidRPr="00E97769" w:rsidRDefault="004D6B17" w:rsidP="004D6B17">
      <w:pPr>
        <w:numPr>
          <w:ilvl w:val="1"/>
          <w:numId w:val="108"/>
        </w:numPr>
        <w:tabs>
          <w:tab w:val="clear" w:pos="1440"/>
        </w:tabs>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namestitev števcev kolesarjev</w:t>
      </w:r>
      <w:r>
        <w:rPr>
          <w:rFonts w:ascii="Arial" w:hAnsi="Arial" w:cs="Arial"/>
          <w:sz w:val="22"/>
          <w:szCs w:val="22"/>
          <w:lang w:eastAsia="zh-TW"/>
        </w:rPr>
        <w:t>, prikazovalnikov</w:t>
      </w:r>
      <w:r w:rsidRPr="00E97769">
        <w:rPr>
          <w:rFonts w:ascii="Arial" w:hAnsi="Arial" w:cs="Arial"/>
          <w:sz w:val="22"/>
          <w:szCs w:val="22"/>
          <w:lang w:eastAsia="zh-TW"/>
        </w:rPr>
        <w:t xml:space="preserve"> in merilcev hitrosti z digitalno povezljivostjo ter omogočanje podatkovne podpore za nadaljnje ukrepe mobilnosti.</w:t>
      </w:r>
    </w:p>
    <w:p w14:paraId="50B1FD1A" w14:textId="77777777" w:rsidR="004D6B17" w:rsidRPr="00E97769" w:rsidRDefault="004D6B17" w:rsidP="00F04175">
      <w:pPr>
        <w:numPr>
          <w:ilvl w:val="0"/>
          <w:numId w:val="218"/>
        </w:numPr>
        <w:spacing w:line="276" w:lineRule="auto"/>
        <w:ind w:left="714" w:hanging="357"/>
        <w:jc w:val="both"/>
        <w:rPr>
          <w:rFonts w:ascii="Arial" w:hAnsi="Arial" w:cs="Arial"/>
          <w:sz w:val="22"/>
          <w:szCs w:val="22"/>
          <w:lang w:eastAsia="zh-TW"/>
        </w:rPr>
      </w:pPr>
      <w:r w:rsidRPr="00E97769">
        <w:rPr>
          <w:rFonts w:ascii="Arial" w:hAnsi="Arial" w:cs="Arial"/>
          <w:b/>
          <w:bCs/>
          <w:sz w:val="22"/>
          <w:szCs w:val="22"/>
          <w:lang w:eastAsia="zh-TW"/>
        </w:rPr>
        <w:t>Prispevati k doseganju nacionalnih in evropskih ciljev</w:t>
      </w:r>
    </w:p>
    <w:p w14:paraId="5747C069" w14:textId="77777777" w:rsidR="004D6B17" w:rsidRPr="00E97769" w:rsidRDefault="004D6B17" w:rsidP="004D6B17">
      <w:pPr>
        <w:numPr>
          <w:ilvl w:val="1"/>
          <w:numId w:val="108"/>
        </w:numPr>
        <w:tabs>
          <w:tab w:val="clear" w:pos="1440"/>
        </w:tabs>
        <w:spacing w:after="120" w:line="276" w:lineRule="auto"/>
        <w:ind w:left="1134"/>
        <w:jc w:val="both"/>
        <w:rPr>
          <w:rFonts w:ascii="Arial" w:hAnsi="Arial" w:cs="Arial"/>
          <w:sz w:val="22"/>
          <w:szCs w:val="22"/>
          <w:lang w:eastAsia="zh-TW"/>
        </w:rPr>
      </w:pPr>
      <w:r w:rsidRPr="00E97769">
        <w:rPr>
          <w:rFonts w:ascii="Arial" w:hAnsi="Arial" w:cs="Arial"/>
          <w:sz w:val="22"/>
          <w:szCs w:val="22"/>
          <w:lang w:eastAsia="zh-TW"/>
        </w:rPr>
        <w:t>zmanjšanje emisij toplogrednih plinov, povečanje deleža trajnostnih oblik mobilnosti in prilagajanje na podnebne spremembe, skladno z zahtevami JR EKP UTM 2025.</w:t>
      </w:r>
    </w:p>
    <w:p w14:paraId="76AD608C" w14:textId="77777777" w:rsidR="004D6B17" w:rsidRPr="00E97769" w:rsidRDefault="004D6B17" w:rsidP="004D6B17">
      <w:pPr>
        <w:spacing w:after="120" w:line="276" w:lineRule="auto"/>
        <w:jc w:val="both"/>
        <w:rPr>
          <w:rFonts w:ascii="Arial" w:hAnsi="Arial" w:cs="Arial"/>
          <w:b/>
          <w:bCs/>
          <w:sz w:val="22"/>
          <w:szCs w:val="22"/>
          <w:lang w:eastAsia="zh-TW"/>
        </w:rPr>
      </w:pPr>
      <w:bookmarkStart w:id="51" w:name="_Hlk209442290"/>
      <w:bookmarkStart w:id="52" w:name="_Hlk207271390"/>
      <w:r w:rsidRPr="00E97769">
        <w:rPr>
          <w:rFonts w:ascii="Arial" w:hAnsi="Arial" w:cs="Arial"/>
          <w:b/>
          <w:bCs/>
          <w:sz w:val="22"/>
          <w:szCs w:val="22"/>
          <w:lang w:eastAsia="zh-TW"/>
        </w:rPr>
        <w:t>Pričakovani rezultati in učinki projekta so:</w:t>
      </w:r>
    </w:p>
    <w:p w14:paraId="745DC3FB"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1. Površine in dolžine rekonstruiranih odsekov:</w:t>
      </w:r>
    </w:p>
    <w:p w14:paraId="4C346E64" w14:textId="7053B7FE" w:rsidR="004D6B17" w:rsidRPr="00E97769" w:rsidRDefault="004D6B17" w:rsidP="004D6B17">
      <w:pPr>
        <w:numPr>
          <w:ilvl w:val="0"/>
          <w:numId w:val="114"/>
        </w:numPr>
        <w:spacing w:line="276" w:lineRule="auto"/>
        <w:contextualSpacing/>
        <w:rPr>
          <w:rFonts w:ascii="Arial" w:hAnsi="Arial" w:cs="Arial"/>
          <w:sz w:val="22"/>
          <w:szCs w:val="22"/>
        </w:rPr>
      </w:pPr>
      <w:r w:rsidRPr="00E97769">
        <w:rPr>
          <w:rFonts w:ascii="Arial" w:hAnsi="Arial" w:cs="Arial"/>
          <w:sz w:val="22"/>
          <w:szCs w:val="22"/>
        </w:rPr>
        <w:t xml:space="preserve">skupna dolžina rekonstruirane Govekarjeve ceste </w:t>
      </w:r>
      <w:r w:rsidR="00E46E74">
        <w:rPr>
          <w:rFonts w:ascii="Arial" w:hAnsi="Arial" w:cs="Arial"/>
          <w:sz w:val="22"/>
          <w:szCs w:val="22"/>
        </w:rPr>
        <w:t>197</w:t>
      </w:r>
      <w:r w:rsidR="00E46E74" w:rsidRPr="00E97769">
        <w:rPr>
          <w:rFonts w:ascii="Arial" w:hAnsi="Arial" w:cs="Arial"/>
          <w:sz w:val="22"/>
          <w:szCs w:val="22"/>
        </w:rPr>
        <w:t xml:space="preserve"> </w:t>
      </w:r>
      <w:r w:rsidRPr="00E97769">
        <w:rPr>
          <w:rFonts w:ascii="Arial" w:hAnsi="Arial" w:cs="Arial"/>
          <w:sz w:val="22"/>
          <w:szCs w:val="22"/>
        </w:rPr>
        <w:t>m</w:t>
      </w:r>
    </w:p>
    <w:p w14:paraId="127BD610" w14:textId="56C68D33" w:rsidR="004D6B17" w:rsidRPr="00E97769" w:rsidRDefault="004D6B17" w:rsidP="004D6B17">
      <w:pPr>
        <w:numPr>
          <w:ilvl w:val="0"/>
          <w:numId w:val="114"/>
        </w:numPr>
        <w:spacing w:line="276" w:lineRule="auto"/>
        <w:contextualSpacing/>
        <w:rPr>
          <w:rFonts w:ascii="Arial" w:hAnsi="Arial" w:cs="Arial"/>
          <w:sz w:val="22"/>
          <w:szCs w:val="22"/>
        </w:rPr>
      </w:pPr>
      <w:r w:rsidRPr="00E97769">
        <w:rPr>
          <w:rFonts w:ascii="Arial" w:hAnsi="Arial" w:cs="Arial"/>
          <w:sz w:val="22"/>
          <w:szCs w:val="22"/>
        </w:rPr>
        <w:t xml:space="preserve">skupna dolžina rekonstruirane Troštove ulice </w:t>
      </w:r>
      <w:r w:rsidR="00E46E74">
        <w:rPr>
          <w:rFonts w:ascii="Arial" w:hAnsi="Arial" w:cs="Arial"/>
          <w:sz w:val="22"/>
          <w:szCs w:val="22"/>
        </w:rPr>
        <w:t>89</w:t>
      </w:r>
      <w:r w:rsidRPr="00E97769">
        <w:rPr>
          <w:rFonts w:ascii="Arial" w:hAnsi="Arial" w:cs="Arial"/>
          <w:sz w:val="22"/>
          <w:szCs w:val="22"/>
        </w:rPr>
        <w:t xml:space="preserve"> m</w:t>
      </w:r>
    </w:p>
    <w:p w14:paraId="33CFCE39" w14:textId="1A23B62C" w:rsidR="004D6B17" w:rsidRPr="00E97769" w:rsidRDefault="004D6B17" w:rsidP="004D6B17">
      <w:pPr>
        <w:numPr>
          <w:ilvl w:val="0"/>
          <w:numId w:val="114"/>
        </w:numPr>
        <w:spacing w:line="276" w:lineRule="auto"/>
        <w:contextualSpacing/>
        <w:rPr>
          <w:rFonts w:ascii="Arial" w:hAnsi="Arial" w:cs="Arial"/>
          <w:sz w:val="22"/>
          <w:szCs w:val="22"/>
        </w:rPr>
      </w:pPr>
      <w:r w:rsidRPr="00E97769">
        <w:rPr>
          <w:rFonts w:ascii="Arial" w:hAnsi="Arial" w:cs="Arial"/>
          <w:sz w:val="22"/>
          <w:szCs w:val="22"/>
        </w:rPr>
        <w:t>skupna površina rekonstruiranih prometnih površin</w:t>
      </w:r>
      <w:r w:rsidR="00946F54">
        <w:rPr>
          <w:rFonts w:ascii="Arial" w:hAnsi="Arial" w:cs="Arial"/>
          <w:sz w:val="22"/>
          <w:szCs w:val="22"/>
        </w:rPr>
        <w:t xml:space="preserve"> (skupaj z AP)</w:t>
      </w:r>
      <w:r w:rsidRPr="00E97769">
        <w:rPr>
          <w:rFonts w:ascii="Arial" w:hAnsi="Arial" w:cs="Arial"/>
          <w:sz w:val="22"/>
          <w:szCs w:val="22"/>
        </w:rPr>
        <w:t xml:space="preserve"> 3616,</w:t>
      </w:r>
      <w:r w:rsidR="00C96C7E">
        <w:rPr>
          <w:rFonts w:ascii="Arial" w:hAnsi="Arial" w:cs="Arial"/>
          <w:sz w:val="22"/>
          <w:szCs w:val="22"/>
        </w:rPr>
        <w:t>6</w:t>
      </w:r>
      <w:r w:rsidRPr="00E97769">
        <w:rPr>
          <w:rFonts w:ascii="Arial" w:hAnsi="Arial" w:cs="Arial"/>
          <w:sz w:val="22"/>
          <w:szCs w:val="22"/>
        </w:rPr>
        <w:t xml:space="preserve"> m</w:t>
      </w:r>
      <w:r w:rsidRPr="00E97769">
        <w:rPr>
          <w:rFonts w:ascii="Arial" w:hAnsi="Arial" w:cs="Arial"/>
          <w:sz w:val="22"/>
          <w:szCs w:val="22"/>
          <w:vertAlign w:val="superscript"/>
        </w:rPr>
        <w:t>2</w:t>
      </w:r>
    </w:p>
    <w:p w14:paraId="46273334" w14:textId="77777777" w:rsidR="004D6B17" w:rsidRPr="00E97769" w:rsidRDefault="004D6B17" w:rsidP="004D6B17">
      <w:pPr>
        <w:spacing w:line="276" w:lineRule="auto"/>
        <w:ind w:left="720"/>
        <w:contextualSpacing/>
        <w:rPr>
          <w:rFonts w:ascii="Arial" w:hAnsi="Arial" w:cs="Arial"/>
          <w:sz w:val="22"/>
          <w:szCs w:val="22"/>
        </w:rPr>
      </w:pPr>
    </w:p>
    <w:p w14:paraId="68E42B34"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2. Zmanjšanje površin za motorni promet:</w:t>
      </w:r>
    </w:p>
    <w:p w14:paraId="145A5784"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izhodiščna površina za motorni promet:</w:t>
      </w:r>
    </w:p>
    <w:p w14:paraId="68DC0C76" w14:textId="671064E3"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Govekarjeva: </w:t>
      </w:r>
      <w:r w:rsidR="00E46E74">
        <w:rPr>
          <w:rFonts w:ascii="Arial" w:hAnsi="Arial" w:cs="Arial"/>
          <w:sz w:val="22"/>
          <w:szCs w:val="22"/>
        </w:rPr>
        <w:t>1446,80</w:t>
      </w:r>
      <w:r w:rsidRPr="00E97769">
        <w:rPr>
          <w:rFonts w:ascii="Arial" w:hAnsi="Arial" w:cs="Arial"/>
          <w:sz w:val="22"/>
          <w:szCs w:val="22"/>
        </w:rPr>
        <w:t xml:space="preserve"> m</w:t>
      </w:r>
      <w:r w:rsidRPr="00E97769">
        <w:rPr>
          <w:rFonts w:ascii="Arial" w:hAnsi="Arial" w:cs="Arial"/>
          <w:sz w:val="22"/>
          <w:szCs w:val="22"/>
          <w:vertAlign w:val="superscript"/>
        </w:rPr>
        <w:t>2</w:t>
      </w:r>
    </w:p>
    <w:p w14:paraId="5CD6FCD5" w14:textId="7AFB4D6D"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Križišče: </w:t>
      </w:r>
      <w:r w:rsidR="00E46E74">
        <w:rPr>
          <w:rFonts w:ascii="Arial" w:hAnsi="Arial" w:cs="Arial"/>
          <w:sz w:val="22"/>
          <w:szCs w:val="22"/>
        </w:rPr>
        <w:t>365,1</w:t>
      </w:r>
      <w:r w:rsidRPr="00E97769">
        <w:rPr>
          <w:rFonts w:ascii="Arial" w:hAnsi="Arial" w:cs="Arial"/>
          <w:sz w:val="22"/>
          <w:szCs w:val="22"/>
        </w:rPr>
        <w:t xml:space="preserve"> m</w:t>
      </w:r>
      <w:r w:rsidRPr="00E97769">
        <w:rPr>
          <w:rFonts w:ascii="Arial" w:hAnsi="Arial" w:cs="Arial"/>
          <w:sz w:val="22"/>
          <w:szCs w:val="22"/>
          <w:vertAlign w:val="superscript"/>
        </w:rPr>
        <w:t>2</w:t>
      </w:r>
    </w:p>
    <w:p w14:paraId="3EAE5BC9" w14:textId="15D63D32"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Troštova: </w:t>
      </w:r>
      <w:r w:rsidR="00E46E74">
        <w:rPr>
          <w:rFonts w:ascii="Arial" w:hAnsi="Arial" w:cs="Arial"/>
          <w:sz w:val="22"/>
          <w:szCs w:val="22"/>
        </w:rPr>
        <w:t>557,8</w:t>
      </w:r>
      <w:r w:rsidRPr="00E97769">
        <w:rPr>
          <w:rFonts w:ascii="Arial" w:hAnsi="Arial" w:cs="Arial"/>
          <w:sz w:val="22"/>
          <w:szCs w:val="22"/>
        </w:rPr>
        <w:t xml:space="preserve"> m</w:t>
      </w:r>
      <w:r w:rsidRPr="00E97769">
        <w:rPr>
          <w:rFonts w:ascii="Arial" w:hAnsi="Arial" w:cs="Arial"/>
          <w:sz w:val="22"/>
          <w:szCs w:val="22"/>
          <w:vertAlign w:val="superscript"/>
        </w:rPr>
        <w:t>2</w:t>
      </w:r>
    </w:p>
    <w:p w14:paraId="2C38FC6D" w14:textId="1D1809C7" w:rsidR="004D6B17" w:rsidRDefault="004D6B17" w:rsidP="004D6B17">
      <w:pPr>
        <w:spacing w:line="276" w:lineRule="auto"/>
        <w:ind w:left="709"/>
        <w:rPr>
          <w:rFonts w:ascii="Arial" w:hAnsi="Arial" w:cs="Arial"/>
          <w:sz w:val="22"/>
          <w:szCs w:val="22"/>
          <w:vertAlign w:val="superscript"/>
        </w:rPr>
      </w:pPr>
      <w:r w:rsidRPr="00E97769">
        <w:rPr>
          <w:rFonts w:ascii="Arial" w:hAnsi="Arial" w:cs="Arial"/>
          <w:sz w:val="22"/>
          <w:szCs w:val="22"/>
        </w:rPr>
        <w:t xml:space="preserve">SKUPAJ: </w:t>
      </w:r>
      <w:r w:rsidR="00E46E74">
        <w:rPr>
          <w:rFonts w:ascii="Arial" w:hAnsi="Arial" w:cs="Arial"/>
          <w:sz w:val="22"/>
          <w:szCs w:val="22"/>
        </w:rPr>
        <w:t xml:space="preserve"> 2.369</w:t>
      </w:r>
      <w:r w:rsidR="00C96C7E">
        <w:rPr>
          <w:rFonts w:ascii="Arial" w:hAnsi="Arial" w:cs="Arial"/>
          <w:sz w:val="22"/>
          <w:szCs w:val="22"/>
        </w:rPr>
        <w:t>,7</w:t>
      </w:r>
      <w:r w:rsidR="00E46E74">
        <w:rPr>
          <w:rFonts w:ascii="Arial" w:hAnsi="Arial" w:cs="Arial"/>
          <w:sz w:val="22"/>
          <w:szCs w:val="22"/>
        </w:rPr>
        <w:t xml:space="preserve"> </w:t>
      </w:r>
      <w:r w:rsidRPr="00E97769">
        <w:rPr>
          <w:rFonts w:ascii="Arial" w:hAnsi="Arial" w:cs="Arial"/>
          <w:sz w:val="22"/>
          <w:szCs w:val="22"/>
        </w:rPr>
        <w:t>m</w:t>
      </w:r>
      <w:r w:rsidRPr="00E97769">
        <w:rPr>
          <w:rFonts w:ascii="Arial" w:hAnsi="Arial" w:cs="Arial"/>
          <w:sz w:val="22"/>
          <w:szCs w:val="22"/>
          <w:vertAlign w:val="superscript"/>
        </w:rPr>
        <w:t>2</w:t>
      </w:r>
    </w:p>
    <w:p w14:paraId="2138BE49"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nova površina za motorni promet po preureditvi (m²):</w:t>
      </w:r>
    </w:p>
    <w:p w14:paraId="18E8C473"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Govekarjeva: 1221,0 m</w:t>
      </w:r>
      <w:r w:rsidRPr="00E97769">
        <w:rPr>
          <w:rFonts w:ascii="Arial" w:hAnsi="Arial" w:cs="Arial"/>
          <w:sz w:val="22"/>
          <w:szCs w:val="22"/>
          <w:vertAlign w:val="superscript"/>
        </w:rPr>
        <w:t>2</w:t>
      </w:r>
    </w:p>
    <w:p w14:paraId="34C51FA8"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Križišče: 293,6 m</w:t>
      </w:r>
      <w:r w:rsidRPr="00E97769">
        <w:rPr>
          <w:rFonts w:ascii="Arial" w:hAnsi="Arial" w:cs="Arial"/>
          <w:sz w:val="22"/>
          <w:szCs w:val="22"/>
          <w:vertAlign w:val="superscript"/>
        </w:rPr>
        <w:t>2</w:t>
      </w:r>
    </w:p>
    <w:p w14:paraId="095C4C7F" w14:textId="574D58DC"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Troštova: </w:t>
      </w:r>
      <w:r w:rsidR="00E46E74">
        <w:rPr>
          <w:rFonts w:ascii="Arial" w:hAnsi="Arial" w:cs="Arial"/>
          <w:sz w:val="22"/>
          <w:szCs w:val="22"/>
        </w:rPr>
        <w:t>404,3</w:t>
      </w:r>
      <w:r w:rsidRPr="00E97769">
        <w:rPr>
          <w:rFonts w:ascii="Arial" w:hAnsi="Arial" w:cs="Arial"/>
          <w:sz w:val="22"/>
          <w:szCs w:val="22"/>
        </w:rPr>
        <w:t xml:space="preserve"> m</w:t>
      </w:r>
      <w:r w:rsidRPr="00E97769">
        <w:rPr>
          <w:rFonts w:ascii="Arial" w:hAnsi="Arial" w:cs="Arial"/>
          <w:sz w:val="22"/>
          <w:szCs w:val="22"/>
          <w:vertAlign w:val="superscript"/>
        </w:rPr>
        <w:t>2</w:t>
      </w:r>
    </w:p>
    <w:p w14:paraId="5DD5AA23" w14:textId="4724CDA7" w:rsidR="004D6B17" w:rsidRDefault="004D6B17" w:rsidP="004D6B17">
      <w:pPr>
        <w:spacing w:line="276" w:lineRule="auto"/>
        <w:ind w:left="709"/>
        <w:rPr>
          <w:rFonts w:ascii="Arial" w:hAnsi="Arial" w:cs="Arial"/>
          <w:sz w:val="22"/>
          <w:szCs w:val="22"/>
          <w:vertAlign w:val="superscript"/>
        </w:rPr>
      </w:pPr>
      <w:r w:rsidRPr="00E97769">
        <w:rPr>
          <w:rFonts w:ascii="Arial" w:hAnsi="Arial" w:cs="Arial"/>
          <w:sz w:val="22"/>
          <w:szCs w:val="22"/>
        </w:rPr>
        <w:t xml:space="preserve">SKUPAJ: </w:t>
      </w:r>
      <w:r w:rsidR="00E46E74">
        <w:rPr>
          <w:rFonts w:ascii="Arial" w:hAnsi="Arial" w:cs="Arial"/>
          <w:sz w:val="22"/>
          <w:szCs w:val="22"/>
        </w:rPr>
        <w:t>1.918,</w:t>
      </w:r>
      <w:r w:rsidR="00C96C7E">
        <w:rPr>
          <w:rFonts w:ascii="Arial" w:hAnsi="Arial" w:cs="Arial"/>
          <w:sz w:val="22"/>
          <w:szCs w:val="22"/>
        </w:rPr>
        <w:t>9</w:t>
      </w:r>
      <w:r w:rsidR="00E46E74">
        <w:rPr>
          <w:rFonts w:ascii="Arial" w:hAnsi="Arial" w:cs="Arial"/>
          <w:sz w:val="22"/>
          <w:szCs w:val="22"/>
        </w:rPr>
        <w:t xml:space="preserve"> </w:t>
      </w:r>
      <w:r w:rsidRPr="00E97769">
        <w:rPr>
          <w:rFonts w:ascii="Arial" w:hAnsi="Arial" w:cs="Arial"/>
          <w:sz w:val="22"/>
          <w:szCs w:val="22"/>
        </w:rPr>
        <w:t>m</w:t>
      </w:r>
      <w:r w:rsidRPr="00E97769">
        <w:rPr>
          <w:rFonts w:ascii="Arial" w:hAnsi="Arial" w:cs="Arial"/>
          <w:sz w:val="22"/>
          <w:szCs w:val="22"/>
          <w:vertAlign w:val="superscript"/>
        </w:rPr>
        <w:t>2</w:t>
      </w:r>
    </w:p>
    <w:p w14:paraId="7B3B13B2" w14:textId="2EC6C7A6" w:rsidR="00E46E74" w:rsidRPr="00E46E74" w:rsidRDefault="00E46E74" w:rsidP="004D6B17">
      <w:pPr>
        <w:spacing w:line="276" w:lineRule="auto"/>
        <w:ind w:left="709"/>
        <w:rPr>
          <w:rFonts w:ascii="Arial" w:hAnsi="Arial" w:cs="Arial"/>
          <w:sz w:val="22"/>
          <w:szCs w:val="22"/>
        </w:rPr>
      </w:pPr>
    </w:p>
    <w:p w14:paraId="68ECDC0D"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delež zmanjšanja (%) za posamezni odsek in skupaj:</w:t>
      </w:r>
    </w:p>
    <w:p w14:paraId="61C2C8AB" w14:textId="11973F72"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Govekarjeva: - 1</w:t>
      </w:r>
      <w:r w:rsidR="00213B3F">
        <w:rPr>
          <w:rFonts w:ascii="Arial" w:hAnsi="Arial" w:cs="Arial"/>
          <w:sz w:val="22"/>
          <w:szCs w:val="22"/>
        </w:rPr>
        <w:t>5,61</w:t>
      </w:r>
      <w:r w:rsidRPr="00E97769">
        <w:rPr>
          <w:rFonts w:ascii="Arial" w:hAnsi="Arial" w:cs="Arial"/>
          <w:sz w:val="22"/>
          <w:szCs w:val="22"/>
        </w:rPr>
        <w:t xml:space="preserve"> %</w:t>
      </w:r>
    </w:p>
    <w:p w14:paraId="0899422F" w14:textId="7269A9DD"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lastRenderedPageBreak/>
        <w:t xml:space="preserve">Križišče: - </w:t>
      </w:r>
      <w:r w:rsidR="00213B3F">
        <w:rPr>
          <w:rFonts w:ascii="Arial" w:hAnsi="Arial" w:cs="Arial"/>
          <w:sz w:val="22"/>
          <w:szCs w:val="22"/>
        </w:rPr>
        <w:t>19,58</w:t>
      </w:r>
      <w:r w:rsidRPr="00E97769">
        <w:rPr>
          <w:rFonts w:ascii="Arial" w:hAnsi="Arial" w:cs="Arial"/>
          <w:sz w:val="22"/>
          <w:szCs w:val="22"/>
        </w:rPr>
        <w:t xml:space="preserve"> %</w:t>
      </w:r>
    </w:p>
    <w:p w14:paraId="7A8CB46D" w14:textId="5AA67EFE"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Troštova: - </w:t>
      </w:r>
      <w:r w:rsidR="00213B3F">
        <w:rPr>
          <w:rFonts w:ascii="Arial" w:hAnsi="Arial" w:cs="Arial"/>
          <w:sz w:val="22"/>
          <w:szCs w:val="22"/>
        </w:rPr>
        <w:t xml:space="preserve"> 27,52</w:t>
      </w:r>
      <w:r w:rsidRPr="00E97769">
        <w:rPr>
          <w:rFonts w:ascii="Arial" w:hAnsi="Arial" w:cs="Arial"/>
          <w:sz w:val="22"/>
          <w:szCs w:val="22"/>
        </w:rPr>
        <w:t xml:space="preserve"> %</w:t>
      </w:r>
    </w:p>
    <w:p w14:paraId="33A3CCAC" w14:textId="096D4077" w:rsidR="004D6B17" w:rsidRPr="00E97769" w:rsidRDefault="00213B3F" w:rsidP="004D6B17">
      <w:pPr>
        <w:spacing w:line="276" w:lineRule="auto"/>
        <w:ind w:left="709"/>
        <w:rPr>
          <w:rFonts w:ascii="Arial" w:hAnsi="Arial" w:cs="Arial"/>
          <w:sz w:val="22"/>
          <w:szCs w:val="22"/>
        </w:rPr>
      </w:pPr>
      <w:r>
        <w:rPr>
          <w:rFonts w:ascii="Arial" w:hAnsi="Arial" w:cs="Arial"/>
          <w:sz w:val="22"/>
          <w:szCs w:val="22"/>
        </w:rPr>
        <w:t>SKUPAJ: - 19,</w:t>
      </w:r>
      <w:r w:rsidR="007B73DA">
        <w:rPr>
          <w:rFonts w:ascii="Arial" w:hAnsi="Arial" w:cs="Arial"/>
          <w:sz w:val="22"/>
          <w:szCs w:val="22"/>
        </w:rPr>
        <w:t>02</w:t>
      </w:r>
      <w:r w:rsidR="00485D0D">
        <w:rPr>
          <w:rFonts w:ascii="Arial" w:hAnsi="Arial" w:cs="Arial"/>
          <w:sz w:val="22"/>
          <w:szCs w:val="22"/>
        </w:rPr>
        <w:t xml:space="preserve"> %</w:t>
      </w:r>
    </w:p>
    <w:p w14:paraId="2DEFA314" w14:textId="7123A478"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3. Površine</w:t>
      </w:r>
      <w:r w:rsidR="00777B8F">
        <w:rPr>
          <w:rFonts w:ascii="Arial" w:hAnsi="Arial" w:cs="Arial"/>
          <w:b/>
          <w:bCs/>
          <w:sz w:val="22"/>
          <w:szCs w:val="22"/>
        </w:rPr>
        <w:t xml:space="preserve"> za motorni promet</w:t>
      </w:r>
      <w:r w:rsidRPr="00E97769">
        <w:rPr>
          <w:rFonts w:ascii="Arial" w:hAnsi="Arial" w:cs="Arial"/>
          <w:b/>
          <w:bCs/>
          <w:sz w:val="22"/>
          <w:szCs w:val="22"/>
        </w:rPr>
        <w:t>, ki niso asfaltirane:</w:t>
      </w:r>
    </w:p>
    <w:p w14:paraId="5D4FF069" w14:textId="4C70D9AF"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 xml:space="preserve">skupna površina tlakovanih površin s kockami/betonom: </w:t>
      </w:r>
      <w:r w:rsidR="00777B8F">
        <w:rPr>
          <w:rFonts w:ascii="Arial" w:hAnsi="Arial" w:cs="Arial"/>
          <w:sz w:val="22"/>
          <w:szCs w:val="22"/>
        </w:rPr>
        <w:t>1501</w:t>
      </w:r>
      <w:r w:rsidR="00485D0D">
        <w:rPr>
          <w:rFonts w:ascii="Arial" w:hAnsi="Arial" w:cs="Arial"/>
          <w:sz w:val="22"/>
          <w:szCs w:val="22"/>
        </w:rPr>
        <w:t xml:space="preserve">  </w:t>
      </w:r>
      <w:r w:rsidRPr="00E97769">
        <w:rPr>
          <w:rFonts w:ascii="Arial" w:hAnsi="Arial" w:cs="Arial"/>
          <w:sz w:val="22"/>
          <w:szCs w:val="22"/>
        </w:rPr>
        <w:t>m</w:t>
      </w:r>
      <w:r w:rsidRPr="00E97769">
        <w:rPr>
          <w:rFonts w:ascii="Arial" w:hAnsi="Arial" w:cs="Arial"/>
          <w:sz w:val="22"/>
          <w:szCs w:val="22"/>
          <w:vertAlign w:val="superscript"/>
        </w:rPr>
        <w:t>2</w:t>
      </w:r>
    </w:p>
    <w:p w14:paraId="5EC6C42F" w14:textId="4CBA28FB"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 xml:space="preserve">delež (%) glede na celotno površino </w:t>
      </w:r>
      <w:r w:rsidR="00777B8F">
        <w:rPr>
          <w:rFonts w:ascii="Arial" w:hAnsi="Arial" w:cs="Arial"/>
          <w:sz w:val="22"/>
          <w:szCs w:val="22"/>
        </w:rPr>
        <w:t>za motorni promet</w:t>
      </w:r>
      <w:r w:rsidRPr="00E97769">
        <w:rPr>
          <w:rFonts w:ascii="Arial" w:hAnsi="Arial" w:cs="Arial"/>
          <w:sz w:val="22"/>
          <w:szCs w:val="22"/>
        </w:rPr>
        <w:t xml:space="preserve"> površin: </w:t>
      </w:r>
      <w:r w:rsidR="00777B8F">
        <w:rPr>
          <w:rFonts w:ascii="Arial" w:hAnsi="Arial" w:cs="Arial"/>
          <w:sz w:val="22"/>
          <w:szCs w:val="22"/>
        </w:rPr>
        <w:t>54</w:t>
      </w:r>
      <w:r w:rsidRPr="00E97769">
        <w:rPr>
          <w:rFonts w:ascii="Arial" w:hAnsi="Arial" w:cs="Arial"/>
          <w:sz w:val="22"/>
          <w:szCs w:val="22"/>
        </w:rPr>
        <w:t xml:space="preserve"> %</w:t>
      </w:r>
    </w:p>
    <w:p w14:paraId="0A612953" w14:textId="77777777" w:rsidR="004D6B17" w:rsidRPr="00E97769" w:rsidRDefault="004D6B17" w:rsidP="004D6B17">
      <w:pPr>
        <w:spacing w:line="276" w:lineRule="auto"/>
        <w:ind w:left="720"/>
        <w:contextualSpacing/>
        <w:rPr>
          <w:rFonts w:ascii="Arial" w:hAnsi="Arial" w:cs="Arial"/>
          <w:sz w:val="22"/>
          <w:szCs w:val="22"/>
        </w:rPr>
      </w:pPr>
    </w:p>
    <w:p w14:paraId="4C7B1E5B"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4. Zelene površine in zasaditve v obsegu ločenega projekta zelene infrastrukture, ki se bo izvajal vzporedno</w:t>
      </w:r>
    </w:p>
    <w:p w14:paraId="2A4874A8" w14:textId="1CC30A30"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površina zelenih pasov in drevoredov - Celoten projekt Celovite ureditve centra Ig, ki obsega ukrepe trajnostne mobilnosti in zelene infrastrukture, obsega cca 3</w:t>
      </w:r>
      <w:r w:rsidR="00777B8F">
        <w:rPr>
          <w:rFonts w:ascii="Arial" w:hAnsi="Arial" w:cs="Arial"/>
          <w:sz w:val="22"/>
          <w:szCs w:val="22"/>
        </w:rPr>
        <w:t>5</w:t>
      </w:r>
      <w:r w:rsidRPr="00E97769">
        <w:rPr>
          <w:rFonts w:ascii="Arial" w:hAnsi="Arial" w:cs="Arial"/>
          <w:sz w:val="22"/>
          <w:szCs w:val="22"/>
        </w:rPr>
        <w:t xml:space="preserve"> % zelenih površin.</w:t>
      </w:r>
    </w:p>
    <w:p w14:paraId="38B02494" w14:textId="5F7F5230" w:rsidR="004D6B17"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 xml:space="preserve">število novih dreves in zasaditvenih otokov - Znotraj območja Celovite ureditve centra Ig, ki obsega ukrepe trajnostne mobilnosti in zelene infrastrukture, operacija ohranja 15 obstoječih dreves in predvideva zasaditev </w:t>
      </w:r>
      <w:r w:rsidR="00777B8F">
        <w:rPr>
          <w:rFonts w:ascii="Arial" w:hAnsi="Arial" w:cs="Arial"/>
          <w:sz w:val="22"/>
          <w:szCs w:val="22"/>
        </w:rPr>
        <w:t>99 novih dreves</w:t>
      </w:r>
      <w:r w:rsidR="00777B8F" w:rsidRPr="00E97769">
        <w:rPr>
          <w:rFonts w:ascii="Arial" w:hAnsi="Arial" w:cs="Arial"/>
          <w:sz w:val="22"/>
          <w:szCs w:val="22"/>
        </w:rPr>
        <w:t xml:space="preserve"> </w:t>
      </w:r>
      <w:r w:rsidRPr="00E97769">
        <w:rPr>
          <w:rFonts w:ascii="Arial" w:hAnsi="Arial" w:cs="Arial"/>
          <w:sz w:val="22"/>
          <w:szCs w:val="22"/>
        </w:rPr>
        <w:t>(Park Ig</w:t>
      </w:r>
      <w:r w:rsidR="00777B8F">
        <w:rPr>
          <w:rFonts w:ascii="Arial" w:hAnsi="Arial" w:cs="Arial"/>
          <w:sz w:val="22"/>
          <w:szCs w:val="22"/>
        </w:rPr>
        <w:t xml:space="preserve"> in </w:t>
      </w:r>
      <w:r w:rsidRPr="00E97769">
        <w:rPr>
          <w:rFonts w:ascii="Arial" w:hAnsi="Arial" w:cs="Arial"/>
          <w:sz w:val="22"/>
          <w:szCs w:val="22"/>
        </w:rPr>
        <w:t xml:space="preserve">drugod). Predvidenih </w:t>
      </w:r>
      <w:r>
        <w:rPr>
          <w:rFonts w:ascii="Arial" w:hAnsi="Arial" w:cs="Arial"/>
          <w:sz w:val="22"/>
          <w:szCs w:val="22"/>
        </w:rPr>
        <w:t>je</w:t>
      </w:r>
      <w:r w:rsidRPr="00E97769">
        <w:rPr>
          <w:rFonts w:ascii="Arial" w:hAnsi="Arial" w:cs="Arial"/>
          <w:sz w:val="22"/>
          <w:szCs w:val="22"/>
        </w:rPr>
        <w:t xml:space="preserve"> 14 sadilnih jam (linijskih in točkovnih).</w:t>
      </w:r>
    </w:p>
    <w:p w14:paraId="5878098C" w14:textId="77777777" w:rsidR="004D6B17" w:rsidRPr="00E97769" w:rsidRDefault="004D6B17" w:rsidP="004D6B17">
      <w:pPr>
        <w:numPr>
          <w:ilvl w:val="0"/>
          <w:numId w:val="115"/>
        </w:numPr>
        <w:spacing w:line="276" w:lineRule="auto"/>
        <w:contextualSpacing/>
        <w:rPr>
          <w:rFonts w:ascii="Arial" w:hAnsi="Arial" w:cs="Arial"/>
          <w:sz w:val="22"/>
          <w:szCs w:val="22"/>
        </w:rPr>
      </w:pPr>
      <w:r>
        <w:rPr>
          <w:rFonts w:ascii="Arial" w:hAnsi="Arial" w:cs="Arial"/>
          <w:sz w:val="22"/>
          <w:szCs w:val="22"/>
        </w:rPr>
        <w:t xml:space="preserve">V okviru ureditve zelenih površin se ukine 21 parkirnih mest pred občinsko stavbo, 12 parkirnih mest ob Govekarjevi cesti pred </w:t>
      </w:r>
      <w:proofErr w:type="spellStart"/>
      <w:r>
        <w:rPr>
          <w:rFonts w:ascii="Arial" w:hAnsi="Arial" w:cs="Arial"/>
          <w:sz w:val="22"/>
          <w:szCs w:val="22"/>
        </w:rPr>
        <w:t>Morostigom</w:t>
      </w:r>
      <w:proofErr w:type="spellEnd"/>
      <w:r>
        <w:rPr>
          <w:rFonts w:ascii="Arial" w:hAnsi="Arial" w:cs="Arial"/>
          <w:sz w:val="22"/>
          <w:szCs w:val="22"/>
        </w:rPr>
        <w:t xml:space="preserve"> in 5 parkirnih mest ob Troštovi ulici.</w:t>
      </w:r>
    </w:p>
    <w:p w14:paraId="10131A27" w14:textId="77777777" w:rsidR="004D6B17" w:rsidRPr="00E97769" w:rsidRDefault="004D6B17" w:rsidP="004D6B17">
      <w:pPr>
        <w:spacing w:line="276" w:lineRule="auto"/>
        <w:ind w:left="720"/>
        <w:contextualSpacing/>
        <w:rPr>
          <w:rFonts w:ascii="Arial" w:hAnsi="Arial" w:cs="Arial"/>
          <w:sz w:val="22"/>
          <w:szCs w:val="22"/>
        </w:rPr>
      </w:pPr>
    </w:p>
    <w:p w14:paraId="47DEF8EC"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5. Ukrepi umirjanja prometa:</w:t>
      </w:r>
    </w:p>
    <w:p w14:paraId="50005CC3"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seznam vseh ukrepov (dvignjeni prehodi, zožitve, ploščadi ipd.),</w:t>
      </w:r>
    </w:p>
    <w:p w14:paraId="38F37550"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3x dvignjen prehod (2x križišče, 1x začetek Govekarjeve pri AP)</w:t>
      </w:r>
    </w:p>
    <w:p w14:paraId="6EE85B0C"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Zoženje cestišča na minimum (Govekarjeva 5,5 m)</w:t>
      </w:r>
    </w:p>
    <w:p w14:paraId="62F9C528"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Prikazovalnik</w:t>
      </w:r>
      <w:r>
        <w:rPr>
          <w:rFonts w:ascii="Arial" w:hAnsi="Arial" w:cs="Arial"/>
          <w:sz w:val="22"/>
          <w:szCs w:val="22"/>
        </w:rPr>
        <w:t>a</w:t>
      </w:r>
      <w:r w:rsidRPr="00E97769">
        <w:rPr>
          <w:rFonts w:ascii="Arial" w:hAnsi="Arial" w:cs="Arial"/>
          <w:sz w:val="22"/>
          <w:szCs w:val="22"/>
        </w:rPr>
        <w:t xml:space="preserve"> hitrosti (1x na Govekarjevi pri Občinski stavbi</w:t>
      </w:r>
      <w:r>
        <w:rPr>
          <w:rFonts w:ascii="Arial" w:hAnsi="Arial" w:cs="Arial"/>
          <w:sz w:val="22"/>
          <w:szCs w:val="22"/>
        </w:rPr>
        <w:t>, 1x na Govekarjevi ob cerkvi na ulični svetilki proti jugu</w:t>
      </w:r>
      <w:r w:rsidRPr="00E97769">
        <w:rPr>
          <w:rFonts w:ascii="Arial" w:hAnsi="Arial" w:cs="Arial"/>
          <w:sz w:val="22"/>
          <w:szCs w:val="22"/>
        </w:rPr>
        <w:t>)</w:t>
      </w:r>
    </w:p>
    <w:p w14:paraId="230D7BA8"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Merilnik hitrosti (1x na Govekarjevi med drevesi pred telovadnico)</w:t>
      </w:r>
    </w:p>
    <w:p w14:paraId="574D93A0"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Hitrostne ovire na Troštovi (6x, Minimalna grbina v grobem tlakovanju v dolžini 50 cm)</w:t>
      </w:r>
    </w:p>
    <w:p w14:paraId="562558C9" w14:textId="77777777" w:rsidR="004D6B17" w:rsidRPr="00E97769" w:rsidRDefault="004D6B17" w:rsidP="004D6B17">
      <w:pPr>
        <w:spacing w:line="276" w:lineRule="auto"/>
        <w:ind w:left="708"/>
        <w:rPr>
          <w:rFonts w:ascii="Arial" w:hAnsi="Arial" w:cs="Arial"/>
          <w:sz w:val="22"/>
          <w:szCs w:val="22"/>
        </w:rPr>
      </w:pPr>
      <w:r w:rsidRPr="00E97769">
        <w:rPr>
          <w:rFonts w:ascii="Arial" w:hAnsi="Arial" w:cs="Arial"/>
          <w:sz w:val="22"/>
          <w:szCs w:val="22"/>
        </w:rPr>
        <w:t>Omejitev hitrosti na 20 km/h</w:t>
      </w:r>
    </w:p>
    <w:p w14:paraId="71CBF3EE"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Skupni prometni prostor</w:t>
      </w:r>
    </w:p>
    <w:p w14:paraId="3859D44B" w14:textId="77777777" w:rsidR="004D6B17" w:rsidRPr="00E97769" w:rsidRDefault="004D6B17" w:rsidP="004D6B17">
      <w:pPr>
        <w:spacing w:line="276" w:lineRule="auto"/>
        <w:ind w:firstLine="708"/>
        <w:rPr>
          <w:rFonts w:ascii="Arial" w:hAnsi="Arial" w:cs="Arial"/>
          <w:sz w:val="22"/>
          <w:szCs w:val="22"/>
        </w:rPr>
      </w:pPr>
      <w:r w:rsidRPr="00E97769">
        <w:rPr>
          <w:rFonts w:ascii="Arial" w:hAnsi="Arial" w:cs="Arial"/>
          <w:sz w:val="22"/>
          <w:szCs w:val="22"/>
        </w:rPr>
        <w:t xml:space="preserve">Avtobusno postajališče </w:t>
      </w:r>
      <w:r>
        <w:rPr>
          <w:rFonts w:ascii="Arial" w:hAnsi="Arial" w:cs="Arial"/>
          <w:sz w:val="22"/>
          <w:szCs w:val="22"/>
        </w:rPr>
        <w:t xml:space="preserve">za šolske avtobuse </w:t>
      </w:r>
      <w:r w:rsidRPr="00E97769">
        <w:rPr>
          <w:rFonts w:ascii="Arial" w:hAnsi="Arial" w:cs="Arial"/>
          <w:sz w:val="22"/>
          <w:szCs w:val="22"/>
        </w:rPr>
        <w:t>na cestišču (Govekarjeva, v obe smeri)</w:t>
      </w:r>
    </w:p>
    <w:p w14:paraId="69320B33"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število ukrepov na posameznem odseku</w:t>
      </w:r>
    </w:p>
    <w:p w14:paraId="3FE48815" w14:textId="3280F293"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Govekarjeva cesta</w:t>
      </w:r>
      <w:r>
        <w:rPr>
          <w:rFonts w:ascii="Arial" w:hAnsi="Arial" w:cs="Arial"/>
          <w:sz w:val="22"/>
          <w:szCs w:val="22"/>
        </w:rPr>
        <w:t xml:space="preserve"> (</w:t>
      </w:r>
      <w:r w:rsidR="00D11597">
        <w:rPr>
          <w:rFonts w:ascii="Arial" w:hAnsi="Arial" w:cs="Arial"/>
          <w:sz w:val="22"/>
          <w:szCs w:val="22"/>
        </w:rPr>
        <w:t>197</w:t>
      </w:r>
      <w:r>
        <w:rPr>
          <w:rFonts w:ascii="Arial" w:hAnsi="Arial" w:cs="Arial"/>
          <w:sz w:val="22"/>
          <w:szCs w:val="22"/>
        </w:rPr>
        <w:t xml:space="preserve"> m)</w:t>
      </w:r>
      <w:r w:rsidRPr="00E97769">
        <w:rPr>
          <w:rFonts w:ascii="Arial" w:hAnsi="Arial" w:cs="Arial"/>
          <w:sz w:val="22"/>
          <w:szCs w:val="22"/>
        </w:rPr>
        <w:t xml:space="preserve">: </w:t>
      </w:r>
    </w:p>
    <w:p w14:paraId="3D455E54" w14:textId="17E6C3E7" w:rsidR="004D6B17" w:rsidRPr="00E97769" w:rsidRDefault="004D6B17" w:rsidP="004D6B17">
      <w:pPr>
        <w:spacing w:line="276" w:lineRule="auto"/>
        <w:ind w:left="709"/>
        <w:rPr>
          <w:rFonts w:ascii="Arial" w:hAnsi="Arial" w:cs="Arial"/>
          <w:sz w:val="22"/>
          <w:szCs w:val="22"/>
        </w:rPr>
      </w:pPr>
      <w:r>
        <w:rPr>
          <w:rFonts w:ascii="Arial" w:hAnsi="Arial" w:cs="Arial"/>
          <w:sz w:val="22"/>
          <w:szCs w:val="22"/>
        </w:rPr>
        <w:t>6</w:t>
      </w:r>
      <w:r w:rsidRPr="00E97769">
        <w:rPr>
          <w:rFonts w:ascii="Arial" w:hAnsi="Arial" w:cs="Arial"/>
          <w:sz w:val="22"/>
          <w:szCs w:val="22"/>
        </w:rPr>
        <w:t xml:space="preserve">x ukrep (dvignjen prehod, zoženje, merilec, </w:t>
      </w:r>
      <w:r>
        <w:rPr>
          <w:rFonts w:ascii="Arial" w:hAnsi="Arial" w:cs="Arial"/>
          <w:sz w:val="22"/>
          <w:szCs w:val="22"/>
        </w:rPr>
        <w:t xml:space="preserve">2x </w:t>
      </w:r>
      <w:r w:rsidRPr="00E97769">
        <w:rPr>
          <w:rFonts w:ascii="Arial" w:hAnsi="Arial" w:cs="Arial"/>
          <w:sz w:val="22"/>
          <w:szCs w:val="22"/>
        </w:rPr>
        <w:t>prikazovalnik, omejitev hitrosti)</w:t>
      </w:r>
    </w:p>
    <w:p w14:paraId="2BAFEB6F" w14:textId="4CB3BC2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Troštova ulica</w:t>
      </w:r>
      <w:r>
        <w:rPr>
          <w:rFonts w:ascii="Arial" w:hAnsi="Arial" w:cs="Arial"/>
          <w:sz w:val="22"/>
          <w:szCs w:val="22"/>
        </w:rPr>
        <w:t xml:space="preserve"> (</w:t>
      </w:r>
      <w:r w:rsidR="00D11597">
        <w:rPr>
          <w:rFonts w:ascii="Arial" w:hAnsi="Arial" w:cs="Arial"/>
          <w:sz w:val="22"/>
          <w:szCs w:val="22"/>
        </w:rPr>
        <w:t>89</w:t>
      </w:r>
      <w:r>
        <w:rPr>
          <w:rFonts w:ascii="Arial" w:hAnsi="Arial" w:cs="Arial"/>
          <w:sz w:val="22"/>
          <w:szCs w:val="22"/>
        </w:rPr>
        <w:t xml:space="preserve"> m)</w:t>
      </w:r>
      <w:r w:rsidRPr="00E97769">
        <w:rPr>
          <w:rFonts w:ascii="Arial" w:hAnsi="Arial" w:cs="Arial"/>
          <w:sz w:val="22"/>
          <w:szCs w:val="22"/>
        </w:rPr>
        <w:t xml:space="preserve">: </w:t>
      </w:r>
    </w:p>
    <w:p w14:paraId="16E7C836"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6x ukrep (6x hitrostna ovira)</w:t>
      </w:r>
    </w:p>
    <w:p w14:paraId="596CFC83" w14:textId="77777777" w:rsidR="004D6B17" w:rsidRPr="00E97769" w:rsidRDefault="004D6B17" w:rsidP="004D6B17">
      <w:pPr>
        <w:numPr>
          <w:ilvl w:val="0"/>
          <w:numId w:val="115"/>
        </w:numPr>
        <w:spacing w:line="276" w:lineRule="auto"/>
        <w:contextualSpacing/>
        <w:rPr>
          <w:rFonts w:ascii="Arial" w:hAnsi="Arial" w:cs="Arial"/>
          <w:i/>
          <w:iCs/>
          <w:sz w:val="22"/>
          <w:szCs w:val="22"/>
        </w:rPr>
      </w:pPr>
      <w:r w:rsidRPr="00E97769">
        <w:rPr>
          <w:rFonts w:ascii="Arial" w:hAnsi="Arial" w:cs="Arial"/>
          <w:i/>
          <w:iCs/>
          <w:sz w:val="22"/>
          <w:szCs w:val="22"/>
        </w:rPr>
        <w:t>povprečna razdalja med ukrepi (merilo: ukrep/50 m oz. ukrep/100 m).</w:t>
      </w:r>
    </w:p>
    <w:p w14:paraId="3326CE7A" w14:textId="77777777" w:rsidR="006F684E" w:rsidRPr="003D301D" w:rsidRDefault="006F684E" w:rsidP="006F684E">
      <w:pPr>
        <w:pStyle w:val="Odstavekseznama"/>
        <w:numPr>
          <w:ilvl w:val="1"/>
          <w:numId w:val="115"/>
        </w:numPr>
        <w:spacing w:after="0"/>
        <w:rPr>
          <w:rFonts w:ascii="Arial" w:hAnsi="Arial" w:cs="Arial"/>
        </w:rPr>
      </w:pPr>
      <w:r w:rsidRPr="003D301D">
        <w:rPr>
          <w:rFonts w:ascii="Arial" w:hAnsi="Arial" w:cs="Arial"/>
        </w:rPr>
        <w:t>Govekarjeva cesta:</w:t>
      </w:r>
      <w:r>
        <w:rPr>
          <w:rFonts w:ascii="Arial" w:hAnsi="Arial" w:cs="Arial"/>
        </w:rPr>
        <w:t xml:space="preserve"> ukrep /32,8 m</w:t>
      </w:r>
    </w:p>
    <w:p w14:paraId="72CBFC47" w14:textId="77777777" w:rsidR="006F684E" w:rsidRPr="003D301D" w:rsidRDefault="006F684E" w:rsidP="006F684E">
      <w:pPr>
        <w:pStyle w:val="Odstavekseznama"/>
        <w:numPr>
          <w:ilvl w:val="1"/>
          <w:numId w:val="115"/>
        </w:numPr>
        <w:spacing w:after="0"/>
        <w:rPr>
          <w:rFonts w:ascii="Arial" w:hAnsi="Arial" w:cs="Arial"/>
        </w:rPr>
      </w:pPr>
      <w:r w:rsidRPr="003D301D">
        <w:rPr>
          <w:rFonts w:ascii="Arial" w:hAnsi="Arial" w:cs="Arial"/>
        </w:rPr>
        <w:t xml:space="preserve">Troštova ulica: </w:t>
      </w:r>
      <w:r>
        <w:rPr>
          <w:rFonts w:ascii="Arial" w:hAnsi="Arial" w:cs="Arial"/>
        </w:rPr>
        <w:t>ukrep / 14,8 m</w:t>
      </w:r>
    </w:p>
    <w:p w14:paraId="6A70938E" w14:textId="77777777" w:rsidR="004D6B17" w:rsidRPr="00E97769" w:rsidRDefault="004D6B17" w:rsidP="004D6B17">
      <w:pPr>
        <w:spacing w:line="276" w:lineRule="auto"/>
        <w:ind w:left="720"/>
        <w:contextualSpacing/>
        <w:rPr>
          <w:rFonts w:ascii="Arial" w:hAnsi="Arial" w:cs="Arial"/>
          <w:i/>
          <w:iCs/>
          <w:sz w:val="22"/>
          <w:szCs w:val="22"/>
        </w:rPr>
      </w:pPr>
    </w:p>
    <w:p w14:paraId="7BD9A857"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6. Avtobusno postajališče in kolesarska infrastruktura:</w:t>
      </w:r>
    </w:p>
    <w:p w14:paraId="681C182D"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površina novega avtobusnega postajališča: 834,8 m</w:t>
      </w:r>
      <w:r w:rsidRPr="00E97769">
        <w:rPr>
          <w:rFonts w:ascii="Arial" w:hAnsi="Arial" w:cs="Arial"/>
          <w:sz w:val="22"/>
          <w:szCs w:val="22"/>
          <w:vertAlign w:val="superscript"/>
        </w:rPr>
        <w:t>2</w:t>
      </w:r>
      <w:r w:rsidRPr="00E97769">
        <w:rPr>
          <w:rFonts w:ascii="Arial" w:hAnsi="Arial" w:cs="Arial"/>
          <w:sz w:val="22"/>
          <w:szCs w:val="22"/>
        </w:rPr>
        <w:t xml:space="preserve"> – </w:t>
      </w:r>
      <w:proofErr w:type="spellStart"/>
      <w:r w:rsidRPr="00E97769">
        <w:rPr>
          <w:rFonts w:ascii="Arial" w:hAnsi="Arial" w:cs="Arial"/>
          <w:sz w:val="22"/>
          <w:szCs w:val="22"/>
        </w:rPr>
        <w:t>povozna</w:t>
      </w:r>
      <w:proofErr w:type="spellEnd"/>
      <w:r w:rsidRPr="00E97769">
        <w:rPr>
          <w:rFonts w:ascii="Arial" w:hAnsi="Arial" w:cs="Arial"/>
          <w:sz w:val="22"/>
          <w:szCs w:val="22"/>
        </w:rPr>
        <w:t xml:space="preserve"> površina, peroni, pločniki</w:t>
      </w:r>
      <w:r w:rsidRPr="00E97769">
        <w:rPr>
          <w:rFonts w:ascii="Arial" w:hAnsi="Arial" w:cs="Arial"/>
          <w:sz w:val="22"/>
          <w:szCs w:val="22"/>
        </w:rPr>
        <w:tab/>
      </w:r>
      <w:r w:rsidRPr="00E97769">
        <w:rPr>
          <w:rFonts w:ascii="Arial" w:hAnsi="Arial" w:cs="Arial"/>
          <w:sz w:val="22"/>
          <w:szCs w:val="22"/>
        </w:rPr>
        <w:tab/>
      </w:r>
    </w:p>
    <w:p w14:paraId="18D858E2"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število peronov: 3</w:t>
      </w:r>
    </w:p>
    <w:p w14:paraId="3ED6841C" w14:textId="20821B5C"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število in lokacije parkirišč za kolesa: 7 lokacij z</w:t>
      </w:r>
      <w:r>
        <w:rPr>
          <w:rFonts w:ascii="Arial" w:hAnsi="Arial" w:cs="Arial"/>
          <w:sz w:val="22"/>
          <w:szCs w:val="22"/>
        </w:rPr>
        <w:t>a parkiranje</w:t>
      </w:r>
      <w:r w:rsidRPr="00E97769">
        <w:rPr>
          <w:rFonts w:ascii="Arial" w:hAnsi="Arial" w:cs="Arial"/>
          <w:sz w:val="22"/>
          <w:szCs w:val="22"/>
        </w:rPr>
        <w:t xml:space="preserve"> koles</w:t>
      </w:r>
    </w:p>
    <w:p w14:paraId="4696EDE1" w14:textId="77777777" w:rsidR="004D6B17" w:rsidRPr="00AA423F" w:rsidRDefault="004D6B17" w:rsidP="004D6B17">
      <w:pPr>
        <w:pStyle w:val="Odstavekseznama"/>
        <w:numPr>
          <w:ilvl w:val="1"/>
          <w:numId w:val="115"/>
        </w:numPr>
        <w:spacing w:after="0"/>
        <w:rPr>
          <w:rFonts w:ascii="Arial" w:hAnsi="Arial" w:cs="Arial"/>
        </w:rPr>
      </w:pPr>
      <w:r w:rsidRPr="00AA423F">
        <w:rPr>
          <w:rFonts w:ascii="Arial" w:hAnsi="Arial" w:cs="Arial"/>
        </w:rPr>
        <w:t>2x izposoja e-koles – 10 PM + 6 PM</w:t>
      </w:r>
    </w:p>
    <w:p w14:paraId="2730A40F" w14:textId="77777777" w:rsidR="004D6B17" w:rsidRPr="00AA423F" w:rsidRDefault="004D6B17" w:rsidP="004D6B17">
      <w:pPr>
        <w:pStyle w:val="Odstavekseznama"/>
        <w:numPr>
          <w:ilvl w:val="1"/>
          <w:numId w:val="115"/>
        </w:numPr>
        <w:spacing w:after="0"/>
        <w:rPr>
          <w:rFonts w:ascii="Arial" w:hAnsi="Arial" w:cs="Arial"/>
        </w:rPr>
      </w:pPr>
      <w:r w:rsidRPr="00AA423F">
        <w:rPr>
          <w:rFonts w:ascii="Arial" w:hAnsi="Arial" w:cs="Arial"/>
        </w:rPr>
        <w:t>4x nadkrita stojna mesta na prostem – 4x 10 PM</w:t>
      </w:r>
    </w:p>
    <w:p w14:paraId="1012ACB1" w14:textId="77777777" w:rsidR="004D6B17" w:rsidRPr="00AA423F" w:rsidRDefault="004D6B17" w:rsidP="004D6B17">
      <w:pPr>
        <w:pStyle w:val="Odstavekseznama"/>
        <w:numPr>
          <w:ilvl w:val="1"/>
          <w:numId w:val="115"/>
        </w:numPr>
        <w:spacing w:after="0"/>
        <w:rPr>
          <w:rFonts w:ascii="Arial" w:hAnsi="Arial" w:cs="Arial"/>
        </w:rPr>
      </w:pPr>
      <w:r w:rsidRPr="00AA423F">
        <w:rPr>
          <w:rFonts w:ascii="Arial" w:hAnsi="Arial" w:cs="Arial"/>
        </w:rPr>
        <w:t>1x varna kolesarnica – 10 PM (25 m</w:t>
      </w:r>
      <w:r w:rsidRPr="00AA423F">
        <w:rPr>
          <w:rFonts w:ascii="Arial" w:hAnsi="Arial" w:cs="Arial"/>
          <w:vertAlign w:val="superscript"/>
        </w:rPr>
        <w:t>2</w:t>
      </w:r>
      <w:r w:rsidRPr="00AA423F">
        <w:rPr>
          <w:rFonts w:ascii="Arial" w:hAnsi="Arial" w:cs="Arial"/>
        </w:rPr>
        <w:t>)</w:t>
      </w:r>
    </w:p>
    <w:p w14:paraId="4C85D329" w14:textId="77777777" w:rsidR="004D6B17"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število priklopnih mest v sistemu</w:t>
      </w:r>
      <w:r>
        <w:rPr>
          <w:rFonts w:ascii="Arial" w:hAnsi="Arial" w:cs="Arial"/>
          <w:sz w:val="22"/>
          <w:szCs w:val="22"/>
        </w:rPr>
        <w:t xml:space="preserve"> javne</w:t>
      </w:r>
      <w:r w:rsidRPr="00E97769">
        <w:rPr>
          <w:rFonts w:ascii="Arial" w:hAnsi="Arial" w:cs="Arial"/>
          <w:sz w:val="22"/>
          <w:szCs w:val="22"/>
        </w:rPr>
        <w:t xml:space="preserve"> izposoje koles: 10 PM + 6 PM</w:t>
      </w:r>
    </w:p>
    <w:p w14:paraId="4502A356" w14:textId="77777777" w:rsidR="004D6B17" w:rsidRPr="00E97769" w:rsidRDefault="004D6B17" w:rsidP="004D6B17">
      <w:pPr>
        <w:numPr>
          <w:ilvl w:val="0"/>
          <w:numId w:val="115"/>
        </w:numPr>
        <w:spacing w:line="276" w:lineRule="auto"/>
        <w:contextualSpacing/>
        <w:rPr>
          <w:rFonts w:ascii="Arial" w:hAnsi="Arial" w:cs="Arial"/>
          <w:sz w:val="22"/>
          <w:szCs w:val="22"/>
        </w:rPr>
      </w:pPr>
      <w:r>
        <w:rPr>
          <w:rFonts w:ascii="Arial" w:hAnsi="Arial" w:cs="Arial"/>
          <w:sz w:val="22"/>
          <w:szCs w:val="22"/>
        </w:rPr>
        <w:lastRenderedPageBreak/>
        <w:t>nakup 8 e-koles</w:t>
      </w:r>
    </w:p>
    <w:p w14:paraId="1140F31C" w14:textId="77777777" w:rsidR="004D6B17" w:rsidRPr="00E97769" w:rsidRDefault="004D6B17" w:rsidP="004D6B17">
      <w:pPr>
        <w:spacing w:line="276" w:lineRule="auto"/>
        <w:ind w:left="720"/>
        <w:contextualSpacing/>
        <w:rPr>
          <w:rFonts w:ascii="Arial" w:hAnsi="Arial" w:cs="Arial"/>
          <w:sz w:val="22"/>
          <w:szCs w:val="22"/>
        </w:rPr>
      </w:pPr>
    </w:p>
    <w:p w14:paraId="03BB3CFC"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7. Podatki za spremljanje kazalnikov:</w:t>
      </w:r>
    </w:p>
    <w:p w14:paraId="411F51C9"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predvidena lokacija in število merilcev hitrosti,</w:t>
      </w:r>
    </w:p>
    <w:p w14:paraId="6991555F"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Merilec: 1x na Govekarjevi med drevesi pred telovadnico </w:t>
      </w:r>
    </w:p>
    <w:p w14:paraId="0785170D" w14:textId="33EFFAC2"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Prikazovalnik</w:t>
      </w:r>
      <w:r w:rsidR="00CB48F8">
        <w:rPr>
          <w:rFonts w:ascii="Arial" w:hAnsi="Arial" w:cs="Arial"/>
          <w:sz w:val="22"/>
          <w:szCs w:val="22"/>
        </w:rPr>
        <w:t>i</w:t>
      </w:r>
      <w:r w:rsidRPr="00E97769">
        <w:rPr>
          <w:rFonts w:ascii="Arial" w:hAnsi="Arial" w:cs="Arial"/>
          <w:sz w:val="22"/>
          <w:szCs w:val="22"/>
        </w:rPr>
        <w:t>: 1x na Govekarjevi pri Občinski stavbi proti severu, 1x ob cerkvi na ulični svetilki proti jugu</w:t>
      </w:r>
    </w:p>
    <w:p w14:paraId="17D1F2AA"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predvidena lokacija in število števcev kolesarjev:</w:t>
      </w:r>
    </w:p>
    <w:p w14:paraId="6C572C49"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Števec kolesarjev je predviden na isti lokaciji kot prikazovalnik hitrosti (merjenje proti severu). Prikazovalnik hitrosti proti jugu je montiran na ulično svetilko.</w:t>
      </w:r>
    </w:p>
    <w:p w14:paraId="674AE620" w14:textId="77777777" w:rsidR="004D6B17" w:rsidRPr="00E97769" w:rsidRDefault="004D6B17" w:rsidP="004D6B17">
      <w:pPr>
        <w:spacing w:line="276" w:lineRule="auto"/>
        <w:ind w:left="709"/>
        <w:rPr>
          <w:rFonts w:ascii="Arial" w:hAnsi="Arial" w:cs="Arial"/>
          <w:sz w:val="22"/>
          <w:szCs w:val="22"/>
        </w:rPr>
      </w:pPr>
      <w:r>
        <w:rPr>
          <w:rFonts w:ascii="Arial" w:hAnsi="Arial" w:cs="Arial"/>
          <w:sz w:val="22"/>
          <w:szCs w:val="22"/>
        </w:rPr>
        <w:t>S</w:t>
      </w:r>
      <w:r w:rsidRPr="00E97769">
        <w:rPr>
          <w:rFonts w:ascii="Arial" w:hAnsi="Arial" w:cs="Arial"/>
          <w:sz w:val="22"/>
          <w:szCs w:val="22"/>
        </w:rPr>
        <w:t xml:space="preserve">premljanje V85 </w:t>
      </w:r>
      <w:r>
        <w:rPr>
          <w:rFonts w:ascii="Arial" w:hAnsi="Arial" w:cs="Arial"/>
          <w:sz w:val="22"/>
          <w:szCs w:val="22"/>
        </w:rPr>
        <w:t>hitrosti.</w:t>
      </w:r>
    </w:p>
    <w:p w14:paraId="3F6B5256" w14:textId="77777777" w:rsidR="004D6B17" w:rsidRPr="00E97769" w:rsidRDefault="004D6B17" w:rsidP="004D6B17">
      <w:pPr>
        <w:spacing w:line="276" w:lineRule="auto"/>
        <w:rPr>
          <w:rFonts w:ascii="Arial" w:hAnsi="Arial" w:cs="Arial"/>
          <w:sz w:val="22"/>
          <w:szCs w:val="22"/>
        </w:rPr>
      </w:pPr>
    </w:p>
    <w:p w14:paraId="134278A0" w14:textId="77777777" w:rsidR="004D6B17" w:rsidRPr="00E97769" w:rsidRDefault="004D6B17" w:rsidP="004D6B17">
      <w:pPr>
        <w:spacing w:line="276" w:lineRule="auto"/>
        <w:rPr>
          <w:rFonts w:ascii="Arial" w:hAnsi="Arial" w:cs="Arial"/>
          <w:b/>
          <w:bCs/>
          <w:sz w:val="22"/>
          <w:szCs w:val="22"/>
        </w:rPr>
      </w:pPr>
      <w:r w:rsidRPr="00E97769">
        <w:rPr>
          <w:rFonts w:ascii="Arial" w:hAnsi="Arial" w:cs="Arial"/>
          <w:b/>
          <w:bCs/>
          <w:sz w:val="22"/>
          <w:szCs w:val="22"/>
        </w:rPr>
        <w:t>8. Skladnost z načeli krožnega gospodarstva:</w:t>
      </w:r>
    </w:p>
    <w:p w14:paraId="781A3B42"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navedba uporabljenih materialov in gradbenih rešitev:</w:t>
      </w:r>
    </w:p>
    <w:p w14:paraId="21604877"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Govekarjeva cesta: kamnite kocke na drenažnem betonu</w:t>
      </w:r>
    </w:p>
    <w:p w14:paraId="05C8CFE1"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Križišče: Asfalt, dvignjeni prehodi izvedeni z granitnimi kockami</w:t>
      </w:r>
    </w:p>
    <w:p w14:paraId="03DBABA1" w14:textId="0DD91F92"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Troštova: Asfalt, hitrostne ovire izvedene z </w:t>
      </w:r>
      <w:r w:rsidR="000B1D36">
        <w:rPr>
          <w:rFonts w:ascii="Arial" w:hAnsi="Arial" w:cs="Arial"/>
          <w:sz w:val="22"/>
          <w:szCs w:val="22"/>
        </w:rPr>
        <w:t>granitnimi kockami</w:t>
      </w:r>
      <w:r w:rsidRPr="00E97769">
        <w:rPr>
          <w:rFonts w:ascii="Arial" w:hAnsi="Arial" w:cs="Arial"/>
          <w:sz w:val="22"/>
          <w:szCs w:val="22"/>
        </w:rPr>
        <w:t xml:space="preserve">, </w:t>
      </w:r>
      <w:proofErr w:type="spellStart"/>
      <w:r w:rsidRPr="00E97769">
        <w:rPr>
          <w:rFonts w:ascii="Arial" w:hAnsi="Arial" w:cs="Arial"/>
          <w:sz w:val="22"/>
          <w:szCs w:val="22"/>
        </w:rPr>
        <w:t>mulda</w:t>
      </w:r>
      <w:proofErr w:type="spellEnd"/>
      <w:r w:rsidRPr="00E97769">
        <w:rPr>
          <w:rFonts w:ascii="Arial" w:hAnsi="Arial" w:cs="Arial"/>
          <w:sz w:val="22"/>
          <w:szCs w:val="22"/>
        </w:rPr>
        <w:t xml:space="preserve"> izvedena s kamnitimi kockami, prehod v park izveden v pranem betonu</w:t>
      </w:r>
    </w:p>
    <w:p w14:paraId="1D53FE81"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 xml:space="preserve">AP: </w:t>
      </w:r>
      <w:proofErr w:type="spellStart"/>
      <w:r w:rsidRPr="00E97769">
        <w:rPr>
          <w:rFonts w:ascii="Arial" w:hAnsi="Arial" w:cs="Arial"/>
          <w:sz w:val="22"/>
          <w:szCs w:val="22"/>
        </w:rPr>
        <w:t>povozne</w:t>
      </w:r>
      <w:proofErr w:type="spellEnd"/>
      <w:r w:rsidRPr="00E97769">
        <w:rPr>
          <w:rFonts w:ascii="Arial" w:hAnsi="Arial" w:cs="Arial"/>
          <w:sz w:val="22"/>
          <w:szCs w:val="22"/>
        </w:rPr>
        <w:t xml:space="preserve"> površine asfalt, pločnik asfalt, peroni izvedeni v kamnitih kockah</w:t>
      </w:r>
    </w:p>
    <w:p w14:paraId="3A576B7D" w14:textId="77777777" w:rsidR="004D6B17" w:rsidRPr="00E97769" w:rsidRDefault="004D6B17" w:rsidP="004D6B17">
      <w:pPr>
        <w:spacing w:line="276" w:lineRule="auto"/>
        <w:ind w:left="709"/>
        <w:rPr>
          <w:rFonts w:ascii="Arial" w:hAnsi="Arial" w:cs="Arial"/>
          <w:sz w:val="22"/>
          <w:szCs w:val="22"/>
        </w:rPr>
      </w:pPr>
      <w:r w:rsidRPr="00E97769">
        <w:rPr>
          <w:rFonts w:ascii="Arial" w:hAnsi="Arial" w:cs="Arial"/>
          <w:sz w:val="22"/>
          <w:szCs w:val="22"/>
        </w:rPr>
        <w:t>Nadstrešnica AP: Jekleni okrogli stebri, ostrešje leseno, pločevinasta streha, lesena fasada</w:t>
      </w:r>
    </w:p>
    <w:p w14:paraId="46C35EF8" w14:textId="67E1B3A5" w:rsidR="004D6B17" w:rsidRPr="00E97769" w:rsidRDefault="004D6B17" w:rsidP="004D6B17">
      <w:pPr>
        <w:spacing w:line="276" w:lineRule="auto"/>
        <w:ind w:left="709"/>
        <w:rPr>
          <w:rFonts w:ascii="Arial" w:hAnsi="Arial" w:cs="Arial"/>
          <w:sz w:val="22"/>
          <w:szCs w:val="22"/>
        </w:rPr>
      </w:pPr>
      <w:r>
        <w:rPr>
          <w:rFonts w:ascii="Arial" w:hAnsi="Arial" w:cs="Arial"/>
          <w:sz w:val="22"/>
          <w:szCs w:val="22"/>
        </w:rPr>
        <w:t>Nadkrita s</w:t>
      </w:r>
      <w:r w:rsidRPr="00E97769">
        <w:rPr>
          <w:rFonts w:ascii="Arial" w:hAnsi="Arial" w:cs="Arial"/>
          <w:sz w:val="22"/>
          <w:szCs w:val="22"/>
        </w:rPr>
        <w:t xml:space="preserve">tojna mesta za kolesa: kjer so postavljena v raščen teren, je tlak izveden iz </w:t>
      </w:r>
      <w:r w:rsidR="000B1D36" w:rsidRPr="000B1D36">
        <w:rPr>
          <w:rFonts w:ascii="Arial" w:hAnsi="Arial" w:cs="Arial"/>
          <w:sz w:val="22"/>
          <w:szCs w:val="22"/>
        </w:rPr>
        <w:t>granitnih kock. Nadstrešnice koles so izvedene iz jeklenih okroglih stebrov, lesene strehe s pločevinasto kritino.</w:t>
      </w:r>
    </w:p>
    <w:p w14:paraId="501F31A6"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 xml:space="preserve">V največji meri so v projektu uporabljeni naravni materiali: kamen, les. Kjer to ni mogoče so uporabljeni materiali, ki omogočajo dolgo življenjsko dobo: beton, jeklo. </w:t>
      </w:r>
    </w:p>
    <w:p w14:paraId="57C09A2D" w14:textId="77777777" w:rsidR="004D6B17" w:rsidRPr="00E97769" w:rsidRDefault="004D6B17" w:rsidP="004D6B17">
      <w:pPr>
        <w:numPr>
          <w:ilvl w:val="0"/>
          <w:numId w:val="115"/>
        </w:numPr>
        <w:spacing w:line="276" w:lineRule="auto"/>
        <w:contextualSpacing/>
        <w:rPr>
          <w:rFonts w:ascii="Arial" w:hAnsi="Arial" w:cs="Arial"/>
          <w:sz w:val="22"/>
          <w:szCs w:val="22"/>
        </w:rPr>
      </w:pPr>
      <w:r w:rsidRPr="00E97769">
        <w:rPr>
          <w:rFonts w:ascii="Arial" w:hAnsi="Arial" w:cs="Arial"/>
          <w:sz w:val="22"/>
          <w:szCs w:val="22"/>
        </w:rPr>
        <w:t xml:space="preserve">opredelitev, kako projekt prispeva k ponovni uporabi, recikliranju in zmanjšanju </w:t>
      </w:r>
      <w:proofErr w:type="spellStart"/>
      <w:r w:rsidRPr="00E97769">
        <w:rPr>
          <w:rFonts w:ascii="Arial" w:hAnsi="Arial" w:cs="Arial"/>
          <w:sz w:val="22"/>
          <w:szCs w:val="22"/>
        </w:rPr>
        <w:t>okoljskega</w:t>
      </w:r>
      <w:proofErr w:type="spellEnd"/>
      <w:r w:rsidRPr="00E97769">
        <w:rPr>
          <w:rFonts w:ascii="Arial" w:hAnsi="Arial" w:cs="Arial"/>
          <w:sz w:val="22"/>
          <w:szCs w:val="22"/>
        </w:rPr>
        <w:t xml:space="preserve"> odtisa:</w:t>
      </w:r>
    </w:p>
    <w:p w14:paraId="12E78744" w14:textId="3C0E8E91" w:rsidR="004D6B17" w:rsidRPr="00E97769" w:rsidRDefault="004D6B17" w:rsidP="004D6B17">
      <w:pPr>
        <w:spacing w:line="276" w:lineRule="auto"/>
        <w:ind w:left="720"/>
        <w:contextualSpacing/>
        <w:rPr>
          <w:rFonts w:ascii="Arial" w:hAnsi="Arial" w:cs="Arial"/>
          <w:sz w:val="22"/>
          <w:szCs w:val="22"/>
        </w:rPr>
      </w:pPr>
      <w:r w:rsidRPr="00E97769">
        <w:rPr>
          <w:rFonts w:ascii="Arial" w:hAnsi="Arial" w:cs="Arial"/>
          <w:sz w:val="22"/>
          <w:szCs w:val="22"/>
        </w:rPr>
        <w:t>Pri stavbah se v največji meri uporabi les</w:t>
      </w:r>
      <w:r w:rsidR="0036568B">
        <w:rPr>
          <w:rFonts w:ascii="Arial" w:hAnsi="Arial" w:cs="Arial"/>
          <w:sz w:val="22"/>
          <w:szCs w:val="22"/>
        </w:rPr>
        <w:t xml:space="preserve"> (skladiščenje CO</w:t>
      </w:r>
      <w:r w:rsidR="0036568B" w:rsidRPr="00AA423F">
        <w:rPr>
          <w:rFonts w:ascii="Arial" w:hAnsi="Arial" w:cs="Arial"/>
          <w:sz w:val="22"/>
          <w:szCs w:val="22"/>
          <w:vertAlign w:val="subscript"/>
        </w:rPr>
        <w:t>2</w:t>
      </w:r>
      <w:r w:rsidR="0036568B">
        <w:rPr>
          <w:rFonts w:ascii="Arial" w:hAnsi="Arial" w:cs="Arial"/>
          <w:sz w:val="22"/>
          <w:szCs w:val="22"/>
        </w:rPr>
        <w:t>)</w:t>
      </w:r>
      <w:r w:rsidRPr="00E97769">
        <w:rPr>
          <w:rFonts w:ascii="Arial" w:hAnsi="Arial" w:cs="Arial"/>
          <w:sz w:val="22"/>
          <w:szCs w:val="22"/>
        </w:rPr>
        <w:t xml:space="preserve"> – konstrukcija ostrešja, fasada</w:t>
      </w:r>
    </w:p>
    <w:p w14:paraId="573D0A27" w14:textId="77777777" w:rsidR="004D6B17" w:rsidRPr="00E97769" w:rsidRDefault="004D6B17" w:rsidP="004D6B17">
      <w:pPr>
        <w:spacing w:line="276" w:lineRule="auto"/>
        <w:ind w:left="720"/>
        <w:contextualSpacing/>
        <w:rPr>
          <w:rFonts w:ascii="Arial" w:hAnsi="Arial" w:cs="Arial"/>
          <w:sz w:val="22"/>
          <w:szCs w:val="22"/>
        </w:rPr>
      </w:pPr>
      <w:proofErr w:type="spellStart"/>
      <w:r w:rsidRPr="00E97769">
        <w:rPr>
          <w:rFonts w:ascii="Arial" w:hAnsi="Arial" w:cs="Arial"/>
          <w:sz w:val="22"/>
          <w:szCs w:val="22"/>
        </w:rPr>
        <w:t>Fotovoltaika</w:t>
      </w:r>
      <w:proofErr w:type="spellEnd"/>
      <w:r w:rsidRPr="00E97769">
        <w:rPr>
          <w:rFonts w:ascii="Arial" w:hAnsi="Arial" w:cs="Arial"/>
          <w:sz w:val="22"/>
          <w:szCs w:val="22"/>
        </w:rPr>
        <w:t xml:space="preserve"> na južnih strešinah varovane kolesarnice in nadstrešnice AP</w:t>
      </w:r>
    </w:p>
    <w:bookmarkEnd w:id="51"/>
    <w:p w14:paraId="5BBB5AD3" w14:textId="77777777" w:rsidR="004D6B17" w:rsidRPr="00E97769" w:rsidRDefault="004D6B17" w:rsidP="004D6B17">
      <w:pPr>
        <w:spacing w:after="120" w:line="276" w:lineRule="auto"/>
        <w:jc w:val="both"/>
        <w:rPr>
          <w:rFonts w:ascii="Arial" w:hAnsi="Arial" w:cs="Arial"/>
          <w:sz w:val="22"/>
          <w:szCs w:val="22"/>
          <w:lang w:eastAsia="zh-TW"/>
        </w:rPr>
      </w:pPr>
    </w:p>
    <w:bookmarkEnd w:id="52"/>
    <w:p w14:paraId="3D9836A1" w14:textId="77777777" w:rsidR="004D6B17" w:rsidRPr="00E97769" w:rsidRDefault="004D6B17" w:rsidP="004D6B17">
      <w:pPr>
        <w:numPr>
          <w:ilvl w:val="0"/>
          <w:numId w:val="113"/>
        </w:numPr>
        <w:spacing w:line="276" w:lineRule="auto"/>
        <w:ind w:left="426" w:hanging="357"/>
        <w:contextualSpacing/>
        <w:jc w:val="both"/>
        <w:rPr>
          <w:rFonts w:ascii="Arial" w:hAnsi="Arial" w:cs="Arial"/>
          <w:b/>
          <w:bCs/>
          <w:sz w:val="22"/>
          <w:szCs w:val="22"/>
          <w:lang w:eastAsia="zh-TW"/>
        </w:rPr>
      </w:pPr>
      <w:r w:rsidRPr="00E97769">
        <w:rPr>
          <w:rFonts w:ascii="Arial" w:hAnsi="Arial" w:cs="Arial"/>
          <w:b/>
          <w:bCs/>
          <w:sz w:val="22"/>
          <w:szCs w:val="22"/>
          <w:lang w:eastAsia="zh-TW"/>
        </w:rPr>
        <w:t>Učinki (širši vplivi projekta)</w:t>
      </w:r>
    </w:p>
    <w:p w14:paraId="1374A07F" w14:textId="77777777" w:rsidR="004D6B17" w:rsidRPr="00E97769" w:rsidRDefault="004D6B17" w:rsidP="004D6B17">
      <w:pPr>
        <w:numPr>
          <w:ilvl w:val="0"/>
          <w:numId w:val="112"/>
        </w:numPr>
        <w:spacing w:line="276" w:lineRule="auto"/>
        <w:ind w:hanging="357"/>
        <w:jc w:val="both"/>
        <w:rPr>
          <w:rFonts w:ascii="Arial" w:hAnsi="Arial" w:cs="Arial"/>
          <w:sz w:val="22"/>
          <w:szCs w:val="22"/>
          <w:lang w:eastAsia="zh-TW"/>
        </w:rPr>
      </w:pPr>
      <w:r w:rsidRPr="00E97769">
        <w:rPr>
          <w:rFonts w:ascii="Arial" w:hAnsi="Arial" w:cs="Arial"/>
          <w:b/>
          <w:bCs/>
          <w:sz w:val="22"/>
          <w:szCs w:val="22"/>
          <w:lang w:eastAsia="zh-TW"/>
        </w:rPr>
        <w:t>Povečanje deleža trajnostne mobilnosti</w:t>
      </w:r>
      <w:r w:rsidRPr="00E97769">
        <w:rPr>
          <w:rFonts w:ascii="Arial" w:hAnsi="Arial" w:cs="Arial"/>
          <w:sz w:val="22"/>
          <w:szCs w:val="22"/>
          <w:lang w:eastAsia="zh-TW"/>
        </w:rPr>
        <w:t>: več prebivalcev bo uporabljalo hojo, kolesarjenje in JPP namesto osebnih vozil.</w:t>
      </w:r>
    </w:p>
    <w:p w14:paraId="7C3DF216" w14:textId="77777777" w:rsidR="004D6B17" w:rsidRPr="00E97769" w:rsidRDefault="004D6B17" w:rsidP="004D6B17">
      <w:pPr>
        <w:numPr>
          <w:ilvl w:val="0"/>
          <w:numId w:val="112"/>
        </w:numPr>
        <w:spacing w:line="276" w:lineRule="auto"/>
        <w:ind w:hanging="357"/>
        <w:jc w:val="both"/>
        <w:rPr>
          <w:rFonts w:ascii="Arial" w:hAnsi="Arial" w:cs="Arial"/>
          <w:sz w:val="22"/>
          <w:szCs w:val="22"/>
          <w:lang w:eastAsia="zh-TW"/>
        </w:rPr>
      </w:pPr>
      <w:r w:rsidRPr="00E97769">
        <w:rPr>
          <w:rFonts w:ascii="Arial" w:hAnsi="Arial" w:cs="Arial"/>
          <w:b/>
          <w:bCs/>
          <w:sz w:val="22"/>
          <w:szCs w:val="22"/>
          <w:lang w:eastAsia="zh-TW"/>
        </w:rPr>
        <w:t>Zmanjšanje negativnih vplivov prometa</w:t>
      </w:r>
      <w:r w:rsidRPr="00E97769">
        <w:rPr>
          <w:rFonts w:ascii="Arial" w:hAnsi="Arial" w:cs="Arial"/>
          <w:sz w:val="22"/>
          <w:szCs w:val="22"/>
          <w:lang w:eastAsia="zh-TW"/>
        </w:rPr>
        <w:t>: manj emisij CO</w:t>
      </w:r>
      <w:r w:rsidRPr="00E97769">
        <w:rPr>
          <w:rFonts w:ascii="Cambria Math" w:hAnsi="Cambria Math" w:cs="Cambria Math"/>
          <w:sz w:val="22"/>
          <w:szCs w:val="22"/>
          <w:lang w:eastAsia="zh-TW"/>
        </w:rPr>
        <w:t>₂</w:t>
      </w:r>
      <w:r w:rsidRPr="00E97769">
        <w:rPr>
          <w:rFonts w:ascii="Arial" w:hAnsi="Arial" w:cs="Arial"/>
          <w:sz w:val="22"/>
          <w:szCs w:val="22"/>
          <w:lang w:eastAsia="zh-TW"/>
        </w:rPr>
        <w:t>, manj hrupa, manj toplotnih otokov v središču naselja.</w:t>
      </w:r>
    </w:p>
    <w:p w14:paraId="6F7D40E8" w14:textId="77777777" w:rsidR="004D6B17" w:rsidRPr="00E97769" w:rsidRDefault="004D6B17" w:rsidP="004D6B17">
      <w:pPr>
        <w:numPr>
          <w:ilvl w:val="0"/>
          <w:numId w:val="112"/>
        </w:numPr>
        <w:spacing w:line="276" w:lineRule="auto"/>
        <w:ind w:hanging="357"/>
        <w:jc w:val="both"/>
        <w:rPr>
          <w:rFonts w:ascii="Arial" w:hAnsi="Arial" w:cs="Arial"/>
          <w:sz w:val="22"/>
          <w:szCs w:val="22"/>
          <w:lang w:eastAsia="zh-TW"/>
        </w:rPr>
      </w:pPr>
      <w:r w:rsidRPr="00E97769">
        <w:rPr>
          <w:rFonts w:ascii="Arial" w:hAnsi="Arial" w:cs="Arial"/>
          <w:b/>
          <w:bCs/>
          <w:sz w:val="22"/>
          <w:szCs w:val="22"/>
          <w:lang w:eastAsia="zh-TW"/>
        </w:rPr>
        <w:t>Izboljšanje prometne varnosti</w:t>
      </w:r>
      <w:r w:rsidRPr="00E97769">
        <w:rPr>
          <w:rFonts w:ascii="Arial" w:hAnsi="Arial" w:cs="Arial"/>
          <w:sz w:val="22"/>
          <w:szCs w:val="22"/>
          <w:lang w:eastAsia="zh-TW"/>
        </w:rPr>
        <w:t>: predvsem za otroke, šolarje, starejše in gibalno ovirane.</w:t>
      </w:r>
    </w:p>
    <w:p w14:paraId="332FFB7E" w14:textId="77777777" w:rsidR="004D6B17" w:rsidRPr="00E97769" w:rsidRDefault="004D6B17" w:rsidP="004D6B17">
      <w:pPr>
        <w:numPr>
          <w:ilvl w:val="0"/>
          <w:numId w:val="112"/>
        </w:numPr>
        <w:spacing w:line="276" w:lineRule="auto"/>
        <w:ind w:hanging="357"/>
        <w:jc w:val="both"/>
        <w:rPr>
          <w:rFonts w:ascii="Arial" w:hAnsi="Arial" w:cs="Arial"/>
          <w:sz w:val="22"/>
          <w:szCs w:val="22"/>
          <w:lang w:eastAsia="zh-TW"/>
        </w:rPr>
      </w:pPr>
      <w:r w:rsidRPr="00E97769">
        <w:rPr>
          <w:rFonts w:ascii="Arial" w:hAnsi="Arial" w:cs="Arial"/>
          <w:b/>
          <w:bCs/>
          <w:sz w:val="22"/>
          <w:szCs w:val="22"/>
          <w:lang w:eastAsia="zh-TW"/>
        </w:rPr>
        <w:t>Višja kakovost bivanja in urejen javni prostor</w:t>
      </w:r>
      <w:r w:rsidRPr="00E97769">
        <w:rPr>
          <w:rFonts w:ascii="Arial" w:hAnsi="Arial" w:cs="Arial"/>
          <w:sz w:val="22"/>
          <w:szCs w:val="22"/>
          <w:lang w:eastAsia="zh-TW"/>
        </w:rPr>
        <w:t>: privlačnejše in bolj funkcionalno središče Ig, ki spodbuja aktivno življenje.</w:t>
      </w:r>
    </w:p>
    <w:p w14:paraId="52CFEA50" w14:textId="77777777" w:rsidR="004D6B17" w:rsidRPr="00E97769" w:rsidRDefault="004D6B17" w:rsidP="004D6B17">
      <w:pPr>
        <w:numPr>
          <w:ilvl w:val="0"/>
          <w:numId w:val="112"/>
        </w:numPr>
        <w:spacing w:line="276" w:lineRule="auto"/>
        <w:ind w:hanging="357"/>
        <w:jc w:val="both"/>
        <w:rPr>
          <w:rFonts w:ascii="Arial" w:hAnsi="Arial" w:cs="Arial"/>
          <w:sz w:val="22"/>
          <w:szCs w:val="22"/>
          <w:lang w:eastAsia="zh-TW"/>
        </w:rPr>
      </w:pPr>
      <w:r w:rsidRPr="00E97769">
        <w:rPr>
          <w:rFonts w:ascii="Arial" w:hAnsi="Arial" w:cs="Arial"/>
          <w:b/>
          <w:bCs/>
          <w:sz w:val="22"/>
          <w:szCs w:val="22"/>
          <w:lang w:eastAsia="zh-TW"/>
        </w:rPr>
        <w:t>Krepitev zelene infrastrukture</w:t>
      </w:r>
      <w:r w:rsidRPr="00E97769">
        <w:rPr>
          <w:rFonts w:ascii="Arial" w:hAnsi="Arial" w:cs="Arial"/>
          <w:sz w:val="22"/>
          <w:szCs w:val="22"/>
          <w:lang w:eastAsia="zh-TW"/>
        </w:rPr>
        <w:t>: povečanje biotske raznovrstnosti in naravi prijaznih rešitev v urbanem okolju tudi v sinergiji z vzporednim projektom ureditve zelene infrastrukture.</w:t>
      </w:r>
    </w:p>
    <w:p w14:paraId="0D5CDB3A" w14:textId="060B153B" w:rsidR="004D6B17" w:rsidRPr="00E97769" w:rsidRDefault="004D6B17" w:rsidP="004D6B17">
      <w:pPr>
        <w:numPr>
          <w:ilvl w:val="0"/>
          <w:numId w:val="112"/>
        </w:numPr>
        <w:spacing w:after="120" w:line="276" w:lineRule="auto"/>
        <w:jc w:val="both"/>
        <w:rPr>
          <w:rFonts w:ascii="Arial" w:hAnsi="Arial" w:cs="Arial"/>
          <w:sz w:val="22"/>
          <w:szCs w:val="22"/>
          <w:lang w:eastAsia="zh-TW"/>
        </w:rPr>
      </w:pPr>
      <w:r w:rsidRPr="00E97769">
        <w:rPr>
          <w:rFonts w:ascii="Arial" w:hAnsi="Arial" w:cs="Arial"/>
          <w:b/>
          <w:bCs/>
          <w:sz w:val="22"/>
          <w:szCs w:val="22"/>
          <w:lang w:eastAsia="zh-TW"/>
        </w:rPr>
        <w:t>Podpora občinskim in državnim strateškim dokumentom ter občinske celostne prometne strategije</w:t>
      </w:r>
      <w:r w:rsidRPr="00E97769">
        <w:rPr>
          <w:rFonts w:ascii="Arial" w:hAnsi="Arial" w:cs="Arial"/>
          <w:sz w:val="22"/>
          <w:szCs w:val="22"/>
          <w:lang w:eastAsia="zh-TW"/>
        </w:rPr>
        <w:t>: projekt neposredno prispeva k doseganju ciljev JR EKP UTM 2025 in evropske politike podnebne nevtralnosti ter OCPS</w:t>
      </w:r>
      <w:r w:rsidR="0036568B">
        <w:rPr>
          <w:rFonts w:ascii="Arial" w:hAnsi="Arial" w:cs="Arial"/>
          <w:sz w:val="22"/>
          <w:szCs w:val="22"/>
          <w:lang w:eastAsia="zh-TW"/>
        </w:rPr>
        <w:t>.</w:t>
      </w:r>
    </w:p>
    <w:p w14:paraId="3E530395" w14:textId="77777777" w:rsidR="004D6B17" w:rsidRPr="00BC0DCF" w:rsidRDefault="004D6B17" w:rsidP="004D6B17">
      <w:pPr>
        <w:jc w:val="both"/>
        <w:rPr>
          <w:rFonts w:ascii="Arial" w:eastAsia="Arial" w:hAnsi="Arial" w:cs="Arial"/>
          <w:sz w:val="20"/>
          <w:szCs w:val="20"/>
        </w:rPr>
      </w:pPr>
    </w:p>
    <w:p w14:paraId="259ACCD9" w14:textId="77777777" w:rsidR="006B2762" w:rsidRDefault="00C616C1"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53" w:name="_Toc210033765"/>
      <w:r w:rsidRPr="00F11127">
        <w:rPr>
          <w:rFonts w:asciiTheme="majorHAnsi" w:eastAsiaTheme="majorEastAsia" w:hAnsiTheme="majorHAnsi" w:cstheme="majorHAnsi"/>
          <w:color w:val="244061" w:themeColor="accent1" w:themeShade="80"/>
        </w:rPr>
        <w:lastRenderedPageBreak/>
        <w:t>Obdelava variant</w:t>
      </w:r>
      <w:bookmarkEnd w:id="53"/>
    </w:p>
    <w:p w14:paraId="79CB7238" w14:textId="7F56C4DB" w:rsidR="00BD06EE" w:rsidRPr="00BC0DCF" w:rsidRDefault="00BD06EE" w:rsidP="00BD06EE">
      <w:pPr>
        <w:spacing w:line="276" w:lineRule="auto"/>
        <w:jc w:val="both"/>
        <w:rPr>
          <w:rFonts w:ascii="Arial" w:eastAsia="Arial" w:hAnsi="Arial" w:cs="Arial"/>
          <w:sz w:val="22"/>
          <w:szCs w:val="22"/>
        </w:rPr>
      </w:pPr>
      <w:r w:rsidRPr="00BC0DCF">
        <w:rPr>
          <w:rFonts w:ascii="Arial" w:eastAsia="Arial" w:hAnsi="Arial" w:cs="Arial"/>
          <w:sz w:val="22"/>
          <w:szCs w:val="22"/>
        </w:rPr>
        <w:t xml:space="preserve">Opcijska analiza je </w:t>
      </w:r>
      <w:r w:rsidR="00E47EBC">
        <w:rPr>
          <w:rFonts w:ascii="Arial" w:eastAsia="Arial" w:hAnsi="Arial" w:cs="Arial"/>
          <w:sz w:val="22"/>
          <w:szCs w:val="22"/>
        </w:rPr>
        <w:t>bila izdelana v predinvesticijski zasnovi</w:t>
      </w:r>
      <w:r w:rsidRPr="00BC0DCF">
        <w:rPr>
          <w:rFonts w:ascii="Arial" w:eastAsia="Arial" w:hAnsi="Arial" w:cs="Arial"/>
          <w:sz w:val="22"/>
          <w:szCs w:val="22"/>
        </w:rPr>
        <w:t xml:space="preserve"> za dve varianti, ki predvidevata izvedbo projekta ter izhodiščni scenarij predstavlja opcijo »brez projekta«, in sicer:</w:t>
      </w:r>
    </w:p>
    <w:p w14:paraId="0CE9B54C" w14:textId="77777777" w:rsidR="00BD06EE" w:rsidRPr="00BC0DCF" w:rsidRDefault="00BD06EE" w:rsidP="00BD06EE">
      <w:pPr>
        <w:numPr>
          <w:ilvl w:val="0"/>
          <w:numId w:val="71"/>
        </w:numPr>
        <w:spacing w:line="276" w:lineRule="auto"/>
        <w:jc w:val="both"/>
        <w:rPr>
          <w:rFonts w:ascii="Arial" w:eastAsia="Arial" w:hAnsi="Arial" w:cs="Arial"/>
          <w:sz w:val="22"/>
          <w:szCs w:val="22"/>
        </w:rPr>
      </w:pPr>
      <w:r w:rsidRPr="00BC0DCF">
        <w:rPr>
          <w:rFonts w:ascii="Arial" w:eastAsia="Arial" w:hAnsi="Arial" w:cs="Arial"/>
          <w:sz w:val="22"/>
          <w:szCs w:val="22"/>
        </w:rPr>
        <w:t>Varianta »brez projekta« – Varianta 0</w:t>
      </w:r>
    </w:p>
    <w:p w14:paraId="7CDCEE43" w14:textId="77777777" w:rsidR="00BD06EE" w:rsidRPr="00BC0DCF" w:rsidRDefault="00BD06EE" w:rsidP="00BD06EE">
      <w:pPr>
        <w:numPr>
          <w:ilvl w:val="0"/>
          <w:numId w:val="71"/>
        </w:numPr>
        <w:spacing w:line="276" w:lineRule="auto"/>
        <w:jc w:val="both"/>
        <w:rPr>
          <w:rFonts w:ascii="Arial" w:eastAsia="Arial" w:hAnsi="Arial" w:cs="Arial"/>
          <w:sz w:val="22"/>
          <w:szCs w:val="22"/>
        </w:rPr>
      </w:pPr>
      <w:r w:rsidRPr="00BC0DCF">
        <w:rPr>
          <w:rFonts w:ascii="Arial" w:eastAsia="Arial" w:hAnsi="Arial" w:cs="Arial"/>
          <w:sz w:val="22"/>
          <w:szCs w:val="22"/>
        </w:rPr>
        <w:t>Varianta »izvedba projekta z nepovratnimi sredstvi« – Varianta 1</w:t>
      </w:r>
    </w:p>
    <w:p w14:paraId="42AD6F62" w14:textId="77777777" w:rsidR="00BD06EE" w:rsidRPr="00BC0DCF" w:rsidRDefault="00BD06EE" w:rsidP="00BD06EE">
      <w:pPr>
        <w:numPr>
          <w:ilvl w:val="0"/>
          <w:numId w:val="71"/>
        </w:numPr>
        <w:spacing w:line="276" w:lineRule="auto"/>
        <w:jc w:val="both"/>
        <w:rPr>
          <w:rFonts w:ascii="Arial" w:eastAsia="Arial" w:hAnsi="Arial" w:cs="Arial"/>
          <w:sz w:val="22"/>
          <w:szCs w:val="22"/>
        </w:rPr>
      </w:pPr>
      <w:r w:rsidRPr="00BC0DCF">
        <w:rPr>
          <w:rFonts w:ascii="Arial" w:eastAsia="Arial" w:hAnsi="Arial" w:cs="Arial"/>
          <w:sz w:val="22"/>
          <w:szCs w:val="22"/>
        </w:rPr>
        <w:t>Varianta »izvedba projekta z lastnimi sredstvi« – Varianta 2</w:t>
      </w:r>
    </w:p>
    <w:p w14:paraId="1296E3F0" w14:textId="77777777" w:rsidR="00BD06EE" w:rsidRPr="00BC0DCF" w:rsidRDefault="00BD06EE" w:rsidP="00BD06EE">
      <w:pPr>
        <w:spacing w:line="276" w:lineRule="auto"/>
        <w:jc w:val="both"/>
        <w:rPr>
          <w:rFonts w:ascii="Arial" w:eastAsia="Arial" w:hAnsi="Arial" w:cs="Arial"/>
          <w:sz w:val="22"/>
          <w:szCs w:val="22"/>
        </w:rPr>
      </w:pPr>
    </w:p>
    <w:p w14:paraId="41B31FCA" w14:textId="77777777" w:rsidR="00BD06EE" w:rsidRPr="00BC0DCF" w:rsidRDefault="00BD06EE" w:rsidP="00BD06EE">
      <w:pPr>
        <w:spacing w:line="276" w:lineRule="auto"/>
        <w:jc w:val="both"/>
        <w:rPr>
          <w:rFonts w:ascii="Arial" w:eastAsia="Arial" w:hAnsi="Arial" w:cs="Arial"/>
          <w:sz w:val="22"/>
          <w:szCs w:val="22"/>
        </w:rPr>
      </w:pPr>
      <w:r w:rsidRPr="00BC0DCF">
        <w:rPr>
          <w:rFonts w:ascii="Arial" w:eastAsia="Arial" w:hAnsi="Arial" w:cs="Arial"/>
          <w:sz w:val="22"/>
          <w:szCs w:val="22"/>
        </w:rPr>
        <w:t>Opcijska analiza obravnava izhodiščni scenarij brez izvedbe projekta, ki v naravi predstavlja ohranjanje obstoječega stanja ter varianto izvedbe aktivnosti.</w:t>
      </w:r>
    </w:p>
    <w:p w14:paraId="3C5C7DED" w14:textId="77777777" w:rsidR="00953377" w:rsidRPr="00953377" w:rsidRDefault="00953377" w:rsidP="00953377">
      <w:pPr>
        <w:pStyle w:val="Naslov2"/>
        <w:numPr>
          <w:ilvl w:val="2"/>
          <w:numId w:val="1"/>
        </w:numPr>
        <w:spacing w:before="240" w:after="240"/>
        <w:rPr>
          <w:rFonts w:asciiTheme="majorHAnsi" w:eastAsiaTheme="majorEastAsia" w:hAnsiTheme="majorHAnsi" w:cstheme="majorHAnsi"/>
          <w:color w:val="244061" w:themeColor="accent1" w:themeShade="80"/>
        </w:rPr>
      </w:pPr>
      <w:bookmarkStart w:id="54" w:name="_Toc209277139"/>
      <w:bookmarkStart w:id="55" w:name="_Toc125667340"/>
      <w:bookmarkStart w:id="56" w:name="_Toc125667406"/>
      <w:bookmarkStart w:id="57" w:name="_Toc210033766"/>
      <w:r w:rsidRPr="00953377">
        <w:rPr>
          <w:rFonts w:asciiTheme="majorHAnsi" w:eastAsiaTheme="majorEastAsia" w:hAnsiTheme="majorHAnsi" w:cstheme="majorHAnsi"/>
          <w:color w:val="244061" w:themeColor="accent1" w:themeShade="80"/>
        </w:rPr>
        <w:t>Varianta 0 – brez projekta</w:t>
      </w:r>
      <w:bookmarkEnd w:id="54"/>
      <w:bookmarkEnd w:id="57"/>
      <w:r w:rsidRPr="00953377">
        <w:rPr>
          <w:rFonts w:asciiTheme="majorHAnsi" w:eastAsiaTheme="majorEastAsia" w:hAnsiTheme="majorHAnsi" w:cstheme="majorHAnsi"/>
          <w:color w:val="244061" w:themeColor="accent1" w:themeShade="80"/>
        </w:rPr>
        <w:t xml:space="preserve"> </w:t>
      </w:r>
      <w:bookmarkEnd w:id="55"/>
      <w:bookmarkEnd w:id="56"/>
      <w:r w:rsidRPr="00953377">
        <w:rPr>
          <w:rFonts w:asciiTheme="majorHAnsi" w:eastAsiaTheme="majorEastAsia" w:hAnsiTheme="majorHAnsi" w:cstheme="majorHAnsi"/>
          <w:color w:val="244061" w:themeColor="accent1" w:themeShade="80"/>
        </w:rPr>
        <w:t xml:space="preserve"> </w:t>
      </w:r>
    </w:p>
    <w:p w14:paraId="17E828D7" w14:textId="77777777" w:rsidR="00953377" w:rsidRPr="000F04CF" w:rsidRDefault="00953377" w:rsidP="00953377">
      <w:pPr>
        <w:spacing w:line="276" w:lineRule="auto"/>
        <w:jc w:val="both"/>
        <w:rPr>
          <w:rFonts w:ascii="Arial" w:eastAsia="Arial" w:hAnsi="Arial" w:cs="Arial"/>
          <w:sz w:val="22"/>
          <w:szCs w:val="22"/>
        </w:rPr>
      </w:pPr>
      <w:bookmarkStart w:id="58" w:name="_Hlk125796088"/>
      <w:r w:rsidRPr="000F04CF">
        <w:rPr>
          <w:rFonts w:ascii="Arial" w:eastAsia="Arial" w:hAnsi="Arial" w:cs="Arial"/>
          <w:sz w:val="22"/>
          <w:szCs w:val="22"/>
        </w:rPr>
        <w:t>V tem primeru se v središču Iga ne izvedejo načrtovani ukrepi trajnostne mobilnosti. Prometna in prostorska ureditev ostane nespremenjena, kar pomeni, da se nadaljujejo obstoječe težave:</w:t>
      </w:r>
    </w:p>
    <w:p w14:paraId="40737082" w14:textId="77777777" w:rsidR="00953377" w:rsidRPr="000F04CF" w:rsidRDefault="00953377" w:rsidP="00953377">
      <w:pPr>
        <w:numPr>
          <w:ilvl w:val="0"/>
          <w:numId w:val="117"/>
        </w:numPr>
        <w:spacing w:line="276" w:lineRule="auto"/>
        <w:jc w:val="both"/>
        <w:rPr>
          <w:rFonts w:ascii="Arial" w:eastAsia="Arial" w:hAnsi="Arial" w:cs="Arial"/>
          <w:sz w:val="22"/>
          <w:szCs w:val="22"/>
        </w:rPr>
      </w:pPr>
      <w:r w:rsidRPr="000F04CF">
        <w:rPr>
          <w:rFonts w:ascii="Arial" w:eastAsia="Arial" w:hAnsi="Arial" w:cs="Arial"/>
          <w:sz w:val="22"/>
          <w:szCs w:val="22"/>
        </w:rPr>
        <w:t>prometna obremenjenost in zastoje,</w:t>
      </w:r>
    </w:p>
    <w:p w14:paraId="27B0121B" w14:textId="77777777" w:rsidR="00953377" w:rsidRPr="000F04CF" w:rsidRDefault="00953377" w:rsidP="00953377">
      <w:pPr>
        <w:numPr>
          <w:ilvl w:val="0"/>
          <w:numId w:val="117"/>
        </w:numPr>
        <w:spacing w:line="276" w:lineRule="auto"/>
        <w:jc w:val="both"/>
        <w:rPr>
          <w:rFonts w:ascii="Arial" w:eastAsia="Arial" w:hAnsi="Arial" w:cs="Arial"/>
          <w:sz w:val="22"/>
          <w:szCs w:val="22"/>
        </w:rPr>
      </w:pPr>
      <w:r w:rsidRPr="000F04CF">
        <w:rPr>
          <w:rFonts w:ascii="Arial" w:eastAsia="Arial" w:hAnsi="Arial" w:cs="Arial"/>
          <w:sz w:val="22"/>
          <w:szCs w:val="22"/>
        </w:rPr>
        <w:t>slabša prometna varnost za pešce in kolesarje,</w:t>
      </w:r>
    </w:p>
    <w:p w14:paraId="28B35859" w14:textId="77777777" w:rsidR="00953377" w:rsidRPr="000F04CF" w:rsidRDefault="00953377" w:rsidP="00953377">
      <w:pPr>
        <w:numPr>
          <w:ilvl w:val="0"/>
          <w:numId w:val="117"/>
        </w:numPr>
        <w:spacing w:line="276" w:lineRule="auto"/>
        <w:jc w:val="both"/>
        <w:rPr>
          <w:rFonts w:ascii="Arial" w:eastAsia="Arial" w:hAnsi="Arial" w:cs="Arial"/>
          <w:sz w:val="22"/>
          <w:szCs w:val="22"/>
        </w:rPr>
      </w:pPr>
      <w:r w:rsidRPr="000F04CF">
        <w:rPr>
          <w:rFonts w:ascii="Arial" w:eastAsia="Arial" w:hAnsi="Arial" w:cs="Arial"/>
          <w:sz w:val="22"/>
          <w:szCs w:val="22"/>
        </w:rPr>
        <w:t>omejene možnosti uporabe trajnostnih oblik mobilnosti,</w:t>
      </w:r>
    </w:p>
    <w:p w14:paraId="03510D33" w14:textId="77777777" w:rsidR="00953377" w:rsidRPr="000F04CF" w:rsidRDefault="00953377" w:rsidP="00953377">
      <w:pPr>
        <w:numPr>
          <w:ilvl w:val="0"/>
          <w:numId w:val="117"/>
        </w:numPr>
        <w:spacing w:line="276" w:lineRule="auto"/>
        <w:jc w:val="both"/>
        <w:rPr>
          <w:rFonts w:ascii="Arial" w:eastAsia="Arial" w:hAnsi="Arial" w:cs="Arial"/>
          <w:sz w:val="22"/>
          <w:szCs w:val="22"/>
        </w:rPr>
      </w:pPr>
      <w:r w:rsidRPr="000F04CF">
        <w:rPr>
          <w:rFonts w:ascii="Arial" w:eastAsia="Arial" w:hAnsi="Arial" w:cs="Arial"/>
          <w:sz w:val="22"/>
          <w:szCs w:val="22"/>
        </w:rPr>
        <w:t>odsotnost sistema javne izposoje koles in neurejene javne površine.</w:t>
      </w:r>
    </w:p>
    <w:p w14:paraId="57742036" w14:textId="77777777" w:rsidR="00953377" w:rsidRPr="00BC0DCF" w:rsidRDefault="00953377" w:rsidP="00953377">
      <w:pPr>
        <w:spacing w:line="276" w:lineRule="auto"/>
        <w:jc w:val="both"/>
        <w:rPr>
          <w:rFonts w:ascii="Arial" w:eastAsia="Arial" w:hAnsi="Arial" w:cs="Arial"/>
          <w:b/>
          <w:bCs/>
          <w:sz w:val="22"/>
          <w:szCs w:val="22"/>
        </w:rPr>
      </w:pPr>
    </w:p>
    <w:p w14:paraId="1D04AAC9" w14:textId="11A3838F" w:rsidR="00953377" w:rsidRPr="00BC0DCF" w:rsidRDefault="00953377" w:rsidP="00953377">
      <w:pPr>
        <w:spacing w:line="276" w:lineRule="auto"/>
        <w:jc w:val="both"/>
        <w:rPr>
          <w:rFonts w:ascii="Arial" w:eastAsia="Arial" w:hAnsi="Arial" w:cs="Arial"/>
          <w:sz w:val="22"/>
          <w:szCs w:val="22"/>
        </w:rPr>
      </w:pPr>
      <w:r w:rsidRPr="000F04CF">
        <w:rPr>
          <w:rFonts w:ascii="Arial" w:eastAsia="Arial" w:hAnsi="Arial" w:cs="Arial"/>
          <w:b/>
          <w:bCs/>
          <w:sz w:val="22"/>
          <w:szCs w:val="22"/>
        </w:rPr>
        <w:t>Investicijski stroški:</w:t>
      </w:r>
      <w:r w:rsidRPr="000F04CF">
        <w:rPr>
          <w:rFonts w:ascii="Arial" w:eastAsia="Arial" w:hAnsi="Arial" w:cs="Arial"/>
          <w:sz w:val="22"/>
          <w:szCs w:val="22"/>
        </w:rPr>
        <w:t xml:space="preserve"> 0 </w:t>
      </w:r>
      <w:r w:rsidR="00B96609">
        <w:rPr>
          <w:rFonts w:ascii="Arial" w:eastAsia="Arial" w:hAnsi="Arial" w:cs="Arial"/>
          <w:sz w:val="22"/>
          <w:szCs w:val="22"/>
        </w:rPr>
        <w:t>EUR</w:t>
      </w:r>
    </w:p>
    <w:p w14:paraId="5718B277" w14:textId="77777777" w:rsidR="00953377" w:rsidRPr="00BC0DCF" w:rsidRDefault="00953377" w:rsidP="00953377">
      <w:pPr>
        <w:spacing w:line="276" w:lineRule="auto"/>
        <w:jc w:val="both"/>
        <w:rPr>
          <w:rFonts w:ascii="Arial" w:eastAsia="Arial" w:hAnsi="Arial" w:cs="Arial"/>
          <w:sz w:val="22"/>
          <w:szCs w:val="22"/>
        </w:rPr>
      </w:pPr>
      <w:r w:rsidRPr="000F04CF">
        <w:rPr>
          <w:rFonts w:ascii="Arial" w:eastAsia="Arial" w:hAnsi="Arial" w:cs="Arial"/>
          <w:b/>
          <w:bCs/>
          <w:sz w:val="22"/>
          <w:szCs w:val="22"/>
        </w:rPr>
        <w:t>Obratovalni stroški:</w:t>
      </w:r>
      <w:r w:rsidRPr="000F04CF">
        <w:rPr>
          <w:rFonts w:ascii="Arial" w:eastAsia="Arial" w:hAnsi="Arial" w:cs="Arial"/>
          <w:sz w:val="22"/>
          <w:szCs w:val="22"/>
        </w:rPr>
        <w:t xml:space="preserve"> ostajajo le stroški vzdrževanja obstoječe infrastrukture.</w:t>
      </w:r>
    </w:p>
    <w:p w14:paraId="69836A13" w14:textId="77777777" w:rsidR="00953377" w:rsidRPr="00BC0DCF" w:rsidRDefault="00953377" w:rsidP="00953377">
      <w:pPr>
        <w:spacing w:line="276" w:lineRule="auto"/>
        <w:jc w:val="both"/>
        <w:rPr>
          <w:rFonts w:ascii="Arial" w:eastAsia="Arial" w:hAnsi="Arial" w:cs="Arial"/>
          <w:sz w:val="22"/>
          <w:szCs w:val="22"/>
        </w:rPr>
      </w:pPr>
      <w:r w:rsidRPr="000F04CF">
        <w:rPr>
          <w:rFonts w:ascii="Arial" w:eastAsia="Arial" w:hAnsi="Arial" w:cs="Arial"/>
          <w:b/>
          <w:bCs/>
          <w:sz w:val="22"/>
          <w:szCs w:val="22"/>
        </w:rPr>
        <w:t>Prihodki:</w:t>
      </w:r>
      <w:r w:rsidRPr="000F04CF">
        <w:rPr>
          <w:rFonts w:ascii="Arial" w:eastAsia="Arial" w:hAnsi="Arial" w:cs="Arial"/>
          <w:sz w:val="22"/>
          <w:szCs w:val="22"/>
        </w:rPr>
        <w:t xml:space="preserve"> ni dodatnih prihodkov.</w:t>
      </w:r>
    </w:p>
    <w:p w14:paraId="71895BDA" w14:textId="77777777" w:rsidR="00953377" w:rsidRPr="000F04CF" w:rsidRDefault="00953377" w:rsidP="00953377">
      <w:pPr>
        <w:spacing w:line="276" w:lineRule="auto"/>
        <w:jc w:val="both"/>
        <w:rPr>
          <w:rFonts w:ascii="Arial" w:eastAsia="Arial" w:hAnsi="Arial" w:cs="Arial"/>
          <w:sz w:val="22"/>
          <w:szCs w:val="22"/>
        </w:rPr>
      </w:pPr>
      <w:r w:rsidRPr="000F04CF">
        <w:rPr>
          <w:rFonts w:ascii="Arial" w:eastAsia="Arial" w:hAnsi="Arial" w:cs="Arial"/>
          <w:b/>
          <w:bCs/>
          <w:sz w:val="22"/>
          <w:szCs w:val="22"/>
        </w:rPr>
        <w:t>Koristi:</w:t>
      </w:r>
      <w:r w:rsidRPr="000F04CF">
        <w:rPr>
          <w:rFonts w:ascii="Arial" w:eastAsia="Arial" w:hAnsi="Arial" w:cs="Arial"/>
          <w:sz w:val="22"/>
          <w:szCs w:val="22"/>
        </w:rPr>
        <w:t xml:space="preserve"> ni dodatnih koristi.</w:t>
      </w:r>
    </w:p>
    <w:p w14:paraId="3D95AB30" w14:textId="77777777" w:rsidR="00953377" w:rsidRPr="00BC0DCF" w:rsidRDefault="00953377" w:rsidP="00953377">
      <w:pPr>
        <w:spacing w:line="276" w:lineRule="auto"/>
        <w:jc w:val="both"/>
        <w:rPr>
          <w:rFonts w:ascii="Arial" w:eastAsia="Arial" w:hAnsi="Arial" w:cs="Arial"/>
          <w:sz w:val="22"/>
          <w:szCs w:val="22"/>
        </w:rPr>
      </w:pPr>
    </w:p>
    <w:p w14:paraId="31D526FB" w14:textId="77777777" w:rsidR="00953377" w:rsidRPr="000F04CF" w:rsidRDefault="00953377" w:rsidP="00953377">
      <w:pPr>
        <w:spacing w:line="276" w:lineRule="auto"/>
        <w:jc w:val="both"/>
        <w:rPr>
          <w:rFonts w:ascii="Arial" w:eastAsia="Arial" w:hAnsi="Arial" w:cs="Arial"/>
          <w:sz w:val="22"/>
          <w:szCs w:val="22"/>
        </w:rPr>
      </w:pPr>
      <w:r w:rsidRPr="000F04CF">
        <w:rPr>
          <w:rFonts w:ascii="Arial" w:eastAsia="Arial" w:hAnsi="Arial" w:cs="Arial"/>
          <w:sz w:val="22"/>
          <w:szCs w:val="22"/>
        </w:rPr>
        <w:t>Varianta 0 tako ne prinaša nobenih izboljšav in se uporablja izključno kot izhodiščna referenca pri primerjavi drugih variant.</w:t>
      </w:r>
    </w:p>
    <w:p w14:paraId="5047F66E" w14:textId="77777777" w:rsidR="00953377" w:rsidRPr="00953377" w:rsidRDefault="00953377" w:rsidP="00953377">
      <w:pPr>
        <w:pStyle w:val="Naslov2"/>
        <w:numPr>
          <w:ilvl w:val="2"/>
          <w:numId w:val="1"/>
        </w:numPr>
        <w:spacing w:before="240" w:after="240"/>
        <w:rPr>
          <w:rFonts w:asciiTheme="majorHAnsi" w:eastAsiaTheme="majorEastAsia" w:hAnsiTheme="majorHAnsi" w:cstheme="majorHAnsi"/>
          <w:color w:val="244061" w:themeColor="accent1" w:themeShade="80"/>
        </w:rPr>
      </w:pPr>
      <w:bookmarkStart w:id="59" w:name="_Toc209277140"/>
      <w:bookmarkStart w:id="60" w:name="_Toc210033767"/>
      <w:r w:rsidRPr="00953377">
        <w:rPr>
          <w:rFonts w:asciiTheme="majorHAnsi" w:eastAsiaTheme="majorEastAsia" w:hAnsiTheme="majorHAnsi" w:cstheme="majorHAnsi"/>
          <w:color w:val="244061" w:themeColor="accent1" w:themeShade="80"/>
        </w:rPr>
        <w:t>Varianta 1 – izvedba projekta z nepovratnimi sredstvi</w:t>
      </w:r>
      <w:bookmarkEnd w:id="59"/>
      <w:bookmarkEnd w:id="60"/>
    </w:p>
    <w:p w14:paraId="04195F6E"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sz w:val="22"/>
          <w:szCs w:val="22"/>
        </w:rPr>
        <w:t>Pri tej varianti se projekt uresniči s pomočjo sofinanciranja iz nepovratnih sredstev. Investicija se zaključi leta 2025, koristi pa se začnejo uresničevati takoj po začetku obratovanja.</w:t>
      </w:r>
    </w:p>
    <w:p w14:paraId="5C6EBCED" w14:textId="77777777" w:rsidR="00953377" w:rsidRPr="00BC0DCF" w:rsidRDefault="00953377" w:rsidP="00953377">
      <w:pPr>
        <w:spacing w:line="276" w:lineRule="auto"/>
        <w:jc w:val="both"/>
        <w:rPr>
          <w:rFonts w:ascii="Arial" w:eastAsia="Arial" w:hAnsi="Arial" w:cs="Arial"/>
          <w:b/>
          <w:bCs/>
          <w:sz w:val="22"/>
          <w:szCs w:val="22"/>
        </w:rPr>
      </w:pPr>
    </w:p>
    <w:p w14:paraId="1F52B242"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b/>
          <w:bCs/>
          <w:sz w:val="22"/>
          <w:szCs w:val="22"/>
        </w:rPr>
        <w:t>Investicijski stroški:</w:t>
      </w:r>
    </w:p>
    <w:p w14:paraId="428D3F81" w14:textId="77777777" w:rsidR="00953377" w:rsidRPr="00853BFF" w:rsidRDefault="00953377" w:rsidP="00953377">
      <w:pPr>
        <w:numPr>
          <w:ilvl w:val="0"/>
          <w:numId w:val="118"/>
        </w:numPr>
        <w:spacing w:line="276" w:lineRule="auto"/>
        <w:jc w:val="both"/>
        <w:rPr>
          <w:rFonts w:ascii="Arial" w:eastAsia="Arial" w:hAnsi="Arial" w:cs="Arial"/>
          <w:sz w:val="22"/>
          <w:szCs w:val="22"/>
        </w:rPr>
      </w:pPr>
      <w:r w:rsidRPr="00853BFF">
        <w:rPr>
          <w:rFonts w:ascii="Arial" w:eastAsia="Arial" w:hAnsi="Arial" w:cs="Arial"/>
          <w:sz w:val="22"/>
          <w:szCs w:val="22"/>
        </w:rPr>
        <w:t xml:space="preserve">skupna vrednost investicije </w:t>
      </w:r>
      <w:r w:rsidRPr="00BC0DCF">
        <w:rPr>
          <w:rFonts w:ascii="Arial" w:eastAsia="Arial" w:hAnsi="Arial" w:cs="Arial"/>
          <w:sz w:val="22"/>
          <w:szCs w:val="22"/>
        </w:rPr>
        <w:t>3.138.643,33 EUR z DDV</w:t>
      </w:r>
      <w:r w:rsidRPr="00853BFF">
        <w:rPr>
          <w:rFonts w:ascii="Arial" w:eastAsia="Arial" w:hAnsi="Arial" w:cs="Arial"/>
          <w:sz w:val="22"/>
          <w:szCs w:val="22"/>
        </w:rPr>
        <w:t>,</w:t>
      </w:r>
    </w:p>
    <w:p w14:paraId="3FCA142D" w14:textId="77777777" w:rsidR="00953377" w:rsidRPr="00853BFF" w:rsidRDefault="00953377" w:rsidP="00953377">
      <w:pPr>
        <w:numPr>
          <w:ilvl w:val="0"/>
          <w:numId w:val="118"/>
        </w:numPr>
        <w:spacing w:line="276" w:lineRule="auto"/>
        <w:jc w:val="both"/>
        <w:rPr>
          <w:rFonts w:ascii="Arial" w:eastAsia="Arial" w:hAnsi="Arial" w:cs="Arial"/>
          <w:sz w:val="22"/>
          <w:szCs w:val="22"/>
        </w:rPr>
      </w:pPr>
      <w:r w:rsidRPr="00853BFF">
        <w:rPr>
          <w:rFonts w:ascii="Arial" w:eastAsia="Arial" w:hAnsi="Arial" w:cs="Arial"/>
          <w:sz w:val="22"/>
          <w:szCs w:val="22"/>
        </w:rPr>
        <w:t>občina krije le del stroškov, saj pomemben delež predstavljajo nepovratna sredstva.</w:t>
      </w:r>
    </w:p>
    <w:p w14:paraId="4674D3CB" w14:textId="77777777" w:rsidR="00953377" w:rsidRPr="00BC0DCF" w:rsidRDefault="00953377" w:rsidP="00953377">
      <w:pPr>
        <w:spacing w:line="276" w:lineRule="auto"/>
        <w:jc w:val="both"/>
        <w:rPr>
          <w:rFonts w:ascii="Arial" w:eastAsia="Arial" w:hAnsi="Arial" w:cs="Arial"/>
          <w:b/>
          <w:bCs/>
          <w:sz w:val="22"/>
          <w:szCs w:val="22"/>
        </w:rPr>
      </w:pPr>
    </w:p>
    <w:p w14:paraId="0AEDFD99"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b/>
          <w:bCs/>
          <w:sz w:val="22"/>
          <w:szCs w:val="22"/>
        </w:rPr>
        <w:t>Obratovalni stroški:</w:t>
      </w:r>
    </w:p>
    <w:p w14:paraId="67268ACE" w14:textId="77777777" w:rsidR="00953377" w:rsidRPr="00853BFF" w:rsidRDefault="00953377" w:rsidP="00953377">
      <w:pPr>
        <w:numPr>
          <w:ilvl w:val="0"/>
          <w:numId w:val="119"/>
        </w:numPr>
        <w:spacing w:line="276" w:lineRule="auto"/>
        <w:jc w:val="both"/>
        <w:rPr>
          <w:rFonts w:ascii="Arial" w:eastAsia="Arial" w:hAnsi="Arial" w:cs="Arial"/>
          <w:sz w:val="22"/>
          <w:szCs w:val="22"/>
        </w:rPr>
      </w:pPr>
      <w:r w:rsidRPr="00853BFF">
        <w:rPr>
          <w:rFonts w:ascii="Arial" w:eastAsia="Arial" w:hAnsi="Arial" w:cs="Arial"/>
          <w:sz w:val="22"/>
          <w:szCs w:val="22"/>
        </w:rPr>
        <w:t xml:space="preserve">letni stroški vzdrževanja ocenjeni na 58.400 </w:t>
      </w:r>
      <w:r w:rsidRPr="00BC0DCF">
        <w:rPr>
          <w:rFonts w:ascii="Arial" w:eastAsia="Arial" w:hAnsi="Arial" w:cs="Arial"/>
          <w:sz w:val="22"/>
          <w:szCs w:val="22"/>
        </w:rPr>
        <w:t>EUR</w:t>
      </w:r>
      <w:r w:rsidRPr="00853BFF">
        <w:rPr>
          <w:rFonts w:ascii="Arial" w:eastAsia="Arial" w:hAnsi="Arial" w:cs="Arial"/>
          <w:sz w:val="22"/>
          <w:szCs w:val="22"/>
        </w:rPr>
        <w:t>,</w:t>
      </w:r>
    </w:p>
    <w:p w14:paraId="4CA7F1D4" w14:textId="77777777" w:rsidR="00953377" w:rsidRPr="00853BFF" w:rsidRDefault="00953377" w:rsidP="00953377">
      <w:pPr>
        <w:numPr>
          <w:ilvl w:val="0"/>
          <w:numId w:val="119"/>
        </w:numPr>
        <w:spacing w:line="276" w:lineRule="auto"/>
        <w:jc w:val="both"/>
        <w:rPr>
          <w:rFonts w:ascii="Arial" w:eastAsia="Arial" w:hAnsi="Arial" w:cs="Arial"/>
          <w:sz w:val="22"/>
          <w:szCs w:val="22"/>
        </w:rPr>
      </w:pPr>
      <w:r w:rsidRPr="00853BFF">
        <w:rPr>
          <w:rFonts w:ascii="Arial" w:eastAsia="Arial" w:hAnsi="Arial" w:cs="Arial"/>
          <w:sz w:val="22"/>
          <w:szCs w:val="22"/>
        </w:rPr>
        <w:t>vključujejo vzdrževanje cest, nadstrešnice, kolesarnice, sistema e-koles, merilnikov in javnih površin.</w:t>
      </w:r>
    </w:p>
    <w:p w14:paraId="61F5288E" w14:textId="77777777" w:rsidR="00953377" w:rsidRPr="00BC0DCF" w:rsidRDefault="00953377" w:rsidP="00953377">
      <w:pPr>
        <w:spacing w:line="276" w:lineRule="auto"/>
        <w:jc w:val="both"/>
        <w:rPr>
          <w:rFonts w:ascii="Arial" w:eastAsia="Arial" w:hAnsi="Arial" w:cs="Arial"/>
          <w:b/>
          <w:bCs/>
          <w:sz w:val="22"/>
          <w:szCs w:val="22"/>
        </w:rPr>
      </w:pPr>
    </w:p>
    <w:p w14:paraId="1521C7EC"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b/>
          <w:bCs/>
          <w:sz w:val="22"/>
          <w:szCs w:val="22"/>
        </w:rPr>
        <w:t>Prihodki iz javnih storitev:</w:t>
      </w:r>
    </w:p>
    <w:p w14:paraId="4BFF77A2" w14:textId="77777777" w:rsidR="00953377" w:rsidRPr="00853BFF" w:rsidRDefault="00953377" w:rsidP="00953377">
      <w:pPr>
        <w:numPr>
          <w:ilvl w:val="0"/>
          <w:numId w:val="120"/>
        </w:numPr>
        <w:spacing w:line="276" w:lineRule="auto"/>
        <w:jc w:val="both"/>
        <w:rPr>
          <w:rFonts w:ascii="Arial" w:eastAsia="Arial" w:hAnsi="Arial" w:cs="Arial"/>
          <w:sz w:val="22"/>
          <w:szCs w:val="22"/>
        </w:rPr>
      </w:pPr>
      <w:r w:rsidRPr="00853BFF">
        <w:rPr>
          <w:rFonts w:ascii="Arial" w:eastAsia="Arial" w:hAnsi="Arial" w:cs="Arial"/>
          <w:sz w:val="22"/>
          <w:szCs w:val="22"/>
        </w:rPr>
        <w:t xml:space="preserve">parkirišča 17.160 </w:t>
      </w:r>
      <w:r w:rsidRPr="00BC0DCF">
        <w:rPr>
          <w:rFonts w:ascii="Arial" w:eastAsia="Arial" w:hAnsi="Arial" w:cs="Arial"/>
          <w:sz w:val="22"/>
          <w:szCs w:val="22"/>
        </w:rPr>
        <w:t>EUR</w:t>
      </w:r>
      <w:r w:rsidRPr="00853BFF">
        <w:rPr>
          <w:rFonts w:ascii="Arial" w:eastAsia="Arial" w:hAnsi="Arial" w:cs="Arial"/>
          <w:sz w:val="22"/>
          <w:szCs w:val="22"/>
        </w:rPr>
        <w:t>/leto,</w:t>
      </w:r>
    </w:p>
    <w:p w14:paraId="229D65F5" w14:textId="77777777" w:rsidR="00953377" w:rsidRPr="00853BFF" w:rsidRDefault="00953377" w:rsidP="00953377">
      <w:pPr>
        <w:numPr>
          <w:ilvl w:val="0"/>
          <w:numId w:val="120"/>
        </w:numPr>
        <w:spacing w:line="276" w:lineRule="auto"/>
        <w:jc w:val="both"/>
        <w:rPr>
          <w:rFonts w:ascii="Arial" w:eastAsia="Arial" w:hAnsi="Arial" w:cs="Arial"/>
          <w:sz w:val="22"/>
          <w:szCs w:val="22"/>
        </w:rPr>
      </w:pPr>
      <w:r w:rsidRPr="00853BFF">
        <w:rPr>
          <w:rFonts w:ascii="Arial" w:eastAsia="Arial" w:hAnsi="Arial" w:cs="Arial"/>
          <w:sz w:val="22"/>
          <w:szCs w:val="22"/>
        </w:rPr>
        <w:t xml:space="preserve">sistem e-koles 7.800 </w:t>
      </w:r>
      <w:r w:rsidRPr="00BC0DCF">
        <w:rPr>
          <w:rFonts w:ascii="Arial" w:eastAsia="Arial" w:hAnsi="Arial" w:cs="Arial"/>
          <w:sz w:val="22"/>
          <w:szCs w:val="22"/>
        </w:rPr>
        <w:t>EUR</w:t>
      </w:r>
      <w:r w:rsidRPr="00853BFF">
        <w:rPr>
          <w:rFonts w:ascii="Arial" w:eastAsia="Arial" w:hAnsi="Arial" w:cs="Arial"/>
          <w:sz w:val="22"/>
          <w:szCs w:val="22"/>
        </w:rPr>
        <w:t>/leto,</w:t>
      </w:r>
    </w:p>
    <w:p w14:paraId="0B5D3542" w14:textId="77777777" w:rsidR="00953377" w:rsidRPr="00853BFF" w:rsidRDefault="00953377" w:rsidP="00953377">
      <w:pPr>
        <w:numPr>
          <w:ilvl w:val="0"/>
          <w:numId w:val="120"/>
        </w:numPr>
        <w:spacing w:line="276" w:lineRule="auto"/>
        <w:jc w:val="both"/>
        <w:rPr>
          <w:rFonts w:ascii="Arial" w:eastAsia="Arial" w:hAnsi="Arial" w:cs="Arial"/>
          <w:sz w:val="22"/>
          <w:szCs w:val="22"/>
        </w:rPr>
      </w:pPr>
      <w:r w:rsidRPr="00853BFF">
        <w:rPr>
          <w:rFonts w:ascii="Arial" w:eastAsia="Arial" w:hAnsi="Arial" w:cs="Arial"/>
          <w:sz w:val="22"/>
          <w:szCs w:val="22"/>
        </w:rPr>
        <w:t xml:space="preserve">skupaj 24.960 </w:t>
      </w:r>
      <w:r w:rsidRPr="00BC0DCF">
        <w:rPr>
          <w:rFonts w:ascii="Arial" w:eastAsia="Arial" w:hAnsi="Arial" w:cs="Arial"/>
          <w:sz w:val="22"/>
          <w:szCs w:val="22"/>
        </w:rPr>
        <w:t>EUR</w:t>
      </w:r>
      <w:r w:rsidRPr="00853BFF">
        <w:rPr>
          <w:rFonts w:ascii="Arial" w:eastAsia="Arial" w:hAnsi="Arial" w:cs="Arial"/>
          <w:sz w:val="22"/>
          <w:szCs w:val="22"/>
        </w:rPr>
        <w:t>/leto.</w:t>
      </w:r>
    </w:p>
    <w:p w14:paraId="11D0E2DF" w14:textId="77777777" w:rsidR="00953377" w:rsidRPr="00BC0DCF" w:rsidRDefault="00953377" w:rsidP="00953377">
      <w:pPr>
        <w:spacing w:line="276" w:lineRule="auto"/>
        <w:jc w:val="both"/>
        <w:rPr>
          <w:rFonts w:ascii="Arial" w:eastAsia="Arial" w:hAnsi="Arial" w:cs="Arial"/>
          <w:b/>
          <w:bCs/>
          <w:sz w:val="22"/>
          <w:szCs w:val="22"/>
        </w:rPr>
      </w:pPr>
    </w:p>
    <w:p w14:paraId="159C39D7"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b/>
          <w:bCs/>
          <w:sz w:val="22"/>
          <w:szCs w:val="22"/>
        </w:rPr>
        <w:t>Izračunljive družbene koristi:</w:t>
      </w:r>
    </w:p>
    <w:p w14:paraId="2563A2C2" w14:textId="77777777" w:rsidR="00953377" w:rsidRPr="00853BFF" w:rsidRDefault="00953377" w:rsidP="00953377">
      <w:pPr>
        <w:numPr>
          <w:ilvl w:val="0"/>
          <w:numId w:val="121"/>
        </w:numPr>
        <w:spacing w:line="276" w:lineRule="auto"/>
        <w:jc w:val="both"/>
        <w:rPr>
          <w:rFonts w:ascii="Arial" w:eastAsia="Arial" w:hAnsi="Arial" w:cs="Arial"/>
          <w:sz w:val="22"/>
          <w:szCs w:val="22"/>
        </w:rPr>
      </w:pPr>
      <w:r w:rsidRPr="00853BFF">
        <w:rPr>
          <w:rFonts w:ascii="Arial" w:eastAsia="Arial" w:hAnsi="Arial" w:cs="Arial"/>
          <w:sz w:val="22"/>
          <w:szCs w:val="22"/>
        </w:rPr>
        <w:t xml:space="preserve">prihranek časa uporabnikov (60.800 </w:t>
      </w:r>
      <w:r w:rsidRPr="00BC0DCF">
        <w:rPr>
          <w:rFonts w:ascii="Arial" w:eastAsia="Arial" w:hAnsi="Arial" w:cs="Arial"/>
          <w:sz w:val="22"/>
          <w:szCs w:val="22"/>
        </w:rPr>
        <w:t>EUR</w:t>
      </w:r>
      <w:r w:rsidRPr="00853BFF">
        <w:rPr>
          <w:rFonts w:ascii="Arial" w:eastAsia="Arial" w:hAnsi="Arial" w:cs="Arial"/>
          <w:sz w:val="22"/>
          <w:szCs w:val="22"/>
        </w:rPr>
        <w:t>/leto),</w:t>
      </w:r>
    </w:p>
    <w:p w14:paraId="7A67A20C" w14:textId="53F830FC" w:rsidR="00953377" w:rsidRPr="00853BFF" w:rsidRDefault="00953377" w:rsidP="00953377">
      <w:pPr>
        <w:numPr>
          <w:ilvl w:val="0"/>
          <w:numId w:val="121"/>
        </w:numPr>
        <w:spacing w:line="276" w:lineRule="auto"/>
        <w:jc w:val="both"/>
        <w:rPr>
          <w:rFonts w:ascii="Arial" w:eastAsia="Arial" w:hAnsi="Arial" w:cs="Arial"/>
          <w:sz w:val="22"/>
          <w:szCs w:val="22"/>
        </w:rPr>
      </w:pPr>
      <w:r w:rsidRPr="00853BFF">
        <w:rPr>
          <w:rFonts w:ascii="Arial" w:eastAsia="Arial" w:hAnsi="Arial" w:cs="Arial"/>
          <w:sz w:val="22"/>
          <w:szCs w:val="22"/>
        </w:rPr>
        <w:t xml:space="preserve">zmanjšanje prometnih nesreč (140.000 </w:t>
      </w:r>
      <w:r w:rsidR="00B96609">
        <w:rPr>
          <w:rFonts w:ascii="Arial" w:eastAsia="Arial" w:hAnsi="Arial" w:cs="Arial"/>
          <w:sz w:val="22"/>
          <w:szCs w:val="22"/>
        </w:rPr>
        <w:t>EUR</w:t>
      </w:r>
      <w:r w:rsidRPr="00853BFF">
        <w:rPr>
          <w:rFonts w:ascii="Arial" w:eastAsia="Arial" w:hAnsi="Arial" w:cs="Arial"/>
          <w:sz w:val="22"/>
          <w:szCs w:val="22"/>
        </w:rPr>
        <w:t>/leto),</w:t>
      </w:r>
    </w:p>
    <w:p w14:paraId="74C0A1B0" w14:textId="7D2811F2" w:rsidR="00953377" w:rsidRPr="00853BFF" w:rsidRDefault="00953377" w:rsidP="00953377">
      <w:pPr>
        <w:numPr>
          <w:ilvl w:val="0"/>
          <w:numId w:val="121"/>
        </w:numPr>
        <w:spacing w:line="276" w:lineRule="auto"/>
        <w:jc w:val="both"/>
        <w:rPr>
          <w:rFonts w:ascii="Arial" w:eastAsia="Arial" w:hAnsi="Arial" w:cs="Arial"/>
          <w:sz w:val="22"/>
          <w:szCs w:val="22"/>
        </w:rPr>
      </w:pPr>
      <w:proofErr w:type="spellStart"/>
      <w:r w:rsidRPr="00853BFF">
        <w:rPr>
          <w:rFonts w:ascii="Arial" w:eastAsia="Arial" w:hAnsi="Arial" w:cs="Arial"/>
          <w:sz w:val="22"/>
          <w:szCs w:val="22"/>
        </w:rPr>
        <w:lastRenderedPageBreak/>
        <w:t>okoljske</w:t>
      </w:r>
      <w:proofErr w:type="spellEnd"/>
      <w:r w:rsidRPr="00853BFF">
        <w:rPr>
          <w:rFonts w:ascii="Arial" w:eastAsia="Arial" w:hAnsi="Arial" w:cs="Arial"/>
          <w:sz w:val="22"/>
          <w:szCs w:val="22"/>
        </w:rPr>
        <w:t xml:space="preserve"> koristi (10,67 t CO</w:t>
      </w:r>
      <w:r w:rsidRPr="00853BFF">
        <w:rPr>
          <w:rFonts w:ascii="Cambria Math" w:eastAsia="Arial" w:hAnsi="Cambria Math" w:cs="Cambria Math"/>
          <w:sz w:val="22"/>
          <w:szCs w:val="22"/>
        </w:rPr>
        <w:t>₂</w:t>
      </w:r>
      <w:r w:rsidRPr="00853BFF">
        <w:rPr>
          <w:rFonts w:ascii="Arial" w:eastAsia="Arial" w:hAnsi="Arial" w:cs="Arial"/>
          <w:sz w:val="22"/>
          <w:szCs w:val="22"/>
        </w:rPr>
        <w:t xml:space="preserve"> manj/leto → 320 </w:t>
      </w:r>
      <w:r w:rsidR="00B96609">
        <w:rPr>
          <w:rFonts w:ascii="Arial" w:eastAsia="Arial" w:hAnsi="Arial" w:cs="Arial"/>
          <w:sz w:val="22"/>
          <w:szCs w:val="22"/>
        </w:rPr>
        <w:t>EUR</w:t>
      </w:r>
      <w:r w:rsidRPr="00853BFF">
        <w:rPr>
          <w:rFonts w:ascii="Arial" w:eastAsia="Arial" w:hAnsi="Arial" w:cs="Arial"/>
          <w:sz w:val="22"/>
          <w:szCs w:val="22"/>
        </w:rPr>
        <w:t>/leto),</w:t>
      </w:r>
    </w:p>
    <w:p w14:paraId="1D07DC8B" w14:textId="77777777" w:rsidR="00953377" w:rsidRPr="00853BFF" w:rsidRDefault="00953377" w:rsidP="00953377">
      <w:pPr>
        <w:numPr>
          <w:ilvl w:val="0"/>
          <w:numId w:val="121"/>
        </w:numPr>
        <w:spacing w:line="276" w:lineRule="auto"/>
        <w:jc w:val="both"/>
        <w:rPr>
          <w:rFonts w:ascii="Arial" w:eastAsia="Arial" w:hAnsi="Arial" w:cs="Arial"/>
          <w:sz w:val="22"/>
          <w:szCs w:val="22"/>
        </w:rPr>
      </w:pPr>
      <w:r w:rsidRPr="00853BFF">
        <w:rPr>
          <w:rFonts w:ascii="Arial" w:eastAsia="Arial" w:hAnsi="Arial" w:cs="Arial"/>
          <w:sz w:val="22"/>
          <w:szCs w:val="22"/>
        </w:rPr>
        <w:t xml:space="preserve">zdravstvene koristi zaradi aktivne mobilnosti </w:t>
      </w:r>
      <w:r w:rsidRPr="00BC0DCF">
        <w:rPr>
          <w:rFonts w:ascii="Arial" w:eastAsia="Arial" w:hAnsi="Arial" w:cs="Arial"/>
          <w:sz w:val="22"/>
          <w:szCs w:val="22"/>
        </w:rPr>
        <w:t>290.000,00 EUR</w:t>
      </w:r>
      <w:r w:rsidRPr="00853BFF">
        <w:rPr>
          <w:rFonts w:ascii="Arial" w:eastAsia="Arial" w:hAnsi="Arial" w:cs="Arial"/>
          <w:sz w:val="22"/>
          <w:szCs w:val="22"/>
        </w:rPr>
        <w:t>/leto)</w:t>
      </w:r>
      <w:r w:rsidRPr="00BC0DCF">
        <w:rPr>
          <w:rFonts w:ascii="Arial" w:eastAsia="Arial" w:hAnsi="Arial" w:cs="Arial"/>
          <w:sz w:val="22"/>
          <w:szCs w:val="22"/>
        </w:rPr>
        <w:t>.</w:t>
      </w:r>
    </w:p>
    <w:p w14:paraId="51A480DC" w14:textId="77777777" w:rsidR="00953377" w:rsidRPr="00BC0DCF" w:rsidRDefault="00953377" w:rsidP="00953377">
      <w:pPr>
        <w:spacing w:line="276" w:lineRule="auto"/>
        <w:jc w:val="both"/>
        <w:rPr>
          <w:rFonts w:ascii="Arial" w:eastAsia="Arial" w:hAnsi="Arial" w:cs="Arial"/>
          <w:sz w:val="22"/>
          <w:szCs w:val="22"/>
        </w:rPr>
      </w:pPr>
    </w:p>
    <w:p w14:paraId="2EF052E3" w14:textId="77777777" w:rsidR="00953377" w:rsidRPr="00853BFF" w:rsidRDefault="00953377" w:rsidP="00953377">
      <w:pPr>
        <w:spacing w:line="276" w:lineRule="auto"/>
        <w:jc w:val="both"/>
        <w:rPr>
          <w:rFonts w:ascii="Arial" w:eastAsia="Arial" w:hAnsi="Arial" w:cs="Arial"/>
          <w:sz w:val="22"/>
          <w:szCs w:val="22"/>
        </w:rPr>
      </w:pPr>
      <w:r w:rsidRPr="00853BFF">
        <w:rPr>
          <w:rFonts w:ascii="Arial" w:eastAsia="Arial" w:hAnsi="Arial" w:cs="Arial"/>
          <w:sz w:val="22"/>
          <w:szCs w:val="22"/>
        </w:rPr>
        <w:t>Varianta 1 združuje takojšnje uresničevanje koristi z nižjimi stroški občine zaradi sofinanciranja, zato je z vidika stroškov in koristi najugodnejša možnost.</w:t>
      </w:r>
    </w:p>
    <w:p w14:paraId="39F0DF73" w14:textId="77777777" w:rsidR="00953377" w:rsidRPr="00953377" w:rsidRDefault="00953377" w:rsidP="00953377">
      <w:pPr>
        <w:pStyle w:val="Naslov2"/>
        <w:numPr>
          <w:ilvl w:val="2"/>
          <w:numId w:val="1"/>
        </w:numPr>
        <w:spacing w:before="240" w:after="240"/>
        <w:rPr>
          <w:rFonts w:asciiTheme="majorHAnsi" w:eastAsiaTheme="majorEastAsia" w:hAnsiTheme="majorHAnsi" w:cstheme="majorHAnsi"/>
          <w:color w:val="244061" w:themeColor="accent1" w:themeShade="80"/>
        </w:rPr>
      </w:pPr>
      <w:bookmarkStart w:id="61" w:name="_Toc209277141"/>
      <w:bookmarkStart w:id="62" w:name="_Toc210033768"/>
      <w:r w:rsidRPr="00953377">
        <w:rPr>
          <w:rFonts w:asciiTheme="majorHAnsi" w:eastAsiaTheme="majorEastAsia" w:hAnsiTheme="majorHAnsi" w:cstheme="majorHAnsi"/>
          <w:color w:val="244061" w:themeColor="accent1" w:themeShade="80"/>
        </w:rPr>
        <w:t>Varianta 2 – izvedba projekta z lastnimi sredstvi</w:t>
      </w:r>
      <w:bookmarkEnd w:id="61"/>
      <w:bookmarkEnd w:id="62"/>
    </w:p>
    <w:p w14:paraId="216AC621"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sz w:val="22"/>
          <w:szCs w:val="22"/>
        </w:rPr>
        <w:t>Ta varianta predvideva izvedbo projekta v celoti iz lastnih sredstev občine. Zaradi proračunskih omejitev se investicija zamakne in izvede šele v 11. letu (okoli 2035).</w:t>
      </w:r>
    </w:p>
    <w:p w14:paraId="183FB69C" w14:textId="77777777" w:rsidR="00953377" w:rsidRPr="00BC0DCF" w:rsidRDefault="00953377" w:rsidP="00953377">
      <w:pPr>
        <w:spacing w:line="276" w:lineRule="auto"/>
        <w:jc w:val="both"/>
        <w:rPr>
          <w:rFonts w:ascii="Arial" w:eastAsia="Arial" w:hAnsi="Arial" w:cs="Arial"/>
          <w:b/>
          <w:bCs/>
          <w:sz w:val="22"/>
          <w:szCs w:val="22"/>
        </w:rPr>
      </w:pPr>
    </w:p>
    <w:p w14:paraId="5F4D313F"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b/>
          <w:bCs/>
          <w:sz w:val="22"/>
          <w:szCs w:val="22"/>
        </w:rPr>
        <w:t>Investicijski stroški:</w:t>
      </w:r>
    </w:p>
    <w:p w14:paraId="2F672F08" w14:textId="77777777" w:rsidR="00953377" w:rsidRPr="001E1414" w:rsidRDefault="00953377" w:rsidP="00953377">
      <w:pPr>
        <w:numPr>
          <w:ilvl w:val="0"/>
          <w:numId w:val="122"/>
        </w:numPr>
        <w:spacing w:line="276" w:lineRule="auto"/>
        <w:jc w:val="both"/>
        <w:rPr>
          <w:rFonts w:ascii="Arial" w:eastAsia="Arial" w:hAnsi="Arial" w:cs="Arial"/>
          <w:sz w:val="22"/>
          <w:szCs w:val="22"/>
        </w:rPr>
      </w:pPr>
      <w:r w:rsidRPr="001E1414">
        <w:rPr>
          <w:rFonts w:ascii="Arial" w:eastAsia="Arial" w:hAnsi="Arial" w:cs="Arial"/>
          <w:sz w:val="22"/>
          <w:szCs w:val="22"/>
        </w:rPr>
        <w:t>enaki kot pri varianti 1</w:t>
      </w:r>
      <w:r w:rsidRPr="00BC0DCF">
        <w:rPr>
          <w:rFonts w:ascii="Arial" w:eastAsia="Arial" w:hAnsi="Arial" w:cs="Arial"/>
          <w:sz w:val="22"/>
          <w:szCs w:val="22"/>
        </w:rPr>
        <w:t xml:space="preserve">, </w:t>
      </w:r>
      <w:r w:rsidRPr="001E1414">
        <w:rPr>
          <w:rFonts w:ascii="Arial" w:eastAsia="Arial" w:hAnsi="Arial" w:cs="Arial"/>
          <w:sz w:val="22"/>
          <w:szCs w:val="22"/>
        </w:rPr>
        <w:t>vendar v celoti bremenijo občinski proračun,</w:t>
      </w:r>
    </w:p>
    <w:p w14:paraId="24840406" w14:textId="77777777" w:rsidR="00953377" w:rsidRPr="001E1414" w:rsidRDefault="00953377" w:rsidP="00953377">
      <w:pPr>
        <w:numPr>
          <w:ilvl w:val="0"/>
          <w:numId w:val="122"/>
        </w:numPr>
        <w:spacing w:line="276" w:lineRule="auto"/>
        <w:jc w:val="both"/>
        <w:rPr>
          <w:rFonts w:ascii="Arial" w:eastAsia="Arial" w:hAnsi="Arial" w:cs="Arial"/>
          <w:sz w:val="22"/>
          <w:szCs w:val="22"/>
        </w:rPr>
      </w:pPr>
      <w:r w:rsidRPr="001E1414">
        <w:rPr>
          <w:rFonts w:ascii="Arial" w:eastAsia="Arial" w:hAnsi="Arial" w:cs="Arial"/>
          <w:sz w:val="22"/>
          <w:szCs w:val="22"/>
        </w:rPr>
        <w:t>zaradi časovnega zamika je realno pričakovati dodatne podražitve zaradi inflacije.</w:t>
      </w:r>
    </w:p>
    <w:p w14:paraId="779B23E8" w14:textId="77777777" w:rsidR="00953377" w:rsidRPr="00BC0DCF" w:rsidRDefault="00953377" w:rsidP="00953377">
      <w:pPr>
        <w:spacing w:line="276" w:lineRule="auto"/>
        <w:jc w:val="both"/>
        <w:rPr>
          <w:rFonts w:ascii="Arial" w:eastAsia="Arial" w:hAnsi="Arial" w:cs="Arial"/>
          <w:b/>
          <w:bCs/>
          <w:sz w:val="22"/>
          <w:szCs w:val="22"/>
        </w:rPr>
      </w:pPr>
    </w:p>
    <w:p w14:paraId="15BD714C"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b/>
          <w:bCs/>
          <w:sz w:val="22"/>
          <w:szCs w:val="22"/>
        </w:rPr>
        <w:t>Obratovalni stroški:</w:t>
      </w:r>
    </w:p>
    <w:p w14:paraId="1FB02762" w14:textId="77777777" w:rsidR="00953377" w:rsidRPr="001E1414" w:rsidRDefault="00953377" w:rsidP="00953377">
      <w:pPr>
        <w:numPr>
          <w:ilvl w:val="0"/>
          <w:numId w:val="123"/>
        </w:numPr>
        <w:spacing w:line="276" w:lineRule="auto"/>
        <w:jc w:val="both"/>
        <w:rPr>
          <w:rFonts w:ascii="Arial" w:eastAsia="Arial" w:hAnsi="Arial" w:cs="Arial"/>
          <w:sz w:val="22"/>
          <w:szCs w:val="22"/>
        </w:rPr>
      </w:pPr>
      <w:r w:rsidRPr="001E1414">
        <w:rPr>
          <w:rFonts w:ascii="Arial" w:eastAsia="Arial" w:hAnsi="Arial" w:cs="Arial"/>
          <w:sz w:val="22"/>
          <w:szCs w:val="22"/>
        </w:rPr>
        <w:t>enaki kot pri varianti 1, vendar se začnejo šele po letu 2035.</w:t>
      </w:r>
    </w:p>
    <w:p w14:paraId="43E3ABF9" w14:textId="77777777" w:rsidR="00953377" w:rsidRPr="00BC0DCF" w:rsidRDefault="00953377" w:rsidP="00953377">
      <w:pPr>
        <w:spacing w:line="276" w:lineRule="auto"/>
        <w:jc w:val="both"/>
        <w:rPr>
          <w:rFonts w:ascii="Arial" w:eastAsia="Arial" w:hAnsi="Arial" w:cs="Arial"/>
          <w:b/>
          <w:bCs/>
          <w:sz w:val="22"/>
          <w:szCs w:val="22"/>
        </w:rPr>
      </w:pPr>
    </w:p>
    <w:p w14:paraId="10495357"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b/>
          <w:bCs/>
          <w:sz w:val="22"/>
          <w:szCs w:val="22"/>
        </w:rPr>
        <w:t>Prihodki iz javnih storitev:</w:t>
      </w:r>
    </w:p>
    <w:p w14:paraId="680EE8F3" w14:textId="77777777" w:rsidR="00953377" w:rsidRPr="001E1414" w:rsidRDefault="00953377" w:rsidP="00953377">
      <w:pPr>
        <w:numPr>
          <w:ilvl w:val="0"/>
          <w:numId w:val="124"/>
        </w:numPr>
        <w:spacing w:line="276" w:lineRule="auto"/>
        <w:jc w:val="both"/>
        <w:rPr>
          <w:rFonts w:ascii="Arial" w:eastAsia="Arial" w:hAnsi="Arial" w:cs="Arial"/>
          <w:sz w:val="22"/>
          <w:szCs w:val="22"/>
        </w:rPr>
      </w:pPr>
      <w:r w:rsidRPr="001E1414">
        <w:rPr>
          <w:rFonts w:ascii="Arial" w:eastAsia="Arial" w:hAnsi="Arial" w:cs="Arial"/>
          <w:sz w:val="22"/>
          <w:szCs w:val="22"/>
        </w:rPr>
        <w:t>parkirišča</w:t>
      </w:r>
      <w:r w:rsidRPr="00BC0DCF">
        <w:rPr>
          <w:rFonts w:ascii="Arial" w:eastAsia="Arial" w:hAnsi="Arial" w:cs="Arial"/>
          <w:sz w:val="22"/>
          <w:szCs w:val="22"/>
        </w:rPr>
        <w:t xml:space="preserve">: </w:t>
      </w:r>
      <w:r w:rsidRPr="001E1414">
        <w:rPr>
          <w:rFonts w:ascii="Arial" w:eastAsia="Arial" w:hAnsi="Arial" w:cs="Arial"/>
          <w:sz w:val="22"/>
          <w:szCs w:val="22"/>
        </w:rPr>
        <w:t>enaki kot pri varianti 1</w:t>
      </w:r>
    </w:p>
    <w:p w14:paraId="1F0BA2E6" w14:textId="77777777" w:rsidR="00953377" w:rsidRPr="001E1414" w:rsidRDefault="00953377" w:rsidP="00953377">
      <w:pPr>
        <w:numPr>
          <w:ilvl w:val="0"/>
          <w:numId w:val="124"/>
        </w:numPr>
        <w:spacing w:line="276" w:lineRule="auto"/>
        <w:jc w:val="both"/>
        <w:rPr>
          <w:rFonts w:ascii="Arial" w:eastAsia="Arial" w:hAnsi="Arial" w:cs="Arial"/>
          <w:sz w:val="22"/>
          <w:szCs w:val="22"/>
        </w:rPr>
      </w:pPr>
      <w:r w:rsidRPr="001E1414">
        <w:rPr>
          <w:rFonts w:ascii="Arial" w:eastAsia="Arial" w:hAnsi="Arial" w:cs="Arial"/>
          <w:sz w:val="22"/>
          <w:szCs w:val="22"/>
        </w:rPr>
        <w:t>sistem e-koles</w:t>
      </w:r>
      <w:r w:rsidRPr="00BC0DCF">
        <w:rPr>
          <w:rFonts w:ascii="Arial" w:eastAsia="Arial" w:hAnsi="Arial" w:cs="Arial"/>
          <w:sz w:val="22"/>
          <w:szCs w:val="22"/>
        </w:rPr>
        <w:t xml:space="preserve">: </w:t>
      </w:r>
      <w:r w:rsidRPr="001E1414">
        <w:rPr>
          <w:rFonts w:ascii="Arial" w:eastAsia="Arial" w:hAnsi="Arial" w:cs="Arial"/>
          <w:sz w:val="22"/>
          <w:szCs w:val="22"/>
        </w:rPr>
        <w:t>enaki kot pri varianti 1</w:t>
      </w:r>
    </w:p>
    <w:p w14:paraId="1C750542" w14:textId="77777777" w:rsidR="00953377" w:rsidRPr="00BC0DCF" w:rsidRDefault="00953377" w:rsidP="00953377">
      <w:pPr>
        <w:spacing w:line="276" w:lineRule="auto"/>
        <w:jc w:val="both"/>
        <w:rPr>
          <w:rFonts w:ascii="Arial" w:eastAsia="Arial" w:hAnsi="Arial" w:cs="Arial"/>
          <w:sz w:val="22"/>
          <w:szCs w:val="22"/>
        </w:rPr>
      </w:pPr>
    </w:p>
    <w:p w14:paraId="50577530"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b/>
          <w:bCs/>
          <w:sz w:val="22"/>
          <w:szCs w:val="22"/>
        </w:rPr>
        <w:t>Izračunljive družbene koristi:</w:t>
      </w:r>
    </w:p>
    <w:p w14:paraId="4637A5D4" w14:textId="77777777" w:rsidR="00953377" w:rsidRPr="001E1414" w:rsidRDefault="00953377" w:rsidP="00953377">
      <w:pPr>
        <w:numPr>
          <w:ilvl w:val="0"/>
          <w:numId w:val="125"/>
        </w:numPr>
        <w:spacing w:line="276" w:lineRule="auto"/>
        <w:jc w:val="both"/>
        <w:rPr>
          <w:rFonts w:ascii="Arial" w:eastAsia="Arial" w:hAnsi="Arial" w:cs="Arial"/>
          <w:sz w:val="22"/>
          <w:szCs w:val="22"/>
        </w:rPr>
      </w:pPr>
      <w:r w:rsidRPr="001E1414">
        <w:rPr>
          <w:rFonts w:ascii="Arial" w:eastAsia="Arial" w:hAnsi="Arial" w:cs="Arial"/>
          <w:sz w:val="22"/>
          <w:szCs w:val="22"/>
        </w:rPr>
        <w:t>enake vrste kot pri varianti 1, vendar se uresničijo šele z desetletnim zamikom,</w:t>
      </w:r>
    </w:p>
    <w:p w14:paraId="5FE1855D" w14:textId="77777777" w:rsidR="00953377" w:rsidRPr="001E1414" w:rsidRDefault="00953377" w:rsidP="00953377">
      <w:pPr>
        <w:numPr>
          <w:ilvl w:val="0"/>
          <w:numId w:val="125"/>
        </w:numPr>
        <w:spacing w:line="276" w:lineRule="auto"/>
        <w:jc w:val="both"/>
        <w:rPr>
          <w:rFonts w:ascii="Arial" w:eastAsia="Arial" w:hAnsi="Arial" w:cs="Arial"/>
          <w:sz w:val="22"/>
          <w:szCs w:val="22"/>
        </w:rPr>
      </w:pPr>
      <w:r w:rsidRPr="001E1414">
        <w:rPr>
          <w:rFonts w:ascii="Arial" w:eastAsia="Arial" w:hAnsi="Arial" w:cs="Arial"/>
          <w:sz w:val="22"/>
          <w:szCs w:val="22"/>
        </w:rPr>
        <w:t>posledično je njihova sedanja vrednost bistveno nižja,</w:t>
      </w:r>
    </w:p>
    <w:p w14:paraId="69C62855" w14:textId="77777777" w:rsidR="00953377" w:rsidRPr="001E1414" w:rsidRDefault="00953377" w:rsidP="00953377">
      <w:pPr>
        <w:numPr>
          <w:ilvl w:val="0"/>
          <w:numId w:val="125"/>
        </w:numPr>
        <w:spacing w:line="276" w:lineRule="auto"/>
        <w:jc w:val="both"/>
        <w:rPr>
          <w:rFonts w:ascii="Arial" w:eastAsia="Arial" w:hAnsi="Arial" w:cs="Arial"/>
          <w:sz w:val="22"/>
          <w:szCs w:val="22"/>
        </w:rPr>
      </w:pPr>
      <w:r w:rsidRPr="001E1414">
        <w:rPr>
          <w:rFonts w:ascii="Arial" w:eastAsia="Arial" w:hAnsi="Arial" w:cs="Arial"/>
          <w:sz w:val="22"/>
          <w:szCs w:val="22"/>
        </w:rPr>
        <w:t>v prvih desetih letih se korist za prebivalce ne ustvarja.</w:t>
      </w:r>
    </w:p>
    <w:p w14:paraId="72064621" w14:textId="77777777" w:rsidR="00953377" w:rsidRPr="00BC0DCF" w:rsidRDefault="00953377" w:rsidP="00953377">
      <w:pPr>
        <w:spacing w:line="276" w:lineRule="auto"/>
        <w:jc w:val="both"/>
        <w:rPr>
          <w:rFonts w:ascii="Arial" w:eastAsia="Arial" w:hAnsi="Arial" w:cs="Arial"/>
          <w:sz w:val="22"/>
          <w:szCs w:val="22"/>
        </w:rPr>
      </w:pPr>
    </w:p>
    <w:p w14:paraId="75BD467D" w14:textId="77777777" w:rsidR="00953377" w:rsidRPr="001E1414" w:rsidRDefault="00953377" w:rsidP="00953377">
      <w:pPr>
        <w:spacing w:line="276" w:lineRule="auto"/>
        <w:jc w:val="both"/>
        <w:rPr>
          <w:rFonts w:ascii="Arial" w:eastAsia="Arial" w:hAnsi="Arial" w:cs="Arial"/>
          <w:sz w:val="22"/>
          <w:szCs w:val="22"/>
        </w:rPr>
      </w:pPr>
      <w:r w:rsidRPr="001E1414">
        <w:rPr>
          <w:rFonts w:ascii="Arial" w:eastAsia="Arial" w:hAnsi="Arial" w:cs="Arial"/>
          <w:sz w:val="22"/>
          <w:szCs w:val="22"/>
        </w:rPr>
        <w:t>Varianta 2 je manj ugodna, saj občina v celoti nosi stroške in izgubi desetletje možnih koristi.</w:t>
      </w:r>
    </w:p>
    <w:bookmarkEnd w:id="58"/>
    <w:p w14:paraId="2DA410F7" w14:textId="77777777" w:rsidR="002D78B4" w:rsidRDefault="002D78B4" w:rsidP="00BD1D20">
      <w:pPr>
        <w:spacing w:after="200" w:line="276" w:lineRule="auto"/>
        <w:jc w:val="both"/>
        <w:rPr>
          <w:rFonts w:asciiTheme="majorHAnsi" w:hAnsiTheme="majorHAnsi" w:cstheme="majorHAnsi"/>
          <w:sz w:val="22"/>
          <w:szCs w:val="22"/>
          <w:lang w:eastAsia="en-US"/>
        </w:rPr>
      </w:pPr>
    </w:p>
    <w:p w14:paraId="4160136F" w14:textId="77777777" w:rsidR="000176A3" w:rsidRPr="000176A3" w:rsidRDefault="000176A3" w:rsidP="000176A3">
      <w:pPr>
        <w:pBdr>
          <w:top w:val="single" w:sz="4" w:space="1" w:color="auto"/>
          <w:left w:val="single" w:sz="4" w:space="4" w:color="auto"/>
          <w:bottom w:val="single" w:sz="4" w:space="1" w:color="auto"/>
          <w:right w:val="single" w:sz="4" w:space="4" w:color="auto"/>
        </w:pBdr>
        <w:shd w:val="clear" w:color="auto" w:fill="DBE5F1" w:themeFill="accent1" w:themeFillTint="33"/>
        <w:spacing w:after="200" w:line="276" w:lineRule="auto"/>
        <w:jc w:val="both"/>
        <w:rPr>
          <w:rFonts w:asciiTheme="majorHAnsi" w:hAnsiTheme="majorHAnsi" w:cstheme="majorHAnsi"/>
          <w:b/>
          <w:sz w:val="22"/>
          <w:szCs w:val="22"/>
        </w:rPr>
      </w:pPr>
      <w:r w:rsidRPr="000176A3">
        <w:rPr>
          <w:rFonts w:asciiTheme="majorHAnsi" w:hAnsiTheme="majorHAnsi" w:cstheme="majorHAnsi"/>
          <w:b/>
          <w:sz w:val="22"/>
          <w:szCs w:val="22"/>
        </w:rPr>
        <w:t xml:space="preserve">Primerjava treh obravnavanih variant jasno pokaže, da je varianta 0 – ohranitev obstoječega stanja – za občino in prebivalce Iga neustrezna, saj ne prinaša nobenih izboljšav in pomeni nadaljevanje obstoječih prometnih, </w:t>
      </w:r>
      <w:proofErr w:type="spellStart"/>
      <w:r w:rsidRPr="000176A3">
        <w:rPr>
          <w:rFonts w:asciiTheme="majorHAnsi" w:hAnsiTheme="majorHAnsi" w:cstheme="majorHAnsi"/>
          <w:b/>
          <w:sz w:val="22"/>
          <w:szCs w:val="22"/>
        </w:rPr>
        <w:t>okoljskih</w:t>
      </w:r>
      <w:proofErr w:type="spellEnd"/>
      <w:r w:rsidRPr="000176A3">
        <w:rPr>
          <w:rFonts w:asciiTheme="majorHAnsi" w:hAnsiTheme="majorHAnsi" w:cstheme="majorHAnsi"/>
          <w:b/>
          <w:sz w:val="22"/>
          <w:szCs w:val="22"/>
        </w:rPr>
        <w:t xml:space="preserve"> in varnostnih težav.</w:t>
      </w:r>
    </w:p>
    <w:p w14:paraId="45ACA829" w14:textId="77777777" w:rsidR="000176A3" w:rsidRPr="000176A3" w:rsidRDefault="000176A3" w:rsidP="000176A3">
      <w:pPr>
        <w:pBdr>
          <w:top w:val="single" w:sz="4" w:space="1" w:color="auto"/>
          <w:left w:val="single" w:sz="4" w:space="4" w:color="auto"/>
          <w:bottom w:val="single" w:sz="4" w:space="1" w:color="auto"/>
          <w:right w:val="single" w:sz="4" w:space="4" w:color="auto"/>
        </w:pBdr>
        <w:shd w:val="clear" w:color="auto" w:fill="DBE5F1" w:themeFill="accent1" w:themeFillTint="33"/>
        <w:spacing w:after="200" w:line="276" w:lineRule="auto"/>
        <w:jc w:val="both"/>
        <w:rPr>
          <w:rFonts w:asciiTheme="majorHAnsi" w:hAnsiTheme="majorHAnsi" w:cstheme="majorHAnsi"/>
          <w:b/>
          <w:sz w:val="22"/>
          <w:szCs w:val="22"/>
        </w:rPr>
      </w:pPr>
      <w:r w:rsidRPr="000176A3">
        <w:rPr>
          <w:rFonts w:asciiTheme="majorHAnsi" w:hAnsiTheme="majorHAnsi" w:cstheme="majorHAnsi"/>
          <w:b/>
          <w:sz w:val="22"/>
          <w:szCs w:val="22"/>
        </w:rPr>
        <w:t>Varianta 2 – izvedba projekta z lastnimi sredstvi – je vsebinsko enaka kot varianta 1, vendar finančno bistveno manj ugodna, saj celotno breme investicije nosi občina, poleg tega pa zaradi desetletnega časovnega zamika prebivalci izgubijo deset let potencialnih koristi.</w:t>
      </w:r>
    </w:p>
    <w:p w14:paraId="1A0A5C3F" w14:textId="48947DDF" w:rsidR="00887E28" w:rsidRPr="00F11127" w:rsidRDefault="000176A3" w:rsidP="000176A3">
      <w:pPr>
        <w:pBdr>
          <w:top w:val="single" w:sz="4" w:space="1" w:color="auto"/>
          <w:left w:val="single" w:sz="4" w:space="4" w:color="auto"/>
          <w:bottom w:val="single" w:sz="4" w:space="1" w:color="auto"/>
          <w:right w:val="single" w:sz="4" w:space="4" w:color="auto"/>
        </w:pBdr>
        <w:shd w:val="clear" w:color="auto" w:fill="DBE5F1" w:themeFill="accent1" w:themeFillTint="33"/>
        <w:spacing w:after="200" w:line="276" w:lineRule="auto"/>
        <w:jc w:val="both"/>
        <w:rPr>
          <w:rFonts w:asciiTheme="majorHAnsi" w:hAnsiTheme="majorHAnsi" w:cstheme="majorHAnsi"/>
          <w:b/>
          <w:sz w:val="22"/>
          <w:szCs w:val="22"/>
        </w:rPr>
      </w:pPr>
      <w:r w:rsidRPr="000176A3">
        <w:rPr>
          <w:rFonts w:asciiTheme="majorHAnsi" w:hAnsiTheme="majorHAnsi" w:cstheme="majorHAnsi"/>
          <w:b/>
          <w:sz w:val="22"/>
          <w:szCs w:val="22"/>
        </w:rPr>
        <w:t xml:space="preserve">Najbolj uravnotežena in učinkovita rešitev je zato varianta 1 – izvedba projekta z nepovratnimi sredstvi, ki omogoča takojšnje uresničevanje koristi za prebivalce in obiskovalce ter hkrati pomembno razbremeni občinski proračun. Ta varianta zagotavlja tako finančno kot ekonomsko in </w:t>
      </w:r>
      <w:proofErr w:type="spellStart"/>
      <w:r w:rsidRPr="000176A3">
        <w:rPr>
          <w:rFonts w:asciiTheme="majorHAnsi" w:hAnsiTheme="majorHAnsi" w:cstheme="majorHAnsi"/>
          <w:b/>
          <w:sz w:val="22"/>
          <w:szCs w:val="22"/>
        </w:rPr>
        <w:t>okoljsko</w:t>
      </w:r>
      <w:proofErr w:type="spellEnd"/>
      <w:r w:rsidRPr="000176A3">
        <w:rPr>
          <w:rFonts w:asciiTheme="majorHAnsi" w:hAnsiTheme="majorHAnsi" w:cstheme="majorHAnsi"/>
          <w:b/>
          <w:sz w:val="22"/>
          <w:szCs w:val="22"/>
        </w:rPr>
        <w:t xml:space="preserve"> najustreznejšo podlago za izvedbo projekta.</w:t>
      </w:r>
      <w:r w:rsidR="001B6EB8" w:rsidRPr="00F11127">
        <w:rPr>
          <w:rFonts w:asciiTheme="majorHAnsi" w:hAnsiTheme="majorHAnsi" w:cstheme="majorHAnsi"/>
          <w:b/>
          <w:sz w:val="22"/>
          <w:szCs w:val="22"/>
          <w:highlight w:val="yellow"/>
        </w:rPr>
        <w:t xml:space="preserve"> </w:t>
      </w:r>
    </w:p>
    <w:p w14:paraId="79F64E6C" w14:textId="1F70B82B" w:rsidR="00BF13FA" w:rsidRPr="00F11127" w:rsidRDefault="00BF13FA"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63" w:name="_Toc210033769"/>
      <w:r w:rsidRPr="00F11127">
        <w:rPr>
          <w:rFonts w:asciiTheme="majorHAnsi" w:eastAsiaTheme="majorEastAsia" w:hAnsiTheme="majorHAnsi" w:cstheme="majorHAnsi"/>
          <w:color w:val="244061" w:themeColor="accent1" w:themeShade="80"/>
        </w:rPr>
        <w:t>Povzetek dokumenta identifikacije investicijskega projekta</w:t>
      </w:r>
      <w:bookmarkEnd w:id="63"/>
    </w:p>
    <w:p w14:paraId="38876F0F" w14:textId="77777777" w:rsid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Dokument identifikacije investicijskega projekta (DIIP) »</w:t>
      </w:r>
      <w:r w:rsidRPr="00201753">
        <w:rPr>
          <w:rFonts w:asciiTheme="majorHAnsi" w:eastAsiaTheme="majorEastAsia" w:hAnsiTheme="majorHAnsi" w:cstheme="majorHAnsi"/>
          <w:b/>
          <w:bCs/>
          <w:sz w:val="22"/>
          <w:szCs w:val="22"/>
          <w:lang w:eastAsia="zh-TW"/>
        </w:rPr>
        <w:t>Celovita ureditev centra Ig – ukrepi trajnostne mobilnosti</w:t>
      </w:r>
      <w:r w:rsidRPr="00201753">
        <w:rPr>
          <w:rFonts w:asciiTheme="majorHAnsi" w:eastAsiaTheme="majorEastAsia" w:hAnsiTheme="majorHAnsi" w:cstheme="majorHAnsi"/>
          <w:sz w:val="22"/>
          <w:szCs w:val="22"/>
          <w:lang w:eastAsia="zh-TW"/>
        </w:rPr>
        <w:t xml:space="preserve">« je avgusta 2025 pripravila družba </w:t>
      </w:r>
      <w:proofErr w:type="spellStart"/>
      <w:r w:rsidRPr="00201753">
        <w:rPr>
          <w:rFonts w:asciiTheme="majorHAnsi" w:eastAsiaTheme="majorEastAsia" w:hAnsiTheme="majorHAnsi" w:cstheme="majorHAnsi"/>
          <w:b/>
          <w:bCs/>
          <w:sz w:val="22"/>
          <w:szCs w:val="22"/>
          <w:lang w:eastAsia="zh-TW"/>
        </w:rPr>
        <w:t>ProSVET</w:t>
      </w:r>
      <w:proofErr w:type="spellEnd"/>
      <w:r w:rsidRPr="00201753">
        <w:rPr>
          <w:rFonts w:asciiTheme="majorHAnsi" w:eastAsiaTheme="majorEastAsia" w:hAnsiTheme="majorHAnsi" w:cstheme="majorHAnsi"/>
          <w:b/>
          <w:bCs/>
          <w:sz w:val="22"/>
          <w:szCs w:val="22"/>
          <w:lang w:eastAsia="zh-TW"/>
        </w:rPr>
        <w:t xml:space="preserve">, Martina Magajna </w:t>
      </w:r>
      <w:proofErr w:type="spellStart"/>
      <w:r w:rsidRPr="00201753">
        <w:rPr>
          <w:rFonts w:asciiTheme="majorHAnsi" w:eastAsiaTheme="majorEastAsia" w:hAnsiTheme="majorHAnsi" w:cstheme="majorHAnsi"/>
          <w:b/>
          <w:bCs/>
          <w:sz w:val="22"/>
          <w:szCs w:val="22"/>
          <w:lang w:eastAsia="zh-TW"/>
        </w:rPr>
        <w:t>s.p</w:t>
      </w:r>
      <w:proofErr w:type="spellEnd"/>
      <w:r w:rsidRPr="00201753">
        <w:rPr>
          <w:rFonts w:asciiTheme="majorHAnsi" w:eastAsiaTheme="majorEastAsia" w:hAnsiTheme="majorHAnsi" w:cstheme="majorHAnsi"/>
          <w:b/>
          <w:bCs/>
          <w:sz w:val="22"/>
          <w:szCs w:val="22"/>
          <w:lang w:eastAsia="zh-TW"/>
        </w:rPr>
        <w:t>.</w:t>
      </w:r>
      <w:r w:rsidRPr="00201753">
        <w:rPr>
          <w:rFonts w:asciiTheme="majorHAnsi" w:eastAsiaTheme="majorEastAsia" w:hAnsiTheme="majorHAnsi" w:cstheme="majorHAnsi"/>
          <w:sz w:val="22"/>
          <w:szCs w:val="22"/>
          <w:lang w:eastAsia="zh-TW"/>
        </w:rPr>
        <w:t xml:space="preserve"> za naročnika in investitorja </w:t>
      </w:r>
      <w:r w:rsidRPr="00201753">
        <w:rPr>
          <w:rFonts w:asciiTheme="majorHAnsi" w:eastAsiaTheme="majorEastAsia" w:hAnsiTheme="majorHAnsi" w:cstheme="majorHAnsi"/>
          <w:b/>
          <w:bCs/>
          <w:sz w:val="22"/>
          <w:szCs w:val="22"/>
          <w:lang w:eastAsia="zh-TW"/>
        </w:rPr>
        <w:t>Občino Ig</w:t>
      </w:r>
      <w:r w:rsidRPr="00201753">
        <w:rPr>
          <w:rFonts w:asciiTheme="majorHAnsi" w:eastAsiaTheme="majorEastAsia" w:hAnsiTheme="majorHAnsi" w:cstheme="majorHAnsi"/>
          <w:sz w:val="22"/>
          <w:szCs w:val="22"/>
          <w:lang w:eastAsia="zh-TW"/>
        </w:rPr>
        <w:t>.</w:t>
      </w:r>
    </w:p>
    <w:p w14:paraId="78FD3514" w14:textId="77777777" w:rsidR="00201753" w:rsidRPr="00201753" w:rsidRDefault="00201753" w:rsidP="00201753">
      <w:pPr>
        <w:spacing w:line="276" w:lineRule="auto"/>
        <w:jc w:val="both"/>
        <w:rPr>
          <w:rFonts w:asciiTheme="majorHAnsi" w:eastAsiaTheme="majorEastAsia" w:hAnsiTheme="majorHAnsi" w:cstheme="majorHAnsi"/>
          <w:sz w:val="22"/>
          <w:szCs w:val="22"/>
          <w:lang w:eastAsia="zh-TW"/>
        </w:rPr>
      </w:pPr>
    </w:p>
    <w:p w14:paraId="3EBC5549" w14:textId="77777777" w:rsidR="00201753" w:rsidRP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lastRenderedPageBreak/>
        <w:t>Projekt obravnava preureditev ožjega središča Iga ob Govekarjevi cesti in Troštovi ulici z ukrepi trajnostne mobilnosti, ki bodo izboljšali prometno varnost, zmanjšali negativne vplive motornega prometa in ustvarili kakovostnejši javni prostor.</w:t>
      </w:r>
    </w:p>
    <w:p w14:paraId="3608FB90" w14:textId="77777777" w:rsidR="00201753" w:rsidRDefault="00201753" w:rsidP="00201753">
      <w:pPr>
        <w:spacing w:line="276" w:lineRule="auto"/>
        <w:jc w:val="both"/>
        <w:rPr>
          <w:rFonts w:asciiTheme="majorHAnsi" w:eastAsiaTheme="majorEastAsia" w:hAnsiTheme="majorHAnsi" w:cstheme="majorHAnsi"/>
          <w:sz w:val="22"/>
          <w:szCs w:val="22"/>
          <w:lang w:eastAsia="zh-TW"/>
        </w:rPr>
      </w:pPr>
    </w:p>
    <w:p w14:paraId="5A20AC42" w14:textId="0A60938B" w:rsidR="00201753" w:rsidRP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V DIIP-u sta obravnavani dve varianti:</w:t>
      </w:r>
    </w:p>
    <w:p w14:paraId="327D388B" w14:textId="77777777" w:rsidR="00201753" w:rsidRPr="00201753" w:rsidRDefault="00201753" w:rsidP="00201753">
      <w:pPr>
        <w:numPr>
          <w:ilvl w:val="0"/>
          <w:numId w:val="216"/>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b/>
          <w:bCs/>
          <w:sz w:val="22"/>
          <w:szCs w:val="22"/>
          <w:lang w:eastAsia="zh-TW"/>
        </w:rPr>
        <w:t>Varianta 0 – brez investicije</w:t>
      </w:r>
      <w:r w:rsidRPr="00201753">
        <w:rPr>
          <w:rFonts w:asciiTheme="majorHAnsi" w:eastAsiaTheme="majorEastAsia" w:hAnsiTheme="majorHAnsi" w:cstheme="majorHAnsi"/>
          <w:sz w:val="22"/>
          <w:szCs w:val="22"/>
          <w:lang w:eastAsia="zh-TW"/>
        </w:rPr>
        <w:t>: ohranitev obstoječega stanja, kar pomeni nadaljevanje prometnih zastojev, nizke prometne varnosti, odsotnosti ustrezne kolesarske in peš infrastrukture ter neurejenih javnih površin.</w:t>
      </w:r>
    </w:p>
    <w:p w14:paraId="08EEFACD" w14:textId="77777777" w:rsidR="00201753" w:rsidRPr="00201753" w:rsidRDefault="00201753" w:rsidP="00201753">
      <w:pPr>
        <w:numPr>
          <w:ilvl w:val="0"/>
          <w:numId w:val="216"/>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b/>
          <w:bCs/>
          <w:sz w:val="22"/>
          <w:szCs w:val="22"/>
          <w:lang w:eastAsia="zh-TW"/>
        </w:rPr>
        <w:t>Varianta 1 – izvedba projekta</w:t>
      </w:r>
      <w:r w:rsidRPr="00201753">
        <w:rPr>
          <w:rFonts w:asciiTheme="majorHAnsi" w:eastAsiaTheme="majorEastAsia" w:hAnsiTheme="majorHAnsi" w:cstheme="majorHAnsi"/>
          <w:sz w:val="22"/>
          <w:szCs w:val="22"/>
          <w:lang w:eastAsia="zh-TW"/>
        </w:rPr>
        <w:t>: rekonstrukcija cest v skupne prometne prostore, ureditev avtobusnega postajališča, ureditev kolesarske infrastrukture (varna kolesarnica, stojala, sistem e-koles), ukrepi umirjanja prometa (merilci hitrosti, dvignjeni prehodi, zožitve) ter spremljajoče zelene ureditve.</w:t>
      </w:r>
    </w:p>
    <w:p w14:paraId="151CB268" w14:textId="77777777" w:rsidR="00201753" w:rsidRDefault="00201753" w:rsidP="00201753">
      <w:pPr>
        <w:spacing w:line="276" w:lineRule="auto"/>
        <w:jc w:val="both"/>
        <w:rPr>
          <w:rFonts w:asciiTheme="majorHAnsi" w:eastAsiaTheme="majorEastAsia" w:hAnsiTheme="majorHAnsi" w:cstheme="majorHAnsi"/>
          <w:b/>
          <w:bCs/>
          <w:sz w:val="22"/>
          <w:szCs w:val="22"/>
          <w:lang w:eastAsia="zh-TW"/>
        </w:rPr>
      </w:pPr>
    </w:p>
    <w:p w14:paraId="531836D4" w14:textId="3DA24422" w:rsidR="00201753" w:rsidRP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b/>
          <w:bCs/>
          <w:sz w:val="22"/>
          <w:szCs w:val="22"/>
          <w:lang w:eastAsia="zh-TW"/>
        </w:rPr>
        <w:t>Namen in cilji projekta</w:t>
      </w:r>
      <w:r w:rsidRPr="00201753">
        <w:rPr>
          <w:rFonts w:asciiTheme="majorHAnsi" w:eastAsiaTheme="majorEastAsia" w:hAnsiTheme="majorHAnsi" w:cstheme="majorHAnsi"/>
          <w:sz w:val="22"/>
          <w:szCs w:val="22"/>
          <w:lang w:eastAsia="zh-TW"/>
        </w:rPr>
        <w:t xml:space="preserve"> so izboljšanje pogojev za hojo, kolesarjenje in uporabo javnega potniškega prometa, povečanje prometne varnosti ranljivih skupin (otroci, starejši, gibalno ovirani), zmanjšanje emisij CO</w:t>
      </w:r>
      <w:r w:rsidRPr="00201753">
        <w:rPr>
          <w:rFonts w:ascii="Cambria Math" w:eastAsiaTheme="majorEastAsia" w:hAnsi="Cambria Math" w:cs="Cambria Math"/>
          <w:sz w:val="22"/>
          <w:szCs w:val="22"/>
          <w:lang w:eastAsia="zh-TW"/>
        </w:rPr>
        <w:t>₂</w:t>
      </w:r>
      <w:r w:rsidRPr="00201753">
        <w:rPr>
          <w:rFonts w:asciiTheme="majorHAnsi" w:eastAsiaTheme="majorEastAsia" w:hAnsiTheme="majorHAnsi" w:cstheme="majorHAnsi"/>
          <w:sz w:val="22"/>
          <w:szCs w:val="22"/>
          <w:lang w:eastAsia="zh-TW"/>
        </w:rPr>
        <w:t xml:space="preserve"> in drugih negativnih vplivov motornega prometa ter izbolj</w:t>
      </w:r>
      <w:r w:rsidRPr="00201753">
        <w:rPr>
          <w:rFonts w:ascii="Arial" w:eastAsiaTheme="majorEastAsia" w:hAnsi="Arial" w:cs="Arial"/>
          <w:sz w:val="22"/>
          <w:szCs w:val="22"/>
          <w:lang w:eastAsia="zh-TW"/>
        </w:rPr>
        <w:t>š</w:t>
      </w:r>
      <w:r w:rsidRPr="00201753">
        <w:rPr>
          <w:rFonts w:asciiTheme="majorHAnsi" w:eastAsiaTheme="majorEastAsia" w:hAnsiTheme="majorHAnsi" w:cstheme="majorHAnsi"/>
          <w:sz w:val="22"/>
          <w:szCs w:val="22"/>
          <w:lang w:eastAsia="zh-TW"/>
        </w:rPr>
        <w:t>anje kakovosti zraka in bivanja v sredi</w:t>
      </w:r>
      <w:r w:rsidRPr="00201753">
        <w:rPr>
          <w:rFonts w:ascii="Arial" w:eastAsiaTheme="majorEastAsia" w:hAnsi="Arial" w:cs="Arial"/>
          <w:sz w:val="22"/>
          <w:szCs w:val="22"/>
          <w:lang w:eastAsia="zh-TW"/>
        </w:rPr>
        <w:t>šč</w:t>
      </w:r>
      <w:r w:rsidRPr="00201753">
        <w:rPr>
          <w:rFonts w:asciiTheme="majorHAnsi" w:eastAsiaTheme="majorEastAsia" w:hAnsiTheme="majorHAnsi" w:cstheme="majorHAnsi"/>
          <w:sz w:val="22"/>
          <w:szCs w:val="22"/>
          <w:lang w:eastAsia="zh-TW"/>
        </w:rPr>
        <w:t>u naselja.</w:t>
      </w:r>
    </w:p>
    <w:p w14:paraId="2E211C4B" w14:textId="77777777" w:rsidR="00201753" w:rsidRDefault="00201753" w:rsidP="00201753">
      <w:pPr>
        <w:spacing w:line="276" w:lineRule="auto"/>
        <w:jc w:val="both"/>
        <w:rPr>
          <w:rFonts w:asciiTheme="majorHAnsi" w:eastAsiaTheme="majorEastAsia" w:hAnsiTheme="majorHAnsi" w:cstheme="majorHAnsi"/>
          <w:b/>
          <w:bCs/>
          <w:sz w:val="22"/>
          <w:szCs w:val="22"/>
          <w:lang w:eastAsia="zh-TW"/>
        </w:rPr>
      </w:pPr>
    </w:p>
    <w:p w14:paraId="62FC513C" w14:textId="7BEF807C" w:rsidR="00201753" w:rsidRP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b/>
          <w:bCs/>
          <w:sz w:val="22"/>
          <w:szCs w:val="22"/>
          <w:lang w:eastAsia="zh-TW"/>
        </w:rPr>
        <w:t>Ključni pričakovani rezultati</w:t>
      </w:r>
      <w:r w:rsidRPr="00201753">
        <w:rPr>
          <w:rFonts w:asciiTheme="majorHAnsi" w:eastAsiaTheme="majorEastAsia" w:hAnsiTheme="majorHAnsi" w:cstheme="majorHAnsi"/>
          <w:sz w:val="22"/>
          <w:szCs w:val="22"/>
          <w:lang w:eastAsia="zh-TW"/>
        </w:rPr>
        <w:t>:</w:t>
      </w:r>
    </w:p>
    <w:p w14:paraId="04C54C0F" w14:textId="77777777"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3616 m² rekonstruiranih prometnih površin,</w:t>
      </w:r>
    </w:p>
    <w:p w14:paraId="20038616" w14:textId="1EC3973A"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zmanjšanje površin za motorni promet za več kot 1</w:t>
      </w:r>
      <w:r w:rsidR="00485D0D">
        <w:rPr>
          <w:rFonts w:asciiTheme="majorHAnsi" w:eastAsiaTheme="majorEastAsia" w:hAnsiTheme="majorHAnsi" w:cstheme="majorHAnsi"/>
          <w:sz w:val="22"/>
          <w:szCs w:val="22"/>
          <w:lang w:eastAsia="zh-TW"/>
        </w:rPr>
        <w:t>9</w:t>
      </w:r>
      <w:r w:rsidRPr="00201753">
        <w:rPr>
          <w:rFonts w:asciiTheme="majorHAnsi" w:eastAsiaTheme="majorEastAsia" w:hAnsiTheme="majorHAnsi" w:cstheme="majorHAnsi"/>
          <w:sz w:val="22"/>
          <w:szCs w:val="22"/>
          <w:lang w:eastAsia="zh-TW"/>
        </w:rPr>
        <w:t xml:space="preserve"> %,</w:t>
      </w:r>
    </w:p>
    <w:p w14:paraId="423BBB08" w14:textId="77777777"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3 novi avtobusni peroni in 7 lokacij za parkiranje koles,</w:t>
      </w:r>
    </w:p>
    <w:p w14:paraId="0882EEDC" w14:textId="77777777"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2 postaji za izposojo e-koles in varna kolesarnica,</w:t>
      </w:r>
    </w:p>
    <w:p w14:paraId="2212364E" w14:textId="33429FEB"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 xml:space="preserve">18 novih dreves v parku in </w:t>
      </w:r>
      <w:r w:rsidR="00485D0D">
        <w:rPr>
          <w:rFonts w:asciiTheme="majorHAnsi" w:eastAsiaTheme="majorEastAsia" w:hAnsiTheme="majorHAnsi" w:cstheme="majorHAnsi"/>
          <w:sz w:val="22"/>
          <w:szCs w:val="22"/>
          <w:lang w:eastAsia="zh-TW"/>
        </w:rPr>
        <w:t>99</w:t>
      </w:r>
      <w:r w:rsidRPr="00201753">
        <w:rPr>
          <w:rFonts w:asciiTheme="majorHAnsi" w:eastAsiaTheme="majorEastAsia" w:hAnsiTheme="majorHAnsi" w:cstheme="majorHAnsi"/>
          <w:sz w:val="22"/>
          <w:szCs w:val="22"/>
          <w:lang w:eastAsia="zh-TW"/>
        </w:rPr>
        <w:t xml:space="preserve"> novih dreves drugod,</w:t>
      </w:r>
    </w:p>
    <w:p w14:paraId="2FBA13A5" w14:textId="77777777"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vzpostavitev »</w:t>
      </w:r>
      <w:proofErr w:type="spellStart"/>
      <w:r w:rsidRPr="00201753">
        <w:rPr>
          <w:rFonts w:asciiTheme="majorHAnsi" w:eastAsiaTheme="majorEastAsia" w:hAnsiTheme="majorHAnsi" w:cstheme="majorHAnsi"/>
          <w:sz w:val="22"/>
          <w:szCs w:val="22"/>
          <w:lang w:eastAsia="zh-TW"/>
        </w:rPr>
        <w:t>shared</w:t>
      </w:r>
      <w:proofErr w:type="spellEnd"/>
      <w:r w:rsidRPr="00201753">
        <w:rPr>
          <w:rFonts w:asciiTheme="majorHAnsi" w:eastAsiaTheme="majorEastAsia" w:hAnsiTheme="majorHAnsi" w:cstheme="majorHAnsi"/>
          <w:sz w:val="22"/>
          <w:szCs w:val="22"/>
          <w:lang w:eastAsia="zh-TW"/>
        </w:rPr>
        <w:t xml:space="preserve"> </w:t>
      </w:r>
      <w:proofErr w:type="spellStart"/>
      <w:r w:rsidRPr="00201753">
        <w:rPr>
          <w:rFonts w:asciiTheme="majorHAnsi" w:eastAsiaTheme="majorEastAsia" w:hAnsiTheme="majorHAnsi" w:cstheme="majorHAnsi"/>
          <w:sz w:val="22"/>
          <w:szCs w:val="22"/>
          <w:lang w:eastAsia="zh-TW"/>
        </w:rPr>
        <w:t>space</w:t>
      </w:r>
      <w:proofErr w:type="spellEnd"/>
      <w:r w:rsidRPr="00201753">
        <w:rPr>
          <w:rFonts w:asciiTheme="majorHAnsi" w:eastAsiaTheme="majorEastAsia" w:hAnsiTheme="majorHAnsi" w:cstheme="majorHAnsi"/>
          <w:sz w:val="22"/>
          <w:szCs w:val="22"/>
          <w:lang w:eastAsia="zh-TW"/>
        </w:rPr>
        <w:t>« prometne ureditve,</w:t>
      </w:r>
    </w:p>
    <w:p w14:paraId="10907B75" w14:textId="77777777" w:rsidR="00201753" w:rsidRPr="00201753" w:rsidRDefault="00201753" w:rsidP="00201753">
      <w:pPr>
        <w:numPr>
          <w:ilvl w:val="0"/>
          <w:numId w:val="217"/>
        </w:num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zmanjšanje emisij toplogrednih plinov in hrupa, večja prometna varnost ter privlačnejši javni prostor.</w:t>
      </w:r>
    </w:p>
    <w:p w14:paraId="7368C689" w14:textId="77777777" w:rsidR="00201753" w:rsidRDefault="00201753" w:rsidP="00201753">
      <w:pPr>
        <w:spacing w:line="276" w:lineRule="auto"/>
        <w:jc w:val="both"/>
        <w:rPr>
          <w:rFonts w:asciiTheme="majorHAnsi" w:eastAsiaTheme="majorEastAsia" w:hAnsiTheme="majorHAnsi" w:cstheme="majorHAnsi"/>
          <w:b/>
          <w:bCs/>
          <w:sz w:val="22"/>
          <w:szCs w:val="22"/>
          <w:lang w:eastAsia="zh-TW"/>
        </w:rPr>
      </w:pPr>
    </w:p>
    <w:p w14:paraId="11DCFB2B" w14:textId="1678B5A3" w:rsidR="00201753" w:rsidRPr="00201753" w:rsidRDefault="00201753" w:rsidP="001322C1">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b/>
          <w:bCs/>
          <w:sz w:val="22"/>
          <w:szCs w:val="22"/>
          <w:lang w:eastAsia="zh-TW"/>
        </w:rPr>
        <w:t>Vrednost investicije</w:t>
      </w:r>
      <w:r w:rsidRPr="00201753">
        <w:rPr>
          <w:rFonts w:asciiTheme="majorHAnsi" w:eastAsiaTheme="majorEastAsia" w:hAnsiTheme="majorHAnsi" w:cstheme="majorHAnsi"/>
          <w:sz w:val="22"/>
          <w:szCs w:val="22"/>
          <w:lang w:eastAsia="zh-TW"/>
        </w:rPr>
        <w:t xml:space="preserve"> znaša po tekočih cenah </w:t>
      </w:r>
      <w:r>
        <w:rPr>
          <w:rFonts w:asciiTheme="majorHAnsi" w:eastAsiaTheme="majorEastAsia" w:hAnsiTheme="majorHAnsi" w:cstheme="majorHAnsi"/>
          <w:sz w:val="22"/>
          <w:szCs w:val="22"/>
          <w:lang w:eastAsia="zh-TW"/>
        </w:rPr>
        <w:t xml:space="preserve">znaša </w:t>
      </w:r>
      <w:r w:rsidRPr="00201753">
        <w:rPr>
          <w:rFonts w:asciiTheme="majorHAnsi" w:eastAsiaTheme="majorEastAsia" w:hAnsiTheme="majorHAnsi" w:cstheme="majorHAnsi"/>
          <w:sz w:val="22"/>
          <w:szCs w:val="22"/>
          <w:lang w:eastAsia="zh-TW"/>
        </w:rPr>
        <w:t>3.138.643,33 EUR z DDV</w:t>
      </w:r>
      <w:r w:rsidR="001322C1">
        <w:rPr>
          <w:rFonts w:asciiTheme="majorHAnsi" w:eastAsiaTheme="majorEastAsia" w:hAnsiTheme="majorHAnsi" w:cstheme="majorHAnsi"/>
          <w:sz w:val="22"/>
          <w:szCs w:val="22"/>
          <w:lang w:eastAsia="zh-TW"/>
        </w:rPr>
        <w:t xml:space="preserve">, ob načrtovanem financiranju z lastnimi sredstvi in </w:t>
      </w:r>
      <w:r w:rsidRPr="00201753">
        <w:rPr>
          <w:rFonts w:asciiTheme="majorHAnsi" w:eastAsiaTheme="majorEastAsia" w:hAnsiTheme="majorHAnsi" w:cstheme="majorHAnsi"/>
          <w:sz w:val="22"/>
          <w:szCs w:val="22"/>
          <w:lang w:eastAsia="zh-TW"/>
        </w:rPr>
        <w:t>nepovratn</w:t>
      </w:r>
      <w:r w:rsidR="001322C1">
        <w:rPr>
          <w:rFonts w:asciiTheme="majorHAnsi" w:eastAsiaTheme="majorEastAsia" w:hAnsiTheme="majorHAnsi" w:cstheme="majorHAnsi"/>
          <w:sz w:val="22"/>
          <w:szCs w:val="22"/>
          <w:lang w:eastAsia="zh-TW"/>
        </w:rPr>
        <w:t>imi</w:t>
      </w:r>
      <w:r w:rsidRPr="00201753">
        <w:rPr>
          <w:rFonts w:asciiTheme="majorHAnsi" w:eastAsiaTheme="majorEastAsia" w:hAnsiTheme="majorHAnsi" w:cstheme="majorHAnsi"/>
          <w:sz w:val="22"/>
          <w:szCs w:val="22"/>
          <w:lang w:eastAsia="zh-TW"/>
        </w:rPr>
        <w:t xml:space="preserve"> sredstv</w:t>
      </w:r>
      <w:r w:rsidR="001322C1">
        <w:rPr>
          <w:rFonts w:asciiTheme="majorHAnsi" w:eastAsiaTheme="majorEastAsia" w:hAnsiTheme="majorHAnsi" w:cstheme="majorHAnsi"/>
          <w:sz w:val="22"/>
          <w:szCs w:val="22"/>
          <w:lang w:eastAsia="zh-TW"/>
        </w:rPr>
        <w:t>i</w:t>
      </w:r>
      <w:r w:rsidRPr="00201753">
        <w:rPr>
          <w:rFonts w:asciiTheme="majorHAnsi" w:eastAsiaTheme="majorEastAsia" w:hAnsiTheme="majorHAnsi" w:cstheme="majorHAnsi"/>
          <w:sz w:val="22"/>
          <w:szCs w:val="22"/>
          <w:lang w:eastAsia="zh-TW"/>
        </w:rPr>
        <w:t xml:space="preserve"> iz </w:t>
      </w:r>
      <w:r w:rsidRPr="00201753">
        <w:rPr>
          <w:rFonts w:asciiTheme="majorHAnsi" w:eastAsiaTheme="majorEastAsia" w:hAnsiTheme="majorHAnsi" w:cstheme="majorHAnsi"/>
          <w:b/>
          <w:bCs/>
          <w:sz w:val="22"/>
          <w:szCs w:val="22"/>
          <w:lang w:eastAsia="zh-TW"/>
        </w:rPr>
        <w:t>javnega razpisa MOPE (JR EKP UTM 2025)</w:t>
      </w:r>
      <w:r w:rsidRPr="00201753">
        <w:rPr>
          <w:rFonts w:asciiTheme="majorHAnsi" w:eastAsiaTheme="majorEastAsia" w:hAnsiTheme="majorHAnsi" w:cstheme="majorHAnsi"/>
          <w:sz w:val="22"/>
          <w:szCs w:val="22"/>
          <w:lang w:eastAsia="zh-TW"/>
        </w:rPr>
        <w:t>.</w:t>
      </w:r>
    </w:p>
    <w:p w14:paraId="5C82FAA7" w14:textId="77777777" w:rsidR="00201753" w:rsidRDefault="00201753" w:rsidP="00201753">
      <w:pPr>
        <w:spacing w:line="276" w:lineRule="auto"/>
        <w:jc w:val="both"/>
        <w:rPr>
          <w:rFonts w:asciiTheme="majorHAnsi" w:eastAsiaTheme="majorEastAsia" w:hAnsiTheme="majorHAnsi" w:cstheme="majorHAnsi"/>
          <w:sz w:val="22"/>
          <w:szCs w:val="22"/>
          <w:lang w:eastAsia="zh-TW"/>
        </w:rPr>
      </w:pPr>
    </w:p>
    <w:p w14:paraId="659C54EB" w14:textId="347A8D14" w:rsidR="00201753" w:rsidRPr="00201753" w:rsidRDefault="00201753" w:rsidP="00201753">
      <w:pPr>
        <w:spacing w:line="276" w:lineRule="auto"/>
        <w:jc w:val="both"/>
        <w:rPr>
          <w:rFonts w:asciiTheme="majorHAnsi" w:eastAsiaTheme="majorEastAsia" w:hAnsiTheme="majorHAnsi" w:cstheme="majorHAnsi"/>
          <w:sz w:val="22"/>
          <w:szCs w:val="22"/>
          <w:lang w:eastAsia="zh-TW"/>
        </w:rPr>
      </w:pPr>
      <w:r w:rsidRPr="00201753">
        <w:rPr>
          <w:rFonts w:asciiTheme="majorHAnsi" w:eastAsiaTheme="majorEastAsia" w:hAnsiTheme="majorHAnsi" w:cstheme="majorHAnsi"/>
          <w:sz w:val="22"/>
          <w:szCs w:val="22"/>
          <w:lang w:eastAsia="zh-TW"/>
        </w:rPr>
        <w:t xml:space="preserve">DIIP utemeljuje, da je </w:t>
      </w:r>
      <w:r w:rsidRPr="00201753">
        <w:rPr>
          <w:rFonts w:asciiTheme="majorHAnsi" w:eastAsiaTheme="majorEastAsia" w:hAnsiTheme="majorHAnsi" w:cstheme="majorHAnsi"/>
          <w:b/>
          <w:bCs/>
          <w:sz w:val="22"/>
          <w:szCs w:val="22"/>
          <w:lang w:eastAsia="zh-TW"/>
        </w:rPr>
        <w:t>varianta 1 – izvedba projekta</w:t>
      </w:r>
      <w:r w:rsidRPr="00201753">
        <w:rPr>
          <w:rFonts w:asciiTheme="majorHAnsi" w:eastAsiaTheme="majorEastAsia" w:hAnsiTheme="majorHAnsi" w:cstheme="majorHAnsi"/>
          <w:sz w:val="22"/>
          <w:szCs w:val="22"/>
          <w:lang w:eastAsia="zh-TW"/>
        </w:rPr>
        <w:t xml:space="preserve"> optimalna, saj prinaša celovite prometne, </w:t>
      </w:r>
      <w:proofErr w:type="spellStart"/>
      <w:r w:rsidRPr="00201753">
        <w:rPr>
          <w:rFonts w:asciiTheme="majorHAnsi" w:eastAsiaTheme="majorEastAsia" w:hAnsiTheme="majorHAnsi" w:cstheme="majorHAnsi"/>
          <w:sz w:val="22"/>
          <w:szCs w:val="22"/>
          <w:lang w:eastAsia="zh-TW"/>
        </w:rPr>
        <w:t>okoljske</w:t>
      </w:r>
      <w:proofErr w:type="spellEnd"/>
      <w:r w:rsidRPr="00201753">
        <w:rPr>
          <w:rFonts w:asciiTheme="majorHAnsi" w:eastAsiaTheme="majorEastAsia" w:hAnsiTheme="majorHAnsi" w:cstheme="majorHAnsi"/>
          <w:sz w:val="22"/>
          <w:szCs w:val="22"/>
          <w:lang w:eastAsia="zh-TW"/>
        </w:rPr>
        <w:t xml:space="preserve"> in družbene koristi, ki so skladne z občinskimi, nacionalnimi in evropskimi razvojnimi cilji.</w:t>
      </w:r>
    </w:p>
    <w:p w14:paraId="32CC714F" w14:textId="2699D7E6" w:rsidR="00BF13FA" w:rsidRDefault="00BF13FA"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64" w:name="_Toc210033770"/>
      <w:r w:rsidRPr="00F11127">
        <w:rPr>
          <w:rFonts w:asciiTheme="majorHAnsi" w:eastAsiaTheme="majorEastAsia" w:hAnsiTheme="majorHAnsi" w:cstheme="majorHAnsi"/>
          <w:color w:val="244061" w:themeColor="accent1" w:themeShade="80"/>
        </w:rPr>
        <w:t>Povzetek predinvesticijske zasnove</w:t>
      </w:r>
      <w:bookmarkEnd w:id="64"/>
    </w:p>
    <w:p w14:paraId="4CF3A604" w14:textId="77777777" w:rsidR="00315205" w:rsidRPr="00315205" w:rsidRDefault="00315205" w:rsidP="00315205">
      <w:p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 xml:space="preserve">Predinvesticijska zasnova »Celovita ureditev centra Ig – ukrepi trajnostne mobilnosti« je bila avgusta 2025 izdelana za naročnika Občina Ig (izdelovalec </w:t>
      </w:r>
      <w:proofErr w:type="spellStart"/>
      <w:r w:rsidRPr="00315205">
        <w:rPr>
          <w:rFonts w:asciiTheme="majorHAnsi" w:hAnsiTheme="majorHAnsi" w:cstheme="majorHAnsi"/>
          <w:b/>
          <w:bCs/>
          <w:sz w:val="22"/>
          <w:szCs w:val="22"/>
          <w:lang w:eastAsia="en-US"/>
        </w:rPr>
        <w:t>ProSVET</w:t>
      </w:r>
      <w:proofErr w:type="spellEnd"/>
      <w:r w:rsidRPr="00315205">
        <w:rPr>
          <w:rFonts w:asciiTheme="majorHAnsi" w:hAnsiTheme="majorHAnsi" w:cstheme="majorHAnsi"/>
          <w:b/>
          <w:bCs/>
          <w:sz w:val="22"/>
          <w:szCs w:val="22"/>
          <w:lang w:eastAsia="en-US"/>
        </w:rPr>
        <w:t xml:space="preserve">, Martina Magajna </w:t>
      </w:r>
      <w:proofErr w:type="spellStart"/>
      <w:r w:rsidRPr="00315205">
        <w:rPr>
          <w:rFonts w:asciiTheme="majorHAnsi" w:hAnsiTheme="majorHAnsi" w:cstheme="majorHAnsi"/>
          <w:b/>
          <w:bCs/>
          <w:sz w:val="22"/>
          <w:szCs w:val="22"/>
          <w:lang w:eastAsia="en-US"/>
        </w:rPr>
        <w:t>s.p</w:t>
      </w:r>
      <w:proofErr w:type="spellEnd"/>
      <w:r w:rsidRPr="00315205">
        <w:rPr>
          <w:rFonts w:asciiTheme="majorHAnsi" w:hAnsiTheme="majorHAnsi" w:cstheme="majorHAnsi"/>
          <w:b/>
          <w:bCs/>
          <w:sz w:val="22"/>
          <w:szCs w:val="22"/>
          <w:lang w:eastAsia="en-US"/>
        </w:rPr>
        <w:t>.).</w:t>
      </w:r>
    </w:p>
    <w:p w14:paraId="3A34D8BF" w14:textId="77777777" w:rsidR="00315205" w:rsidRPr="00315205" w:rsidRDefault="00315205" w:rsidP="00315205">
      <w:p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Za investicijo so bile obravnavane tri variante:</w:t>
      </w:r>
    </w:p>
    <w:p w14:paraId="186BFA72" w14:textId="77777777" w:rsidR="00315205" w:rsidRPr="00315205" w:rsidRDefault="00315205" w:rsidP="00315205">
      <w:pPr>
        <w:numPr>
          <w:ilvl w:val="0"/>
          <w:numId w:val="126"/>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Varianta 0</w:t>
      </w:r>
      <w:r w:rsidRPr="00315205">
        <w:rPr>
          <w:rFonts w:asciiTheme="majorHAnsi" w:hAnsiTheme="majorHAnsi" w:cstheme="majorHAnsi"/>
          <w:sz w:val="22"/>
          <w:szCs w:val="22"/>
          <w:lang w:eastAsia="en-US"/>
        </w:rPr>
        <w:t>: brez projekta (ohranitev obstoječega stanja),</w:t>
      </w:r>
    </w:p>
    <w:p w14:paraId="01739FD7" w14:textId="77777777" w:rsidR="00315205" w:rsidRPr="00315205" w:rsidRDefault="00315205" w:rsidP="00315205">
      <w:pPr>
        <w:numPr>
          <w:ilvl w:val="0"/>
          <w:numId w:val="126"/>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Varianta 1</w:t>
      </w:r>
      <w:r w:rsidRPr="00315205">
        <w:rPr>
          <w:rFonts w:asciiTheme="majorHAnsi" w:hAnsiTheme="majorHAnsi" w:cstheme="majorHAnsi"/>
          <w:sz w:val="22"/>
          <w:szCs w:val="22"/>
          <w:lang w:eastAsia="en-US"/>
        </w:rPr>
        <w:t>: izvedba projekta z nepovratnimi sredstvi (JR EKP UTM 2025),</w:t>
      </w:r>
    </w:p>
    <w:p w14:paraId="4BC7A5F7" w14:textId="77777777" w:rsidR="00315205" w:rsidRPr="00315205" w:rsidRDefault="00315205" w:rsidP="00315205">
      <w:pPr>
        <w:numPr>
          <w:ilvl w:val="0"/>
          <w:numId w:val="126"/>
        </w:num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Varianta 2</w:t>
      </w:r>
      <w:r w:rsidRPr="00315205">
        <w:rPr>
          <w:rFonts w:asciiTheme="majorHAnsi" w:hAnsiTheme="majorHAnsi" w:cstheme="majorHAnsi"/>
          <w:sz w:val="22"/>
          <w:szCs w:val="22"/>
          <w:lang w:eastAsia="en-US"/>
        </w:rPr>
        <w:t>: izvedba projekta z lastnimi sredstvi.</w:t>
      </w:r>
    </w:p>
    <w:p w14:paraId="4536CAAD" w14:textId="77777777" w:rsidR="00315205" w:rsidRPr="00315205" w:rsidRDefault="00315205" w:rsidP="00315205">
      <w:pPr>
        <w:spacing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Rezultati in koristi izvedbene variante (izbrana je Varianta 1):</w:t>
      </w:r>
    </w:p>
    <w:p w14:paraId="620A1AE6" w14:textId="77777777" w:rsidR="00315205" w:rsidRPr="00315205" w:rsidRDefault="00315205" w:rsidP="00315205">
      <w:pPr>
        <w:numPr>
          <w:ilvl w:val="0"/>
          <w:numId w:val="127"/>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celovita preureditev središča Iga z ukrepi trajnostne mobilnosti: preureditev Govekarjeve in Troštove ulice, sodobno avtobusno postajališče, kolesarnica, parkirišča za kolesa, varne šolske poti, sistem e-koles, umirjanje prometa, digitalni prikazovalniki hitrosti,</w:t>
      </w:r>
    </w:p>
    <w:p w14:paraId="38B6D168" w14:textId="77777777" w:rsidR="00315205" w:rsidRPr="00315205" w:rsidRDefault="00315205" w:rsidP="00315205">
      <w:pPr>
        <w:numPr>
          <w:ilvl w:val="0"/>
          <w:numId w:val="127"/>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lastRenderedPageBreak/>
        <w:t>povečana prometna varnost, zlasti za šolarje, starejše in ranljive skupine,</w:t>
      </w:r>
    </w:p>
    <w:p w14:paraId="588C532E" w14:textId="77777777" w:rsidR="00315205" w:rsidRPr="00315205" w:rsidRDefault="00315205" w:rsidP="00315205">
      <w:pPr>
        <w:numPr>
          <w:ilvl w:val="0"/>
          <w:numId w:val="127"/>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zmanjšanje emisij CO</w:t>
      </w:r>
      <w:r w:rsidRPr="00315205">
        <w:rPr>
          <w:rFonts w:ascii="Cambria Math" w:hAnsi="Cambria Math" w:cs="Cambria Math"/>
          <w:sz w:val="22"/>
          <w:szCs w:val="22"/>
          <w:lang w:eastAsia="en-US"/>
        </w:rPr>
        <w:t>₂</w:t>
      </w:r>
      <w:r w:rsidRPr="00315205">
        <w:rPr>
          <w:rFonts w:asciiTheme="majorHAnsi" w:hAnsiTheme="majorHAnsi" w:cstheme="majorHAnsi"/>
          <w:sz w:val="22"/>
          <w:szCs w:val="22"/>
          <w:lang w:eastAsia="en-US"/>
        </w:rPr>
        <w:t xml:space="preserve"> (10,67 t/leto), manj hrupa in toplotnih otokov,</w:t>
      </w:r>
    </w:p>
    <w:p w14:paraId="1A5FE1BB" w14:textId="77777777" w:rsidR="00315205" w:rsidRPr="00315205" w:rsidRDefault="00315205" w:rsidP="00315205">
      <w:pPr>
        <w:numPr>
          <w:ilvl w:val="0"/>
          <w:numId w:val="127"/>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spodbujanje hoje, kolesarjenja in uporabe javnega potniškega prometa,</w:t>
      </w:r>
    </w:p>
    <w:p w14:paraId="6B638A7D" w14:textId="77777777" w:rsidR="00315205" w:rsidRPr="00315205" w:rsidRDefault="00315205" w:rsidP="00315205">
      <w:pPr>
        <w:numPr>
          <w:ilvl w:val="0"/>
          <w:numId w:val="127"/>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izboljšanje kakovosti bivanja in višja privlačnost javnih površin,</w:t>
      </w:r>
    </w:p>
    <w:p w14:paraId="64C4C928" w14:textId="77777777" w:rsidR="00315205" w:rsidRPr="00315205" w:rsidRDefault="00315205" w:rsidP="00315205">
      <w:pPr>
        <w:numPr>
          <w:ilvl w:val="0"/>
          <w:numId w:val="127"/>
        </w:num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pozitiven vpliv na lokalni razvoj, turizem in vrednost nepremičnin.</w:t>
      </w:r>
    </w:p>
    <w:p w14:paraId="6C65E529" w14:textId="77777777" w:rsidR="00315205" w:rsidRPr="00315205" w:rsidRDefault="00315205" w:rsidP="00315205">
      <w:pPr>
        <w:spacing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Investicijska vrednost:</w:t>
      </w:r>
    </w:p>
    <w:p w14:paraId="1C1549BC" w14:textId="77777777" w:rsidR="00315205" w:rsidRPr="00315205" w:rsidRDefault="00315205" w:rsidP="00315205">
      <w:pPr>
        <w:numPr>
          <w:ilvl w:val="0"/>
          <w:numId w:val="128"/>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skupna vrednost investicije (varianta 1): 3,14 mio EUR z DDV,</w:t>
      </w:r>
    </w:p>
    <w:p w14:paraId="77BA843D" w14:textId="77777777" w:rsidR="00315205" w:rsidRPr="00315205" w:rsidRDefault="00315205" w:rsidP="00315205">
      <w:pPr>
        <w:numPr>
          <w:ilvl w:val="0"/>
          <w:numId w:val="128"/>
        </w:num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občina krije približno 40 % stroškov, preostalo so nepovratna sredstva.</w:t>
      </w:r>
    </w:p>
    <w:p w14:paraId="49701B49" w14:textId="77777777" w:rsidR="00315205" w:rsidRPr="00315205" w:rsidRDefault="00315205" w:rsidP="00315205">
      <w:pPr>
        <w:spacing w:line="276" w:lineRule="auto"/>
        <w:jc w:val="both"/>
        <w:rPr>
          <w:rFonts w:asciiTheme="majorHAnsi" w:hAnsiTheme="majorHAnsi" w:cstheme="majorHAnsi"/>
          <w:sz w:val="22"/>
          <w:szCs w:val="22"/>
          <w:lang w:eastAsia="en-US"/>
        </w:rPr>
      </w:pPr>
      <w:r w:rsidRPr="00315205">
        <w:rPr>
          <w:rFonts w:asciiTheme="majorHAnsi" w:hAnsiTheme="majorHAnsi" w:cstheme="majorHAnsi"/>
          <w:b/>
          <w:bCs/>
          <w:sz w:val="22"/>
          <w:szCs w:val="22"/>
          <w:lang w:eastAsia="en-US"/>
        </w:rPr>
        <w:t>Ekonomski učinki (varianta 1):</w:t>
      </w:r>
    </w:p>
    <w:p w14:paraId="6CD39490" w14:textId="77777777" w:rsidR="00315205" w:rsidRPr="00315205" w:rsidRDefault="00315205" w:rsidP="00315205">
      <w:pPr>
        <w:numPr>
          <w:ilvl w:val="0"/>
          <w:numId w:val="129"/>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pozitivna neto sedanja vrednost (ENPV ≈ 3,38 mio EUR),</w:t>
      </w:r>
    </w:p>
    <w:p w14:paraId="0BF73860" w14:textId="77777777" w:rsidR="00315205" w:rsidRPr="00315205" w:rsidRDefault="00315205" w:rsidP="00315205">
      <w:pPr>
        <w:numPr>
          <w:ilvl w:val="0"/>
          <w:numId w:val="129"/>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interna ekonomska stopnja donosnosti (15,1 %) presega diskontno stopnjo,</w:t>
      </w:r>
    </w:p>
    <w:p w14:paraId="263A6942" w14:textId="77777777" w:rsidR="00315205" w:rsidRPr="00315205" w:rsidRDefault="00315205" w:rsidP="00315205">
      <w:pPr>
        <w:numPr>
          <w:ilvl w:val="0"/>
          <w:numId w:val="129"/>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razmerje koristi/stroški (B/C) = 2,16,</w:t>
      </w:r>
    </w:p>
    <w:p w14:paraId="29E4CD2A" w14:textId="77777777" w:rsidR="00315205" w:rsidRPr="00315205" w:rsidRDefault="00315205" w:rsidP="00315205">
      <w:pPr>
        <w:numPr>
          <w:ilvl w:val="0"/>
          <w:numId w:val="129"/>
        </w:num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krajša povračilna doba (≈ 5,9 let).</w:t>
      </w:r>
    </w:p>
    <w:p w14:paraId="5A464E8B" w14:textId="77777777" w:rsidR="00315205" w:rsidRDefault="00315205" w:rsidP="00315205">
      <w:pPr>
        <w:spacing w:after="200" w:line="276" w:lineRule="auto"/>
        <w:jc w:val="both"/>
        <w:rPr>
          <w:rFonts w:asciiTheme="majorHAnsi" w:hAnsiTheme="majorHAnsi" w:cstheme="majorHAnsi"/>
          <w:b/>
          <w:bCs/>
          <w:sz w:val="22"/>
          <w:szCs w:val="22"/>
          <w:lang w:eastAsia="en-US"/>
        </w:rPr>
      </w:pPr>
      <w:r w:rsidRPr="00315205">
        <w:rPr>
          <w:rFonts w:asciiTheme="majorHAnsi" w:hAnsiTheme="majorHAnsi" w:cstheme="majorHAnsi"/>
          <w:b/>
          <w:bCs/>
          <w:sz w:val="22"/>
          <w:szCs w:val="22"/>
          <w:lang w:eastAsia="en-US"/>
        </w:rPr>
        <w:t>Izbor optimalne variante:</w:t>
      </w:r>
    </w:p>
    <w:p w14:paraId="499F82F9" w14:textId="74B18B9F" w:rsidR="00315205" w:rsidRPr="00315205" w:rsidRDefault="00315205" w:rsidP="00315205">
      <w:p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 xml:space="preserve">Na podlagi finančne, ekonomske in </w:t>
      </w:r>
      <w:proofErr w:type="spellStart"/>
      <w:r w:rsidRPr="00315205">
        <w:rPr>
          <w:rFonts w:asciiTheme="majorHAnsi" w:hAnsiTheme="majorHAnsi" w:cstheme="majorHAnsi"/>
          <w:sz w:val="22"/>
          <w:szCs w:val="22"/>
          <w:lang w:eastAsia="en-US"/>
        </w:rPr>
        <w:t>okoljske</w:t>
      </w:r>
      <w:proofErr w:type="spellEnd"/>
      <w:r w:rsidRPr="00315205">
        <w:rPr>
          <w:rFonts w:asciiTheme="majorHAnsi" w:hAnsiTheme="majorHAnsi" w:cstheme="majorHAnsi"/>
          <w:sz w:val="22"/>
          <w:szCs w:val="22"/>
          <w:lang w:eastAsia="en-US"/>
        </w:rPr>
        <w:t xml:space="preserve"> analize je kot optimalna potrjena </w:t>
      </w:r>
      <w:r w:rsidRPr="00315205">
        <w:rPr>
          <w:rFonts w:asciiTheme="majorHAnsi" w:hAnsiTheme="majorHAnsi" w:cstheme="majorHAnsi"/>
          <w:b/>
          <w:bCs/>
          <w:sz w:val="22"/>
          <w:szCs w:val="22"/>
          <w:lang w:eastAsia="en-US"/>
        </w:rPr>
        <w:t>Varianta 1 – izvedba projekta z nepovratnimi sredstvi</w:t>
      </w:r>
      <w:r w:rsidRPr="00315205">
        <w:rPr>
          <w:rFonts w:asciiTheme="majorHAnsi" w:hAnsiTheme="majorHAnsi" w:cstheme="majorHAnsi"/>
          <w:sz w:val="22"/>
          <w:szCs w:val="22"/>
          <w:lang w:eastAsia="en-US"/>
        </w:rPr>
        <w:t>, saj:</w:t>
      </w:r>
    </w:p>
    <w:p w14:paraId="07706593" w14:textId="77777777" w:rsidR="00315205" w:rsidRPr="00315205" w:rsidRDefault="00315205" w:rsidP="00315205">
      <w:pPr>
        <w:numPr>
          <w:ilvl w:val="0"/>
          <w:numId w:val="130"/>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razbremeni občinski proračun,</w:t>
      </w:r>
    </w:p>
    <w:p w14:paraId="7DF56714" w14:textId="77777777" w:rsidR="00315205" w:rsidRPr="00315205" w:rsidRDefault="00315205" w:rsidP="00315205">
      <w:pPr>
        <w:numPr>
          <w:ilvl w:val="0"/>
          <w:numId w:val="130"/>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prinaša znatne družbene koristi že do leta 2029,</w:t>
      </w:r>
    </w:p>
    <w:p w14:paraId="4A8070B0" w14:textId="77777777" w:rsidR="00315205" w:rsidRPr="00315205" w:rsidRDefault="00315205" w:rsidP="00315205">
      <w:pPr>
        <w:numPr>
          <w:ilvl w:val="0"/>
          <w:numId w:val="130"/>
        </w:numPr>
        <w:spacing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je skladna z nacionalnimi in evropskimi strateškimi dokumenti ter cilji trajnostne mobilnosti,</w:t>
      </w:r>
    </w:p>
    <w:p w14:paraId="3C6FE4AF" w14:textId="77777777" w:rsidR="00315205" w:rsidRPr="00315205" w:rsidRDefault="00315205" w:rsidP="00315205">
      <w:pPr>
        <w:numPr>
          <w:ilvl w:val="0"/>
          <w:numId w:val="130"/>
        </w:numPr>
        <w:spacing w:after="200" w:line="276" w:lineRule="auto"/>
        <w:jc w:val="both"/>
        <w:rPr>
          <w:rFonts w:asciiTheme="majorHAnsi" w:hAnsiTheme="majorHAnsi" w:cstheme="majorHAnsi"/>
          <w:sz w:val="22"/>
          <w:szCs w:val="22"/>
          <w:lang w:eastAsia="en-US"/>
        </w:rPr>
      </w:pPr>
      <w:r w:rsidRPr="00315205">
        <w:rPr>
          <w:rFonts w:asciiTheme="majorHAnsi" w:hAnsiTheme="majorHAnsi" w:cstheme="majorHAnsi"/>
          <w:sz w:val="22"/>
          <w:szCs w:val="22"/>
          <w:lang w:eastAsia="en-US"/>
        </w:rPr>
        <w:t>zagotavlja večjo varnost, kakovost bivanja in trajnostni razvoj prostora.</w:t>
      </w:r>
    </w:p>
    <w:p w14:paraId="7A61169B" w14:textId="270C2DCE" w:rsidR="006E2ACD" w:rsidRPr="00F11127" w:rsidRDefault="006E2AC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65" w:name="_Toc210033771"/>
      <w:r>
        <w:rPr>
          <w:rFonts w:asciiTheme="majorHAnsi" w:eastAsiaTheme="majorEastAsia" w:hAnsiTheme="majorHAnsi" w:cstheme="majorHAnsi"/>
          <w:color w:val="244061" w:themeColor="accent1" w:themeShade="80"/>
        </w:rPr>
        <w:t xml:space="preserve">Spremembe </w:t>
      </w:r>
      <w:r w:rsidR="00A653EF">
        <w:rPr>
          <w:rFonts w:asciiTheme="majorHAnsi" w:eastAsiaTheme="majorEastAsia" w:hAnsiTheme="majorHAnsi" w:cstheme="majorHAnsi"/>
          <w:color w:val="244061" w:themeColor="accent1" w:themeShade="80"/>
        </w:rPr>
        <w:t>v fazi izdelave investicijske dokumentacije</w:t>
      </w:r>
      <w:bookmarkEnd w:id="65"/>
    </w:p>
    <w:p w14:paraId="05431AA0" w14:textId="2BFA1D0A" w:rsidR="006E2ACD" w:rsidRPr="00F11127" w:rsidRDefault="00A653EF" w:rsidP="00BD1D20">
      <w:pPr>
        <w:spacing w:after="200" w:line="276" w:lineRule="auto"/>
        <w:jc w:val="both"/>
        <w:rPr>
          <w:rFonts w:asciiTheme="majorHAnsi" w:hAnsiTheme="majorHAnsi" w:cstheme="majorHAnsi"/>
          <w:sz w:val="22"/>
          <w:szCs w:val="22"/>
          <w:lang w:eastAsia="en-US"/>
        </w:rPr>
      </w:pPr>
      <w:r>
        <w:rPr>
          <w:rFonts w:asciiTheme="majorHAnsi" w:hAnsiTheme="majorHAnsi" w:cstheme="majorHAnsi"/>
          <w:sz w:val="22"/>
          <w:szCs w:val="22"/>
          <w:lang w:eastAsia="en-US"/>
        </w:rPr>
        <w:t xml:space="preserve">Od </w:t>
      </w:r>
      <w:r w:rsidR="005020A0">
        <w:rPr>
          <w:rFonts w:asciiTheme="majorHAnsi" w:hAnsiTheme="majorHAnsi" w:cstheme="majorHAnsi"/>
          <w:sz w:val="22"/>
          <w:szCs w:val="22"/>
          <w:lang w:eastAsia="en-US"/>
        </w:rPr>
        <w:t xml:space="preserve">izdelave </w:t>
      </w:r>
      <w:r w:rsidR="00617DC4">
        <w:rPr>
          <w:rFonts w:asciiTheme="majorHAnsi" w:hAnsiTheme="majorHAnsi" w:cstheme="majorHAnsi"/>
          <w:sz w:val="22"/>
          <w:szCs w:val="22"/>
          <w:lang w:eastAsia="en-US"/>
        </w:rPr>
        <w:t>predinvesticijske zasnove</w:t>
      </w:r>
      <w:r w:rsidR="005020A0">
        <w:rPr>
          <w:rFonts w:asciiTheme="majorHAnsi" w:hAnsiTheme="majorHAnsi" w:cstheme="majorHAnsi"/>
          <w:sz w:val="22"/>
          <w:szCs w:val="22"/>
          <w:lang w:eastAsia="en-US"/>
        </w:rPr>
        <w:t xml:space="preserve"> </w:t>
      </w:r>
      <w:r w:rsidR="008842D1">
        <w:rPr>
          <w:rFonts w:asciiTheme="majorHAnsi" w:hAnsiTheme="majorHAnsi" w:cstheme="majorHAnsi"/>
          <w:sz w:val="22"/>
          <w:szCs w:val="22"/>
          <w:lang w:eastAsia="en-US"/>
        </w:rPr>
        <w:t xml:space="preserve">pa do izdelave investicijskega programa </w:t>
      </w:r>
      <w:r w:rsidR="008252A9">
        <w:rPr>
          <w:rFonts w:asciiTheme="majorHAnsi" w:hAnsiTheme="majorHAnsi" w:cstheme="majorHAnsi"/>
          <w:sz w:val="22"/>
          <w:szCs w:val="22"/>
          <w:lang w:eastAsia="en-US"/>
        </w:rPr>
        <w:t xml:space="preserve">je prišlo do sprememb zaradi izdelave višjega nivoja projektne dokumentacije, kjer so vrednosti bolj natančno ocenjene. Prišlo je do sprememb, ki vplivajo na višino investicije. </w:t>
      </w:r>
    </w:p>
    <w:p w14:paraId="4DF0477B" w14:textId="675C15D0" w:rsidR="00570AB0" w:rsidRPr="00F11127" w:rsidRDefault="00570AB0" w:rsidP="00BD1D20">
      <w:pPr>
        <w:pBdr>
          <w:top w:val="single" w:sz="4" w:space="1" w:color="auto"/>
          <w:left w:val="single" w:sz="4" w:space="4" w:color="auto"/>
          <w:bottom w:val="single" w:sz="4" w:space="1" w:color="auto"/>
          <w:right w:val="single" w:sz="4" w:space="4" w:color="auto"/>
        </w:pBdr>
        <w:spacing w:after="200" w:line="276" w:lineRule="auto"/>
        <w:jc w:val="both"/>
        <w:rPr>
          <w:rFonts w:asciiTheme="majorHAnsi" w:hAnsiTheme="majorHAnsi" w:cstheme="majorHAnsi"/>
          <w:b/>
          <w:sz w:val="22"/>
          <w:szCs w:val="22"/>
        </w:rPr>
      </w:pPr>
      <w:r w:rsidRPr="00F11127">
        <w:rPr>
          <w:rFonts w:asciiTheme="majorHAnsi" w:hAnsiTheme="majorHAnsi" w:cstheme="majorHAnsi"/>
        </w:rPr>
        <w:br w:type="page"/>
      </w:r>
    </w:p>
    <w:p w14:paraId="15F30E81" w14:textId="77777777" w:rsidR="00570AB0" w:rsidRPr="00F11127" w:rsidRDefault="00570AB0" w:rsidP="00BD1D20">
      <w:pPr>
        <w:pStyle w:val="Naslov1"/>
        <w:numPr>
          <w:ilvl w:val="0"/>
          <w:numId w:val="3"/>
        </w:numPr>
        <w:rPr>
          <w:rFonts w:cstheme="majorHAnsi"/>
        </w:rPr>
      </w:pPr>
      <w:bookmarkStart w:id="66" w:name="_Toc210033772"/>
      <w:r w:rsidRPr="00F11127">
        <w:rPr>
          <w:rFonts w:cstheme="majorHAnsi"/>
        </w:rPr>
        <w:lastRenderedPageBreak/>
        <w:t>POVZETEK INVESTICIJSKEGA PROGRAMA</w:t>
      </w:r>
      <w:bookmarkEnd w:id="66"/>
    </w:p>
    <w:p w14:paraId="28803605" w14:textId="77777777" w:rsidR="001373D3" w:rsidRDefault="001373D3" w:rsidP="00BD1D20">
      <w:pPr>
        <w:spacing w:after="120" w:line="276" w:lineRule="auto"/>
        <w:jc w:val="both"/>
        <w:rPr>
          <w:rFonts w:asciiTheme="majorHAnsi" w:hAnsiTheme="majorHAnsi" w:cstheme="majorHAnsi"/>
          <w:sz w:val="22"/>
          <w:szCs w:val="22"/>
        </w:rPr>
      </w:pPr>
    </w:p>
    <w:p w14:paraId="50FE9916" w14:textId="77777777" w:rsidR="00055F83" w:rsidRPr="00055F83" w:rsidRDefault="00055F83" w:rsidP="00055F83">
      <w:p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 xml:space="preserve">Predmetni investicijski program obravnava projekt </w:t>
      </w:r>
      <w:r w:rsidRPr="00055F83">
        <w:rPr>
          <w:rFonts w:asciiTheme="majorHAnsi" w:hAnsiTheme="majorHAnsi" w:cstheme="majorHAnsi"/>
          <w:b/>
          <w:bCs/>
          <w:sz w:val="22"/>
          <w:szCs w:val="22"/>
        </w:rPr>
        <w:t>Celovita ureditev centra Ig – ukrepi trajnostne mobilnosti</w:t>
      </w:r>
      <w:r w:rsidRPr="00055F83">
        <w:rPr>
          <w:rFonts w:asciiTheme="majorHAnsi" w:hAnsiTheme="majorHAnsi" w:cstheme="majorHAnsi"/>
          <w:sz w:val="22"/>
          <w:szCs w:val="22"/>
        </w:rPr>
        <w:t xml:space="preserve">, katerega nosilec je </w:t>
      </w:r>
      <w:r w:rsidRPr="00055F83">
        <w:rPr>
          <w:rFonts w:asciiTheme="majorHAnsi" w:hAnsiTheme="majorHAnsi" w:cstheme="majorHAnsi"/>
          <w:b/>
          <w:bCs/>
          <w:sz w:val="22"/>
          <w:szCs w:val="22"/>
        </w:rPr>
        <w:t>Občina Ig</w:t>
      </w:r>
      <w:r w:rsidRPr="00055F83">
        <w:rPr>
          <w:rFonts w:asciiTheme="majorHAnsi" w:hAnsiTheme="majorHAnsi" w:cstheme="majorHAnsi"/>
          <w:sz w:val="22"/>
          <w:szCs w:val="22"/>
        </w:rPr>
        <w:t>. Projekt je del dolgoročnega prizadevanja za izboljšanje prometne varnosti, kakovosti bivanja ter doseganje ciljev trajnostne mobilnosti in podnebne nevtralnosti.</w:t>
      </w:r>
    </w:p>
    <w:p w14:paraId="0B942CDB" w14:textId="77777777" w:rsidR="00055F83" w:rsidRPr="00055F83" w:rsidRDefault="00055F83" w:rsidP="00055F83">
      <w:p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Projekt predvideva celovito preureditev prometnih površin in javnega prostora v središču Iga. Glavni ukrepi vključujejo:</w:t>
      </w:r>
    </w:p>
    <w:p w14:paraId="4E898741" w14:textId="6F62337B"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 xml:space="preserve">rekonstrukcijo Govekarjeve ceste in Troštove ulice </w:t>
      </w:r>
      <w:r w:rsidR="00E13CBC">
        <w:rPr>
          <w:rFonts w:asciiTheme="majorHAnsi" w:hAnsiTheme="majorHAnsi" w:cstheme="majorHAnsi"/>
          <w:sz w:val="22"/>
          <w:szCs w:val="22"/>
        </w:rPr>
        <w:t xml:space="preserve">ter </w:t>
      </w:r>
      <w:r w:rsidRPr="00055F83">
        <w:rPr>
          <w:rFonts w:asciiTheme="majorHAnsi" w:hAnsiTheme="majorHAnsi" w:cstheme="majorHAnsi"/>
          <w:sz w:val="22"/>
          <w:szCs w:val="22"/>
        </w:rPr>
        <w:t>uvedb</w:t>
      </w:r>
      <w:r w:rsidR="00E13CBC">
        <w:rPr>
          <w:rFonts w:asciiTheme="majorHAnsi" w:hAnsiTheme="majorHAnsi" w:cstheme="majorHAnsi"/>
          <w:sz w:val="22"/>
          <w:szCs w:val="22"/>
        </w:rPr>
        <w:t>o</w:t>
      </w:r>
      <w:r w:rsidRPr="00055F83">
        <w:rPr>
          <w:rFonts w:asciiTheme="majorHAnsi" w:hAnsiTheme="majorHAnsi" w:cstheme="majorHAnsi"/>
          <w:sz w:val="22"/>
          <w:szCs w:val="22"/>
        </w:rPr>
        <w:t xml:space="preserve"> skupnega prometnega prostora</w:t>
      </w:r>
      <w:r w:rsidR="006D34F3">
        <w:rPr>
          <w:rFonts w:asciiTheme="majorHAnsi" w:hAnsiTheme="majorHAnsi" w:cstheme="majorHAnsi"/>
          <w:sz w:val="22"/>
          <w:szCs w:val="22"/>
        </w:rPr>
        <w:t xml:space="preserve"> na Govekarjevi cesti in Troštovi ulici</w:t>
      </w:r>
      <w:r w:rsidRPr="00055F83">
        <w:rPr>
          <w:rFonts w:asciiTheme="majorHAnsi" w:hAnsiTheme="majorHAnsi" w:cstheme="majorHAnsi"/>
          <w:sz w:val="22"/>
          <w:szCs w:val="22"/>
        </w:rPr>
        <w:t>, kjer bodo prednost imeli pešci in kolesarji,</w:t>
      </w:r>
    </w:p>
    <w:p w14:paraId="0D169D36" w14:textId="77777777"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ureditev sodobnega avtobusnega postajališča s tremi peroni in nadstrešnico,</w:t>
      </w:r>
    </w:p>
    <w:p w14:paraId="3799D6DE" w14:textId="77777777"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vzpostavitev javnega sistema izposoje e-koles,</w:t>
      </w:r>
    </w:p>
    <w:p w14:paraId="23D4C99C" w14:textId="77777777"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izgradnjo več kolesarnic in parkirišč za kolesa na strateških lokacijah (šola, trg, park, športni objekti),</w:t>
      </w:r>
    </w:p>
    <w:p w14:paraId="354719AC" w14:textId="77777777"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postavitev merilnikov hitrosti in prikazovalnikov, ki bodo prispevali k umirjanju prometa,</w:t>
      </w:r>
    </w:p>
    <w:p w14:paraId="03B0B793" w14:textId="77777777" w:rsidR="00055F83" w:rsidRPr="00055F83" w:rsidRDefault="00055F83" w:rsidP="00055F83">
      <w:pPr>
        <w:numPr>
          <w:ilvl w:val="0"/>
          <w:numId w:val="214"/>
        </w:num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povečanje deleža zelenih in prepustnih površin ter uvedbo ukrepov za zbiranje in ponovno rabo padavinskih voda.</w:t>
      </w:r>
    </w:p>
    <w:p w14:paraId="2D7F3EF2" w14:textId="77777777" w:rsidR="00055F83" w:rsidRPr="00055F83" w:rsidRDefault="00055F83" w:rsidP="00055F83">
      <w:p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Namen investicije je zagotoviti večjo prometno varnost, zmanjšati emisije CO</w:t>
      </w:r>
      <w:r w:rsidRPr="00055F83">
        <w:rPr>
          <w:rFonts w:ascii="Cambria Math" w:hAnsi="Cambria Math" w:cs="Cambria Math"/>
          <w:sz w:val="22"/>
          <w:szCs w:val="22"/>
        </w:rPr>
        <w:t>₂</w:t>
      </w:r>
      <w:r w:rsidRPr="00055F83">
        <w:rPr>
          <w:rFonts w:asciiTheme="majorHAnsi" w:hAnsiTheme="majorHAnsi" w:cstheme="majorHAnsi"/>
          <w:sz w:val="22"/>
          <w:szCs w:val="22"/>
        </w:rPr>
        <w:t xml:space="preserve"> in hrupa, spodbuditi uporabo trajnostnih oblik mobilnosti ter izbolj</w:t>
      </w:r>
      <w:r w:rsidRPr="00055F83">
        <w:rPr>
          <w:rFonts w:ascii="Arial" w:hAnsi="Arial" w:cs="Arial"/>
          <w:sz w:val="22"/>
          <w:szCs w:val="22"/>
        </w:rPr>
        <w:t>š</w:t>
      </w:r>
      <w:r w:rsidRPr="00055F83">
        <w:rPr>
          <w:rFonts w:asciiTheme="majorHAnsi" w:hAnsiTheme="majorHAnsi" w:cstheme="majorHAnsi"/>
          <w:sz w:val="22"/>
          <w:szCs w:val="22"/>
        </w:rPr>
        <w:t>ati privla</w:t>
      </w:r>
      <w:r w:rsidRPr="00055F83">
        <w:rPr>
          <w:rFonts w:ascii="Arial" w:hAnsi="Arial" w:cs="Arial"/>
          <w:sz w:val="22"/>
          <w:szCs w:val="22"/>
        </w:rPr>
        <w:t>č</w:t>
      </w:r>
      <w:r w:rsidRPr="00055F83">
        <w:rPr>
          <w:rFonts w:asciiTheme="majorHAnsi" w:hAnsiTheme="majorHAnsi" w:cstheme="majorHAnsi"/>
          <w:sz w:val="22"/>
          <w:szCs w:val="22"/>
        </w:rPr>
        <w:t>nost javnega prostora v sredi</w:t>
      </w:r>
      <w:r w:rsidRPr="00055F83">
        <w:rPr>
          <w:rFonts w:ascii="Arial" w:hAnsi="Arial" w:cs="Arial"/>
          <w:sz w:val="22"/>
          <w:szCs w:val="22"/>
        </w:rPr>
        <w:t>šč</w:t>
      </w:r>
      <w:r w:rsidRPr="00055F83">
        <w:rPr>
          <w:rFonts w:asciiTheme="majorHAnsi" w:hAnsiTheme="majorHAnsi" w:cstheme="majorHAnsi"/>
          <w:sz w:val="22"/>
          <w:szCs w:val="22"/>
        </w:rPr>
        <w:t>u Iga.</w:t>
      </w:r>
    </w:p>
    <w:p w14:paraId="30A4044E" w14:textId="77777777" w:rsidR="00055F83" w:rsidRPr="00055F83" w:rsidRDefault="00055F83" w:rsidP="00055F83">
      <w:pPr>
        <w:spacing w:after="120" w:line="276" w:lineRule="auto"/>
        <w:jc w:val="both"/>
        <w:rPr>
          <w:rFonts w:asciiTheme="majorHAnsi" w:hAnsiTheme="majorHAnsi" w:cstheme="majorHAnsi"/>
          <w:sz w:val="22"/>
          <w:szCs w:val="22"/>
        </w:rPr>
      </w:pPr>
      <w:r w:rsidRPr="00055F83">
        <w:rPr>
          <w:rFonts w:asciiTheme="majorHAnsi" w:hAnsiTheme="majorHAnsi" w:cstheme="majorHAnsi"/>
          <w:sz w:val="22"/>
          <w:szCs w:val="22"/>
        </w:rPr>
        <w:t>Izvedba projekta se je začela leta 2023 z odkupom zemljišč, zaključek gradbenih del in predaja namenu pa sta predvidena v prvi polovici leta 2029. Projekt se izvaja fazno, pri čemer bodo pripravljalne aktivnosti (dokumentacija, razpisi) potekale v letih 2024–2025, fizična izvedba v obdobju 2026–2028, leto 2029 pa je namenjeno zaključnim delom.</w:t>
      </w:r>
    </w:p>
    <w:p w14:paraId="00E9FD3C" w14:textId="77777777" w:rsidR="00570AB0" w:rsidRPr="00F11127" w:rsidRDefault="00570AB0"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67" w:name="_Toc3698200"/>
      <w:bookmarkStart w:id="68" w:name="_Toc210033773"/>
      <w:r w:rsidRPr="00F11127">
        <w:rPr>
          <w:rFonts w:asciiTheme="majorHAnsi" w:eastAsiaTheme="majorEastAsia" w:hAnsiTheme="majorHAnsi" w:cstheme="majorHAnsi"/>
          <w:color w:val="244061" w:themeColor="accent1" w:themeShade="80"/>
        </w:rPr>
        <w:t>Spisek strokovnih podlag</w:t>
      </w:r>
      <w:bookmarkEnd w:id="67"/>
      <w:bookmarkEnd w:id="68"/>
    </w:p>
    <w:p w14:paraId="2BA48DD6" w14:textId="77777777" w:rsidR="00570AB0" w:rsidRDefault="00570AB0" w:rsidP="00BD1D20">
      <w:pPr>
        <w:spacing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Strokovne podlage za izdelavo investicijskega programa so:</w:t>
      </w:r>
    </w:p>
    <w:p w14:paraId="77951B69" w14:textId="77777777" w:rsidR="00C30113" w:rsidRPr="004C498A" w:rsidRDefault="00C30113" w:rsidP="00C30113">
      <w:pPr>
        <w:numPr>
          <w:ilvl w:val="0"/>
          <w:numId w:val="30"/>
        </w:numPr>
        <w:spacing w:line="276" w:lineRule="auto"/>
        <w:contextualSpacing/>
        <w:jc w:val="both"/>
        <w:rPr>
          <w:rFonts w:ascii="Arial" w:hAnsi="Arial" w:cs="Arial"/>
          <w:sz w:val="22"/>
          <w:szCs w:val="22"/>
          <w:lang w:eastAsia="zh-TW"/>
        </w:rPr>
      </w:pPr>
      <w:r w:rsidRPr="004C498A">
        <w:rPr>
          <w:rFonts w:ascii="Arial" w:hAnsi="Arial" w:cs="Arial"/>
          <w:sz w:val="22"/>
          <w:szCs w:val="22"/>
          <w:lang w:eastAsia="zh-TW"/>
        </w:rPr>
        <w:t>Uredba o enotni metodologiji za pripravo in obravnavo investicijske dokumentacije na področju javnih financ (Uradni list RS, št. 60/06, 54/10 in 27/16)</w:t>
      </w:r>
    </w:p>
    <w:p w14:paraId="2E498F78" w14:textId="77777777" w:rsidR="00C30113" w:rsidRPr="004C498A" w:rsidRDefault="00C30113" w:rsidP="00C30113">
      <w:pPr>
        <w:numPr>
          <w:ilvl w:val="0"/>
          <w:numId w:val="30"/>
        </w:numPr>
        <w:spacing w:line="276" w:lineRule="auto"/>
        <w:contextualSpacing/>
        <w:jc w:val="both"/>
        <w:rPr>
          <w:rFonts w:ascii="Arial" w:hAnsi="Arial" w:cs="Arial"/>
          <w:sz w:val="22"/>
          <w:szCs w:val="22"/>
          <w:lang w:eastAsia="zh-TW"/>
        </w:rPr>
      </w:pPr>
      <w:r w:rsidRPr="004C498A">
        <w:rPr>
          <w:rFonts w:ascii="Arial" w:hAnsi="Arial" w:cs="Arial"/>
          <w:sz w:val="22"/>
          <w:szCs w:val="22"/>
          <w:lang w:eastAsia="zh-TW"/>
        </w:rPr>
        <w:t xml:space="preserve">Zakon o financiranju občin (Uradni list RS, št. 123/06, 57/08, 36/11, 14/15 – ZUUJFO, 71/17 in 21/18 – </w:t>
      </w:r>
      <w:proofErr w:type="spellStart"/>
      <w:r w:rsidRPr="004C498A">
        <w:rPr>
          <w:rFonts w:ascii="Arial" w:hAnsi="Arial" w:cs="Arial"/>
          <w:sz w:val="22"/>
          <w:szCs w:val="22"/>
          <w:lang w:eastAsia="zh-TW"/>
        </w:rPr>
        <w:t>popr</w:t>
      </w:r>
      <w:proofErr w:type="spellEnd"/>
      <w:r w:rsidRPr="004C498A">
        <w:rPr>
          <w:rFonts w:ascii="Arial" w:hAnsi="Arial" w:cs="Arial"/>
          <w:sz w:val="22"/>
          <w:szCs w:val="22"/>
          <w:lang w:eastAsia="zh-TW"/>
        </w:rPr>
        <w:t>., 80/20 – ZIUOOPE, 189/20 – ZFRO, 207/21 in 44/22 – ZVO-2)</w:t>
      </w:r>
    </w:p>
    <w:p w14:paraId="5711CB6E" w14:textId="3B08EAF1" w:rsidR="00C30113" w:rsidRPr="00BC0DCF" w:rsidRDefault="00C30113" w:rsidP="00C30113">
      <w:pPr>
        <w:numPr>
          <w:ilvl w:val="0"/>
          <w:numId w:val="30"/>
        </w:numPr>
        <w:spacing w:line="276" w:lineRule="auto"/>
        <w:jc w:val="both"/>
        <w:rPr>
          <w:rFonts w:ascii="Arial" w:eastAsia="Arial" w:hAnsi="Arial" w:cs="Arial"/>
          <w:sz w:val="22"/>
          <w:szCs w:val="22"/>
        </w:rPr>
      </w:pPr>
      <w:bookmarkStart w:id="69" w:name="_Hlk125795979"/>
      <w:r w:rsidRPr="00BC0DCF">
        <w:rPr>
          <w:rFonts w:ascii="Arial" w:eastAsia="Arial" w:hAnsi="Arial" w:cs="Arial"/>
          <w:sz w:val="22"/>
          <w:szCs w:val="22"/>
        </w:rPr>
        <w:t>Zakon o javnem naročanju (ZJN-3), Uradni list RS, št. </w:t>
      </w:r>
      <w:hyperlink r:id="rId48" w:tgtFrame="_blank" w:tooltip="Zakon o javnem naročanju (ZJN-3)" w:history="1">
        <w:r w:rsidRPr="00BC0DCF">
          <w:rPr>
            <w:rFonts w:ascii="Arial" w:eastAsia="Arial" w:hAnsi="Arial" w:cs="Arial"/>
            <w:sz w:val="22"/>
            <w:szCs w:val="22"/>
          </w:rPr>
          <w:t>91/15</w:t>
        </w:r>
      </w:hyperlink>
      <w:r w:rsidRPr="00BC0DCF">
        <w:rPr>
          <w:rFonts w:ascii="Arial" w:eastAsia="Arial" w:hAnsi="Arial" w:cs="Arial"/>
          <w:sz w:val="22"/>
          <w:szCs w:val="22"/>
        </w:rPr>
        <w:t>, </w:t>
      </w:r>
      <w:hyperlink r:id="rId49" w:tgtFrame="_blank" w:tooltip="Zakon o spremembah in dopolnitvah Zakona o javnem naročanju (ZJN-3A)" w:history="1">
        <w:r w:rsidRPr="00BC0DCF">
          <w:rPr>
            <w:rFonts w:ascii="Arial" w:eastAsia="Arial" w:hAnsi="Arial" w:cs="Arial"/>
            <w:sz w:val="22"/>
            <w:szCs w:val="22"/>
          </w:rPr>
          <w:t>14/18</w:t>
        </w:r>
      </w:hyperlink>
      <w:r w:rsidRPr="00BC0DCF">
        <w:rPr>
          <w:rFonts w:ascii="Arial" w:eastAsia="Arial" w:hAnsi="Arial" w:cs="Arial"/>
          <w:sz w:val="22"/>
          <w:szCs w:val="22"/>
        </w:rPr>
        <w:t>, </w:t>
      </w:r>
      <w:hyperlink r:id="rId50" w:tgtFrame="_blank" w:tooltip="Zakon o spremembah in dopolnitvah Zakona o javnem naročanju (ZJN-3B)" w:history="1">
        <w:r w:rsidRPr="00BC0DCF">
          <w:rPr>
            <w:rFonts w:ascii="Arial" w:eastAsia="Arial" w:hAnsi="Arial" w:cs="Arial"/>
            <w:sz w:val="22"/>
            <w:szCs w:val="22"/>
          </w:rPr>
          <w:t>121/21</w:t>
        </w:r>
      </w:hyperlink>
      <w:r w:rsidRPr="00BC0DCF">
        <w:rPr>
          <w:rFonts w:ascii="Arial" w:eastAsia="Arial" w:hAnsi="Arial" w:cs="Arial"/>
          <w:sz w:val="22"/>
          <w:szCs w:val="22"/>
        </w:rPr>
        <w:t>, </w:t>
      </w:r>
      <w:hyperlink r:id="rId51" w:tgtFrame="_blank" w:tooltip="Zakon o spremembah in dopolnitvah Zakona o javnem naročanju (ZJN-3C)" w:history="1">
        <w:r w:rsidRPr="00BC0DCF">
          <w:rPr>
            <w:rFonts w:ascii="Arial" w:eastAsia="Arial" w:hAnsi="Arial" w:cs="Arial"/>
            <w:sz w:val="22"/>
            <w:szCs w:val="22"/>
          </w:rPr>
          <w:t>10/22</w:t>
        </w:r>
      </w:hyperlink>
      <w:r w:rsidRPr="00BC0DCF">
        <w:rPr>
          <w:rFonts w:ascii="Arial" w:eastAsia="Arial" w:hAnsi="Arial" w:cs="Arial"/>
          <w:sz w:val="22"/>
          <w:szCs w:val="22"/>
        </w:rPr>
        <w:t>, </w:t>
      </w:r>
      <w:hyperlink r:id="rId52" w:tgtFrame="_blank" w:tooltip="Odločba o ugotovitvi, da je točka b) četrtega odstavka 75. člena in točka c) drugega odstavka v zvezi s petim odstavkom 67.a člena Zakona o javnem naročanju v neskladju z Ustavo" w:history="1">
        <w:r w:rsidRPr="00BC0DCF">
          <w:rPr>
            <w:rFonts w:ascii="Arial" w:eastAsia="Arial" w:hAnsi="Arial" w:cs="Arial"/>
            <w:sz w:val="22"/>
            <w:szCs w:val="22"/>
          </w:rPr>
          <w:t>74/22</w:t>
        </w:r>
      </w:hyperlink>
      <w:r w:rsidRPr="00BC0DCF">
        <w:rPr>
          <w:rFonts w:ascii="Arial" w:eastAsia="Arial" w:hAnsi="Arial" w:cs="Arial"/>
          <w:sz w:val="22"/>
          <w:szCs w:val="22"/>
        </w:rPr>
        <w:t xml:space="preserve"> – </w:t>
      </w:r>
      <w:proofErr w:type="spellStart"/>
      <w:r w:rsidRPr="00BC0DCF">
        <w:rPr>
          <w:rFonts w:ascii="Arial" w:eastAsia="Arial" w:hAnsi="Arial" w:cs="Arial"/>
          <w:sz w:val="22"/>
          <w:szCs w:val="22"/>
        </w:rPr>
        <w:t>odl</w:t>
      </w:r>
      <w:proofErr w:type="spellEnd"/>
      <w:r w:rsidRPr="00BC0DCF">
        <w:rPr>
          <w:rFonts w:ascii="Arial" w:eastAsia="Arial" w:hAnsi="Arial" w:cs="Arial"/>
          <w:sz w:val="22"/>
          <w:szCs w:val="22"/>
        </w:rPr>
        <w:t>. US, </w:t>
      </w:r>
      <w:hyperlink r:id="rId53" w:tgtFrame="_blank" w:tooltip="Zakon o nujnih ukrepih za zagotovitev stabilnosti zdravstvenega sistema (ZNUZSZS)" w:history="1">
        <w:r w:rsidRPr="00BC0DCF">
          <w:rPr>
            <w:rFonts w:ascii="Arial" w:eastAsia="Arial" w:hAnsi="Arial" w:cs="Arial"/>
            <w:sz w:val="22"/>
            <w:szCs w:val="22"/>
          </w:rPr>
          <w:t>100/22</w:t>
        </w:r>
      </w:hyperlink>
      <w:r w:rsidRPr="00BC0DCF">
        <w:rPr>
          <w:rFonts w:ascii="Arial" w:eastAsia="Arial" w:hAnsi="Arial" w:cs="Arial"/>
          <w:sz w:val="22"/>
          <w:szCs w:val="22"/>
        </w:rPr>
        <w:t> – ZNUZSZS, </w:t>
      </w:r>
      <w:hyperlink r:id="rId54" w:tgtFrame="_blank" w:tooltip="Zakon o spremembah in dopolnitvah Zakona o javnem naročanju (ZJN-3D)" w:history="1">
        <w:r w:rsidRPr="00BC0DCF">
          <w:rPr>
            <w:rFonts w:ascii="Arial" w:eastAsia="Arial" w:hAnsi="Arial" w:cs="Arial"/>
            <w:sz w:val="22"/>
            <w:szCs w:val="22"/>
          </w:rPr>
          <w:t>28/23</w:t>
        </w:r>
      </w:hyperlink>
      <w:r w:rsidRPr="00BC0DCF">
        <w:rPr>
          <w:rFonts w:ascii="Arial" w:eastAsia="Arial" w:hAnsi="Arial" w:cs="Arial"/>
          <w:sz w:val="22"/>
          <w:szCs w:val="22"/>
        </w:rPr>
        <w:t> in </w:t>
      </w:r>
      <w:hyperlink r:id="rId55" w:tgtFrame="_blank" w:tooltip="Zakon o spremembah in dopolnitvah Zakona o odpravi posledic naravnih nesreč (ZOPNN-F)" w:history="1">
        <w:r w:rsidRPr="00BC0DCF">
          <w:rPr>
            <w:rFonts w:ascii="Arial" w:eastAsia="Arial" w:hAnsi="Arial" w:cs="Arial"/>
            <w:sz w:val="22"/>
            <w:szCs w:val="22"/>
          </w:rPr>
          <w:t>88/23</w:t>
        </w:r>
      </w:hyperlink>
      <w:r w:rsidRPr="00BC0DCF">
        <w:rPr>
          <w:rFonts w:ascii="Arial" w:eastAsia="Arial" w:hAnsi="Arial" w:cs="Arial"/>
          <w:sz w:val="22"/>
          <w:szCs w:val="22"/>
        </w:rPr>
        <w:t> – ZOPNN-F.</w:t>
      </w:r>
    </w:p>
    <w:p w14:paraId="6A5D23D6" w14:textId="77777777" w:rsidR="00E561A6" w:rsidRDefault="00E561A6">
      <w:pPr>
        <w:spacing w:after="200" w:line="276" w:lineRule="auto"/>
        <w:rPr>
          <w:rFonts w:asciiTheme="majorHAnsi" w:eastAsiaTheme="majorEastAsia" w:hAnsiTheme="majorHAnsi" w:cstheme="majorHAnsi"/>
          <w:b/>
          <w:bCs/>
          <w:color w:val="244061" w:themeColor="accent1" w:themeShade="80"/>
          <w:sz w:val="22"/>
          <w:szCs w:val="26"/>
          <w:lang w:eastAsia="zh-TW"/>
        </w:rPr>
      </w:pPr>
      <w:bookmarkStart w:id="70" w:name="_Toc3698205"/>
      <w:bookmarkEnd w:id="69"/>
      <w:r>
        <w:rPr>
          <w:rFonts w:asciiTheme="majorHAnsi" w:eastAsiaTheme="majorEastAsia" w:hAnsiTheme="majorHAnsi" w:cstheme="majorHAnsi"/>
          <w:color w:val="244061" w:themeColor="accent1" w:themeShade="80"/>
        </w:rPr>
        <w:br w:type="page"/>
      </w:r>
    </w:p>
    <w:p w14:paraId="28853597" w14:textId="625B79D1" w:rsidR="000B4C12" w:rsidRPr="00F11127" w:rsidRDefault="000B4C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71" w:name="_Toc210033774"/>
      <w:r w:rsidRPr="00F11127">
        <w:rPr>
          <w:rFonts w:asciiTheme="majorHAnsi" w:eastAsiaTheme="majorEastAsia" w:hAnsiTheme="majorHAnsi" w:cstheme="majorHAnsi"/>
          <w:color w:val="244061" w:themeColor="accent1" w:themeShade="80"/>
        </w:rPr>
        <w:lastRenderedPageBreak/>
        <w:t>Opredelitev vrste projekta</w:t>
      </w:r>
      <w:bookmarkEnd w:id="70"/>
      <w:bookmarkEnd w:id="71"/>
      <w:r w:rsidRPr="00F11127">
        <w:rPr>
          <w:rFonts w:asciiTheme="majorHAnsi" w:eastAsiaTheme="majorEastAsia" w:hAnsiTheme="majorHAnsi" w:cstheme="majorHAnsi"/>
          <w:color w:val="244061" w:themeColor="accent1" w:themeShade="80"/>
        </w:rPr>
        <w:t xml:space="preserve"> </w:t>
      </w:r>
    </w:p>
    <w:p w14:paraId="1965A9B7" w14:textId="77777777" w:rsidR="000B4C12" w:rsidRPr="00F11127" w:rsidRDefault="000B4C12" w:rsidP="00BD1D20">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72" w:name="_Toc3698206"/>
      <w:bookmarkStart w:id="73" w:name="_Toc210033775"/>
      <w:r w:rsidRPr="00F11127">
        <w:rPr>
          <w:rFonts w:asciiTheme="majorHAnsi" w:eastAsiaTheme="majorEastAsia" w:hAnsiTheme="majorHAnsi" w:cstheme="majorHAnsi"/>
          <w:color w:val="244061" w:themeColor="accent1" w:themeShade="80"/>
          <w:szCs w:val="22"/>
        </w:rPr>
        <w:t>Opredelitev vrste investicijskega naročila (ukrepa)</w:t>
      </w:r>
      <w:bookmarkEnd w:id="72"/>
      <w:bookmarkEnd w:id="73"/>
      <w:r w:rsidRPr="00F11127">
        <w:rPr>
          <w:rFonts w:asciiTheme="majorHAnsi" w:eastAsiaTheme="majorEastAsia" w:hAnsiTheme="majorHAnsi" w:cstheme="majorHAnsi"/>
          <w:color w:val="244061" w:themeColor="accent1" w:themeShade="80"/>
          <w:szCs w:val="22"/>
        </w:rPr>
        <w:t xml:space="preserve"> </w:t>
      </w:r>
    </w:p>
    <w:p w14:paraId="6C2C8C5F" w14:textId="04258C17" w:rsidR="000B4C12" w:rsidRPr="00F11127" w:rsidRDefault="000B4C12" w:rsidP="00BD1D20">
      <w:pPr>
        <w:pStyle w:val="Napis"/>
        <w:keepNext/>
        <w:spacing w:after="0" w:line="276" w:lineRule="auto"/>
        <w:rPr>
          <w:rFonts w:asciiTheme="majorHAnsi" w:eastAsia="Arial Unicode MS" w:hAnsiTheme="majorHAnsi" w:cstheme="majorHAnsi"/>
          <w:b w:val="0"/>
          <w:color w:val="auto"/>
          <w:sz w:val="22"/>
          <w:szCs w:val="22"/>
        </w:rPr>
      </w:pPr>
      <w:bookmarkStart w:id="74" w:name="_Toc354488725"/>
      <w:bookmarkStart w:id="75" w:name="_Toc463339311"/>
      <w:bookmarkStart w:id="76" w:name="_Toc465928601"/>
      <w:bookmarkStart w:id="77" w:name="_Toc467156425"/>
      <w:bookmarkStart w:id="78" w:name="_Toc468254111"/>
      <w:bookmarkStart w:id="79" w:name="_Toc468952050"/>
      <w:bookmarkStart w:id="80" w:name="_Toc469059559"/>
      <w:bookmarkStart w:id="81" w:name="_Toc471460984"/>
      <w:bookmarkStart w:id="82" w:name="_Toc498998292"/>
      <w:bookmarkStart w:id="83" w:name="_Toc3698124"/>
      <w:bookmarkStart w:id="84" w:name="_Toc209528289"/>
      <w:r w:rsidRPr="00F11127">
        <w:rPr>
          <w:rFonts w:asciiTheme="majorHAnsi" w:eastAsia="Arial Unicode MS" w:hAnsiTheme="majorHAnsi" w:cstheme="majorHAnsi"/>
          <w:color w:val="auto"/>
          <w:sz w:val="22"/>
          <w:szCs w:val="22"/>
        </w:rPr>
        <w:t xml:space="preserve">Tabela </w:t>
      </w:r>
      <w:r w:rsidRPr="00F11127">
        <w:rPr>
          <w:rFonts w:asciiTheme="majorHAnsi" w:eastAsia="Arial Unicode MS" w:hAnsiTheme="majorHAnsi" w:cstheme="majorHAnsi"/>
          <w:color w:val="auto"/>
          <w:sz w:val="22"/>
          <w:szCs w:val="22"/>
        </w:rPr>
        <w:fldChar w:fldCharType="begin"/>
      </w:r>
      <w:r w:rsidRPr="00F11127">
        <w:rPr>
          <w:rFonts w:asciiTheme="majorHAnsi" w:eastAsia="Arial Unicode MS" w:hAnsiTheme="majorHAnsi" w:cstheme="majorHAnsi"/>
          <w:color w:val="auto"/>
          <w:sz w:val="22"/>
          <w:szCs w:val="22"/>
        </w:rPr>
        <w:instrText xml:space="preserve"> SEQ Tabela \* ARABIC </w:instrText>
      </w:r>
      <w:r w:rsidRPr="00F11127">
        <w:rPr>
          <w:rFonts w:asciiTheme="majorHAnsi" w:eastAsia="Arial Unicode MS" w:hAnsiTheme="majorHAnsi" w:cstheme="majorHAnsi"/>
          <w:color w:val="auto"/>
          <w:sz w:val="22"/>
          <w:szCs w:val="22"/>
        </w:rPr>
        <w:fldChar w:fldCharType="separate"/>
      </w:r>
      <w:r w:rsidR="00E74D26">
        <w:rPr>
          <w:rFonts w:asciiTheme="majorHAnsi" w:eastAsia="Arial Unicode MS" w:hAnsiTheme="majorHAnsi" w:cstheme="majorHAnsi"/>
          <w:noProof/>
          <w:color w:val="auto"/>
          <w:sz w:val="22"/>
          <w:szCs w:val="22"/>
        </w:rPr>
        <w:t>3</w:t>
      </w:r>
      <w:r w:rsidRPr="00F11127">
        <w:rPr>
          <w:rFonts w:asciiTheme="majorHAnsi" w:eastAsia="Arial Unicode MS" w:hAnsiTheme="majorHAnsi" w:cstheme="majorHAnsi"/>
          <w:color w:val="auto"/>
          <w:sz w:val="22"/>
          <w:szCs w:val="22"/>
        </w:rPr>
        <w:fldChar w:fldCharType="end"/>
      </w:r>
      <w:r w:rsidRPr="00F11127">
        <w:rPr>
          <w:rFonts w:asciiTheme="majorHAnsi" w:eastAsia="Arial Unicode MS" w:hAnsiTheme="majorHAnsi" w:cstheme="majorHAnsi"/>
          <w:color w:val="auto"/>
          <w:sz w:val="22"/>
          <w:szCs w:val="22"/>
        </w:rPr>
        <w:t>:</w:t>
      </w:r>
      <w:r w:rsidRPr="00F11127">
        <w:rPr>
          <w:rFonts w:asciiTheme="majorHAnsi" w:eastAsia="Arial Unicode MS" w:hAnsiTheme="majorHAnsi" w:cstheme="majorHAnsi"/>
          <w:b w:val="0"/>
          <w:color w:val="auto"/>
          <w:sz w:val="22"/>
          <w:szCs w:val="22"/>
        </w:rPr>
        <w:t xml:space="preserve"> Določitev vrste investicije</w:t>
      </w:r>
      <w:bookmarkEnd w:id="74"/>
      <w:bookmarkEnd w:id="75"/>
      <w:bookmarkEnd w:id="76"/>
      <w:bookmarkEnd w:id="77"/>
      <w:bookmarkEnd w:id="78"/>
      <w:bookmarkEnd w:id="79"/>
      <w:bookmarkEnd w:id="80"/>
      <w:bookmarkEnd w:id="81"/>
      <w:bookmarkEnd w:id="82"/>
      <w:bookmarkEnd w:id="83"/>
      <w:bookmarkEnd w:id="84"/>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0A0" w:firstRow="1" w:lastRow="0" w:firstColumn="1" w:lastColumn="0" w:noHBand="0" w:noVBand="0"/>
      </w:tblPr>
      <w:tblGrid>
        <w:gridCol w:w="455"/>
        <w:gridCol w:w="3187"/>
        <w:gridCol w:w="465"/>
        <w:gridCol w:w="5189"/>
        <w:gridCol w:w="13"/>
      </w:tblGrid>
      <w:tr w:rsidR="002653CC" w:rsidRPr="00F11127" w14:paraId="4A9527C3" w14:textId="77777777" w:rsidTr="00BC59C8">
        <w:tc>
          <w:tcPr>
            <w:tcW w:w="244" w:type="pct"/>
          </w:tcPr>
          <w:p w14:paraId="04120FE0" w14:textId="77777777" w:rsidR="002653CC" w:rsidRPr="00F11127" w:rsidRDefault="002653CC" w:rsidP="00BD1D20">
            <w:pPr>
              <w:spacing w:before="120" w:after="120" w:line="276" w:lineRule="auto"/>
              <w:jc w:val="both"/>
              <w:rPr>
                <w:rFonts w:asciiTheme="majorHAnsi" w:hAnsiTheme="majorHAnsi" w:cstheme="majorHAnsi"/>
                <w:b/>
                <w:sz w:val="22"/>
                <w:szCs w:val="22"/>
              </w:rPr>
            </w:pPr>
          </w:p>
        </w:tc>
        <w:tc>
          <w:tcPr>
            <w:tcW w:w="1712" w:type="pct"/>
            <w:shd w:val="clear" w:color="auto" w:fill="D9D9D9"/>
          </w:tcPr>
          <w:p w14:paraId="43F7C57D"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Investicija v nakup</w:t>
            </w:r>
          </w:p>
        </w:tc>
        <w:tc>
          <w:tcPr>
            <w:tcW w:w="250" w:type="pct"/>
          </w:tcPr>
          <w:p w14:paraId="13602055" w14:textId="77777777" w:rsidR="002653CC" w:rsidRPr="00F11127" w:rsidRDefault="002653CC" w:rsidP="00BD1D20">
            <w:pPr>
              <w:spacing w:before="120" w:after="120" w:line="276" w:lineRule="auto"/>
              <w:jc w:val="both"/>
              <w:rPr>
                <w:rFonts w:asciiTheme="majorHAnsi" w:hAnsiTheme="majorHAnsi" w:cstheme="majorHAnsi"/>
                <w:b/>
                <w:sz w:val="22"/>
                <w:szCs w:val="22"/>
              </w:rPr>
            </w:pPr>
          </w:p>
        </w:tc>
        <w:tc>
          <w:tcPr>
            <w:tcW w:w="2794" w:type="pct"/>
            <w:gridSpan w:val="2"/>
            <w:shd w:val="clear" w:color="auto" w:fill="D9D9D9"/>
          </w:tcPr>
          <w:p w14:paraId="69C52123"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Adaptacija</w:t>
            </w:r>
          </w:p>
        </w:tc>
      </w:tr>
      <w:tr w:rsidR="002653CC" w:rsidRPr="00F11127" w14:paraId="52CD939A" w14:textId="77777777" w:rsidTr="00BC59C8">
        <w:tc>
          <w:tcPr>
            <w:tcW w:w="244" w:type="pct"/>
          </w:tcPr>
          <w:p w14:paraId="57233AD5" w14:textId="77777777" w:rsidR="002653CC" w:rsidRPr="00F11127" w:rsidRDefault="00764B47" w:rsidP="00BD1D20">
            <w:pPr>
              <w:spacing w:before="120" w:after="120" w:line="276" w:lineRule="auto"/>
              <w:jc w:val="both"/>
              <w:rPr>
                <w:rFonts w:asciiTheme="majorHAnsi" w:hAnsiTheme="majorHAnsi" w:cstheme="majorHAnsi"/>
                <w:b/>
                <w:sz w:val="22"/>
                <w:szCs w:val="22"/>
              </w:rPr>
            </w:pPr>
            <w:r w:rsidRPr="00F11127">
              <w:rPr>
                <w:rFonts w:asciiTheme="majorHAnsi" w:hAnsiTheme="majorHAnsi" w:cstheme="majorHAnsi"/>
                <w:b/>
                <w:sz w:val="22"/>
                <w:szCs w:val="22"/>
              </w:rPr>
              <w:t>X</w:t>
            </w:r>
          </w:p>
        </w:tc>
        <w:tc>
          <w:tcPr>
            <w:tcW w:w="1712" w:type="pct"/>
            <w:shd w:val="clear" w:color="auto" w:fill="D9D9D9"/>
          </w:tcPr>
          <w:p w14:paraId="7D94D2CB" w14:textId="766317C5"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Novogradnja</w:t>
            </w:r>
          </w:p>
        </w:tc>
        <w:tc>
          <w:tcPr>
            <w:tcW w:w="250" w:type="pct"/>
          </w:tcPr>
          <w:p w14:paraId="5167B8A5" w14:textId="77777777" w:rsidR="002653CC" w:rsidRPr="00F11127" w:rsidRDefault="002653CC" w:rsidP="00BD1D20">
            <w:pPr>
              <w:spacing w:before="120" w:after="120" w:line="276" w:lineRule="auto"/>
              <w:jc w:val="both"/>
              <w:rPr>
                <w:rFonts w:asciiTheme="majorHAnsi" w:hAnsiTheme="majorHAnsi" w:cstheme="majorHAnsi"/>
                <w:b/>
                <w:sz w:val="22"/>
                <w:szCs w:val="22"/>
              </w:rPr>
            </w:pPr>
          </w:p>
        </w:tc>
        <w:tc>
          <w:tcPr>
            <w:tcW w:w="2794" w:type="pct"/>
            <w:gridSpan w:val="2"/>
            <w:shd w:val="clear" w:color="auto" w:fill="D9D9D9"/>
          </w:tcPr>
          <w:p w14:paraId="1323785F"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Investicijsko vzdrževanje osnovnih sredstev</w:t>
            </w:r>
          </w:p>
        </w:tc>
      </w:tr>
      <w:tr w:rsidR="002653CC" w:rsidRPr="00F11127" w14:paraId="766128DF" w14:textId="77777777" w:rsidTr="00BC59C8">
        <w:tc>
          <w:tcPr>
            <w:tcW w:w="244" w:type="pct"/>
          </w:tcPr>
          <w:p w14:paraId="33A4528A" w14:textId="3648A57A" w:rsidR="002653CC" w:rsidRPr="00F11127" w:rsidRDefault="00887E28" w:rsidP="00BD1D20">
            <w:pPr>
              <w:spacing w:before="120" w:after="120" w:line="276" w:lineRule="auto"/>
              <w:jc w:val="both"/>
              <w:rPr>
                <w:rFonts w:asciiTheme="majorHAnsi" w:hAnsiTheme="majorHAnsi" w:cstheme="majorHAnsi"/>
                <w:b/>
                <w:sz w:val="22"/>
                <w:szCs w:val="22"/>
              </w:rPr>
            </w:pPr>
            <w:r w:rsidRPr="00F11127">
              <w:rPr>
                <w:rFonts w:asciiTheme="majorHAnsi" w:hAnsiTheme="majorHAnsi" w:cstheme="majorHAnsi"/>
                <w:b/>
                <w:sz w:val="22"/>
                <w:szCs w:val="22"/>
              </w:rPr>
              <w:t>X</w:t>
            </w:r>
          </w:p>
        </w:tc>
        <w:tc>
          <w:tcPr>
            <w:tcW w:w="1712" w:type="pct"/>
            <w:shd w:val="clear" w:color="auto" w:fill="D9D9D9"/>
          </w:tcPr>
          <w:p w14:paraId="41FF3892"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Rekonstrukcija</w:t>
            </w:r>
          </w:p>
        </w:tc>
        <w:tc>
          <w:tcPr>
            <w:tcW w:w="250" w:type="pct"/>
          </w:tcPr>
          <w:p w14:paraId="772A1AF8" w14:textId="77777777" w:rsidR="002653CC" w:rsidRPr="00F11127" w:rsidRDefault="002653CC" w:rsidP="00BD1D20">
            <w:pPr>
              <w:spacing w:before="120" w:after="120" w:line="276" w:lineRule="auto"/>
              <w:jc w:val="both"/>
              <w:rPr>
                <w:rFonts w:asciiTheme="majorHAnsi" w:hAnsiTheme="majorHAnsi" w:cstheme="majorHAnsi"/>
                <w:sz w:val="22"/>
                <w:szCs w:val="22"/>
              </w:rPr>
            </w:pPr>
          </w:p>
        </w:tc>
        <w:tc>
          <w:tcPr>
            <w:tcW w:w="2794" w:type="pct"/>
            <w:gridSpan w:val="2"/>
            <w:shd w:val="clear" w:color="auto" w:fill="D9D9D9"/>
          </w:tcPr>
          <w:p w14:paraId="25598572"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Prodaja in opustitev rabe osnovnih sredstev</w:t>
            </w:r>
          </w:p>
        </w:tc>
      </w:tr>
      <w:tr w:rsidR="002653CC" w:rsidRPr="00F11127" w14:paraId="644DEF2C" w14:textId="77777777" w:rsidTr="00BC59C8">
        <w:trPr>
          <w:gridAfter w:val="1"/>
          <w:wAfter w:w="7" w:type="pct"/>
        </w:trPr>
        <w:tc>
          <w:tcPr>
            <w:tcW w:w="4993" w:type="pct"/>
            <w:gridSpan w:val="4"/>
          </w:tcPr>
          <w:p w14:paraId="0869F7A3"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Poleg tega pa tudi:</w:t>
            </w:r>
          </w:p>
        </w:tc>
      </w:tr>
      <w:tr w:rsidR="002653CC" w:rsidRPr="00F11127" w14:paraId="31F0478B" w14:textId="77777777" w:rsidTr="00BC59C8">
        <w:trPr>
          <w:gridAfter w:val="1"/>
          <w:wAfter w:w="7" w:type="pct"/>
        </w:trPr>
        <w:tc>
          <w:tcPr>
            <w:tcW w:w="244" w:type="pct"/>
          </w:tcPr>
          <w:p w14:paraId="1CDD455A" w14:textId="77777777" w:rsidR="002653CC" w:rsidRPr="00F11127" w:rsidRDefault="002653CC" w:rsidP="00BD1D20">
            <w:pPr>
              <w:spacing w:before="120" w:after="120" w:line="276" w:lineRule="auto"/>
              <w:jc w:val="both"/>
              <w:rPr>
                <w:rFonts w:asciiTheme="majorHAnsi" w:hAnsiTheme="majorHAnsi" w:cstheme="majorHAnsi"/>
                <w:sz w:val="22"/>
                <w:szCs w:val="22"/>
              </w:rPr>
            </w:pPr>
          </w:p>
        </w:tc>
        <w:tc>
          <w:tcPr>
            <w:tcW w:w="1712" w:type="pct"/>
            <w:shd w:val="clear" w:color="auto" w:fill="D9D9D9"/>
          </w:tcPr>
          <w:p w14:paraId="6FBA436B"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Če je podano državno poroštvo</w:t>
            </w:r>
          </w:p>
        </w:tc>
        <w:tc>
          <w:tcPr>
            <w:tcW w:w="250" w:type="pct"/>
          </w:tcPr>
          <w:p w14:paraId="57B942C6" w14:textId="77777777" w:rsidR="002653CC" w:rsidRPr="00F11127" w:rsidRDefault="002653CC" w:rsidP="00BD1D20">
            <w:pPr>
              <w:spacing w:before="120" w:after="120" w:line="276" w:lineRule="auto"/>
              <w:jc w:val="both"/>
              <w:rPr>
                <w:rFonts w:asciiTheme="majorHAnsi" w:hAnsiTheme="majorHAnsi" w:cstheme="majorHAnsi"/>
                <w:sz w:val="22"/>
                <w:szCs w:val="22"/>
              </w:rPr>
            </w:pPr>
          </w:p>
        </w:tc>
        <w:tc>
          <w:tcPr>
            <w:tcW w:w="2787" w:type="pct"/>
            <w:shd w:val="clear" w:color="auto" w:fill="D9D9D9"/>
          </w:tcPr>
          <w:p w14:paraId="79439D23" w14:textId="77777777" w:rsidR="002653CC" w:rsidRPr="00F11127" w:rsidRDefault="002653CC" w:rsidP="00BD1D20">
            <w:pPr>
              <w:spacing w:before="120"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Ali če je vključeno v nacionalni program</w:t>
            </w:r>
          </w:p>
        </w:tc>
      </w:tr>
    </w:tbl>
    <w:p w14:paraId="69F574D6" w14:textId="77777777" w:rsidR="000B4C12" w:rsidRPr="00F11127" w:rsidRDefault="000B4C12" w:rsidP="00BD1D20">
      <w:pPr>
        <w:spacing w:line="276" w:lineRule="auto"/>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Vir: Uredba o enotni metodologiji za pripravo in obravnavo investicijske dokumentacije na področju javnih financ (Uradni list RS, št. 60/06, 54/10 in 27/16).</w:t>
      </w:r>
    </w:p>
    <w:p w14:paraId="089031AD" w14:textId="77777777" w:rsidR="000B4C12" w:rsidRPr="00F11127" w:rsidRDefault="000B4C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85" w:name="_Toc3698208"/>
      <w:bookmarkStart w:id="86" w:name="_Toc210033776"/>
      <w:r w:rsidRPr="00F11127">
        <w:rPr>
          <w:rFonts w:asciiTheme="majorHAnsi" w:eastAsiaTheme="majorEastAsia" w:hAnsiTheme="majorHAnsi" w:cstheme="majorHAnsi"/>
          <w:color w:val="244061" w:themeColor="accent1" w:themeShade="80"/>
        </w:rPr>
        <w:t>Navedba odgovornih oseb</w:t>
      </w:r>
      <w:bookmarkEnd w:id="85"/>
      <w:bookmarkEnd w:id="86"/>
    </w:p>
    <w:p w14:paraId="0A28895F" w14:textId="77777777" w:rsidR="00926405" w:rsidRDefault="00926405" w:rsidP="00BD1D20">
      <w:pPr>
        <w:spacing w:line="276" w:lineRule="auto"/>
        <w:jc w:val="both"/>
        <w:rPr>
          <w:rFonts w:asciiTheme="majorHAnsi" w:hAnsiTheme="majorHAnsi" w:cstheme="majorHAnsi"/>
          <w:b/>
          <w:sz w:val="22"/>
          <w:szCs w:val="22"/>
          <w:lang w:eastAsia="zh-TW"/>
        </w:rPr>
      </w:pPr>
    </w:p>
    <w:p w14:paraId="502AC2A0" w14:textId="77777777"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Odgovorna oseba za izdelavo Investicijskega programa:</w:t>
      </w:r>
    </w:p>
    <w:p w14:paraId="1379480C"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 xml:space="preserve">Martina Magajna </w:t>
      </w:r>
    </w:p>
    <w:p w14:paraId="2ECDB89F" w14:textId="77777777" w:rsidR="00926405" w:rsidRPr="00C13301" w:rsidRDefault="00926405" w:rsidP="00926405">
      <w:pPr>
        <w:spacing w:line="276" w:lineRule="auto"/>
        <w:jc w:val="both"/>
        <w:rPr>
          <w:rFonts w:ascii="Arial" w:hAnsi="Arial" w:cs="Arial"/>
          <w:b/>
          <w:sz w:val="22"/>
          <w:szCs w:val="22"/>
          <w:lang w:eastAsia="zh-TW"/>
        </w:rPr>
      </w:pPr>
      <w:proofErr w:type="spellStart"/>
      <w:r w:rsidRPr="00C13301">
        <w:rPr>
          <w:rFonts w:ascii="Arial" w:hAnsi="Arial" w:cs="Arial"/>
          <w:b/>
          <w:sz w:val="22"/>
          <w:szCs w:val="22"/>
          <w:lang w:eastAsia="zh-TW"/>
        </w:rPr>
        <w:t>ProSVET</w:t>
      </w:r>
      <w:proofErr w:type="spellEnd"/>
      <w:r w:rsidRPr="00C13301">
        <w:rPr>
          <w:rFonts w:ascii="Arial" w:hAnsi="Arial" w:cs="Arial"/>
          <w:b/>
          <w:sz w:val="22"/>
          <w:szCs w:val="22"/>
          <w:lang w:eastAsia="zh-TW"/>
        </w:rPr>
        <w:t xml:space="preserve">, Martina Magajna </w:t>
      </w:r>
      <w:proofErr w:type="spellStart"/>
      <w:r w:rsidRPr="00C13301">
        <w:rPr>
          <w:rFonts w:ascii="Arial" w:hAnsi="Arial" w:cs="Arial"/>
          <w:b/>
          <w:sz w:val="22"/>
          <w:szCs w:val="22"/>
          <w:lang w:eastAsia="zh-TW"/>
        </w:rPr>
        <w:t>s.p</w:t>
      </w:r>
      <w:proofErr w:type="spellEnd"/>
      <w:r w:rsidRPr="00C13301">
        <w:rPr>
          <w:rFonts w:ascii="Arial" w:hAnsi="Arial" w:cs="Arial"/>
          <w:b/>
          <w:sz w:val="22"/>
          <w:szCs w:val="22"/>
          <w:lang w:eastAsia="zh-TW"/>
        </w:rPr>
        <w:t>.</w:t>
      </w:r>
    </w:p>
    <w:p w14:paraId="25307172"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Dilce 40, 6230 Postojna</w:t>
      </w:r>
    </w:p>
    <w:p w14:paraId="4E7CF968" w14:textId="77777777" w:rsidR="00926405" w:rsidRDefault="00926405" w:rsidP="00926405">
      <w:pPr>
        <w:spacing w:line="276" w:lineRule="auto"/>
        <w:jc w:val="both"/>
        <w:rPr>
          <w:rFonts w:ascii="Arial" w:hAnsi="Arial" w:cs="Arial"/>
          <w:sz w:val="22"/>
          <w:szCs w:val="22"/>
          <w:lang w:eastAsia="zh-TW"/>
        </w:rPr>
      </w:pPr>
    </w:p>
    <w:p w14:paraId="2CF74831" w14:textId="4D2A535D"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 xml:space="preserve">Odgovorna oseba za izdelavo </w:t>
      </w:r>
      <w:r>
        <w:rPr>
          <w:rFonts w:ascii="Arial" w:hAnsi="Arial" w:cs="Arial"/>
          <w:b/>
          <w:sz w:val="22"/>
          <w:szCs w:val="22"/>
          <w:lang w:eastAsia="zh-TW"/>
        </w:rPr>
        <w:t>projektne dokumentacije</w:t>
      </w:r>
      <w:r w:rsidRPr="00C13301">
        <w:rPr>
          <w:rFonts w:ascii="Arial" w:hAnsi="Arial" w:cs="Arial"/>
          <w:b/>
          <w:sz w:val="22"/>
          <w:szCs w:val="22"/>
          <w:lang w:eastAsia="zh-TW"/>
        </w:rPr>
        <w:t>:</w:t>
      </w:r>
    </w:p>
    <w:p w14:paraId="7E52D3EA" w14:textId="77777777" w:rsidR="005A12B5" w:rsidRDefault="005A12B5" w:rsidP="00926405">
      <w:pPr>
        <w:spacing w:line="276" w:lineRule="auto"/>
        <w:jc w:val="both"/>
        <w:rPr>
          <w:rFonts w:ascii="Arial" w:hAnsi="Arial" w:cs="Arial"/>
          <w:sz w:val="22"/>
          <w:szCs w:val="22"/>
          <w:lang w:eastAsia="zh-TW"/>
        </w:rPr>
      </w:pPr>
      <w:r w:rsidRPr="005A12B5">
        <w:rPr>
          <w:rFonts w:ascii="Arial" w:hAnsi="Arial" w:cs="Arial"/>
          <w:sz w:val="22"/>
          <w:szCs w:val="22"/>
          <w:lang w:eastAsia="zh-TW"/>
        </w:rPr>
        <w:t>Rok Perme</w:t>
      </w:r>
    </w:p>
    <w:p w14:paraId="01632394" w14:textId="77777777" w:rsidR="005A12B5" w:rsidRDefault="005A12B5" w:rsidP="00926405">
      <w:pPr>
        <w:spacing w:line="276" w:lineRule="auto"/>
        <w:jc w:val="both"/>
        <w:rPr>
          <w:rFonts w:ascii="Arial" w:hAnsi="Arial" w:cs="Arial"/>
          <w:b/>
          <w:sz w:val="22"/>
          <w:szCs w:val="22"/>
          <w:lang w:eastAsia="zh-TW"/>
        </w:rPr>
      </w:pPr>
      <w:r w:rsidRPr="005A12B5">
        <w:rPr>
          <w:rFonts w:ascii="Arial" w:hAnsi="Arial" w:cs="Arial"/>
          <w:b/>
          <w:sz w:val="22"/>
          <w:szCs w:val="22"/>
          <w:lang w:eastAsia="zh-TW"/>
        </w:rPr>
        <w:t>ATEKT d.o.o.</w:t>
      </w:r>
    </w:p>
    <w:p w14:paraId="213F753B" w14:textId="23D01931" w:rsidR="005A12B5" w:rsidRPr="005A12B5" w:rsidRDefault="005A12B5" w:rsidP="00926405">
      <w:pPr>
        <w:spacing w:line="276" w:lineRule="auto"/>
        <w:jc w:val="both"/>
        <w:rPr>
          <w:rFonts w:ascii="Arial" w:hAnsi="Arial" w:cs="Arial"/>
          <w:bCs/>
          <w:sz w:val="22"/>
          <w:szCs w:val="22"/>
          <w:lang w:eastAsia="zh-TW"/>
        </w:rPr>
      </w:pPr>
      <w:r w:rsidRPr="005A12B5">
        <w:rPr>
          <w:rFonts w:ascii="Arial" w:hAnsi="Arial" w:cs="Arial"/>
          <w:bCs/>
          <w:sz w:val="22"/>
          <w:szCs w:val="22"/>
          <w:lang w:eastAsia="zh-TW"/>
        </w:rPr>
        <w:t>Brdnikova ulica 64, 1000 Ljubljana</w:t>
      </w:r>
    </w:p>
    <w:p w14:paraId="2E7F3225" w14:textId="77777777" w:rsidR="00926405" w:rsidRPr="00C13301" w:rsidRDefault="00926405" w:rsidP="00926405">
      <w:pPr>
        <w:spacing w:line="276" w:lineRule="auto"/>
        <w:jc w:val="both"/>
        <w:rPr>
          <w:rFonts w:ascii="Arial" w:hAnsi="Arial" w:cs="Arial"/>
          <w:sz w:val="22"/>
          <w:szCs w:val="22"/>
          <w:lang w:eastAsia="zh-TW"/>
        </w:rPr>
      </w:pPr>
    </w:p>
    <w:p w14:paraId="2B78E033" w14:textId="77777777"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Odgovorna oseba za izvedbo investicijskega projekta:</w:t>
      </w:r>
    </w:p>
    <w:p w14:paraId="573DE110"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g. Zlatko Usenik</w:t>
      </w:r>
    </w:p>
    <w:p w14:paraId="7BF00929" w14:textId="77777777"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Občina Ig</w:t>
      </w:r>
    </w:p>
    <w:p w14:paraId="429C6EBE"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Govekarjeva cesta 6, 1292 Ig</w:t>
      </w:r>
    </w:p>
    <w:p w14:paraId="06514AD0" w14:textId="77777777" w:rsidR="00926405" w:rsidRPr="00C13301" w:rsidRDefault="00926405" w:rsidP="00926405">
      <w:pPr>
        <w:spacing w:line="276" w:lineRule="auto"/>
        <w:jc w:val="both"/>
        <w:rPr>
          <w:rFonts w:ascii="Arial" w:hAnsi="Arial" w:cs="Arial"/>
          <w:sz w:val="22"/>
          <w:szCs w:val="22"/>
          <w:lang w:eastAsia="zh-TW"/>
        </w:rPr>
      </w:pPr>
    </w:p>
    <w:p w14:paraId="77AFD497" w14:textId="77777777"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Odgovorna oseba za izvedbo investicijskega projekta:</w:t>
      </w:r>
    </w:p>
    <w:p w14:paraId="2F7BAC8D"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 xml:space="preserve">Ga. </w:t>
      </w:r>
      <w:r w:rsidRPr="005C1F0F">
        <w:rPr>
          <w:rFonts w:ascii="Arial" w:hAnsi="Arial" w:cs="Arial"/>
          <w:sz w:val="22"/>
          <w:szCs w:val="22"/>
          <w:lang w:eastAsia="zh-TW"/>
        </w:rPr>
        <w:t>Marjetka Pintarič Župec, višja svetovalka</w:t>
      </w:r>
    </w:p>
    <w:p w14:paraId="36977544" w14:textId="77777777" w:rsidR="00926405" w:rsidRPr="00C13301" w:rsidRDefault="00926405" w:rsidP="00926405">
      <w:pPr>
        <w:spacing w:line="276" w:lineRule="auto"/>
        <w:jc w:val="both"/>
        <w:rPr>
          <w:rFonts w:ascii="Arial" w:hAnsi="Arial" w:cs="Arial"/>
          <w:b/>
          <w:sz w:val="22"/>
          <w:szCs w:val="22"/>
          <w:lang w:eastAsia="zh-TW"/>
        </w:rPr>
      </w:pPr>
      <w:r w:rsidRPr="00C13301">
        <w:rPr>
          <w:rFonts w:ascii="Arial" w:hAnsi="Arial" w:cs="Arial"/>
          <w:b/>
          <w:sz w:val="22"/>
          <w:szCs w:val="22"/>
          <w:lang w:eastAsia="zh-TW"/>
        </w:rPr>
        <w:t>Občina Ig</w:t>
      </w:r>
    </w:p>
    <w:p w14:paraId="6B7A7596" w14:textId="77777777" w:rsidR="00926405" w:rsidRPr="00C13301" w:rsidRDefault="00926405" w:rsidP="00926405">
      <w:pPr>
        <w:spacing w:line="276" w:lineRule="auto"/>
        <w:jc w:val="both"/>
        <w:rPr>
          <w:rFonts w:ascii="Arial" w:hAnsi="Arial" w:cs="Arial"/>
          <w:sz w:val="22"/>
          <w:szCs w:val="22"/>
          <w:lang w:eastAsia="zh-TW"/>
        </w:rPr>
      </w:pPr>
      <w:r w:rsidRPr="00C13301">
        <w:rPr>
          <w:rFonts w:ascii="Arial" w:hAnsi="Arial" w:cs="Arial"/>
          <w:sz w:val="22"/>
          <w:szCs w:val="22"/>
          <w:lang w:eastAsia="zh-TW"/>
        </w:rPr>
        <w:t>Govekarjeva cesta 6, 1292 Ig</w:t>
      </w:r>
    </w:p>
    <w:p w14:paraId="3E8B402D" w14:textId="77777777" w:rsidR="000B4C12" w:rsidRPr="00F11127" w:rsidRDefault="000B4C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87" w:name="_Toc3698209"/>
      <w:bookmarkStart w:id="88" w:name="_Toc210033777"/>
      <w:r w:rsidRPr="00F11127">
        <w:rPr>
          <w:rFonts w:asciiTheme="majorHAnsi" w:eastAsiaTheme="majorEastAsia" w:hAnsiTheme="majorHAnsi" w:cstheme="majorHAnsi"/>
          <w:color w:val="244061" w:themeColor="accent1" w:themeShade="80"/>
        </w:rPr>
        <w:t>Predvidena organizacija in izvedba projekta</w:t>
      </w:r>
      <w:bookmarkEnd w:id="87"/>
      <w:bookmarkEnd w:id="88"/>
    </w:p>
    <w:p w14:paraId="5BFF9188" w14:textId="77777777" w:rsidR="00746D3D" w:rsidRPr="00C13301" w:rsidRDefault="00746D3D" w:rsidP="00746D3D">
      <w:pPr>
        <w:spacing w:after="120" w:line="276" w:lineRule="auto"/>
        <w:jc w:val="both"/>
        <w:rPr>
          <w:rFonts w:ascii="Arial" w:hAnsi="Arial" w:cs="Arial"/>
          <w:sz w:val="22"/>
          <w:szCs w:val="22"/>
          <w:lang w:eastAsia="zh-TW"/>
        </w:rPr>
      </w:pPr>
      <w:r w:rsidRPr="00C13301">
        <w:rPr>
          <w:rFonts w:ascii="Arial" w:hAnsi="Arial" w:cs="Arial"/>
          <w:sz w:val="22"/>
          <w:szCs w:val="22"/>
          <w:lang w:eastAsia="zh-TW"/>
        </w:rPr>
        <w:t>Zaradi zahtevnosti in kompleksnosti projekta bo organizacija za izvedbo projekta sestavljena z več članov, ki bodo vsebinsko pokrivali vse potrebne strukture znanja.</w:t>
      </w:r>
    </w:p>
    <w:p w14:paraId="767EE9AA" w14:textId="77777777" w:rsidR="00746D3D" w:rsidRPr="00C13301" w:rsidRDefault="00746D3D" w:rsidP="00746D3D">
      <w:pPr>
        <w:spacing w:line="276" w:lineRule="auto"/>
        <w:jc w:val="both"/>
        <w:rPr>
          <w:rFonts w:ascii="Arial" w:hAnsi="Arial" w:cs="Arial"/>
          <w:sz w:val="22"/>
          <w:szCs w:val="22"/>
        </w:rPr>
      </w:pPr>
      <w:r w:rsidRPr="00C13301">
        <w:rPr>
          <w:rFonts w:ascii="Arial" w:hAnsi="Arial" w:cs="Arial"/>
          <w:sz w:val="22"/>
          <w:szCs w:val="22"/>
        </w:rPr>
        <w:t xml:space="preserve">Vodja pri pripravi investicijskega projekta, ki je predmet tega dokumenta, je </w:t>
      </w:r>
      <w:r w:rsidRPr="005C1F0F">
        <w:rPr>
          <w:rFonts w:asciiTheme="majorHAnsi" w:eastAsia="Arial Unicode MS" w:hAnsiTheme="majorHAnsi" w:cstheme="majorHAnsi"/>
          <w:sz w:val="22"/>
          <w:szCs w:val="22"/>
          <w:lang w:eastAsia="zh-TW"/>
        </w:rPr>
        <w:t>Marjetka Pintarič Župec, višja svetovalka</w:t>
      </w:r>
      <w:r w:rsidRPr="00C13301">
        <w:rPr>
          <w:rFonts w:ascii="Arial" w:hAnsi="Arial" w:cs="Arial"/>
          <w:sz w:val="22"/>
          <w:szCs w:val="22"/>
        </w:rPr>
        <w:t xml:space="preserve">. Kot vodja bo skrbela za sodelovanje pri javnih naročilih, pomoči pri pripravi investicije in sodelovanje pri izvajanju investicije ter </w:t>
      </w:r>
    </w:p>
    <w:p w14:paraId="7DD72819"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lastRenderedPageBreak/>
        <w:t>zagon projekta, formiranje skupine, ki bo zadolžena za izvajanje aktivnosti v povezavi z investicijo,</w:t>
      </w:r>
    </w:p>
    <w:p w14:paraId="422A4556"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priprava časovnega načrta izvajanja investicije,</w:t>
      </w:r>
    </w:p>
    <w:p w14:paraId="6AB2D0A0"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 xml:space="preserve">zbiranje ponudb izvajalcev na podlagi popisov del za investicijo, </w:t>
      </w:r>
    </w:p>
    <w:p w14:paraId="68FA88E7"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vodenje postopka za izbiro izvajalca,</w:t>
      </w:r>
    </w:p>
    <w:p w14:paraId="6E62ECA4"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 xml:space="preserve">koordinacija izvajanja projekta in ustrezno ukrepanje v primeru odstopanj, </w:t>
      </w:r>
    </w:p>
    <w:p w14:paraId="641D50E7"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 xml:space="preserve">ocenjevanje doseženih rezultatov projekta glede na zastavljene cilje, </w:t>
      </w:r>
    </w:p>
    <w:p w14:paraId="53B59B8A" w14:textId="77777777" w:rsidR="00746D3D" w:rsidRPr="00C13301" w:rsidRDefault="00746D3D" w:rsidP="00746D3D">
      <w:pPr>
        <w:numPr>
          <w:ilvl w:val="0"/>
          <w:numId w:val="29"/>
        </w:numPr>
        <w:spacing w:line="276" w:lineRule="auto"/>
        <w:jc w:val="both"/>
        <w:rPr>
          <w:rFonts w:ascii="Arial" w:hAnsi="Arial" w:cs="Arial"/>
          <w:sz w:val="22"/>
          <w:szCs w:val="22"/>
        </w:rPr>
      </w:pPr>
      <w:r w:rsidRPr="00C13301">
        <w:rPr>
          <w:rFonts w:ascii="Arial" w:hAnsi="Arial" w:cs="Arial"/>
          <w:sz w:val="22"/>
          <w:szCs w:val="22"/>
        </w:rPr>
        <w:t>razreševanje problemov,</w:t>
      </w:r>
    </w:p>
    <w:p w14:paraId="791CCD01" w14:textId="77777777" w:rsidR="00746D3D" w:rsidRPr="00C13301" w:rsidRDefault="00746D3D" w:rsidP="00746D3D">
      <w:pPr>
        <w:numPr>
          <w:ilvl w:val="0"/>
          <w:numId w:val="29"/>
        </w:numPr>
        <w:spacing w:after="120" w:line="276" w:lineRule="auto"/>
        <w:jc w:val="both"/>
        <w:rPr>
          <w:rFonts w:ascii="Arial" w:hAnsi="Arial" w:cs="Arial"/>
          <w:sz w:val="22"/>
          <w:szCs w:val="22"/>
        </w:rPr>
      </w:pPr>
      <w:r w:rsidRPr="00C13301">
        <w:rPr>
          <w:rFonts w:ascii="Arial" w:hAnsi="Arial" w:cs="Arial"/>
          <w:sz w:val="22"/>
          <w:szCs w:val="22"/>
        </w:rPr>
        <w:t>spremljanje finančnega načrta.</w:t>
      </w:r>
    </w:p>
    <w:p w14:paraId="60F19154" w14:textId="77777777" w:rsidR="00746D3D" w:rsidRDefault="00746D3D" w:rsidP="00746D3D">
      <w:pPr>
        <w:spacing w:after="120" w:line="276" w:lineRule="auto"/>
        <w:jc w:val="both"/>
        <w:rPr>
          <w:rFonts w:ascii="Arial" w:hAnsi="Arial" w:cs="Arial"/>
          <w:sz w:val="22"/>
          <w:szCs w:val="22"/>
        </w:rPr>
      </w:pPr>
      <w:r w:rsidRPr="00C13301">
        <w:rPr>
          <w:rFonts w:ascii="Arial" w:hAnsi="Arial" w:cs="Arial"/>
          <w:sz w:val="22"/>
          <w:szCs w:val="22"/>
        </w:rPr>
        <w:t>V projekt bodo vključeni tudi drugi posamezniki iz občinskih strokovnih služb glede na potrebe oz. pri tistih specifičnih nalogah v projektu, ki jih pokrivajo v okviru svojih rednih delovnih nalog. V projektno skupino bodo po potrebi vključeni tudi drugi zunanji strokovni sodelavci, ki bodo sodelovali pri izvedbi projekta.</w:t>
      </w:r>
    </w:p>
    <w:p w14:paraId="2E6127FF" w14:textId="77777777" w:rsidR="00746D3D" w:rsidRPr="003025D8" w:rsidRDefault="00746D3D" w:rsidP="00746D3D">
      <w:pPr>
        <w:spacing w:after="120" w:line="276" w:lineRule="auto"/>
        <w:jc w:val="both"/>
        <w:rPr>
          <w:rFonts w:ascii="Arial" w:hAnsi="Arial" w:cs="Arial"/>
          <w:sz w:val="22"/>
          <w:szCs w:val="22"/>
        </w:rPr>
      </w:pPr>
      <w:r w:rsidRPr="003025D8">
        <w:rPr>
          <w:rFonts w:ascii="Arial" w:hAnsi="Arial" w:cs="Arial"/>
          <w:sz w:val="22"/>
          <w:szCs w:val="22"/>
        </w:rPr>
        <w:t>V izdelavo projektne dokumentacije bo vključen pooblaščeni krajinski arhitekt.</w:t>
      </w:r>
    </w:p>
    <w:p w14:paraId="62C36D00" w14:textId="60482B5D" w:rsidR="00720EB6" w:rsidRPr="00F11127" w:rsidRDefault="00746D3D" w:rsidP="00746D3D">
      <w:pPr>
        <w:spacing w:after="120" w:line="276" w:lineRule="auto"/>
        <w:jc w:val="both"/>
        <w:rPr>
          <w:rFonts w:asciiTheme="majorHAnsi" w:eastAsia="Arial" w:hAnsiTheme="majorHAnsi" w:cstheme="majorHAnsi"/>
          <w:sz w:val="22"/>
          <w:szCs w:val="22"/>
        </w:rPr>
      </w:pPr>
      <w:r w:rsidRPr="003025D8">
        <w:rPr>
          <w:rFonts w:ascii="Arial" w:hAnsi="Arial" w:cs="Arial"/>
          <w:sz w:val="22"/>
          <w:szCs w:val="22"/>
        </w:rPr>
        <w:t>V izdelavo projektne dokumentacije za ozelenjevanje stavb in odprte grajene površine bo vključen pooblaščeni arhitekt.</w:t>
      </w:r>
    </w:p>
    <w:p w14:paraId="7E3971B6" w14:textId="77777777" w:rsidR="000B4C12" w:rsidRPr="00F11127" w:rsidRDefault="000B4C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89" w:name="_Toc3698210"/>
      <w:bookmarkStart w:id="90" w:name="_Toc210033778"/>
      <w:r w:rsidRPr="00F11127">
        <w:rPr>
          <w:rFonts w:asciiTheme="majorHAnsi" w:eastAsiaTheme="majorEastAsia" w:hAnsiTheme="majorHAnsi" w:cstheme="majorHAnsi"/>
          <w:color w:val="244061" w:themeColor="accent1" w:themeShade="80"/>
        </w:rPr>
        <w:t>Prikaz ocenjene vrednosti investicije ter predvidena finančna konstrukcija</w:t>
      </w:r>
      <w:bookmarkEnd w:id="89"/>
      <w:bookmarkEnd w:id="90"/>
      <w:r w:rsidRPr="00F11127">
        <w:rPr>
          <w:rFonts w:asciiTheme="majorHAnsi" w:eastAsiaTheme="majorEastAsia" w:hAnsiTheme="majorHAnsi" w:cstheme="majorHAnsi"/>
          <w:color w:val="244061" w:themeColor="accent1" w:themeShade="80"/>
        </w:rPr>
        <w:t xml:space="preserve"> </w:t>
      </w:r>
    </w:p>
    <w:p w14:paraId="154B630C" w14:textId="25F408B2" w:rsidR="008252A9" w:rsidRPr="008252A9" w:rsidRDefault="000B4C12" w:rsidP="008252A9">
      <w:pPr>
        <w:spacing w:after="120" w:line="276" w:lineRule="auto"/>
        <w:jc w:val="both"/>
        <w:rPr>
          <w:rFonts w:ascii="Arial" w:hAnsi="Arial" w:cs="Arial"/>
          <w:sz w:val="22"/>
          <w:szCs w:val="22"/>
        </w:rPr>
      </w:pPr>
      <w:r w:rsidRPr="008252A9">
        <w:rPr>
          <w:rFonts w:ascii="Arial" w:hAnsi="Arial" w:cs="Arial"/>
          <w:sz w:val="22"/>
          <w:szCs w:val="22"/>
        </w:rPr>
        <w:t xml:space="preserve">Celotna vrednost projekta je ocenjena na </w:t>
      </w:r>
      <w:r w:rsidR="008252A9" w:rsidRPr="008252A9">
        <w:rPr>
          <w:rFonts w:ascii="Arial" w:hAnsi="Arial" w:cs="Arial"/>
          <w:sz w:val="22"/>
          <w:szCs w:val="22"/>
        </w:rPr>
        <w:t xml:space="preserve">2.920.552,53 EUR brez DDV oziroma 3.501.235,12 EUR </w:t>
      </w:r>
      <w:r w:rsidRPr="008252A9">
        <w:rPr>
          <w:rFonts w:ascii="Arial" w:hAnsi="Arial" w:cs="Arial"/>
          <w:sz w:val="22"/>
          <w:szCs w:val="22"/>
        </w:rPr>
        <w:t xml:space="preserve">po </w:t>
      </w:r>
      <w:r w:rsidR="00A83388" w:rsidRPr="008252A9">
        <w:rPr>
          <w:rFonts w:ascii="Arial" w:hAnsi="Arial" w:cs="Arial"/>
          <w:sz w:val="22"/>
          <w:szCs w:val="22"/>
        </w:rPr>
        <w:t>stalnih</w:t>
      </w:r>
      <w:r w:rsidRPr="008252A9">
        <w:rPr>
          <w:rFonts w:ascii="Arial" w:hAnsi="Arial" w:cs="Arial"/>
          <w:sz w:val="22"/>
          <w:szCs w:val="22"/>
        </w:rPr>
        <w:t xml:space="preserve"> cenah</w:t>
      </w:r>
      <w:r w:rsidR="00E90DDB" w:rsidRPr="008252A9">
        <w:rPr>
          <w:rFonts w:ascii="Arial" w:hAnsi="Arial" w:cs="Arial"/>
          <w:sz w:val="22"/>
          <w:szCs w:val="22"/>
        </w:rPr>
        <w:t xml:space="preserve"> ter </w:t>
      </w:r>
      <w:r w:rsidR="008252A9" w:rsidRPr="008252A9">
        <w:rPr>
          <w:rFonts w:ascii="Arial" w:hAnsi="Arial" w:cs="Arial"/>
          <w:sz w:val="22"/>
          <w:szCs w:val="22"/>
        </w:rPr>
        <w:t>3.051.761,81 EUR brez DDV oziroma 3.661.310,43 EUR z DDV v tekočih cenah.</w:t>
      </w:r>
    </w:p>
    <w:p w14:paraId="540A5BA6" w14:textId="77777777" w:rsidR="008252A9" w:rsidRPr="008252A9" w:rsidRDefault="008252A9" w:rsidP="008252A9">
      <w:pPr>
        <w:rPr>
          <w:lang w:eastAsia="zh-TW"/>
        </w:rPr>
      </w:pPr>
    </w:p>
    <w:p w14:paraId="46013E66" w14:textId="6EA8BE96" w:rsidR="000B4C12" w:rsidRDefault="000B4C12" w:rsidP="00AA423F">
      <w:pPr>
        <w:spacing w:after="200" w:line="276" w:lineRule="auto"/>
        <w:rPr>
          <w:rFonts w:asciiTheme="majorHAnsi" w:hAnsiTheme="majorHAnsi" w:cstheme="majorHAnsi"/>
          <w:sz w:val="22"/>
          <w:szCs w:val="22"/>
        </w:rPr>
      </w:pPr>
      <w:bookmarkStart w:id="91" w:name="_Toc3698127"/>
      <w:bookmarkStart w:id="92" w:name="_Toc209528290"/>
      <w:r w:rsidRPr="00F11127">
        <w:rPr>
          <w:rFonts w:asciiTheme="majorHAnsi" w:hAnsiTheme="majorHAnsi" w:cstheme="majorHAnsi"/>
          <w:sz w:val="22"/>
          <w:szCs w:val="22"/>
        </w:rPr>
        <w:t xml:space="preserve">Tabela </w:t>
      </w:r>
      <w:r w:rsidRPr="00F11127">
        <w:rPr>
          <w:rFonts w:asciiTheme="majorHAnsi" w:hAnsiTheme="majorHAnsi" w:cstheme="majorHAnsi"/>
          <w:sz w:val="22"/>
          <w:szCs w:val="22"/>
        </w:rPr>
        <w:fldChar w:fldCharType="begin"/>
      </w:r>
      <w:r w:rsidRPr="00F11127">
        <w:rPr>
          <w:rFonts w:asciiTheme="majorHAnsi" w:hAnsiTheme="majorHAnsi" w:cstheme="majorHAnsi"/>
          <w:sz w:val="22"/>
          <w:szCs w:val="22"/>
        </w:rPr>
        <w:instrText xml:space="preserve"> SEQ Tabela \* ARABIC </w:instrText>
      </w:r>
      <w:r w:rsidRPr="00F11127">
        <w:rPr>
          <w:rFonts w:asciiTheme="majorHAnsi" w:hAnsiTheme="majorHAnsi" w:cstheme="majorHAnsi"/>
          <w:sz w:val="22"/>
          <w:szCs w:val="22"/>
        </w:rPr>
        <w:fldChar w:fldCharType="separate"/>
      </w:r>
      <w:r w:rsidR="00E74D26">
        <w:rPr>
          <w:rFonts w:asciiTheme="majorHAnsi" w:hAnsiTheme="majorHAnsi" w:cstheme="majorHAnsi"/>
          <w:noProof/>
          <w:sz w:val="22"/>
          <w:szCs w:val="22"/>
        </w:rPr>
        <w:t>4</w:t>
      </w:r>
      <w:r w:rsidRPr="00F11127">
        <w:rPr>
          <w:rFonts w:asciiTheme="majorHAnsi" w:hAnsiTheme="majorHAnsi" w:cstheme="majorHAnsi"/>
          <w:sz w:val="22"/>
          <w:szCs w:val="22"/>
        </w:rPr>
        <w:fldChar w:fldCharType="end"/>
      </w:r>
      <w:r w:rsidRPr="00F11127">
        <w:rPr>
          <w:rFonts w:asciiTheme="majorHAnsi" w:hAnsiTheme="majorHAnsi" w:cstheme="majorHAnsi"/>
          <w:sz w:val="22"/>
          <w:szCs w:val="22"/>
        </w:rPr>
        <w:t>:</w:t>
      </w:r>
      <w:r w:rsidR="00155421" w:rsidRPr="00F11127">
        <w:rPr>
          <w:rFonts w:asciiTheme="majorHAnsi" w:hAnsiTheme="majorHAnsi" w:cstheme="majorHAnsi"/>
          <w:sz w:val="22"/>
          <w:szCs w:val="22"/>
        </w:rPr>
        <w:t xml:space="preserve"> </w:t>
      </w:r>
      <w:r w:rsidRPr="00F11127">
        <w:rPr>
          <w:rFonts w:asciiTheme="majorHAnsi" w:hAnsiTheme="majorHAnsi" w:cstheme="majorHAnsi"/>
          <w:sz w:val="22"/>
          <w:szCs w:val="22"/>
        </w:rPr>
        <w:t>Prikaz stroškov projekta v stalnih</w:t>
      </w:r>
      <w:r w:rsidR="00137824" w:rsidRPr="00F11127">
        <w:rPr>
          <w:rFonts w:asciiTheme="majorHAnsi" w:hAnsiTheme="majorHAnsi" w:cstheme="majorHAnsi"/>
          <w:sz w:val="22"/>
          <w:szCs w:val="22"/>
        </w:rPr>
        <w:t xml:space="preserve"> </w:t>
      </w:r>
      <w:r w:rsidRPr="00F11127">
        <w:rPr>
          <w:rFonts w:asciiTheme="majorHAnsi" w:hAnsiTheme="majorHAnsi" w:cstheme="majorHAnsi"/>
          <w:sz w:val="22"/>
          <w:szCs w:val="22"/>
        </w:rPr>
        <w:t>cenah brez in z DDV (v EUR)</w:t>
      </w:r>
      <w:bookmarkEnd w:id="91"/>
      <w:bookmarkEnd w:id="92"/>
    </w:p>
    <w:tbl>
      <w:tblPr>
        <w:tblW w:w="5155" w:type="pct"/>
        <w:tblLayout w:type="fixed"/>
        <w:tblCellMar>
          <w:left w:w="70" w:type="dxa"/>
          <w:right w:w="70" w:type="dxa"/>
        </w:tblCellMar>
        <w:tblLook w:val="04A0" w:firstRow="1" w:lastRow="0" w:firstColumn="1" w:lastColumn="0" w:noHBand="0" w:noVBand="1"/>
      </w:tblPr>
      <w:tblGrid>
        <w:gridCol w:w="4248"/>
        <w:gridCol w:w="1278"/>
        <w:gridCol w:w="848"/>
        <w:gridCol w:w="1133"/>
        <w:gridCol w:w="1278"/>
        <w:gridCol w:w="850"/>
      </w:tblGrid>
      <w:tr w:rsidR="008252A9" w:rsidRPr="008252A9" w14:paraId="2CBF5C8F" w14:textId="77777777" w:rsidTr="00F2788B">
        <w:trPr>
          <w:trHeight w:val="300"/>
          <w:tblHeader/>
        </w:trPr>
        <w:tc>
          <w:tcPr>
            <w:tcW w:w="2204" w:type="pct"/>
            <w:tcBorders>
              <w:top w:val="single" w:sz="4" w:space="0" w:color="auto"/>
              <w:left w:val="single" w:sz="4" w:space="0" w:color="auto"/>
              <w:bottom w:val="single" w:sz="4" w:space="0" w:color="auto"/>
              <w:right w:val="single" w:sz="4" w:space="0" w:color="auto"/>
            </w:tcBorders>
            <w:shd w:val="clear" w:color="000000" w:fill="153D64"/>
            <w:noWrap/>
            <w:tcMar>
              <w:left w:w="28" w:type="dxa"/>
              <w:right w:w="28" w:type="dxa"/>
            </w:tcMar>
            <w:vAlign w:val="bottom"/>
            <w:hideMark/>
          </w:tcPr>
          <w:p w14:paraId="081980FC"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Postavka</w:t>
            </w:r>
          </w:p>
        </w:tc>
        <w:tc>
          <w:tcPr>
            <w:tcW w:w="663"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575EA35"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Vrednost</w:t>
            </w:r>
          </w:p>
        </w:tc>
        <w:tc>
          <w:tcPr>
            <w:tcW w:w="440"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27A6E8F8"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Delež</w:t>
            </w:r>
          </w:p>
        </w:tc>
        <w:tc>
          <w:tcPr>
            <w:tcW w:w="588"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49443348"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DDV</w:t>
            </w:r>
          </w:p>
        </w:tc>
        <w:tc>
          <w:tcPr>
            <w:tcW w:w="663"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8702C0B"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Vrednost z DDV</w:t>
            </w:r>
          </w:p>
        </w:tc>
        <w:tc>
          <w:tcPr>
            <w:tcW w:w="441"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6256887F" w14:textId="77777777" w:rsidR="008252A9" w:rsidRPr="008252A9" w:rsidRDefault="008252A9">
            <w:pPr>
              <w:rPr>
                <w:rFonts w:ascii="Arial" w:hAnsi="Arial" w:cs="Arial"/>
                <w:b/>
                <w:bCs/>
                <w:color w:val="FFFFFF"/>
                <w:sz w:val="20"/>
                <w:szCs w:val="20"/>
              </w:rPr>
            </w:pPr>
            <w:r w:rsidRPr="008252A9">
              <w:rPr>
                <w:rFonts w:ascii="Arial" w:hAnsi="Arial" w:cs="Arial"/>
                <w:b/>
                <w:bCs/>
                <w:color w:val="FFFFFF"/>
                <w:sz w:val="20"/>
                <w:szCs w:val="20"/>
              </w:rPr>
              <w:t>Delež</w:t>
            </w:r>
          </w:p>
        </w:tc>
      </w:tr>
      <w:tr w:rsidR="008252A9" w:rsidRPr="008252A9" w14:paraId="4BA4E9D8"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44EAD6B"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Govekarjeva cesta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95FC90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671.438,32</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AB0AFC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19,18%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753ED5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147.716,43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9C3DA4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819.154,75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99887F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23,40%</w:t>
            </w:r>
          </w:p>
        </w:tc>
      </w:tr>
      <w:tr w:rsidR="008252A9" w:rsidRPr="008252A9" w14:paraId="1946CB3A"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0ABD884"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Troštova ulica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B9DF9A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159.251,45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67F29E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4,55%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777392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35.035,32</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3D8ED9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194.286,77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41F212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5,55%</w:t>
            </w:r>
          </w:p>
        </w:tc>
      </w:tr>
      <w:tr w:rsidR="008252A9" w:rsidRPr="008252A9" w14:paraId="08230882"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BEF3A8C"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Križišče Govekarjeva-Troštova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3A5FBD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154.956,84</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1BACE3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4,43%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6867B9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34.090,50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03FEE4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189.047,34</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FA500F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5,40%</w:t>
            </w:r>
          </w:p>
        </w:tc>
      </w:tr>
      <w:tr w:rsidR="008252A9" w:rsidRPr="008252A9" w14:paraId="778EC585"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30A119B"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Javni sistem izposoje koles</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45251D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54.892,00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51B23A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1,57%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D32FF6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12.076,24</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87CEE6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66.968,24</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BD3CDE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1,91%</w:t>
            </w:r>
          </w:p>
        </w:tc>
      </w:tr>
      <w:tr w:rsidR="008252A9" w:rsidRPr="008252A9" w14:paraId="404DB77D"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B3C7EC5"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Parkirišča za kolesa - Govekarjeva cesta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AD8245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70F79A4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5E5E90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02AD3D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60EC94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0,22%</w:t>
            </w:r>
          </w:p>
        </w:tc>
      </w:tr>
      <w:tr w:rsidR="008252A9" w:rsidRPr="008252A9" w14:paraId="0B5283CD"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084FD72"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Parkirišča za kolesa - staro župnišče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8FBB96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C03BC92"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665F57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086658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EF154E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0,22%</w:t>
            </w:r>
          </w:p>
        </w:tc>
      </w:tr>
      <w:tr w:rsidR="008252A9" w:rsidRPr="008252A9" w14:paraId="701EBFAE"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7970259"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Parkirišča za kolesa - trg (kolesarnica)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741F6F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60.946,04</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8ACF5B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1,74%</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E5A608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13.408,13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C3674C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74.354,17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02B170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2,12%</w:t>
            </w:r>
          </w:p>
        </w:tc>
      </w:tr>
      <w:tr w:rsidR="008252A9" w:rsidRPr="008252A9" w14:paraId="58AE69DD"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6AC5E22"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Parkirišča za kolesa - telovadnica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DA43C2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0A4A36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71D440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8C71DA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39C86A9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0,22%</w:t>
            </w:r>
          </w:p>
        </w:tc>
      </w:tr>
      <w:tr w:rsidR="008252A9" w:rsidRPr="008252A9" w14:paraId="606802F8"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6202DE9"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Parkirišča za kolesa - park</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B8E095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308B28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FB4FAA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D00687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3B4F6A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0,22%</w:t>
            </w:r>
          </w:p>
        </w:tc>
      </w:tr>
      <w:tr w:rsidR="008252A9" w:rsidRPr="008252A9" w14:paraId="7C3F8885"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146BFCF"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Merilniki, prikazovalniki in števci</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239284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47.399,00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5CA77C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1,35%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3627E5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10.427,78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495900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57.826,78</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8C3D7E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1,65%</w:t>
            </w:r>
          </w:p>
        </w:tc>
      </w:tr>
      <w:tr w:rsidR="008252A9" w:rsidRPr="008252A9" w14:paraId="054978C0"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C6545F6"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Avtobusno postajališče - nivo ceste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439BAB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303.506,81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75BD023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8,67%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F0A6B2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66.771,50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DBE283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370.278,31</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319867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10,58%</w:t>
            </w:r>
          </w:p>
        </w:tc>
      </w:tr>
      <w:tr w:rsidR="008252A9" w:rsidRPr="008252A9" w14:paraId="32C68EA4"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EAA2395"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Avtobusno postajališče - nadstrešnica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024070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249.783,11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12F590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7,13%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20787E6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54.952,28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995E2C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304.735,39</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628B57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8,70%</w:t>
            </w:r>
          </w:p>
        </w:tc>
      </w:tr>
      <w:tr w:rsidR="008252A9" w:rsidRPr="008252A9" w14:paraId="4CC88582"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65AFF73"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Parkirišče z vhodom v šolo</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C06986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666.582,43</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4114EA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19,04%</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70449F2"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146.648,13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A958F7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813.230,56</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6AED90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23,23%</w:t>
            </w:r>
          </w:p>
        </w:tc>
      </w:tr>
      <w:tr w:rsidR="008252A9" w:rsidRPr="008252A9" w14:paraId="2A341EBC" w14:textId="77777777" w:rsidTr="008252A9">
        <w:trPr>
          <w:trHeight w:val="285"/>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3B6AD42" w14:textId="77777777" w:rsidR="008252A9" w:rsidRPr="008252A9" w:rsidRDefault="008252A9">
            <w:pPr>
              <w:rPr>
                <w:rFonts w:ascii="Arial" w:hAnsi="Arial" w:cs="Arial"/>
                <w:i/>
                <w:iCs/>
                <w:color w:val="000000"/>
                <w:sz w:val="20"/>
                <w:szCs w:val="20"/>
              </w:rPr>
            </w:pPr>
            <w:r w:rsidRPr="008252A9">
              <w:rPr>
                <w:rFonts w:ascii="Arial" w:hAnsi="Arial" w:cs="Arial"/>
                <w:i/>
                <w:iCs/>
                <w:color w:val="000000"/>
                <w:sz w:val="20"/>
                <w:szCs w:val="20"/>
              </w:rPr>
              <w:t>Skupaj GOI dela</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2219F6E" w14:textId="77777777" w:rsidR="008252A9" w:rsidRPr="008252A9" w:rsidRDefault="008252A9">
            <w:pPr>
              <w:jc w:val="right"/>
              <w:rPr>
                <w:rFonts w:ascii="Arial" w:hAnsi="Arial" w:cs="Arial"/>
                <w:i/>
                <w:iCs/>
                <w:color w:val="000000"/>
                <w:sz w:val="20"/>
                <w:szCs w:val="20"/>
              </w:rPr>
            </w:pPr>
            <w:r w:rsidRPr="008252A9">
              <w:rPr>
                <w:rFonts w:ascii="Arial" w:hAnsi="Arial" w:cs="Arial"/>
                <w:i/>
                <w:iCs/>
                <w:color w:val="000000"/>
                <w:sz w:val="20"/>
                <w:szCs w:val="20"/>
              </w:rPr>
              <w:t>2.393.756,00</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EEE32B9" w14:textId="77777777" w:rsidR="008252A9" w:rsidRPr="008252A9" w:rsidRDefault="008252A9">
            <w:pPr>
              <w:jc w:val="right"/>
              <w:rPr>
                <w:rFonts w:ascii="Arial" w:hAnsi="Arial" w:cs="Arial"/>
                <w:i/>
                <w:iCs/>
                <w:color w:val="000000"/>
                <w:sz w:val="20"/>
                <w:szCs w:val="20"/>
              </w:rPr>
            </w:pPr>
            <w:r w:rsidRPr="008252A9">
              <w:rPr>
                <w:rFonts w:ascii="Arial" w:hAnsi="Arial" w:cs="Arial"/>
                <w:i/>
                <w:iCs/>
                <w:color w:val="000000"/>
                <w:sz w:val="20"/>
                <w:szCs w:val="20"/>
              </w:rPr>
              <w:t>68,37%</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31CD566" w14:textId="77777777" w:rsidR="008252A9" w:rsidRPr="008252A9" w:rsidRDefault="008252A9">
            <w:pPr>
              <w:jc w:val="right"/>
              <w:rPr>
                <w:rFonts w:ascii="Arial" w:hAnsi="Arial" w:cs="Arial"/>
                <w:i/>
                <w:iCs/>
                <w:color w:val="000000"/>
                <w:sz w:val="20"/>
                <w:szCs w:val="20"/>
              </w:rPr>
            </w:pPr>
            <w:r w:rsidRPr="008252A9">
              <w:rPr>
                <w:rFonts w:ascii="Arial" w:hAnsi="Arial" w:cs="Arial"/>
                <w:i/>
                <w:iCs/>
                <w:color w:val="000000"/>
                <w:sz w:val="20"/>
                <w:szCs w:val="20"/>
              </w:rPr>
              <w:t>526.626,31</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4337D00" w14:textId="77777777" w:rsidR="008252A9" w:rsidRPr="008252A9" w:rsidRDefault="008252A9">
            <w:pPr>
              <w:jc w:val="right"/>
              <w:rPr>
                <w:rFonts w:ascii="Arial" w:hAnsi="Arial" w:cs="Arial"/>
                <w:i/>
                <w:iCs/>
                <w:color w:val="000000"/>
                <w:sz w:val="20"/>
                <w:szCs w:val="20"/>
              </w:rPr>
            </w:pPr>
            <w:r w:rsidRPr="008252A9">
              <w:rPr>
                <w:rFonts w:ascii="Arial" w:hAnsi="Arial" w:cs="Arial"/>
                <w:i/>
                <w:iCs/>
                <w:color w:val="000000"/>
                <w:sz w:val="20"/>
                <w:szCs w:val="20"/>
              </w:rPr>
              <w:t>2.920.382,31</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64F45C4" w14:textId="77777777" w:rsidR="008252A9" w:rsidRPr="008252A9" w:rsidRDefault="008252A9">
            <w:pPr>
              <w:jc w:val="right"/>
              <w:rPr>
                <w:rFonts w:ascii="Arial" w:hAnsi="Arial" w:cs="Arial"/>
                <w:i/>
                <w:iCs/>
                <w:color w:val="000000"/>
                <w:sz w:val="20"/>
                <w:szCs w:val="20"/>
              </w:rPr>
            </w:pPr>
            <w:r w:rsidRPr="008252A9">
              <w:rPr>
                <w:rFonts w:ascii="Arial" w:hAnsi="Arial" w:cs="Arial"/>
                <w:i/>
                <w:iCs/>
                <w:color w:val="000000"/>
                <w:sz w:val="20"/>
                <w:szCs w:val="20"/>
              </w:rPr>
              <w:t>83,41%</w:t>
            </w:r>
          </w:p>
        </w:tc>
      </w:tr>
      <w:tr w:rsidR="008252A9" w:rsidRPr="008252A9" w14:paraId="422F37D4"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C8BE46B"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Strokovni nadzor</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DC6B9B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71.812,68</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BCF309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2,05%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688EB6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15.798,79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DBB854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87.611,47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DF45A0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2,50%</w:t>
            </w:r>
          </w:p>
        </w:tc>
      </w:tr>
      <w:tr w:rsidR="008252A9" w:rsidRPr="008252A9" w14:paraId="7E1C178C"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87DA612"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Projektna dokumentacija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758C32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97.145,33</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343750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2,77%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DEC65E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21.371,97</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10F28A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118.517,30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D96D2A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3,39%</w:t>
            </w:r>
          </w:p>
        </w:tc>
      </w:tr>
      <w:tr w:rsidR="008252A9" w:rsidRPr="008252A9" w14:paraId="1046256F"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6C04F9F"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Inženiring</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ABB40A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23.937,56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CAD3CB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0,68%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CFEE25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5.266,26</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93EF83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29.203,82</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FC5BF3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0,83%</w:t>
            </w:r>
          </w:p>
        </w:tc>
      </w:tr>
      <w:tr w:rsidR="008252A9" w:rsidRPr="008252A9" w14:paraId="5E851F7A"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E16D57C"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Obveščanje javnosti</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D08DEC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4.098,36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8580F8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5596D2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901,64</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2BDAF0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1F0D0C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0,14%</w:t>
            </w:r>
          </w:p>
        </w:tc>
      </w:tr>
      <w:tr w:rsidR="008252A9" w:rsidRPr="008252A9" w14:paraId="24E27354"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4158155"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Investicijska in ostala dokumentacija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80F76F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14.265,88</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452C5F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0,41%</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68109A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3.138,49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F5BB6E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17.404,37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C84FCC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0,50%</w:t>
            </w:r>
          </w:p>
        </w:tc>
      </w:tr>
      <w:tr w:rsidR="008252A9" w:rsidRPr="008252A9" w14:paraId="5530E772"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E6F1BDC"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Stroški varnosti pri delu</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78C7F32"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6.694,90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3F86473"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B326DF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1.472,88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8B15C9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8.167,78</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7391D9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0,23%</w:t>
            </w:r>
          </w:p>
        </w:tc>
      </w:tr>
      <w:tr w:rsidR="008252A9" w:rsidRPr="008252A9" w14:paraId="4803C0FF"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502BE617"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Arheologija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F26ECD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15.011,81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35941A2"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0,43%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2237C6E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3.302,60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0D6911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18.314,41</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2880A6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0,52%</w:t>
            </w:r>
          </w:p>
        </w:tc>
      </w:tr>
      <w:tr w:rsidR="008252A9" w:rsidRPr="008252A9" w14:paraId="4C52DF30"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530FDD96"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lastRenderedPageBreak/>
              <w:t>Čiščenje in pregled kanalizacije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2B4B35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3.280,00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951B18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1E14717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721,60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151D1E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4.001,60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AED4A9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0,11%</w:t>
            </w:r>
          </w:p>
        </w:tc>
      </w:tr>
      <w:tr w:rsidR="008252A9" w:rsidRPr="008252A9" w14:paraId="151D9804"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24922F5"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Nakup nepremičnine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ACEE7C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280.000,00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E9E5772"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8,00%</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B8D730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C82996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280.000,00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942DCC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8,00%</w:t>
            </w:r>
          </w:p>
        </w:tc>
      </w:tr>
      <w:tr w:rsidR="008252A9" w:rsidRPr="008252A9" w14:paraId="2F806AE7"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B5D8887"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Druga dela ob rušenju objekta (neobdavčeno)</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E4B69E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776,00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E2B7C7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1553CDF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B11F8B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776,00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B7F58D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0,02%</w:t>
            </w:r>
          </w:p>
        </w:tc>
      </w:tr>
      <w:tr w:rsidR="008252A9" w:rsidRPr="008252A9" w14:paraId="6F176268"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C91F33C"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Druga dela ob rušenju objekta (9,5% DDV)</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62D446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545,96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1A5E3C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4204A9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51,87</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5DB7CD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597,83</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052446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0,02%</w:t>
            </w:r>
          </w:p>
        </w:tc>
      </w:tr>
      <w:tr w:rsidR="008252A9" w:rsidRPr="008252A9" w14:paraId="69F73D6A" w14:textId="77777777" w:rsidTr="008252A9">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F27300F"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Druga dela ob rušenju objekta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D6B967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5.483,07</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37896D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0,16%</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440A69B"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1.206,28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F4447A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6.689,35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97C8B41"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0,19%</w:t>
            </w:r>
          </w:p>
        </w:tc>
      </w:tr>
      <w:tr w:rsidR="008252A9" w:rsidRPr="008252A9" w14:paraId="10FFD0AE"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CFBEE90"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Vpis v kataster</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7FBE91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892,65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62A354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C4BC747"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196,38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228D5B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1.089,03</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39CCA0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0,03%</w:t>
            </w:r>
          </w:p>
        </w:tc>
      </w:tr>
      <w:tr w:rsidR="008252A9" w:rsidRPr="008252A9" w14:paraId="41990E92"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0F55E08"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Notar, zemljiška knjiga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02522F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BBA165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CF820E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613568D"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EEC12C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0,00%</w:t>
            </w:r>
          </w:p>
        </w:tc>
      </w:tr>
      <w:tr w:rsidR="008252A9" w:rsidRPr="008252A9" w14:paraId="30F634F4"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7D0CC62"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Geodetski načrt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03DA12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2.032,66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75CD91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0,06%</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0014BD4"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447,19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CC6E34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2.479,85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3508E2EC"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0,07%</w:t>
            </w:r>
          </w:p>
        </w:tc>
      </w:tr>
      <w:tr w:rsidR="008252A9" w:rsidRPr="008252A9" w14:paraId="179ADDFE"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05A3779"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Baza cestnih podatkov</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00F1E0F"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819,67</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F00FE16"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14208DA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180,33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FE601E0"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5E2C48A"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0,03%</w:t>
            </w:r>
          </w:p>
        </w:tc>
      </w:tr>
      <w:tr w:rsidR="008252A9" w:rsidRPr="008252A9" w14:paraId="0004DB14" w14:textId="77777777" w:rsidTr="008252A9">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2B43167E" w14:textId="77777777" w:rsidR="008252A9" w:rsidRPr="008252A9" w:rsidRDefault="008252A9">
            <w:pPr>
              <w:rPr>
                <w:rFonts w:ascii="Arial" w:hAnsi="Arial" w:cs="Arial"/>
                <w:b/>
                <w:bCs/>
                <w:color w:val="000000"/>
                <w:sz w:val="20"/>
                <w:szCs w:val="20"/>
              </w:rPr>
            </w:pPr>
            <w:r w:rsidRPr="008252A9">
              <w:rPr>
                <w:rFonts w:ascii="Arial" w:hAnsi="Arial" w:cs="Arial"/>
                <w:b/>
                <w:bCs/>
                <w:color w:val="000000"/>
                <w:sz w:val="20"/>
                <w:szCs w:val="20"/>
              </w:rPr>
              <w:t>Skupaj brez DDV</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7C2A29C"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2.920.552,53</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0E5156A"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83,41%</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F7335B6"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580.682,59</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1E0556B"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639BC97"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100,00%</w:t>
            </w:r>
          </w:p>
        </w:tc>
      </w:tr>
      <w:tr w:rsidR="008252A9" w:rsidRPr="008252A9" w14:paraId="398BA63A"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55554929"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Davek na dodano vrednost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3E47AE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580.682,59</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F4B7218"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16,59%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C64C075"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580.682,59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0383C1E"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 </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8672F3A"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 </w:t>
            </w:r>
          </w:p>
        </w:tc>
      </w:tr>
      <w:tr w:rsidR="008252A9" w:rsidRPr="008252A9" w14:paraId="796B02FB" w14:textId="77777777" w:rsidTr="008252A9">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D74D6F6"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Povračljiv davek na dodano vrednost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66777AE"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25.274,65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A671FA9" w14:textId="77777777" w:rsidR="008252A9" w:rsidRPr="008252A9" w:rsidRDefault="008252A9">
            <w:pPr>
              <w:jc w:val="right"/>
              <w:rPr>
                <w:rFonts w:ascii="Arial" w:hAnsi="Arial" w:cs="Arial"/>
                <w:color w:val="000000"/>
                <w:sz w:val="20"/>
                <w:szCs w:val="20"/>
              </w:rPr>
            </w:pPr>
            <w:r w:rsidRPr="008252A9">
              <w:rPr>
                <w:rFonts w:ascii="Arial" w:hAnsi="Arial" w:cs="Arial"/>
                <w:color w:val="000000"/>
                <w:sz w:val="20"/>
                <w:szCs w:val="20"/>
              </w:rPr>
              <w:t>0,72%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1365AE1"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 </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D494454"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 </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ECF1525" w14:textId="77777777" w:rsidR="008252A9" w:rsidRPr="008252A9" w:rsidRDefault="008252A9">
            <w:pPr>
              <w:rPr>
                <w:rFonts w:ascii="Arial" w:hAnsi="Arial" w:cs="Arial"/>
                <w:color w:val="000000"/>
                <w:sz w:val="20"/>
                <w:szCs w:val="20"/>
              </w:rPr>
            </w:pPr>
            <w:r w:rsidRPr="008252A9">
              <w:rPr>
                <w:rFonts w:ascii="Arial" w:hAnsi="Arial" w:cs="Arial"/>
                <w:color w:val="000000"/>
                <w:sz w:val="20"/>
                <w:szCs w:val="20"/>
              </w:rPr>
              <w:t> </w:t>
            </w:r>
          </w:p>
        </w:tc>
      </w:tr>
      <w:tr w:rsidR="008252A9" w:rsidRPr="008252A9" w14:paraId="2CC2B683" w14:textId="77777777" w:rsidTr="008252A9">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195E4F85" w14:textId="77777777" w:rsidR="008252A9" w:rsidRPr="008252A9" w:rsidRDefault="008252A9">
            <w:pPr>
              <w:rPr>
                <w:rFonts w:ascii="Arial" w:hAnsi="Arial" w:cs="Arial"/>
                <w:b/>
                <w:bCs/>
                <w:color w:val="000000"/>
                <w:sz w:val="20"/>
                <w:szCs w:val="20"/>
              </w:rPr>
            </w:pPr>
            <w:r w:rsidRPr="008252A9">
              <w:rPr>
                <w:rFonts w:ascii="Arial" w:hAnsi="Arial" w:cs="Arial"/>
                <w:b/>
                <w:bCs/>
                <w:color w:val="000000"/>
                <w:sz w:val="20"/>
                <w:szCs w:val="20"/>
              </w:rPr>
              <w:t>Skupaj z davkom na dodano vrednost</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21D705D"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E6C91D3"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100,00%</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6233707"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580.682,59</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002C630"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579CD39"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100,00%</w:t>
            </w:r>
          </w:p>
        </w:tc>
      </w:tr>
      <w:tr w:rsidR="008252A9" w:rsidRPr="008252A9" w14:paraId="63C0A733" w14:textId="77777777" w:rsidTr="008252A9">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4E086BE" w14:textId="77777777" w:rsidR="008252A9" w:rsidRPr="008252A9" w:rsidRDefault="008252A9">
            <w:pPr>
              <w:rPr>
                <w:rFonts w:ascii="Arial" w:hAnsi="Arial" w:cs="Arial"/>
                <w:b/>
                <w:bCs/>
                <w:color w:val="000000"/>
                <w:sz w:val="20"/>
                <w:szCs w:val="20"/>
              </w:rPr>
            </w:pPr>
            <w:r w:rsidRPr="008252A9">
              <w:rPr>
                <w:rFonts w:ascii="Arial" w:hAnsi="Arial" w:cs="Arial"/>
                <w:b/>
                <w:bCs/>
                <w:color w:val="000000"/>
                <w:sz w:val="20"/>
                <w:szCs w:val="20"/>
              </w:rPr>
              <w:t xml:space="preserve">Skupaj z </w:t>
            </w:r>
            <w:proofErr w:type="spellStart"/>
            <w:r w:rsidRPr="008252A9">
              <w:rPr>
                <w:rFonts w:ascii="Arial" w:hAnsi="Arial" w:cs="Arial"/>
                <w:b/>
                <w:bCs/>
                <w:color w:val="000000"/>
                <w:sz w:val="20"/>
                <w:szCs w:val="20"/>
              </w:rPr>
              <w:t>nepovračljivim</w:t>
            </w:r>
            <w:proofErr w:type="spellEnd"/>
            <w:r w:rsidRPr="008252A9">
              <w:rPr>
                <w:rFonts w:ascii="Arial" w:hAnsi="Arial" w:cs="Arial"/>
                <w:b/>
                <w:bCs/>
                <w:color w:val="000000"/>
                <w:sz w:val="20"/>
                <w:szCs w:val="20"/>
              </w:rPr>
              <w:t xml:space="preserve"> davkom na dodano vrednost</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49E0EDF"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3.475.960,46</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EAD77C5"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99,28%</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FD8BD07"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0,00</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8D85DC8"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3.475.960,46</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F9289E2" w14:textId="77777777" w:rsidR="008252A9" w:rsidRPr="008252A9" w:rsidRDefault="008252A9">
            <w:pPr>
              <w:jc w:val="right"/>
              <w:rPr>
                <w:rFonts w:ascii="Arial" w:hAnsi="Arial" w:cs="Arial"/>
                <w:b/>
                <w:bCs/>
                <w:color w:val="000000"/>
                <w:sz w:val="20"/>
                <w:szCs w:val="20"/>
              </w:rPr>
            </w:pPr>
            <w:r w:rsidRPr="008252A9">
              <w:rPr>
                <w:rFonts w:ascii="Arial" w:hAnsi="Arial" w:cs="Arial"/>
                <w:b/>
                <w:bCs/>
                <w:color w:val="000000"/>
                <w:sz w:val="20"/>
                <w:szCs w:val="20"/>
              </w:rPr>
              <w:t>99,28%</w:t>
            </w:r>
          </w:p>
        </w:tc>
      </w:tr>
    </w:tbl>
    <w:p w14:paraId="70C77CAE" w14:textId="77777777" w:rsidR="008252A9" w:rsidRDefault="008252A9" w:rsidP="00AA423F">
      <w:pPr>
        <w:spacing w:after="200" w:line="276" w:lineRule="auto"/>
        <w:rPr>
          <w:rFonts w:asciiTheme="majorHAnsi" w:hAnsiTheme="majorHAnsi" w:cstheme="majorHAnsi"/>
          <w:sz w:val="22"/>
          <w:szCs w:val="22"/>
        </w:rPr>
      </w:pPr>
    </w:p>
    <w:p w14:paraId="57A667FB" w14:textId="089286DF" w:rsidR="00137824" w:rsidRDefault="00137824" w:rsidP="00BD1D20">
      <w:pPr>
        <w:pStyle w:val="Napis"/>
        <w:spacing w:line="276" w:lineRule="auto"/>
        <w:jc w:val="both"/>
        <w:rPr>
          <w:rFonts w:asciiTheme="majorHAnsi" w:hAnsiTheme="majorHAnsi" w:cstheme="majorHAnsi"/>
          <w:b w:val="0"/>
          <w:color w:val="auto"/>
          <w:sz w:val="22"/>
          <w:szCs w:val="22"/>
        </w:rPr>
      </w:pPr>
      <w:bookmarkStart w:id="93" w:name="_Toc209528291"/>
      <w:r w:rsidRPr="00F11127">
        <w:rPr>
          <w:rFonts w:asciiTheme="majorHAnsi" w:hAnsiTheme="majorHAnsi" w:cstheme="majorHAnsi"/>
          <w:color w:val="auto"/>
          <w:sz w:val="22"/>
          <w:szCs w:val="22"/>
        </w:rPr>
        <w:t xml:space="preserve">Tabela </w:t>
      </w:r>
      <w:r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5</w:t>
      </w:r>
      <w:r w:rsidRPr="00F11127">
        <w:rPr>
          <w:rFonts w:asciiTheme="majorHAnsi" w:hAnsiTheme="majorHAnsi" w:cstheme="majorHAnsi"/>
          <w:color w:val="auto"/>
          <w:sz w:val="22"/>
          <w:szCs w:val="22"/>
        </w:rPr>
        <w:fldChar w:fldCharType="end"/>
      </w:r>
      <w:r w:rsidRPr="00F11127">
        <w:rPr>
          <w:rFonts w:asciiTheme="majorHAnsi" w:hAnsiTheme="majorHAnsi" w:cstheme="majorHAnsi"/>
          <w:b w:val="0"/>
          <w:color w:val="auto"/>
          <w:sz w:val="22"/>
          <w:szCs w:val="22"/>
        </w:rPr>
        <w:t>:</w:t>
      </w:r>
      <w:r w:rsidR="0097393F" w:rsidRPr="00F11127">
        <w:rPr>
          <w:rFonts w:asciiTheme="majorHAnsi" w:hAnsiTheme="majorHAnsi" w:cstheme="majorHAnsi"/>
          <w:b w:val="0"/>
          <w:color w:val="auto"/>
          <w:sz w:val="22"/>
          <w:szCs w:val="22"/>
        </w:rPr>
        <w:t xml:space="preserve"> </w:t>
      </w:r>
      <w:r w:rsidRPr="00F11127">
        <w:rPr>
          <w:rFonts w:asciiTheme="majorHAnsi" w:hAnsiTheme="majorHAnsi" w:cstheme="majorHAnsi"/>
          <w:b w:val="0"/>
          <w:color w:val="auto"/>
          <w:sz w:val="22"/>
          <w:szCs w:val="22"/>
        </w:rPr>
        <w:t>Prikaz stroškov projekta v tekočih cenah brez in z DDV (v EUR)</w:t>
      </w:r>
      <w:bookmarkEnd w:id="93"/>
    </w:p>
    <w:tbl>
      <w:tblPr>
        <w:tblW w:w="9776" w:type="dxa"/>
        <w:tblLayout w:type="fixed"/>
        <w:tblCellMar>
          <w:left w:w="70" w:type="dxa"/>
          <w:right w:w="70" w:type="dxa"/>
        </w:tblCellMar>
        <w:tblLook w:val="04A0" w:firstRow="1" w:lastRow="0" w:firstColumn="1" w:lastColumn="0" w:noHBand="0" w:noVBand="1"/>
      </w:tblPr>
      <w:tblGrid>
        <w:gridCol w:w="4390"/>
        <w:gridCol w:w="1275"/>
        <w:gridCol w:w="851"/>
        <w:gridCol w:w="1134"/>
        <w:gridCol w:w="1276"/>
        <w:gridCol w:w="850"/>
      </w:tblGrid>
      <w:tr w:rsidR="00F2788B" w:rsidRPr="00F2788B" w14:paraId="69D7172A" w14:textId="77777777" w:rsidTr="00F2788B">
        <w:trPr>
          <w:trHeight w:val="300"/>
          <w:tblHeader/>
        </w:trPr>
        <w:tc>
          <w:tcPr>
            <w:tcW w:w="4390" w:type="dxa"/>
            <w:tcBorders>
              <w:top w:val="single" w:sz="4" w:space="0" w:color="auto"/>
              <w:left w:val="single" w:sz="4" w:space="0" w:color="auto"/>
              <w:bottom w:val="single" w:sz="4" w:space="0" w:color="auto"/>
              <w:right w:val="single" w:sz="4" w:space="0" w:color="auto"/>
            </w:tcBorders>
            <w:shd w:val="clear" w:color="000000" w:fill="153D64"/>
            <w:noWrap/>
            <w:tcMar>
              <w:left w:w="28" w:type="dxa"/>
              <w:right w:w="28" w:type="dxa"/>
            </w:tcMar>
            <w:vAlign w:val="bottom"/>
            <w:hideMark/>
          </w:tcPr>
          <w:p w14:paraId="06071B32"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Postavka</w:t>
            </w:r>
          </w:p>
        </w:tc>
        <w:tc>
          <w:tcPr>
            <w:tcW w:w="1275"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9AAFC5E"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Vrednost</w:t>
            </w:r>
          </w:p>
        </w:tc>
        <w:tc>
          <w:tcPr>
            <w:tcW w:w="851"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0FA08CA0"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Delež</w:t>
            </w:r>
          </w:p>
        </w:tc>
        <w:tc>
          <w:tcPr>
            <w:tcW w:w="1134"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1D3F8DE0"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DDV</w:t>
            </w:r>
          </w:p>
        </w:tc>
        <w:tc>
          <w:tcPr>
            <w:tcW w:w="1276"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2A32833F"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Vrednost z DDV</w:t>
            </w:r>
          </w:p>
        </w:tc>
        <w:tc>
          <w:tcPr>
            <w:tcW w:w="850"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6EE1DC8E"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Delež</w:t>
            </w:r>
          </w:p>
        </w:tc>
      </w:tr>
      <w:tr w:rsidR="00F2788B" w:rsidRPr="00F2788B" w14:paraId="2A437A82"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7BA08F87"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Govekarjeva cesta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9AF361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710.549,80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1BBCAF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19,41%</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C66CDD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156.320,96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EF4401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866.870,76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B4CBEE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23,68%</w:t>
            </w:r>
          </w:p>
        </w:tc>
      </w:tr>
      <w:tr w:rsidR="00F2788B" w:rsidRPr="00F2788B" w14:paraId="6E2109E6"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79BF8C9D"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Troštova ulica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482568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166.335,43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573D42E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4,54%</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43C0F3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36.593,79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F20FB3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202.929,22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F5229F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5,54%</w:t>
            </w:r>
          </w:p>
        </w:tc>
      </w:tr>
      <w:tr w:rsidR="00F2788B" w:rsidRPr="00F2788B" w14:paraId="5CC2C610"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485B199"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Križišče Govekarjeva-Troštova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7FAE39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161.849,79</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EF9193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4,42%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549A0F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35.606,95</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4B0BD8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197.456,74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B62EA4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5,39%</w:t>
            </w:r>
          </w:p>
        </w:tc>
      </w:tr>
      <w:tr w:rsidR="00F2788B" w:rsidRPr="00F2788B" w14:paraId="5D8E63A0"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73541F5"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Javni sistem izposoje koles</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1302E4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57.333,76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06CC85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1,57%</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84F7EC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12.613,43</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CC0C20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69.947,19</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19E0BBB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1,91%</w:t>
            </w:r>
          </w:p>
        </w:tc>
      </w:tr>
      <w:tr w:rsidR="00F2788B" w:rsidRPr="00F2788B" w14:paraId="67E64D9C"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A90CC8A"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Parkirišča za kolesa - Govekarjeva cesta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00394A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46BF38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C69BEA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FC50E1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5BABCB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0,22%</w:t>
            </w:r>
          </w:p>
        </w:tc>
      </w:tr>
      <w:tr w:rsidR="00F2788B" w:rsidRPr="00F2788B" w14:paraId="72DB11A5"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93C3C0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Parkirišča za kolesa - staro župnišče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6D8AB8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6.665,11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138DD4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1D8D4C4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1.466,32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0B3F9B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8.131,43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37FA49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0,22%</w:t>
            </w:r>
          </w:p>
        </w:tc>
      </w:tr>
      <w:tr w:rsidR="00F2788B" w:rsidRPr="00F2788B" w14:paraId="3E0DB5F5"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940D562"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Parkirišča za kolesa - trg (kolesarnica)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274706E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64.993,90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AE1119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1,78%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76C3B0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14.298,66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E2224E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79.292,56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EEFBC0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2,17%</w:t>
            </w:r>
          </w:p>
        </w:tc>
      </w:tr>
      <w:tr w:rsidR="00F2788B" w:rsidRPr="00F2788B" w14:paraId="4617B26A"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F0A482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Parkirišča za kolesa - telovadnica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87FCDD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A07EB9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CE52AA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EA2817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7B4CA30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0,22%</w:t>
            </w:r>
          </w:p>
        </w:tc>
      </w:tr>
      <w:tr w:rsidR="00F2788B" w:rsidRPr="00F2788B" w14:paraId="4FB15C7F"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1624690C"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Parkirišča za kolesa - park</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DDEB15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34681D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2EF0AA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777F5A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70177A0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0,22%</w:t>
            </w:r>
          </w:p>
        </w:tc>
      </w:tr>
      <w:tr w:rsidR="00F2788B" w:rsidRPr="00F2788B" w14:paraId="45786089"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2365B03"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Merilniki, prikazovalniki in števci</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A4E6AF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50.547,11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D6B512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1,38%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91494C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11.120,36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59BF00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61.667,47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A53372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1,68%</w:t>
            </w:r>
          </w:p>
        </w:tc>
      </w:tr>
      <w:tr w:rsidR="00F2788B" w:rsidRPr="00F2788B" w14:paraId="54DB7053"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61C4189"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Avtobusno postajališče - nivo ceste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50AEF7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310.487,47</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F91D27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8,48%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844137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68.307,24</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6AACBB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378.794,71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154FF8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10,35%</w:t>
            </w:r>
          </w:p>
        </w:tc>
      </w:tr>
      <w:tr w:rsidR="00F2788B" w:rsidRPr="00F2788B" w14:paraId="241D444C"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1710649"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Avtobusno postajališče - nadstrešnica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80AC1B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255.528,12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7FB7315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6,98%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1EDFA4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56.216,19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1A75DD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311.744,31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CC8F2F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8,51%</w:t>
            </w:r>
          </w:p>
        </w:tc>
      </w:tr>
      <w:tr w:rsidR="00F2788B" w:rsidRPr="00F2788B" w14:paraId="78B0291A"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11D1E04B"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Parkirišče z vhodom v šolo</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B96581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713.840,52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1BD4E3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19,50%</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66E0C6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157.044,91</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6DF0B1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870.885,43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15B916E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23,79%</w:t>
            </w:r>
          </w:p>
        </w:tc>
      </w:tr>
      <w:tr w:rsidR="00F2788B" w:rsidRPr="00F2788B" w14:paraId="7C82F2E3" w14:textId="77777777" w:rsidTr="00F2788B">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1925C974" w14:textId="77777777" w:rsidR="00F2788B" w:rsidRPr="00F2788B" w:rsidRDefault="00F2788B">
            <w:pPr>
              <w:rPr>
                <w:rFonts w:ascii="Arial" w:hAnsi="Arial" w:cs="Arial"/>
                <w:i/>
                <w:iCs/>
                <w:color w:val="000000"/>
                <w:sz w:val="20"/>
                <w:szCs w:val="20"/>
              </w:rPr>
            </w:pPr>
            <w:r w:rsidRPr="00F2788B">
              <w:rPr>
                <w:rFonts w:ascii="Arial" w:hAnsi="Arial" w:cs="Arial"/>
                <w:i/>
                <w:iCs/>
                <w:color w:val="000000"/>
                <w:sz w:val="20"/>
                <w:szCs w:val="20"/>
              </w:rPr>
              <w:t>Skupaj GOI dela</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9AE161F" w14:textId="77777777" w:rsidR="00F2788B" w:rsidRPr="00F2788B" w:rsidRDefault="00F2788B">
            <w:pPr>
              <w:jc w:val="right"/>
              <w:rPr>
                <w:rFonts w:ascii="Arial" w:hAnsi="Arial" w:cs="Arial"/>
                <w:i/>
                <w:iCs/>
                <w:color w:val="000000"/>
                <w:sz w:val="20"/>
                <w:szCs w:val="20"/>
              </w:rPr>
            </w:pPr>
            <w:r w:rsidRPr="00F2788B">
              <w:rPr>
                <w:rFonts w:ascii="Arial" w:hAnsi="Arial" w:cs="Arial"/>
                <w:i/>
                <w:iCs/>
                <w:color w:val="000000"/>
                <w:sz w:val="20"/>
                <w:szCs w:val="20"/>
              </w:rPr>
              <w:t>2.517.715,06</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69378D5" w14:textId="77777777" w:rsidR="00F2788B" w:rsidRPr="00F2788B" w:rsidRDefault="00F2788B">
            <w:pPr>
              <w:jc w:val="right"/>
              <w:rPr>
                <w:rFonts w:ascii="Arial" w:hAnsi="Arial" w:cs="Arial"/>
                <w:i/>
                <w:iCs/>
                <w:color w:val="000000"/>
                <w:sz w:val="20"/>
                <w:szCs w:val="20"/>
              </w:rPr>
            </w:pPr>
            <w:r w:rsidRPr="00F2788B">
              <w:rPr>
                <w:rFonts w:ascii="Arial" w:hAnsi="Arial" w:cs="Arial"/>
                <w:i/>
                <w:iCs/>
                <w:color w:val="000000"/>
                <w:sz w:val="20"/>
                <w:szCs w:val="20"/>
              </w:rPr>
              <w:t>68,77%</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28F477D" w14:textId="77777777" w:rsidR="00F2788B" w:rsidRPr="00F2788B" w:rsidRDefault="00F2788B">
            <w:pPr>
              <w:jc w:val="right"/>
              <w:rPr>
                <w:rFonts w:ascii="Arial" w:hAnsi="Arial" w:cs="Arial"/>
                <w:i/>
                <w:iCs/>
                <w:color w:val="000000"/>
                <w:sz w:val="20"/>
                <w:szCs w:val="20"/>
              </w:rPr>
            </w:pPr>
            <w:r w:rsidRPr="00F2788B">
              <w:rPr>
                <w:rFonts w:ascii="Arial" w:hAnsi="Arial" w:cs="Arial"/>
                <w:i/>
                <w:iCs/>
                <w:color w:val="000000"/>
                <w:sz w:val="20"/>
                <w:szCs w:val="20"/>
              </w:rPr>
              <w:t>553.897,29</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DB66486" w14:textId="77777777" w:rsidR="00F2788B" w:rsidRPr="00F2788B" w:rsidRDefault="00F2788B">
            <w:pPr>
              <w:jc w:val="right"/>
              <w:rPr>
                <w:rFonts w:ascii="Arial" w:hAnsi="Arial" w:cs="Arial"/>
                <w:i/>
                <w:iCs/>
                <w:color w:val="000000"/>
                <w:sz w:val="20"/>
                <w:szCs w:val="20"/>
              </w:rPr>
            </w:pPr>
            <w:r w:rsidRPr="00F2788B">
              <w:rPr>
                <w:rFonts w:ascii="Arial" w:hAnsi="Arial" w:cs="Arial"/>
                <w:i/>
                <w:iCs/>
                <w:color w:val="000000"/>
                <w:sz w:val="20"/>
                <w:szCs w:val="20"/>
              </w:rPr>
              <w:t>3.071.612,35</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93B218D" w14:textId="77777777" w:rsidR="00F2788B" w:rsidRPr="00F2788B" w:rsidRDefault="00F2788B">
            <w:pPr>
              <w:jc w:val="right"/>
              <w:rPr>
                <w:rFonts w:ascii="Arial" w:hAnsi="Arial" w:cs="Arial"/>
                <w:i/>
                <w:iCs/>
                <w:color w:val="000000"/>
                <w:sz w:val="20"/>
                <w:szCs w:val="20"/>
              </w:rPr>
            </w:pPr>
            <w:r w:rsidRPr="00F2788B">
              <w:rPr>
                <w:rFonts w:ascii="Arial" w:hAnsi="Arial" w:cs="Arial"/>
                <w:i/>
                <w:iCs/>
                <w:color w:val="000000"/>
                <w:sz w:val="20"/>
                <w:szCs w:val="20"/>
              </w:rPr>
              <w:t>83,89%</w:t>
            </w:r>
          </w:p>
        </w:tc>
      </w:tr>
      <w:tr w:rsidR="00F2788B" w:rsidRPr="00F2788B" w14:paraId="20681E02"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6ACF868"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Strokovni nadzor</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4C2970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75.531,45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829D5C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2,06%</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7FBA13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16.616,92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B63A37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92.148,37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8834E8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2,52%</w:t>
            </w:r>
          </w:p>
        </w:tc>
      </w:tr>
      <w:tr w:rsidR="00F2788B" w:rsidRPr="00F2788B" w14:paraId="09A9A4D8"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553F676"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Projektna dokumentacija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122EE8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97.869,62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42471F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2,67%</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535569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21.531,32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A48BA3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119.400,94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31CF9D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3,26%</w:t>
            </w:r>
          </w:p>
        </w:tc>
      </w:tr>
      <w:tr w:rsidR="00F2788B" w:rsidRPr="00F2788B" w14:paraId="350494BA"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C25AFFD"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Inženiring</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CDD4C4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25.177,15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0C30B8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0,69%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459D9FB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5.538,97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B061F3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30.716,12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4E8E0C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0,84%</w:t>
            </w:r>
          </w:p>
        </w:tc>
      </w:tr>
      <w:tr w:rsidR="00F2788B" w:rsidRPr="00F2788B" w14:paraId="7DF07837"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BCA7A44"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Obveščanje javnosti</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1C13C3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4.327,11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D3129E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2218E3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951,96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C597AC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5.279,07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FC89B0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0,14%</w:t>
            </w:r>
          </w:p>
        </w:tc>
      </w:tr>
      <w:tr w:rsidR="00F2788B" w:rsidRPr="00F2788B" w14:paraId="6E7DC0CD"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D40CEF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Investicijska in ostala dokumentacija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A51A73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14.265,88</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7989952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0,39%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E2B78F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3.138,49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4CBA0E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17.404,37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2E962B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0,48%</w:t>
            </w:r>
          </w:p>
        </w:tc>
      </w:tr>
      <w:tr w:rsidR="00F2788B" w:rsidRPr="00F2788B" w14:paraId="42A825A3"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95A7800"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Stroški varnosti pri delu</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EBA77D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7.055,62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2940C6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4ADC0E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1.552,24</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8CF7D0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8.607,86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AFC0DB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0,24%</w:t>
            </w:r>
          </w:p>
        </w:tc>
      </w:tr>
      <w:tr w:rsidR="00F2788B" w:rsidRPr="00F2788B" w14:paraId="4C39211F"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7B8C278"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Arheologija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60950C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15.780,75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7E6CE4A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0,43%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28D500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3.471,77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245247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19.252,52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195D5D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0,53%</w:t>
            </w:r>
          </w:p>
        </w:tc>
      </w:tr>
      <w:tr w:rsidR="00F2788B" w:rsidRPr="00F2788B" w14:paraId="6141A93A"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6B88CCF"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Čiščenje in pregled kanalizacije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0FEC64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3.355,44</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9096CE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9A3D55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738,20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D3BB13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4.093,64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60A393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0,11%</w:t>
            </w:r>
          </w:p>
        </w:tc>
      </w:tr>
      <w:tr w:rsidR="00F2788B" w:rsidRPr="00F2788B" w14:paraId="6774EE4E"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F060364"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Nakup nepremičnine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4BCEDB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280.000,00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EF77B6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7,65%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74567D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CAEA6D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280.000,00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3441F6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7,65%</w:t>
            </w:r>
          </w:p>
        </w:tc>
      </w:tr>
      <w:tr w:rsidR="00F2788B" w:rsidRPr="00F2788B" w14:paraId="0D6B5F33"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BE72246"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Druga dela ob rušenju objekta (neobdavčeno)</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D1A8C2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776,00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E8095C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5FDED2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980859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776,00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2915B6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0,02%</w:t>
            </w:r>
          </w:p>
        </w:tc>
      </w:tr>
      <w:tr w:rsidR="00F2788B" w:rsidRPr="00F2788B" w14:paraId="7D2A33BC"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B2FDB86"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Druga dela ob rušenju objekta (9,5% DDV)</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2605A62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545,96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1C322F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0,01%</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6215BE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51,87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8CFCEF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597,83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744958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0,02%</w:t>
            </w:r>
          </w:p>
        </w:tc>
      </w:tr>
      <w:tr w:rsidR="00F2788B" w:rsidRPr="00F2788B" w14:paraId="6D33643B" w14:textId="77777777" w:rsidTr="00F2788B">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70FBA9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Druga dela ob rušenju objekta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1771B0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5.483,07</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15507B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616542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1.206,28</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1A6E6A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6.689,35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AEBA55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0,18%</w:t>
            </w:r>
          </w:p>
        </w:tc>
      </w:tr>
      <w:tr w:rsidR="00F2788B" w:rsidRPr="00F2788B" w14:paraId="69546BD0"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799130F"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lastRenderedPageBreak/>
              <w:t>Vpis v kataster</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67D086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971,93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5B75A9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61B155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213,82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80DA2A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1.185,75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E2700BE"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0,03%</w:t>
            </w:r>
          </w:p>
        </w:tc>
      </w:tr>
      <w:tr w:rsidR="00F2788B" w:rsidRPr="00F2788B" w14:paraId="7A511BED"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6B8EEE4"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Notar, zemljiška knjiga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FB182F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7FAD57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CDB060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981FF7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B31A34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r>
      <w:tr w:rsidR="00F2788B" w:rsidRPr="00F2788B" w14:paraId="4D975B69"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14A94418"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Geodetski načrt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CA5FCE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2.032,66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6E3D58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0,06%</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D836AF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447,19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25AA83A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2.479,85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1989914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0,07%</w:t>
            </w:r>
          </w:p>
        </w:tc>
      </w:tr>
      <w:tr w:rsidR="00F2788B" w:rsidRPr="00F2788B" w14:paraId="015E4796"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29AA655"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Baza cestnih podatkov</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1EBE6E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874,11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20594C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B28F82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192,30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DC5891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1.066,41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E2876B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0,03%</w:t>
            </w:r>
          </w:p>
        </w:tc>
      </w:tr>
      <w:tr w:rsidR="00F2788B" w:rsidRPr="00F2788B" w14:paraId="0B5A79DD" w14:textId="77777777" w:rsidTr="00F2788B">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18ECEC75"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Skupaj brez DDV</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438095D"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3.051.761,81</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4CC175B"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83,35%</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4A8C2B2"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609.548,62</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941E8D3"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08DCF66"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100,00%</w:t>
            </w:r>
          </w:p>
        </w:tc>
      </w:tr>
      <w:tr w:rsidR="00F2788B" w:rsidRPr="00F2788B" w14:paraId="00D3DF70"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901C5DD"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Davek na dodano vrednost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4107A1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609.548,62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7279C4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16,65%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5A3B2F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609.548,62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0415F079"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 </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8B708A7"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 </w:t>
            </w:r>
          </w:p>
        </w:tc>
      </w:tr>
      <w:tr w:rsidR="00F2788B" w:rsidRPr="00F2788B" w14:paraId="081007DF" w14:textId="77777777" w:rsidTr="00F2788B">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B2F8D53"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Povračljiv davek na dodano vrednost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A4D877D"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26.676,13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B539FA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0,73%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22089F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26.676,13</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5594FFF"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 </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E5EDB4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 </w:t>
            </w:r>
          </w:p>
        </w:tc>
      </w:tr>
      <w:tr w:rsidR="00F2788B" w:rsidRPr="00F2788B" w14:paraId="0B6217DD" w14:textId="77777777" w:rsidTr="00F2788B">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6A0AA2E4"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Skupaj z davkom na dodano vrednost</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517FD77"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46382A3"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100,00%</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897A133"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609.548,62</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C0FF047"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A81A9F5"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100,00%</w:t>
            </w:r>
          </w:p>
        </w:tc>
      </w:tr>
      <w:tr w:rsidR="00F2788B" w:rsidRPr="00F2788B" w14:paraId="25A3AB37" w14:textId="77777777" w:rsidTr="00F2788B">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D3A366D"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 xml:space="preserve">Skupaj z </w:t>
            </w:r>
            <w:proofErr w:type="spellStart"/>
            <w:r w:rsidRPr="00F2788B">
              <w:rPr>
                <w:rFonts w:ascii="Arial" w:hAnsi="Arial" w:cs="Arial"/>
                <w:b/>
                <w:bCs/>
                <w:color w:val="000000"/>
                <w:sz w:val="20"/>
                <w:szCs w:val="20"/>
              </w:rPr>
              <w:t>nepovračljivim</w:t>
            </w:r>
            <w:proofErr w:type="spellEnd"/>
            <w:r w:rsidRPr="00F2788B">
              <w:rPr>
                <w:rFonts w:ascii="Arial" w:hAnsi="Arial" w:cs="Arial"/>
                <w:b/>
                <w:bCs/>
                <w:color w:val="000000"/>
                <w:sz w:val="20"/>
                <w:szCs w:val="20"/>
              </w:rPr>
              <w:t xml:space="preserve"> davkom na dodano vrednost</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D46D5D4"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3.634.634,30</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18604E0"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99,27%</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D75DD90"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 </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DC1D580"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3.634.634,30</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0285078"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99,27%</w:t>
            </w:r>
          </w:p>
        </w:tc>
      </w:tr>
    </w:tbl>
    <w:p w14:paraId="0D1EE5B3" w14:textId="77777777" w:rsidR="008252A9" w:rsidRDefault="008252A9" w:rsidP="008252A9"/>
    <w:p w14:paraId="09767A18" w14:textId="16452ECB" w:rsidR="00604D55" w:rsidRDefault="00604D55" w:rsidP="00BD1D20">
      <w:pPr>
        <w:pStyle w:val="Napis"/>
        <w:spacing w:line="276" w:lineRule="auto"/>
        <w:jc w:val="both"/>
        <w:rPr>
          <w:rFonts w:asciiTheme="majorHAnsi" w:hAnsiTheme="majorHAnsi" w:cstheme="majorHAnsi"/>
          <w:b w:val="0"/>
          <w:color w:val="auto"/>
          <w:sz w:val="22"/>
          <w:szCs w:val="22"/>
        </w:rPr>
      </w:pPr>
      <w:bookmarkStart w:id="94" w:name="_Toc209528292"/>
      <w:r w:rsidRPr="00F11127">
        <w:rPr>
          <w:rFonts w:asciiTheme="majorHAnsi" w:hAnsiTheme="majorHAnsi" w:cstheme="majorHAnsi"/>
          <w:color w:val="auto"/>
          <w:sz w:val="22"/>
          <w:szCs w:val="22"/>
        </w:rPr>
        <w:t xml:space="preserve">Tabela </w:t>
      </w:r>
      <w:r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6</w:t>
      </w:r>
      <w:r w:rsidRPr="00F11127">
        <w:rPr>
          <w:rFonts w:asciiTheme="majorHAnsi" w:hAnsiTheme="majorHAnsi" w:cstheme="majorHAnsi"/>
          <w:color w:val="auto"/>
          <w:sz w:val="22"/>
          <w:szCs w:val="22"/>
        </w:rPr>
        <w:fldChar w:fldCharType="end"/>
      </w:r>
      <w:r w:rsidRPr="00F11127">
        <w:rPr>
          <w:rFonts w:asciiTheme="majorHAnsi" w:hAnsiTheme="majorHAnsi" w:cstheme="majorHAnsi"/>
          <w:b w:val="0"/>
          <w:color w:val="auto"/>
          <w:sz w:val="22"/>
          <w:szCs w:val="22"/>
        </w:rPr>
        <w:t>:</w:t>
      </w:r>
      <w:r w:rsidR="0097393F" w:rsidRPr="00F11127">
        <w:rPr>
          <w:rFonts w:asciiTheme="majorHAnsi" w:hAnsiTheme="majorHAnsi" w:cstheme="majorHAnsi"/>
          <w:b w:val="0"/>
          <w:color w:val="auto"/>
          <w:sz w:val="22"/>
          <w:szCs w:val="22"/>
        </w:rPr>
        <w:t xml:space="preserve"> </w:t>
      </w:r>
      <w:r w:rsidRPr="00F11127">
        <w:rPr>
          <w:rFonts w:asciiTheme="majorHAnsi" w:hAnsiTheme="majorHAnsi" w:cstheme="majorHAnsi"/>
          <w:b w:val="0"/>
          <w:color w:val="auto"/>
          <w:sz w:val="22"/>
          <w:szCs w:val="22"/>
        </w:rPr>
        <w:t>Predvidena finančna konstrukcija v tekočih cenah (v EUR)</w:t>
      </w:r>
      <w:bookmarkEnd w:id="94"/>
    </w:p>
    <w:tbl>
      <w:tblPr>
        <w:tblW w:w="7526" w:type="dxa"/>
        <w:tblCellMar>
          <w:left w:w="70" w:type="dxa"/>
          <w:right w:w="70" w:type="dxa"/>
        </w:tblCellMar>
        <w:tblLook w:val="04A0" w:firstRow="1" w:lastRow="0" w:firstColumn="1" w:lastColumn="0" w:noHBand="0" w:noVBand="1"/>
      </w:tblPr>
      <w:tblGrid>
        <w:gridCol w:w="4042"/>
        <w:gridCol w:w="2036"/>
        <w:gridCol w:w="1448"/>
      </w:tblGrid>
      <w:tr w:rsidR="00F2788B" w:rsidRPr="00F2788B" w14:paraId="7021870D" w14:textId="77777777" w:rsidTr="00F2788B">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0B3040"/>
            <w:noWrap/>
            <w:vAlign w:val="bottom"/>
            <w:hideMark/>
          </w:tcPr>
          <w:p w14:paraId="08BF2E8A"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VIRI FINANCIRANJA</w:t>
            </w:r>
          </w:p>
        </w:tc>
        <w:tc>
          <w:tcPr>
            <w:tcW w:w="0" w:type="auto"/>
            <w:tcBorders>
              <w:top w:val="single" w:sz="4" w:space="0" w:color="auto"/>
              <w:left w:val="nil"/>
              <w:bottom w:val="single" w:sz="4" w:space="0" w:color="auto"/>
              <w:right w:val="single" w:sz="4" w:space="0" w:color="auto"/>
            </w:tcBorders>
            <w:shd w:val="clear" w:color="000000" w:fill="0B3040"/>
            <w:noWrap/>
            <w:vAlign w:val="bottom"/>
            <w:hideMark/>
          </w:tcPr>
          <w:p w14:paraId="29690ACC"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SKUPAJ</w:t>
            </w:r>
          </w:p>
        </w:tc>
        <w:tc>
          <w:tcPr>
            <w:tcW w:w="0" w:type="auto"/>
            <w:tcBorders>
              <w:top w:val="single" w:sz="4" w:space="0" w:color="auto"/>
              <w:left w:val="nil"/>
              <w:bottom w:val="single" w:sz="4" w:space="0" w:color="auto"/>
              <w:right w:val="single" w:sz="4" w:space="0" w:color="auto"/>
            </w:tcBorders>
            <w:shd w:val="clear" w:color="000000" w:fill="0B3040"/>
            <w:noWrap/>
            <w:vAlign w:val="bottom"/>
            <w:hideMark/>
          </w:tcPr>
          <w:p w14:paraId="3DD00375" w14:textId="77777777" w:rsidR="00F2788B" w:rsidRPr="00F2788B" w:rsidRDefault="00F2788B">
            <w:pPr>
              <w:rPr>
                <w:rFonts w:ascii="Arial" w:hAnsi="Arial" w:cs="Arial"/>
                <w:b/>
                <w:bCs/>
                <w:color w:val="FFFFFF"/>
                <w:sz w:val="20"/>
                <w:szCs w:val="20"/>
              </w:rPr>
            </w:pPr>
            <w:r w:rsidRPr="00F2788B">
              <w:rPr>
                <w:rFonts w:ascii="Arial" w:hAnsi="Arial" w:cs="Arial"/>
                <w:b/>
                <w:bCs/>
                <w:color w:val="FFFFFF"/>
                <w:sz w:val="20"/>
                <w:szCs w:val="20"/>
              </w:rPr>
              <w:t>DELEŽ</w:t>
            </w:r>
          </w:p>
        </w:tc>
      </w:tr>
      <w:tr w:rsidR="00F2788B" w:rsidRPr="00F2788B" w14:paraId="65BB25F5" w14:textId="77777777" w:rsidTr="00F2788B">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5146FEF9"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UPRAVIČENI STROŠKI</w:t>
            </w:r>
          </w:p>
        </w:tc>
        <w:tc>
          <w:tcPr>
            <w:tcW w:w="0" w:type="auto"/>
            <w:tcBorders>
              <w:top w:val="nil"/>
              <w:left w:val="nil"/>
              <w:bottom w:val="single" w:sz="4" w:space="0" w:color="auto"/>
              <w:right w:val="single" w:sz="4" w:space="0" w:color="auto"/>
            </w:tcBorders>
            <w:shd w:val="clear" w:color="000000" w:fill="D9D9D9"/>
            <w:noWrap/>
            <w:vAlign w:val="bottom"/>
            <w:hideMark/>
          </w:tcPr>
          <w:p w14:paraId="2BB07D09"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2.472.020,11</w:t>
            </w:r>
          </w:p>
        </w:tc>
        <w:tc>
          <w:tcPr>
            <w:tcW w:w="0" w:type="auto"/>
            <w:tcBorders>
              <w:top w:val="nil"/>
              <w:left w:val="nil"/>
              <w:bottom w:val="single" w:sz="4" w:space="0" w:color="auto"/>
              <w:right w:val="single" w:sz="4" w:space="0" w:color="auto"/>
            </w:tcBorders>
            <w:shd w:val="clear" w:color="000000" w:fill="D9D9D9"/>
            <w:noWrap/>
            <w:vAlign w:val="bottom"/>
            <w:hideMark/>
          </w:tcPr>
          <w:p w14:paraId="2CB98F4C"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67,52%</w:t>
            </w:r>
          </w:p>
        </w:tc>
      </w:tr>
      <w:tr w:rsidR="00F2788B" w:rsidRPr="00F2788B" w14:paraId="6E8F59EC"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57AC0F8E"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EU sredstva</w:t>
            </w:r>
          </w:p>
        </w:tc>
        <w:tc>
          <w:tcPr>
            <w:tcW w:w="0" w:type="auto"/>
            <w:tcBorders>
              <w:top w:val="nil"/>
              <w:left w:val="nil"/>
              <w:bottom w:val="single" w:sz="4" w:space="0" w:color="auto"/>
              <w:right w:val="single" w:sz="4" w:space="0" w:color="auto"/>
            </w:tcBorders>
            <w:noWrap/>
            <w:vAlign w:val="bottom"/>
            <w:hideMark/>
          </w:tcPr>
          <w:p w14:paraId="7EDD957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1.680.973,67</w:t>
            </w:r>
          </w:p>
        </w:tc>
        <w:tc>
          <w:tcPr>
            <w:tcW w:w="0" w:type="auto"/>
            <w:tcBorders>
              <w:top w:val="nil"/>
              <w:left w:val="nil"/>
              <w:bottom w:val="single" w:sz="4" w:space="0" w:color="auto"/>
              <w:right w:val="single" w:sz="4" w:space="0" w:color="auto"/>
            </w:tcBorders>
            <w:noWrap/>
            <w:vAlign w:val="bottom"/>
            <w:hideMark/>
          </w:tcPr>
          <w:p w14:paraId="15BC297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45,91%</w:t>
            </w:r>
          </w:p>
        </w:tc>
      </w:tr>
      <w:tr w:rsidR="00F2788B" w:rsidRPr="00F2788B" w14:paraId="285F6CD6"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0C79AC92"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Slovenska udeležba</w:t>
            </w:r>
          </w:p>
        </w:tc>
        <w:tc>
          <w:tcPr>
            <w:tcW w:w="0" w:type="auto"/>
            <w:tcBorders>
              <w:top w:val="nil"/>
              <w:left w:val="nil"/>
              <w:bottom w:val="single" w:sz="4" w:space="0" w:color="auto"/>
              <w:right w:val="single" w:sz="4" w:space="0" w:color="auto"/>
            </w:tcBorders>
            <w:noWrap/>
            <w:vAlign w:val="bottom"/>
            <w:hideMark/>
          </w:tcPr>
          <w:p w14:paraId="32DE1E0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296.642,41</w:t>
            </w:r>
          </w:p>
        </w:tc>
        <w:tc>
          <w:tcPr>
            <w:tcW w:w="0" w:type="auto"/>
            <w:tcBorders>
              <w:top w:val="nil"/>
              <w:left w:val="nil"/>
              <w:bottom w:val="single" w:sz="4" w:space="0" w:color="auto"/>
              <w:right w:val="single" w:sz="4" w:space="0" w:color="auto"/>
            </w:tcBorders>
            <w:noWrap/>
            <w:vAlign w:val="bottom"/>
            <w:hideMark/>
          </w:tcPr>
          <w:p w14:paraId="0E31D25A"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8,10%</w:t>
            </w:r>
          </w:p>
        </w:tc>
      </w:tr>
      <w:tr w:rsidR="00F2788B" w:rsidRPr="00F2788B" w14:paraId="601BE0CF"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6FDF12AC"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Lastna sredstva</w:t>
            </w:r>
          </w:p>
        </w:tc>
        <w:tc>
          <w:tcPr>
            <w:tcW w:w="0" w:type="auto"/>
            <w:tcBorders>
              <w:top w:val="nil"/>
              <w:left w:val="nil"/>
              <w:bottom w:val="single" w:sz="4" w:space="0" w:color="auto"/>
              <w:right w:val="single" w:sz="4" w:space="0" w:color="auto"/>
            </w:tcBorders>
            <w:noWrap/>
            <w:vAlign w:val="bottom"/>
            <w:hideMark/>
          </w:tcPr>
          <w:p w14:paraId="5BDC54E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494.404,02</w:t>
            </w:r>
          </w:p>
        </w:tc>
        <w:tc>
          <w:tcPr>
            <w:tcW w:w="0" w:type="auto"/>
            <w:tcBorders>
              <w:top w:val="nil"/>
              <w:left w:val="nil"/>
              <w:bottom w:val="single" w:sz="4" w:space="0" w:color="auto"/>
              <w:right w:val="single" w:sz="4" w:space="0" w:color="auto"/>
            </w:tcBorders>
            <w:noWrap/>
            <w:vAlign w:val="bottom"/>
            <w:hideMark/>
          </w:tcPr>
          <w:p w14:paraId="2EB13A7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13,50%</w:t>
            </w:r>
          </w:p>
        </w:tc>
      </w:tr>
      <w:tr w:rsidR="00F2788B" w:rsidRPr="00F2788B" w14:paraId="064634FE" w14:textId="77777777" w:rsidTr="00F2788B">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288C4449"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NEUPRAVIČENI STROŠKI</w:t>
            </w:r>
          </w:p>
        </w:tc>
        <w:tc>
          <w:tcPr>
            <w:tcW w:w="0" w:type="auto"/>
            <w:tcBorders>
              <w:top w:val="nil"/>
              <w:left w:val="nil"/>
              <w:bottom w:val="single" w:sz="4" w:space="0" w:color="auto"/>
              <w:right w:val="single" w:sz="4" w:space="0" w:color="auto"/>
            </w:tcBorders>
            <w:shd w:val="clear" w:color="000000" w:fill="D9D9D9"/>
            <w:noWrap/>
            <w:vAlign w:val="bottom"/>
            <w:hideMark/>
          </w:tcPr>
          <w:p w14:paraId="28246B41"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1.162.614,19</w:t>
            </w:r>
          </w:p>
        </w:tc>
        <w:tc>
          <w:tcPr>
            <w:tcW w:w="0" w:type="auto"/>
            <w:tcBorders>
              <w:top w:val="nil"/>
              <w:left w:val="nil"/>
              <w:bottom w:val="single" w:sz="4" w:space="0" w:color="auto"/>
              <w:right w:val="single" w:sz="4" w:space="0" w:color="auto"/>
            </w:tcBorders>
            <w:shd w:val="clear" w:color="000000" w:fill="D9D9D9"/>
            <w:noWrap/>
            <w:vAlign w:val="bottom"/>
            <w:hideMark/>
          </w:tcPr>
          <w:p w14:paraId="18336213"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31,75%</w:t>
            </w:r>
          </w:p>
        </w:tc>
      </w:tr>
      <w:tr w:rsidR="00F2788B" w:rsidRPr="00F2788B" w14:paraId="1A2EB7D9"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4E6BAFB1"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EU sredstva</w:t>
            </w:r>
          </w:p>
        </w:tc>
        <w:tc>
          <w:tcPr>
            <w:tcW w:w="0" w:type="auto"/>
            <w:tcBorders>
              <w:top w:val="nil"/>
              <w:left w:val="nil"/>
              <w:bottom w:val="single" w:sz="4" w:space="0" w:color="auto"/>
              <w:right w:val="single" w:sz="4" w:space="0" w:color="auto"/>
            </w:tcBorders>
            <w:noWrap/>
            <w:vAlign w:val="bottom"/>
            <w:hideMark/>
          </w:tcPr>
          <w:p w14:paraId="143FF4B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0" w:type="auto"/>
            <w:tcBorders>
              <w:top w:val="nil"/>
              <w:left w:val="nil"/>
              <w:bottom w:val="single" w:sz="4" w:space="0" w:color="auto"/>
              <w:right w:val="single" w:sz="4" w:space="0" w:color="auto"/>
            </w:tcBorders>
            <w:noWrap/>
            <w:vAlign w:val="bottom"/>
            <w:hideMark/>
          </w:tcPr>
          <w:p w14:paraId="749BDB0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r>
      <w:tr w:rsidR="00F2788B" w:rsidRPr="00F2788B" w14:paraId="3C9F6A69"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0D4FAFB7"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Slovenska udeležba</w:t>
            </w:r>
          </w:p>
        </w:tc>
        <w:tc>
          <w:tcPr>
            <w:tcW w:w="0" w:type="auto"/>
            <w:tcBorders>
              <w:top w:val="nil"/>
              <w:left w:val="nil"/>
              <w:bottom w:val="single" w:sz="4" w:space="0" w:color="auto"/>
              <w:right w:val="single" w:sz="4" w:space="0" w:color="auto"/>
            </w:tcBorders>
            <w:noWrap/>
            <w:vAlign w:val="bottom"/>
            <w:hideMark/>
          </w:tcPr>
          <w:p w14:paraId="4514B59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0" w:type="auto"/>
            <w:tcBorders>
              <w:top w:val="nil"/>
              <w:left w:val="nil"/>
              <w:bottom w:val="single" w:sz="4" w:space="0" w:color="auto"/>
              <w:right w:val="single" w:sz="4" w:space="0" w:color="auto"/>
            </w:tcBorders>
            <w:noWrap/>
            <w:vAlign w:val="bottom"/>
            <w:hideMark/>
          </w:tcPr>
          <w:p w14:paraId="4686CE26"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r>
      <w:tr w:rsidR="00F2788B" w:rsidRPr="00F2788B" w14:paraId="455ED794"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4AC2197B"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Lastna sredstva</w:t>
            </w:r>
          </w:p>
        </w:tc>
        <w:tc>
          <w:tcPr>
            <w:tcW w:w="0" w:type="auto"/>
            <w:tcBorders>
              <w:top w:val="nil"/>
              <w:left w:val="nil"/>
              <w:bottom w:val="single" w:sz="4" w:space="0" w:color="auto"/>
              <w:right w:val="single" w:sz="4" w:space="0" w:color="auto"/>
            </w:tcBorders>
            <w:noWrap/>
            <w:vAlign w:val="bottom"/>
            <w:hideMark/>
          </w:tcPr>
          <w:p w14:paraId="13586DA3"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1.162.614,19</w:t>
            </w:r>
          </w:p>
        </w:tc>
        <w:tc>
          <w:tcPr>
            <w:tcW w:w="0" w:type="auto"/>
            <w:tcBorders>
              <w:top w:val="nil"/>
              <w:left w:val="nil"/>
              <w:bottom w:val="single" w:sz="4" w:space="0" w:color="auto"/>
              <w:right w:val="single" w:sz="4" w:space="0" w:color="auto"/>
            </w:tcBorders>
            <w:noWrap/>
            <w:vAlign w:val="bottom"/>
            <w:hideMark/>
          </w:tcPr>
          <w:p w14:paraId="4272B38C"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31,75%</w:t>
            </w:r>
          </w:p>
        </w:tc>
      </w:tr>
      <w:tr w:rsidR="00F2788B" w:rsidRPr="00F2788B" w14:paraId="187C6B8B" w14:textId="77777777" w:rsidTr="00F2788B">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62811ACF"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POVRATNI DDV</w:t>
            </w:r>
          </w:p>
        </w:tc>
        <w:tc>
          <w:tcPr>
            <w:tcW w:w="0" w:type="auto"/>
            <w:tcBorders>
              <w:top w:val="nil"/>
              <w:left w:val="nil"/>
              <w:bottom w:val="single" w:sz="4" w:space="0" w:color="auto"/>
              <w:right w:val="single" w:sz="4" w:space="0" w:color="auto"/>
            </w:tcBorders>
            <w:shd w:val="clear" w:color="000000" w:fill="D9D9D9"/>
            <w:noWrap/>
            <w:vAlign w:val="bottom"/>
            <w:hideMark/>
          </w:tcPr>
          <w:p w14:paraId="0DEE736F"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26.676,13</w:t>
            </w:r>
          </w:p>
        </w:tc>
        <w:tc>
          <w:tcPr>
            <w:tcW w:w="0" w:type="auto"/>
            <w:tcBorders>
              <w:top w:val="nil"/>
              <w:left w:val="nil"/>
              <w:bottom w:val="single" w:sz="4" w:space="0" w:color="auto"/>
              <w:right w:val="single" w:sz="4" w:space="0" w:color="auto"/>
            </w:tcBorders>
            <w:shd w:val="clear" w:color="000000" w:fill="D9D9D9"/>
            <w:noWrap/>
            <w:vAlign w:val="bottom"/>
            <w:hideMark/>
          </w:tcPr>
          <w:p w14:paraId="0FCF22F3"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0,76%</w:t>
            </w:r>
          </w:p>
        </w:tc>
      </w:tr>
      <w:tr w:rsidR="00F2788B" w:rsidRPr="00F2788B" w14:paraId="6A5D58DB"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78366DDD"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EU sredstva</w:t>
            </w:r>
          </w:p>
        </w:tc>
        <w:tc>
          <w:tcPr>
            <w:tcW w:w="0" w:type="auto"/>
            <w:tcBorders>
              <w:top w:val="nil"/>
              <w:left w:val="nil"/>
              <w:bottom w:val="single" w:sz="4" w:space="0" w:color="auto"/>
              <w:right w:val="single" w:sz="4" w:space="0" w:color="auto"/>
            </w:tcBorders>
            <w:noWrap/>
            <w:vAlign w:val="bottom"/>
            <w:hideMark/>
          </w:tcPr>
          <w:p w14:paraId="5B21A43B"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0" w:type="auto"/>
            <w:tcBorders>
              <w:top w:val="nil"/>
              <w:left w:val="nil"/>
              <w:bottom w:val="single" w:sz="4" w:space="0" w:color="auto"/>
              <w:right w:val="single" w:sz="4" w:space="0" w:color="auto"/>
            </w:tcBorders>
            <w:noWrap/>
            <w:vAlign w:val="bottom"/>
            <w:hideMark/>
          </w:tcPr>
          <w:p w14:paraId="34A6497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r>
      <w:tr w:rsidR="00F2788B" w:rsidRPr="00F2788B" w14:paraId="681C2191"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1A26C8B7"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Slovenska udeležba</w:t>
            </w:r>
          </w:p>
        </w:tc>
        <w:tc>
          <w:tcPr>
            <w:tcW w:w="0" w:type="auto"/>
            <w:tcBorders>
              <w:top w:val="nil"/>
              <w:left w:val="nil"/>
              <w:bottom w:val="single" w:sz="4" w:space="0" w:color="auto"/>
              <w:right w:val="single" w:sz="4" w:space="0" w:color="auto"/>
            </w:tcBorders>
            <w:noWrap/>
            <w:vAlign w:val="bottom"/>
            <w:hideMark/>
          </w:tcPr>
          <w:p w14:paraId="5CEED15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c>
          <w:tcPr>
            <w:tcW w:w="0" w:type="auto"/>
            <w:tcBorders>
              <w:top w:val="nil"/>
              <w:left w:val="nil"/>
              <w:bottom w:val="single" w:sz="4" w:space="0" w:color="auto"/>
              <w:right w:val="single" w:sz="4" w:space="0" w:color="auto"/>
            </w:tcBorders>
            <w:noWrap/>
            <w:vAlign w:val="bottom"/>
            <w:hideMark/>
          </w:tcPr>
          <w:p w14:paraId="50E12382"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0,00%</w:t>
            </w:r>
          </w:p>
        </w:tc>
      </w:tr>
      <w:tr w:rsidR="00F2788B" w:rsidRPr="00F2788B" w14:paraId="7906727A"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1A40B4BC"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Lastna sredstva</w:t>
            </w:r>
          </w:p>
        </w:tc>
        <w:tc>
          <w:tcPr>
            <w:tcW w:w="0" w:type="auto"/>
            <w:tcBorders>
              <w:top w:val="nil"/>
              <w:left w:val="nil"/>
              <w:bottom w:val="single" w:sz="4" w:space="0" w:color="auto"/>
              <w:right w:val="single" w:sz="4" w:space="0" w:color="auto"/>
            </w:tcBorders>
            <w:noWrap/>
            <w:vAlign w:val="bottom"/>
            <w:hideMark/>
          </w:tcPr>
          <w:p w14:paraId="3F6249D8"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26.676,13</w:t>
            </w:r>
          </w:p>
        </w:tc>
        <w:tc>
          <w:tcPr>
            <w:tcW w:w="0" w:type="auto"/>
            <w:tcBorders>
              <w:top w:val="nil"/>
              <w:left w:val="nil"/>
              <w:bottom w:val="single" w:sz="4" w:space="0" w:color="auto"/>
              <w:right w:val="single" w:sz="4" w:space="0" w:color="auto"/>
            </w:tcBorders>
            <w:noWrap/>
            <w:vAlign w:val="bottom"/>
            <w:hideMark/>
          </w:tcPr>
          <w:p w14:paraId="38B7AA20"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0,76%</w:t>
            </w:r>
          </w:p>
        </w:tc>
      </w:tr>
      <w:tr w:rsidR="00F2788B" w:rsidRPr="00F2788B" w14:paraId="1131BCFD" w14:textId="77777777" w:rsidTr="00F2788B">
        <w:trPr>
          <w:trHeight w:val="300"/>
        </w:trPr>
        <w:tc>
          <w:tcPr>
            <w:tcW w:w="0" w:type="auto"/>
            <w:tcBorders>
              <w:top w:val="nil"/>
              <w:left w:val="single" w:sz="4" w:space="0" w:color="auto"/>
              <w:bottom w:val="single" w:sz="4" w:space="0" w:color="auto"/>
              <w:right w:val="single" w:sz="4" w:space="0" w:color="auto"/>
            </w:tcBorders>
            <w:shd w:val="clear" w:color="000000" w:fill="D9D9D9"/>
            <w:noWrap/>
            <w:vAlign w:val="bottom"/>
            <w:hideMark/>
          </w:tcPr>
          <w:p w14:paraId="07629EE5" w14:textId="77777777" w:rsidR="00F2788B" w:rsidRPr="00F2788B" w:rsidRDefault="00F2788B">
            <w:pPr>
              <w:rPr>
                <w:rFonts w:ascii="Arial" w:hAnsi="Arial" w:cs="Arial"/>
                <w:b/>
                <w:bCs/>
                <w:color w:val="000000"/>
                <w:sz w:val="20"/>
                <w:szCs w:val="20"/>
              </w:rPr>
            </w:pPr>
            <w:r w:rsidRPr="00F2788B">
              <w:rPr>
                <w:rFonts w:ascii="Arial" w:hAnsi="Arial" w:cs="Arial"/>
                <w:b/>
                <w:bCs/>
                <w:color w:val="000000"/>
                <w:sz w:val="20"/>
                <w:szCs w:val="20"/>
              </w:rPr>
              <w:t>SKUPAJ</w:t>
            </w:r>
          </w:p>
        </w:tc>
        <w:tc>
          <w:tcPr>
            <w:tcW w:w="0" w:type="auto"/>
            <w:tcBorders>
              <w:top w:val="nil"/>
              <w:left w:val="nil"/>
              <w:bottom w:val="single" w:sz="4" w:space="0" w:color="auto"/>
              <w:right w:val="single" w:sz="4" w:space="0" w:color="auto"/>
            </w:tcBorders>
            <w:shd w:val="clear" w:color="000000" w:fill="D9D9D9"/>
            <w:noWrap/>
            <w:vAlign w:val="bottom"/>
            <w:hideMark/>
          </w:tcPr>
          <w:p w14:paraId="6D76724F"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0" w:type="auto"/>
            <w:tcBorders>
              <w:top w:val="nil"/>
              <w:left w:val="nil"/>
              <w:bottom w:val="single" w:sz="4" w:space="0" w:color="auto"/>
              <w:right w:val="single" w:sz="4" w:space="0" w:color="auto"/>
            </w:tcBorders>
            <w:shd w:val="clear" w:color="000000" w:fill="D9D9D9"/>
            <w:noWrap/>
            <w:vAlign w:val="bottom"/>
            <w:hideMark/>
          </w:tcPr>
          <w:p w14:paraId="740C2699" w14:textId="77777777" w:rsidR="00F2788B" w:rsidRPr="00F2788B" w:rsidRDefault="00F2788B">
            <w:pPr>
              <w:jc w:val="right"/>
              <w:rPr>
                <w:rFonts w:ascii="Arial" w:hAnsi="Arial" w:cs="Arial"/>
                <w:b/>
                <w:bCs/>
                <w:color w:val="000000"/>
                <w:sz w:val="20"/>
                <w:szCs w:val="20"/>
              </w:rPr>
            </w:pPr>
            <w:r w:rsidRPr="00F2788B">
              <w:rPr>
                <w:rFonts w:ascii="Arial" w:hAnsi="Arial" w:cs="Arial"/>
                <w:b/>
                <w:bCs/>
                <w:color w:val="000000"/>
                <w:sz w:val="20"/>
                <w:szCs w:val="20"/>
              </w:rPr>
              <w:t>100,00%</w:t>
            </w:r>
          </w:p>
        </w:tc>
      </w:tr>
      <w:tr w:rsidR="00F2788B" w:rsidRPr="00F2788B" w14:paraId="4F7642FA"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3C2BDDB3"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EU sredstva</w:t>
            </w:r>
          </w:p>
        </w:tc>
        <w:tc>
          <w:tcPr>
            <w:tcW w:w="0" w:type="auto"/>
            <w:tcBorders>
              <w:top w:val="nil"/>
              <w:left w:val="nil"/>
              <w:bottom w:val="single" w:sz="4" w:space="0" w:color="auto"/>
              <w:right w:val="single" w:sz="4" w:space="0" w:color="auto"/>
            </w:tcBorders>
            <w:noWrap/>
            <w:vAlign w:val="bottom"/>
            <w:hideMark/>
          </w:tcPr>
          <w:p w14:paraId="79E4E0CF"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1.680.973,67</w:t>
            </w:r>
          </w:p>
        </w:tc>
        <w:tc>
          <w:tcPr>
            <w:tcW w:w="0" w:type="auto"/>
            <w:tcBorders>
              <w:top w:val="nil"/>
              <w:left w:val="nil"/>
              <w:bottom w:val="single" w:sz="4" w:space="0" w:color="auto"/>
              <w:right w:val="single" w:sz="4" w:space="0" w:color="auto"/>
            </w:tcBorders>
            <w:noWrap/>
            <w:vAlign w:val="bottom"/>
            <w:hideMark/>
          </w:tcPr>
          <w:p w14:paraId="5C915BA9"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45,91%</w:t>
            </w:r>
          </w:p>
        </w:tc>
      </w:tr>
      <w:tr w:rsidR="00F2788B" w:rsidRPr="00F2788B" w14:paraId="2C2356E5"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06F44FD5"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Slovenska udeležba</w:t>
            </w:r>
          </w:p>
        </w:tc>
        <w:tc>
          <w:tcPr>
            <w:tcW w:w="0" w:type="auto"/>
            <w:tcBorders>
              <w:top w:val="nil"/>
              <w:left w:val="nil"/>
              <w:bottom w:val="single" w:sz="4" w:space="0" w:color="auto"/>
              <w:right w:val="single" w:sz="4" w:space="0" w:color="auto"/>
            </w:tcBorders>
            <w:noWrap/>
            <w:vAlign w:val="bottom"/>
            <w:hideMark/>
          </w:tcPr>
          <w:p w14:paraId="65A75E24"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296.642,41</w:t>
            </w:r>
          </w:p>
        </w:tc>
        <w:tc>
          <w:tcPr>
            <w:tcW w:w="0" w:type="auto"/>
            <w:tcBorders>
              <w:top w:val="nil"/>
              <w:left w:val="nil"/>
              <w:bottom w:val="single" w:sz="4" w:space="0" w:color="auto"/>
              <w:right w:val="single" w:sz="4" w:space="0" w:color="auto"/>
            </w:tcBorders>
            <w:noWrap/>
            <w:vAlign w:val="bottom"/>
            <w:hideMark/>
          </w:tcPr>
          <w:p w14:paraId="60D37B05"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8,10%</w:t>
            </w:r>
          </w:p>
        </w:tc>
      </w:tr>
      <w:tr w:rsidR="00F2788B" w:rsidRPr="00F2788B" w14:paraId="6FBE0FF6" w14:textId="77777777" w:rsidTr="00F2788B">
        <w:trPr>
          <w:trHeight w:val="285"/>
        </w:trPr>
        <w:tc>
          <w:tcPr>
            <w:tcW w:w="0" w:type="auto"/>
            <w:tcBorders>
              <w:top w:val="nil"/>
              <w:left w:val="single" w:sz="4" w:space="0" w:color="auto"/>
              <w:bottom w:val="single" w:sz="4" w:space="0" w:color="auto"/>
              <w:right w:val="single" w:sz="4" w:space="0" w:color="auto"/>
            </w:tcBorders>
            <w:noWrap/>
            <w:vAlign w:val="bottom"/>
            <w:hideMark/>
          </w:tcPr>
          <w:p w14:paraId="62C94E21" w14:textId="77777777" w:rsidR="00F2788B" w:rsidRPr="00F2788B" w:rsidRDefault="00F2788B">
            <w:pPr>
              <w:rPr>
                <w:rFonts w:ascii="Arial" w:hAnsi="Arial" w:cs="Arial"/>
                <w:color w:val="000000"/>
                <w:sz w:val="20"/>
                <w:szCs w:val="20"/>
              </w:rPr>
            </w:pPr>
            <w:r w:rsidRPr="00F2788B">
              <w:rPr>
                <w:rFonts w:ascii="Arial" w:hAnsi="Arial" w:cs="Arial"/>
                <w:color w:val="000000"/>
                <w:sz w:val="20"/>
                <w:szCs w:val="20"/>
              </w:rPr>
              <w:t>Lastna sredstva</w:t>
            </w:r>
          </w:p>
        </w:tc>
        <w:tc>
          <w:tcPr>
            <w:tcW w:w="0" w:type="auto"/>
            <w:tcBorders>
              <w:top w:val="nil"/>
              <w:left w:val="nil"/>
              <w:bottom w:val="single" w:sz="4" w:space="0" w:color="auto"/>
              <w:right w:val="single" w:sz="4" w:space="0" w:color="auto"/>
            </w:tcBorders>
            <w:noWrap/>
            <w:vAlign w:val="bottom"/>
            <w:hideMark/>
          </w:tcPr>
          <w:p w14:paraId="5FC73801"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1.683.694,34</w:t>
            </w:r>
          </w:p>
        </w:tc>
        <w:tc>
          <w:tcPr>
            <w:tcW w:w="0" w:type="auto"/>
            <w:tcBorders>
              <w:top w:val="nil"/>
              <w:left w:val="nil"/>
              <w:bottom w:val="single" w:sz="4" w:space="0" w:color="auto"/>
              <w:right w:val="single" w:sz="4" w:space="0" w:color="auto"/>
            </w:tcBorders>
            <w:noWrap/>
            <w:vAlign w:val="bottom"/>
            <w:hideMark/>
          </w:tcPr>
          <w:p w14:paraId="78BC6D67" w14:textId="77777777" w:rsidR="00F2788B" w:rsidRPr="00F2788B" w:rsidRDefault="00F2788B">
            <w:pPr>
              <w:jc w:val="right"/>
              <w:rPr>
                <w:rFonts w:ascii="Arial" w:hAnsi="Arial" w:cs="Arial"/>
                <w:color w:val="000000"/>
                <w:sz w:val="20"/>
                <w:szCs w:val="20"/>
              </w:rPr>
            </w:pPr>
            <w:r w:rsidRPr="00F2788B">
              <w:rPr>
                <w:rFonts w:ascii="Arial" w:hAnsi="Arial" w:cs="Arial"/>
                <w:color w:val="000000"/>
                <w:sz w:val="20"/>
                <w:szCs w:val="20"/>
              </w:rPr>
              <w:t>45,99%</w:t>
            </w:r>
          </w:p>
        </w:tc>
      </w:tr>
    </w:tbl>
    <w:p w14:paraId="38F3A93B" w14:textId="77777777" w:rsidR="00F2788B" w:rsidRDefault="00F2788B" w:rsidP="00F2788B"/>
    <w:p w14:paraId="33089374" w14:textId="77777777" w:rsidR="004D4EB8" w:rsidRPr="00F11127" w:rsidRDefault="004D4EB8"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95" w:name="_Toc3698211"/>
      <w:bookmarkStart w:id="96" w:name="_Toc210033779"/>
      <w:r w:rsidRPr="00F11127">
        <w:rPr>
          <w:rFonts w:asciiTheme="majorHAnsi" w:eastAsiaTheme="majorEastAsia" w:hAnsiTheme="majorHAnsi" w:cstheme="majorHAnsi"/>
          <w:color w:val="244061" w:themeColor="accent1" w:themeShade="80"/>
        </w:rPr>
        <w:t>Način in postopek izbire izvajalcev</w:t>
      </w:r>
      <w:bookmarkEnd w:id="95"/>
      <w:bookmarkEnd w:id="96"/>
    </w:p>
    <w:p w14:paraId="6B0DA5F9" w14:textId="77777777" w:rsidR="004D4EB8" w:rsidRPr="00F11127" w:rsidRDefault="004D4EB8" w:rsidP="00BD1D20">
      <w:pPr>
        <w:spacing w:line="276" w:lineRule="auto"/>
        <w:jc w:val="both"/>
        <w:rPr>
          <w:rFonts w:asciiTheme="majorHAnsi" w:eastAsiaTheme="majorEastAsia" w:hAnsiTheme="majorHAnsi" w:cstheme="majorHAnsi"/>
          <w:sz w:val="22"/>
          <w:szCs w:val="22"/>
        </w:rPr>
      </w:pPr>
      <w:r w:rsidRPr="00F11127">
        <w:rPr>
          <w:rFonts w:asciiTheme="majorHAnsi" w:eastAsiaTheme="majorEastAsia" w:hAnsiTheme="majorHAnsi" w:cstheme="majorHAnsi"/>
          <w:sz w:val="22"/>
          <w:szCs w:val="22"/>
        </w:rPr>
        <w:t xml:space="preserve">Investitor </w:t>
      </w:r>
      <w:r w:rsidR="002411B3" w:rsidRPr="00F11127">
        <w:rPr>
          <w:rFonts w:asciiTheme="majorHAnsi" w:eastAsiaTheme="majorEastAsia" w:hAnsiTheme="majorHAnsi" w:cstheme="majorHAnsi"/>
          <w:sz w:val="22"/>
          <w:szCs w:val="22"/>
        </w:rPr>
        <w:t>bo izvajalce izbiral</w:t>
      </w:r>
      <w:r w:rsidR="00B86260" w:rsidRPr="00F11127">
        <w:rPr>
          <w:rFonts w:asciiTheme="majorHAnsi" w:eastAsiaTheme="majorEastAsia" w:hAnsiTheme="majorHAnsi" w:cstheme="majorHAnsi"/>
          <w:sz w:val="22"/>
          <w:szCs w:val="22"/>
        </w:rPr>
        <w:t xml:space="preserve"> skladno</w:t>
      </w:r>
      <w:r w:rsidRPr="00F11127">
        <w:rPr>
          <w:rFonts w:asciiTheme="majorHAnsi" w:eastAsiaTheme="majorEastAsia" w:hAnsiTheme="majorHAnsi" w:cstheme="majorHAnsi"/>
          <w:sz w:val="22"/>
          <w:szCs w:val="22"/>
        </w:rPr>
        <w:t xml:space="preserve"> z veljavno javno naročniško zakonodajo.</w:t>
      </w:r>
    </w:p>
    <w:p w14:paraId="05A543B0" w14:textId="77777777" w:rsidR="004D4EB8" w:rsidRPr="00F11127" w:rsidRDefault="004D4EB8"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97" w:name="_Toc3698212"/>
      <w:bookmarkStart w:id="98" w:name="_Toc210033780"/>
      <w:r w:rsidRPr="00F11127">
        <w:rPr>
          <w:rFonts w:asciiTheme="majorHAnsi" w:eastAsiaTheme="majorEastAsia" w:hAnsiTheme="majorHAnsi" w:cstheme="majorHAnsi"/>
          <w:color w:val="244061" w:themeColor="accent1" w:themeShade="80"/>
        </w:rPr>
        <w:t>Časovni načrt vseh aktivnosti</w:t>
      </w:r>
      <w:bookmarkEnd w:id="97"/>
      <w:bookmarkEnd w:id="98"/>
    </w:p>
    <w:p w14:paraId="30225EBA" w14:textId="77777777" w:rsidR="004D4EB8" w:rsidRPr="00F11127" w:rsidRDefault="004D4EB8" w:rsidP="00BD1D20">
      <w:pPr>
        <w:spacing w:line="276" w:lineRule="auto"/>
        <w:rPr>
          <w:rFonts w:asciiTheme="majorHAnsi" w:eastAsiaTheme="majorEastAsia" w:hAnsiTheme="majorHAnsi" w:cstheme="majorHAnsi"/>
          <w:sz w:val="22"/>
          <w:szCs w:val="22"/>
        </w:rPr>
      </w:pPr>
      <w:r w:rsidRPr="00F11127">
        <w:rPr>
          <w:rFonts w:asciiTheme="majorHAnsi" w:eastAsiaTheme="majorEastAsia" w:hAnsiTheme="majorHAnsi" w:cstheme="majorHAnsi"/>
          <w:sz w:val="22"/>
          <w:szCs w:val="22"/>
        </w:rPr>
        <w:t>Časovni načrt izvedbe je v celoti predstavljen v naslednjih poglavjih, zato ga na tem mestu ne prikazujemo ponovno.</w:t>
      </w:r>
    </w:p>
    <w:p w14:paraId="3198CA5B" w14:textId="77777777" w:rsidR="004D4EB8" w:rsidRPr="00F11127" w:rsidRDefault="004D4EB8"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99" w:name="_Toc3698213"/>
      <w:bookmarkStart w:id="100" w:name="_Toc210033781"/>
      <w:r w:rsidRPr="00F11127">
        <w:rPr>
          <w:rFonts w:asciiTheme="majorHAnsi" w:eastAsiaTheme="majorEastAsia" w:hAnsiTheme="majorHAnsi" w:cstheme="majorHAnsi"/>
          <w:color w:val="244061" w:themeColor="accent1" w:themeShade="80"/>
        </w:rPr>
        <w:t>Seznam že pripravljene in potrebne dokumentacije</w:t>
      </w:r>
      <w:bookmarkEnd w:id="99"/>
      <w:bookmarkEnd w:id="100"/>
    </w:p>
    <w:p w14:paraId="4038A045" w14:textId="4C07AB3C" w:rsidR="00BC59C8" w:rsidRDefault="00BC59C8" w:rsidP="004B5E58">
      <w:pPr>
        <w:spacing w:line="276" w:lineRule="auto"/>
        <w:jc w:val="both"/>
        <w:rPr>
          <w:rFonts w:asciiTheme="majorHAnsi" w:hAnsiTheme="majorHAnsi" w:cstheme="majorHAnsi"/>
          <w:sz w:val="22"/>
          <w:szCs w:val="22"/>
          <w:lang w:eastAsia="zh-TW"/>
        </w:rPr>
      </w:pPr>
      <w:bookmarkStart w:id="101" w:name="_Toc3698214"/>
      <w:r w:rsidRPr="00F11127">
        <w:rPr>
          <w:rFonts w:asciiTheme="majorHAnsi" w:hAnsiTheme="majorHAnsi" w:cstheme="majorHAnsi"/>
          <w:sz w:val="22"/>
          <w:szCs w:val="22"/>
          <w:lang w:eastAsia="zh-TW"/>
        </w:rPr>
        <w:t xml:space="preserve">Za izvedbo investicije je potrebno </w:t>
      </w:r>
      <w:r w:rsidR="004B5E58">
        <w:rPr>
          <w:rFonts w:asciiTheme="majorHAnsi" w:hAnsiTheme="majorHAnsi" w:cstheme="majorHAnsi"/>
          <w:sz w:val="22"/>
          <w:szCs w:val="22"/>
          <w:lang w:eastAsia="zh-TW"/>
        </w:rPr>
        <w:t>izvesti vse aktivnosti po izdelani projektni dokumentaciji in pridobljenem gradbenem dovoljenju.</w:t>
      </w:r>
    </w:p>
    <w:p w14:paraId="7E62E52C" w14:textId="77777777" w:rsidR="004D4EB8" w:rsidRPr="00F11127" w:rsidRDefault="004D4EB8"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02" w:name="_Toc210033782"/>
      <w:r w:rsidRPr="00F11127">
        <w:rPr>
          <w:rFonts w:asciiTheme="majorHAnsi" w:eastAsiaTheme="majorEastAsia" w:hAnsiTheme="majorHAnsi" w:cstheme="majorHAnsi"/>
          <w:color w:val="244061" w:themeColor="accent1" w:themeShade="80"/>
        </w:rPr>
        <w:t>Način končnega prevzema in vzpostavitve obratovanja in vzdrževanja</w:t>
      </w:r>
      <w:bookmarkEnd w:id="101"/>
      <w:bookmarkEnd w:id="102"/>
    </w:p>
    <w:p w14:paraId="32FED660" w14:textId="6085AFA4" w:rsidR="004D4EB8" w:rsidRPr="00F11127" w:rsidRDefault="004D4EB8" w:rsidP="00BD1D20">
      <w:pPr>
        <w:spacing w:line="276" w:lineRule="auto"/>
        <w:jc w:val="both"/>
        <w:rPr>
          <w:rFonts w:asciiTheme="majorHAnsi" w:eastAsiaTheme="majorEastAsia" w:hAnsiTheme="majorHAnsi" w:cstheme="majorHAnsi"/>
          <w:sz w:val="22"/>
          <w:szCs w:val="22"/>
        </w:rPr>
      </w:pPr>
      <w:r w:rsidRPr="00F11127">
        <w:rPr>
          <w:rFonts w:asciiTheme="majorHAnsi" w:eastAsiaTheme="majorEastAsia" w:hAnsiTheme="majorHAnsi" w:cstheme="majorHAnsi"/>
          <w:sz w:val="22"/>
          <w:szCs w:val="22"/>
        </w:rPr>
        <w:t xml:space="preserve">Po zaključku bo </w:t>
      </w:r>
      <w:r w:rsidR="002931B7" w:rsidRPr="00F11127">
        <w:rPr>
          <w:rFonts w:asciiTheme="majorHAnsi" w:eastAsiaTheme="majorEastAsia" w:hAnsiTheme="majorHAnsi" w:cstheme="majorHAnsi"/>
          <w:sz w:val="22"/>
          <w:szCs w:val="22"/>
        </w:rPr>
        <w:t xml:space="preserve">z objektom </w:t>
      </w:r>
      <w:r w:rsidR="00082011" w:rsidRPr="00F11127">
        <w:rPr>
          <w:rFonts w:asciiTheme="majorHAnsi" w:eastAsiaTheme="majorEastAsia" w:hAnsiTheme="majorHAnsi" w:cstheme="majorHAnsi"/>
          <w:sz w:val="22"/>
          <w:szCs w:val="22"/>
        </w:rPr>
        <w:t>upravljal</w:t>
      </w:r>
      <w:r w:rsidR="00F32BE0" w:rsidRPr="00F11127">
        <w:rPr>
          <w:rFonts w:asciiTheme="majorHAnsi" w:eastAsiaTheme="majorEastAsia" w:hAnsiTheme="majorHAnsi" w:cstheme="majorHAnsi"/>
          <w:sz w:val="22"/>
          <w:szCs w:val="22"/>
        </w:rPr>
        <w:t>a</w:t>
      </w:r>
      <w:r w:rsidR="00082011" w:rsidRPr="00F11127">
        <w:rPr>
          <w:rFonts w:asciiTheme="majorHAnsi" w:eastAsiaTheme="majorEastAsia" w:hAnsiTheme="majorHAnsi" w:cstheme="majorHAnsi"/>
          <w:sz w:val="22"/>
          <w:szCs w:val="22"/>
        </w:rPr>
        <w:t xml:space="preserve"> </w:t>
      </w:r>
      <w:r w:rsidR="004B5E58">
        <w:rPr>
          <w:rFonts w:asciiTheme="majorHAnsi" w:eastAsiaTheme="majorEastAsia" w:hAnsiTheme="majorHAnsi" w:cstheme="majorHAnsi"/>
          <w:sz w:val="22"/>
          <w:szCs w:val="22"/>
        </w:rPr>
        <w:t>Občina Ig.</w:t>
      </w:r>
    </w:p>
    <w:p w14:paraId="55A4A030" w14:textId="77777777" w:rsidR="004D4EB8" w:rsidRPr="00F11127" w:rsidRDefault="004D4EB8"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03" w:name="_Toc3698215"/>
      <w:bookmarkStart w:id="104" w:name="_Toc210033783"/>
      <w:r w:rsidRPr="00F11127">
        <w:rPr>
          <w:rFonts w:asciiTheme="majorHAnsi" w:eastAsiaTheme="majorEastAsia" w:hAnsiTheme="majorHAnsi" w:cstheme="majorHAnsi"/>
          <w:color w:val="244061" w:themeColor="accent1" w:themeShade="80"/>
        </w:rPr>
        <w:lastRenderedPageBreak/>
        <w:t>Zbirni prikaz rezultatov izračunov ter utemeljitev upravičenosti investicijskega projekta</w:t>
      </w:r>
      <w:bookmarkEnd w:id="103"/>
      <w:bookmarkEnd w:id="104"/>
    </w:p>
    <w:p w14:paraId="27A23744" w14:textId="33F0C85F" w:rsidR="004D4EB8" w:rsidRPr="00F11127" w:rsidRDefault="004D4EB8" w:rsidP="00BD1D20">
      <w:pPr>
        <w:pStyle w:val="Napis"/>
        <w:keepNext/>
        <w:spacing w:after="120" w:line="276" w:lineRule="auto"/>
        <w:rPr>
          <w:rFonts w:asciiTheme="majorHAnsi" w:hAnsiTheme="majorHAnsi" w:cstheme="majorHAnsi"/>
          <w:b w:val="0"/>
          <w:bCs w:val="0"/>
          <w:color w:val="auto"/>
          <w:sz w:val="22"/>
          <w:szCs w:val="22"/>
        </w:rPr>
      </w:pPr>
      <w:bookmarkStart w:id="105" w:name="_Toc3698129"/>
      <w:bookmarkStart w:id="106" w:name="_Toc209528293"/>
      <w:r w:rsidRPr="00F11127">
        <w:rPr>
          <w:rFonts w:asciiTheme="majorHAnsi" w:hAnsiTheme="majorHAnsi" w:cstheme="majorHAnsi"/>
          <w:b w:val="0"/>
          <w:bCs w:val="0"/>
          <w:color w:val="auto"/>
          <w:sz w:val="22"/>
          <w:szCs w:val="22"/>
        </w:rPr>
        <w:t xml:space="preserve">Tabela </w:t>
      </w:r>
      <w:r w:rsidRPr="00F11127">
        <w:rPr>
          <w:rFonts w:asciiTheme="majorHAnsi" w:hAnsiTheme="majorHAnsi" w:cstheme="majorHAnsi"/>
          <w:b w:val="0"/>
          <w:bCs w:val="0"/>
          <w:color w:val="auto"/>
          <w:sz w:val="22"/>
          <w:szCs w:val="22"/>
        </w:rPr>
        <w:fldChar w:fldCharType="begin"/>
      </w:r>
      <w:r w:rsidRPr="00F11127">
        <w:rPr>
          <w:rFonts w:asciiTheme="majorHAnsi" w:hAnsiTheme="majorHAnsi" w:cstheme="majorHAnsi"/>
          <w:b w:val="0"/>
          <w:bCs w:val="0"/>
          <w:color w:val="auto"/>
          <w:sz w:val="22"/>
          <w:szCs w:val="22"/>
        </w:rPr>
        <w:instrText xml:space="preserve"> SEQ Tabela \* ARABIC </w:instrText>
      </w:r>
      <w:r w:rsidRPr="00F11127">
        <w:rPr>
          <w:rFonts w:asciiTheme="majorHAnsi" w:hAnsiTheme="majorHAnsi" w:cstheme="majorHAnsi"/>
          <w:b w:val="0"/>
          <w:bCs w:val="0"/>
          <w:color w:val="auto"/>
          <w:sz w:val="22"/>
          <w:szCs w:val="22"/>
        </w:rPr>
        <w:fldChar w:fldCharType="separate"/>
      </w:r>
      <w:r w:rsidR="00E74D26">
        <w:rPr>
          <w:rFonts w:asciiTheme="majorHAnsi" w:hAnsiTheme="majorHAnsi" w:cstheme="majorHAnsi"/>
          <w:b w:val="0"/>
          <w:bCs w:val="0"/>
          <w:noProof/>
          <w:color w:val="auto"/>
          <w:sz w:val="22"/>
          <w:szCs w:val="22"/>
        </w:rPr>
        <w:t>7</w:t>
      </w:r>
      <w:r w:rsidRPr="00F11127">
        <w:rPr>
          <w:rFonts w:asciiTheme="majorHAnsi" w:hAnsiTheme="majorHAnsi" w:cstheme="majorHAnsi"/>
          <w:b w:val="0"/>
          <w:bCs w:val="0"/>
          <w:color w:val="auto"/>
          <w:sz w:val="22"/>
          <w:szCs w:val="22"/>
        </w:rPr>
        <w:fldChar w:fldCharType="end"/>
      </w:r>
      <w:r w:rsidRPr="00F11127">
        <w:rPr>
          <w:rFonts w:asciiTheme="majorHAnsi" w:hAnsiTheme="majorHAnsi" w:cstheme="majorHAnsi"/>
          <w:b w:val="0"/>
          <w:bCs w:val="0"/>
          <w:color w:val="auto"/>
          <w:sz w:val="22"/>
          <w:szCs w:val="22"/>
        </w:rPr>
        <w:t>:</w:t>
      </w:r>
      <w:r w:rsidR="0097393F" w:rsidRPr="00F11127">
        <w:rPr>
          <w:rFonts w:asciiTheme="majorHAnsi" w:hAnsiTheme="majorHAnsi" w:cstheme="majorHAnsi"/>
          <w:b w:val="0"/>
          <w:bCs w:val="0"/>
          <w:color w:val="auto"/>
          <w:sz w:val="22"/>
          <w:szCs w:val="22"/>
        </w:rPr>
        <w:t xml:space="preserve"> </w:t>
      </w:r>
      <w:r w:rsidRPr="00F11127">
        <w:rPr>
          <w:rFonts w:asciiTheme="majorHAnsi" w:hAnsiTheme="majorHAnsi" w:cstheme="majorHAnsi"/>
          <w:b w:val="0"/>
          <w:bCs w:val="0"/>
          <w:color w:val="auto"/>
          <w:sz w:val="22"/>
          <w:szCs w:val="22"/>
        </w:rPr>
        <w:t>Zbirni prikaz rezultatov izračunov celotnega projekta</w:t>
      </w:r>
      <w:bookmarkEnd w:id="105"/>
      <w:bookmarkEnd w:id="106"/>
    </w:p>
    <w:tbl>
      <w:tblPr>
        <w:tblStyle w:val="Svetlosenenjepoudarek12"/>
        <w:tblW w:w="5000" w:type="pct"/>
        <w:tblLook w:val="04A0" w:firstRow="1" w:lastRow="0" w:firstColumn="1" w:lastColumn="0" w:noHBand="0" w:noVBand="1"/>
      </w:tblPr>
      <w:tblGrid>
        <w:gridCol w:w="6876"/>
        <w:gridCol w:w="2479"/>
      </w:tblGrid>
      <w:tr w:rsidR="00E23F01" w:rsidRPr="00F11127" w14:paraId="5D5EAC6E" w14:textId="77777777" w:rsidTr="003F19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Pr>
          <w:p w14:paraId="152EFFC7" w14:textId="77777777" w:rsidR="004D4EB8" w:rsidRPr="00F11127" w:rsidRDefault="004D4EB8" w:rsidP="00BD1D20">
            <w:pPr>
              <w:spacing w:before="120" w:after="120" w:line="276" w:lineRule="auto"/>
              <w:rPr>
                <w:rFonts w:asciiTheme="majorHAnsi" w:eastAsia="Arial Unicode MS" w:hAnsiTheme="majorHAnsi" w:cstheme="majorHAnsi"/>
                <w:color w:val="auto"/>
                <w:sz w:val="22"/>
                <w:szCs w:val="22"/>
              </w:rPr>
            </w:pPr>
            <w:r w:rsidRPr="00F11127">
              <w:rPr>
                <w:rFonts w:asciiTheme="majorHAnsi" w:eastAsia="Arial Unicode MS" w:hAnsiTheme="majorHAnsi" w:cstheme="majorHAnsi"/>
                <w:color w:val="auto"/>
                <w:sz w:val="22"/>
                <w:szCs w:val="22"/>
              </w:rPr>
              <w:t>Kazalnik</w:t>
            </w:r>
          </w:p>
        </w:tc>
        <w:tc>
          <w:tcPr>
            <w:tcW w:w="1325" w:type="pct"/>
            <w:vAlign w:val="center"/>
          </w:tcPr>
          <w:p w14:paraId="47172120" w14:textId="77777777" w:rsidR="004D4EB8" w:rsidRPr="00F11127" w:rsidRDefault="004D4EB8" w:rsidP="00BD1D20">
            <w:pPr>
              <w:spacing w:before="120" w:after="120" w:line="276" w:lineRule="auto"/>
              <w:jc w:val="right"/>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sidRPr="00F11127">
              <w:rPr>
                <w:rFonts w:asciiTheme="majorHAnsi" w:eastAsia="Arial Unicode MS" w:hAnsiTheme="majorHAnsi" w:cstheme="majorHAnsi"/>
                <w:color w:val="auto"/>
                <w:sz w:val="22"/>
                <w:szCs w:val="22"/>
              </w:rPr>
              <w:t>Vrednost</w:t>
            </w:r>
          </w:p>
        </w:tc>
      </w:tr>
      <w:tr w:rsidR="007174DA" w:rsidRPr="00F11127" w14:paraId="4AAE0AE4" w14:textId="77777777" w:rsidTr="00717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Pr>
          <w:p w14:paraId="1409CFB4" w14:textId="4458B288" w:rsidR="007174DA" w:rsidRPr="00F11127" w:rsidRDefault="007174DA" w:rsidP="007174DA">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Skupna vrednost projekta v stalnih cenah z DDV (EUR)</w:t>
            </w:r>
          </w:p>
        </w:tc>
        <w:tc>
          <w:tcPr>
            <w:tcW w:w="1325" w:type="pct"/>
            <w:vAlign w:val="center"/>
          </w:tcPr>
          <w:p w14:paraId="5771FAC4" w14:textId="62141FCA" w:rsidR="007174DA" w:rsidRPr="00F54D1F" w:rsidRDefault="00166BFB" w:rsidP="007174DA">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sidRPr="00166BFB">
              <w:rPr>
                <w:rFonts w:ascii="Arial" w:hAnsi="Arial" w:cs="Arial"/>
                <w:color w:val="000000"/>
                <w:sz w:val="22"/>
                <w:szCs w:val="22"/>
              </w:rPr>
              <w:t>3.501.235,12</w:t>
            </w:r>
          </w:p>
        </w:tc>
      </w:tr>
      <w:tr w:rsidR="007174DA" w:rsidRPr="00F11127" w14:paraId="5BAC6A68" w14:textId="77777777" w:rsidTr="007174DA">
        <w:tc>
          <w:tcPr>
            <w:cnfStyle w:val="001000000000" w:firstRow="0" w:lastRow="0" w:firstColumn="1" w:lastColumn="0" w:oddVBand="0" w:evenVBand="0" w:oddHBand="0" w:evenHBand="0" w:firstRowFirstColumn="0" w:firstRowLastColumn="0" w:lastRowFirstColumn="0" w:lastRowLastColumn="0"/>
            <w:tcW w:w="3675" w:type="pct"/>
          </w:tcPr>
          <w:p w14:paraId="11E4B6EE" w14:textId="56C09584" w:rsidR="007174DA" w:rsidRPr="00F11127" w:rsidRDefault="007174DA" w:rsidP="007174DA">
            <w:pPr>
              <w:spacing w:before="120" w:after="120" w:line="276" w:lineRule="auto"/>
              <w:rPr>
                <w:rFonts w:asciiTheme="majorHAnsi" w:eastAsia="Arial Unicode MS" w:hAnsiTheme="majorHAnsi" w:cstheme="majorHAnsi"/>
                <w:sz w:val="22"/>
                <w:szCs w:val="22"/>
              </w:rPr>
            </w:pPr>
            <w:r w:rsidRPr="00F11127">
              <w:rPr>
                <w:rFonts w:asciiTheme="majorHAnsi" w:eastAsia="Arial Unicode MS" w:hAnsiTheme="majorHAnsi" w:cstheme="majorHAnsi"/>
                <w:b w:val="0"/>
                <w:color w:val="auto"/>
                <w:sz w:val="22"/>
                <w:szCs w:val="22"/>
              </w:rPr>
              <w:t>Skupna vrednost projekta v tekočih cenah z DDV (EUR)</w:t>
            </w:r>
          </w:p>
        </w:tc>
        <w:tc>
          <w:tcPr>
            <w:tcW w:w="1325" w:type="pct"/>
            <w:vAlign w:val="center"/>
          </w:tcPr>
          <w:p w14:paraId="0E4A83BC" w14:textId="479EF553" w:rsidR="007174DA" w:rsidRPr="00F54D1F" w:rsidRDefault="00166BFB" w:rsidP="007174DA">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sidRPr="00166BFB">
              <w:rPr>
                <w:rFonts w:ascii="Arial" w:hAnsi="Arial" w:cs="Arial"/>
                <w:color w:val="000000"/>
                <w:sz w:val="22"/>
                <w:szCs w:val="22"/>
              </w:rPr>
              <w:t>3.661.310,43</w:t>
            </w:r>
          </w:p>
        </w:tc>
      </w:tr>
      <w:tr w:rsidR="007174DA" w:rsidRPr="00F11127" w14:paraId="6A588C03" w14:textId="77777777" w:rsidTr="00717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Pr>
          <w:p w14:paraId="007B10F2" w14:textId="1BBCDE88" w:rsidR="007174DA" w:rsidRPr="00F11127" w:rsidRDefault="007174DA" w:rsidP="007174DA">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 xml:space="preserve">Prihodki projekta v letu </w:t>
            </w:r>
            <w:r w:rsidR="00056BE1">
              <w:rPr>
                <w:rFonts w:asciiTheme="majorHAnsi" w:eastAsia="Arial Unicode MS" w:hAnsiTheme="majorHAnsi" w:cstheme="majorHAnsi"/>
                <w:b w:val="0"/>
                <w:color w:val="auto"/>
                <w:sz w:val="22"/>
                <w:szCs w:val="22"/>
              </w:rPr>
              <w:t>20</w:t>
            </w:r>
            <w:r w:rsidR="00166BFB">
              <w:rPr>
                <w:rFonts w:asciiTheme="majorHAnsi" w:eastAsia="Arial Unicode MS" w:hAnsiTheme="majorHAnsi" w:cstheme="majorHAnsi"/>
                <w:b w:val="0"/>
                <w:color w:val="auto"/>
                <w:sz w:val="22"/>
                <w:szCs w:val="22"/>
              </w:rPr>
              <w:t>30</w:t>
            </w:r>
            <w:r w:rsidRPr="00F11127">
              <w:rPr>
                <w:rFonts w:asciiTheme="majorHAnsi" w:eastAsia="Arial Unicode MS" w:hAnsiTheme="majorHAnsi" w:cstheme="majorHAnsi"/>
                <w:b w:val="0"/>
                <w:color w:val="auto"/>
                <w:sz w:val="22"/>
                <w:szCs w:val="22"/>
              </w:rPr>
              <w:t xml:space="preserve"> (EUR)</w:t>
            </w:r>
          </w:p>
        </w:tc>
        <w:tc>
          <w:tcPr>
            <w:tcW w:w="1325" w:type="pct"/>
            <w:vAlign w:val="center"/>
          </w:tcPr>
          <w:p w14:paraId="0C45BC61" w14:textId="48D7A862" w:rsidR="007174DA" w:rsidRPr="00F54D1F" w:rsidRDefault="007174DA" w:rsidP="007174DA">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sidRPr="00F54D1F">
              <w:rPr>
                <w:rFonts w:ascii="Arial" w:hAnsi="Arial" w:cs="Arial"/>
                <w:color w:val="000000"/>
                <w:sz w:val="22"/>
                <w:szCs w:val="22"/>
              </w:rPr>
              <w:t>24.960</w:t>
            </w:r>
          </w:p>
        </w:tc>
      </w:tr>
      <w:tr w:rsidR="007174DA" w:rsidRPr="00F11127" w14:paraId="07E0B662" w14:textId="77777777" w:rsidTr="007174DA">
        <w:tc>
          <w:tcPr>
            <w:cnfStyle w:val="001000000000" w:firstRow="0" w:lastRow="0" w:firstColumn="1" w:lastColumn="0" w:oddVBand="0" w:evenVBand="0" w:oddHBand="0" w:evenHBand="0" w:firstRowFirstColumn="0" w:firstRowLastColumn="0" w:lastRowFirstColumn="0" w:lastRowLastColumn="0"/>
            <w:tcW w:w="3675" w:type="pct"/>
          </w:tcPr>
          <w:p w14:paraId="62002BF6" w14:textId="3AF74BFF" w:rsidR="007174DA" w:rsidRPr="00F11127" w:rsidRDefault="007174DA" w:rsidP="007174DA">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 xml:space="preserve">Operativni stroški projekta v letu </w:t>
            </w:r>
            <w:r w:rsidR="00056BE1">
              <w:rPr>
                <w:rFonts w:asciiTheme="majorHAnsi" w:eastAsia="Arial Unicode MS" w:hAnsiTheme="majorHAnsi" w:cstheme="majorHAnsi"/>
                <w:b w:val="0"/>
                <w:color w:val="auto"/>
                <w:sz w:val="22"/>
                <w:szCs w:val="22"/>
              </w:rPr>
              <w:t>20</w:t>
            </w:r>
            <w:r w:rsidR="00166BFB">
              <w:rPr>
                <w:rFonts w:asciiTheme="majorHAnsi" w:eastAsia="Arial Unicode MS" w:hAnsiTheme="majorHAnsi" w:cstheme="majorHAnsi"/>
                <w:b w:val="0"/>
                <w:color w:val="auto"/>
                <w:sz w:val="22"/>
                <w:szCs w:val="22"/>
              </w:rPr>
              <w:t>30</w:t>
            </w:r>
            <w:r w:rsidRPr="00F11127">
              <w:rPr>
                <w:rFonts w:asciiTheme="majorHAnsi" w:eastAsia="Arial Unicode MS" w:hAnsiTheme="majorHAnsi" w:cstheme="majorHAnsi"/>
                <w:b w:val="0"/>
                <w:color w:val="auto"/>
                <w:sz w:val="22"/>
                <w:szCs w:val="22"/>
              </w:rPr>
              <w:t xml:space="preserve"> – prvo leto </w:t>
            </w:r>
            <w:r w:rsidR="00166BFB">
              <w:rPr>
                <w:rFonts w:asciiTheme="majorHAnsi" w:eastAsia="Arial Unicode MS" w:hAnsiTheme="majorHAnsi" w:cstheme="majorHAnsi"/>
                <w:b w:val="0"/>
                <w:color w:val="auto"/>
                <w:sz w:val="22"/>
                <w:szCs w:val="22"/>
              </w:rPr>
              <w:t xml:space="preserve">polnega </w:t>
            </w:r>
            <w:r w:rsidRPr="00F11127">
              <w:rPr>
                <w:rFonts w:asciiTheme="majorHAnsi" w:eastAsia="Arial Unicode MS" w:hAnsiTheme="majorHAnsi" w:cstheme="majorHAnsi"/>
                <w:b w:val="0"/>
                <w:color w:val="auto"/>
                <w:sz w:val="22"/>
                <w:szCs w:val="22"/>
              </w:rPr>
              <w:t>obratovanja (EUR)</w:t>
            </w:r>
          </w:p>
        </w:tc>
        <w:tc>
          <w:tcPr>
            <w:tcW w:w="1325" w:type="pct"/>
            <w:vAlign w:val="center"/>
          </w:tcPr>
          <w:p w14:paraId="3BA36EDC" w14:textId="0DC50D55" w:rsidR="007174DA" w:rsidRPr="00F54D1F" w:rsidRDefault="00166BFB" w:rsidP="007174DA">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Pr>
                <w:rFonts w:ascii="Arial" w:hAnsi="Arial" w:cs="Arial"/>
                <w:color w:val="000000"/>
                <w:sz w:val="22"/>
                <w:szCs w:val="22"/>
              </w:rPr>
              <w:t>38</w:t>
            </w:r>
            <w:r w:rsidR="007174DA" w:rsidRPr="00F54D1F">
              <w:rPr>
                <w:rFonts w:ascii="Arial" w:hAnsi="Arial" w:cs="Arial"/>
                <w:color w:val="000000"/>
                <w:sz w:val="22"/>
                <w:szCs w:val="22"/>
              </w:rPr>
              <w:t>.</w:t>
            </w:r>
            <w:r>
              <w:rPr>
                <w:rFonts w:ascii="Arial" w:hAnsi="Arial" w:cs="Arial"/>
                <w:color w:val="000000"/>
                <w:sz w:val="22"/>
                <w:szCs w:val="22"/>
              </w:rPr>
              <w:t>78</w:t>
            </w:r>
            <w:r w:rsidR="007174DA" w:rsidRPr="00F54D1F">
              <w:rPr>
                <w:rFonts w:ascii="Arial" w:hAnsi="Arial" w:cs="Arial"/>
                <w:color w:val="000000"/>
                <w:sz w:val="22"/>
                <w:szCs w:val="22"/>
              </w:rPr>
              <w:t>0</w:t>
            </w:r>
          </w:p>
        </w:tc>
      </w:tr>
      <w:tr w:rsidR="007174DA" w:rsidRPr="00F11127" w14:paraId="6631CB5D" w14:textId="77777777" w:rsidTr="007174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Pr>
          <w:p w14:paraId="52C17384" w14:textId="77777777" w:rsidR="007174DA" w:rsidRPr="00F11127" w:rsidRDefault="007174DA" w:rsidP="007174DA">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Ostanek vrednosti projekta (EUR)</w:t>
            </w:r>
          </w:p>
        </w:tc>
        <w:tc>
          <w:tcPr>
            <w:tcW w:w="1325" w:type="pct"/>
            <w:vAlign w:val="center"/>
          </w:tcPr>
          <w:p w14:paraId="62796558" w14:textId="28F8FADD" w:rsidR="007174DA" w:rsidRPr="00F54D1F" w:rsidRDefault="00166BFB" w:rsidP="007174DA">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sidRPr="00166BFB">
              <w:rPr>
                <w:rFonts w:ascii="Arial" w:hAnsi="Arial" w:cs="Arial"/>
                <w:color w:val="000000"/>
                <w:sz w:val="22"/>
                <w:szCs w:val="22"/>
              </w:rPr>
              <w:t>672.471</w:t>
            </w:r>
            <w:r>
              <w:rPr>
                <w:rFonts w:ascii="Arial" w:hAnsi="Arial" w:cs="Arial"/>
                <w:color w:val="000000"/>
                <w:sz w:val="22"/>
                <w:szCs w:val="22"/>
              </w:rPr>
              <w:t>,25</w:t>
            </w:r>
          </w:p>
        </w:tc>
      </w:tr>
      <w:tr w:rsidR="005C210B" w:rsidRPr="00F11127" w14:paraId="3495D675" w14:textId="77777777" w:rsidTr="00DE4E30">
        <w:tc>
          <w:tcPr>
            <w:cnfStyle w:val="001000000000" w:firstRow="0" w:lastRow="0" w:firstColumn="1" w:lastColumn="0" w:oddVBand="0" w:evenVBand="0" w:oddHBand="0" w:evenHBand="0" w:firstRowFirstColumn="0" w:firstRowLastColumn="0" w:lastRowFirstColumn="0" w:lastRowLastColumn="0"/>
            <w:tcW w:w="3675" w:type="pct"/>
          </w:tcPr>
          <w:p w14:paraId="1F53AC4B" w14:textId="77777777" w:rsidR="005C210B" w:rsidRPr="00F11127" w:rsidRDefault="005C210B" w:rsidP="005C210B">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Finančna neto sedanja vrednost projekta v EUR</w:t>
            </w:r>
          </w:p>
        </w:tc>
        <w:tc>
          <w:tcPr>
            <w:tcW w:w="1325" w:type="pct"/>
            <w:vAlign w:val="bottom"/>
          </w:tcPr>
          <w:p w14:paraId="6805763C" w14:textId="7011AE99" w:rsidR="005C210B" w:rsidRPr="00F54D1F" w:rsidRDefault="00166BFB" w:rsidP="005C210B">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sidRPr="00166BFB">
              <w:rPr>
                <w:rFonts w:ascii="Arial" w:hAnsi="Arial" w:cs="Arial"/>
                <w:color w:val="000000"/>
                <w:sz w:val="22"/>
                <w:szCs w:val="22"/>
              </w:rPr>
              <w:t>-3.304.864</w:t>
            </w:r>
          </w:p>
        </w:tc>
      </w:tr>
      <w:tr w:rsidR="005C210B" w:rsidRPr="00F11127" w14:paraId="50EB58AB" w14:textId="77777777" w:rsidTr="00DE4E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Pr>
          <w:p w14:paraId="7351073D" w14:textId="77777777" w:rsidR="005C210B" w:rsidRPr="00F11127" w:rsidRDefault="005C210B" w:rsidP="005C210B">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Finančna interna stopnja donosnosti (%)</w:t>
            </w:r>
          </w:p>
        </w:tc>
        <w:tc>
          <w:tcPr>
            <w:tcW w:w="1325" w:type="pct"/>
            <w:vAlign w:val="bottom"/>
          </w:tcPr>
          <w:p w14:paraId="068FACF8" w14:textId="0F81CEE4" w:rsidR="005C210B" w:rsidRPr="00F54D1F" w:rsidRDefault="005C210B" w:rsidP="005C210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sidRPr="00F54D1F">
              <w:rPr>
                <w:rFonts w:ascii="Arial" w:hAnsi="Arial" w:cs="Arial"/>
                <w:color w:val="000000"/>
                <w:sz w:val="22"/>
                <w:szCs w:val="22"/>
              </w:rPr>
              <w:t>-7,</w:t>
            </w:r>
            <w:r w:rsidR="00166BFB">
              <w:rPr>
                <w:rFonts w:ascii="Arial" w:hAnsi="Arial" w:cs="Arial"/>
                <w:color w:val="000000"/>
                <w:sz w:val="22"/>
                <w:szCs w:val="22"/>
              </w:rPr>
              <w:t>85</w:t>
            </w:r>
            <w:r w:rsidRPr="00F54D1F">
              <w:rPr>
                <w:rFonts w:ascii="Arial" w:hAnsi="Arial" w:cs="Arial"/>
                <w:color w:val="000000"/>
                <w:sz w:val="22"/>
                <w:szCs w:val="22"/>
              </w:rPr>
              <w:t>%</w:t>
            </w:r>
          </w:p>
        </w:tc>
      </w:tr>
      <w:tr w:rsidR="003D3FC3" w:rsidRPr="00F11127" w14:paraId="4C824918" w14:textId="77777777" w:rsidTr="00CF7826">
        <w:tc>
          <w:tcPr>
            <w:cnfStyle w:val="001000000000" w:firstRow="0" w:lastRow="0" w:firstColumn="1" w:lastColumn="0" w:oddVBand="0" w:evenVBand="0" w:oddHBand="0" w:evenHBand="0" w:firstRowFirstColumn="0" w:firstRowLastColumn="0" w:lastRowFirstColumn="0" w:lastRowLastColumn="0"/>
            <w:tcW w:w="3675" w:type="pct"/>
          </w:tcPr>
          <w:p w14:paraId="6FB58943" w14:textId="77777777" w:rsidR="003D3FC3" w:rsidRPr="00F11127" w:rsidRDefault="003D3FC3" w:rsidP="00BD1D20">
            <w:pPr>
              <w:tabs>
                <w:tab w:val="left" w:pos="3885"/>
              </w:tabs>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Finančna relativna neto sedanja vrednost projekta</w:t>
            </w:r>
          </w:p>
        </w:tc>
        <w:tc>
          <w:tcPr>
            <w:tcW w:w="1325" w:type="pct"/>
            <w:vAlign w:val="center"/>
          </w:tcPr>
          <w:p w14:paraId="225FB3D2" w14:textId="7982FEDA" w:rsidR="003D3FC3" w:rsidRPr="00F54D1F" w:rsidRDefault="00A80D58" w:rsidP="00BD1D20">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2"/>
                <w:szCs w:val="22"/>
              </w:rPr>
            </w:pPr>
            <w:r w:rsidRPr="00F54D1F">
              <w:rPr>
                <w:rFonts w:asciiTheme="majorHAnsi" w:hAnsiTheme="majorHAnsi" w:cstheme="majorHAnsi"/>
                <w:color w:val="000000"/>
                <w:sz w:val="22"/>
                <w:szCs w:val="22"/>
              </w:rPr>
              <w:t>-</w:t>
            </w:r>
            <w:r w:rsidR="00166BFB">
              <w:rPr>
                <w:rFonts w:asciiTheme="majorHAnsi" w:hAnsiTheme="majorHAnsi" w:cstheme="majorHAnsi"/>
                <w:color w:val="000000"/>
                <w:sz w:val="22"/>
                <w:szCs w:val="22"/>
              </w:rPr>
              <w:t>1,03</w:t>
            </w:r>
          </w:p>
        </w:tc>
      </w:tr>
      <w:tr w:rsidR="00A80D58" w:rsidRPr="00F11127" w14:paraId="6AC2B5DA" w14:textId="77777777" w:rsidTr="00EA7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vAlign w:val="bottom"/>
          </w:tcPr>
          <w:p w14:paraId="3D3AF456" w14:textId="77777777" w:rsidR="00A80D58" w:rsidRPr="00F11127" w:rsidRDefault="00A80D58" w:rsidP="00A80D58">
            <w:pPr>
              <w:tabs>
                <w:tab w:val="left" w:pos="3885"/>
              </w:tabs>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Neto sedanja vrednost (ENSV)</w:t>
            </w:r>
          </w:p>
        </w:tc>
        <w:tc>
          <w:tcPr>
            <w:tcW w:w="1325" w:type="pct"/>
            <w:vAlign w:val="bottom"/>
          </w:tcPr>
          <w:p w14:paraId="19BC602F" w14:textId="249CCAF4" w:rsidR="00A80D58" w:rsidRPr="00F54D1F" w:rsidRDefault="00166BFB" w:rsidP="00A80D58">
            <w:pPr>
              <w:tabs>
                <w:tab w:val="left" w:pos="3885"/>
              </w:tabs>
              <w:spacing w:before="120" w:after="120"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sidRPr="00166BFB">
              <w:rPr>
                <w:rFonts w:ascii="Arial" w:hAnsi="Arial" w:cs="Arial"/>
                <w:color w:val="000000"/>
                <w:sz w:val="22"/>
                <w:szCs w:val="22"/>
              </w:rPr>
              <w:t>3.290.241</w:t>
            </w:r>
          </w:p>
        </w:tc>
      </w:tr>
      <w:tr w:rsidR="00A80D58" w:rsidRPr="00F11127" w14:paraId="43C4EB6A" w14:textId="77777777" w:rsidTr="00EA7305">
        <w:tc>
          <w:tcPr>
            <w:cnfStyle w:val="001000000000" w:firstRow="0" w:lastRow="0" w:firstColumn="1" w:lastColumn="0" w:oddVBand="0" w:evenVBand="0" w:oddHBand="0" w:evenHBand="0" w:firstRowFirstColumn="0" w:firstRowLastColumn="0" w:lastRowFirstColumn="0" w:lastRowLastColumn="0"/>
            <w:tcW w:w="3675" w:type="pct"/>
            <w:vAlign w:val="bottom"/>
          </w:tcPr>
          <w:p w14:paraId="4AC750AC" w14:textId="77777777" w:rsidR="00A80D58" w:rsidRPr="00F11127" w:rsidRDefault="00A80D58" w:rsidP="00A80D58">
            <w:pPr>
              <w:tabs>
                <w:tab w:val="left" w:pos="3885"/>
              </w:tabs>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Ekonomska stopnja donosa (ESD)</w:t>
            </w:r>
          </w:p>
        </w:tc>
        <w:tc>
          <w:tcPr>
            <w:tcW w:w="1325" w:type="pct"/>
            <w:vAlign w:val="bottom"/>
          </w:tcPr>
          <w:p w14:paraId="5B6EC693" w14:textId="31705EEF" w:rsidR="00A80D58" w:rsidRPr="00F54D1F" w:rsidRDefault="00166BFB" w:rsidP="00A80D58">
            <w:pPr>
              <w:tabs>
                <w:tab w:val="left" w:pos="3885"/>
              </w:tabs>
              <w:spacing w:before="120" w:after="120" w:line="276" w:lineRule="auto"/>
              <w:jc w:val="right"/>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Pr>
                <w:rFonts w:ascii="Arial" w:hAnsi="Arial" w:cs="Arial"/>
                <w:color w:val="000000"/>
                <w:sz w:val="22"/>
                <w:szCs w:val="22"/>
              </w:rPr>
              <w:t>13,58</w:t>
            </w:r>
            <w:r w:rsidR="00A80D58" w:rsidRPr="00F54D1F">
              <w:rPr>
                <w:rFonts w:ascii="Arial" w:hAnsi="Arial" w:cs="Arial"/>
                <w:color w:val="000000"/>
                <w:sz w:val="22"/>
                <w:szCs w:val="22"/>
              </w:rPr>
              <w:t>%</w:t>
            </w:r>
          </w:p>
        </w:tc>
      </w:tr>
      <w:tr w:rsidR="00A80D58" w:rsidRPr="00F11127" w14:paraId="7B1D841F" w14:textId="77777777" w:rsidTr="00EA7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vAlign w:val="bottom"/>
          </w:tcPr>
          <w:p w14:paraId="74881E91" w14:textId="77777777" w:rsidR="00A80D58" w:rsidRPr="00F11127" w:rsidRDefault="00A80D58" w:rsidP="00A80D58">
            <w:pPr>
              <w:tabs>
                <w:tab w:val="left" w:pos="3885"/>
              </w:tabs>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Relativna neto sedanja vrednost (</w:t>
            </w:r>
            <w:proofErr w:type="spellStart"/>
            <w:r w:rsidRPr="00F11127">
              <w:rPr>
                <w:rFonts w:asciiTheme="majorHAnsi" w:eastAsia="Arial Unicode MS" w:hAnsiTheme="majorHAnsi" w:cstheme="majorHAnsi"/>
                <w:b w:val="0"/>
                <w:color w:val="auto"/>
                <w:sz w:val="22"/>
                <w:szCs w:val="22"/>
              </w:rPr>
              <w:t>ErNSV</w:t>
            </w:r>
            <w:proofErr w:type="spellEnd"/>
            <w:r w:rsidRPr="00F11127">
              <w:rPr>
                <w:rFonts w:asciiTheme="majorHAnsi" w:eastAsia="Arial Unicode MS" w:hAnsiTheme="majorHAnsi" w:cstheme="majorHAnsi"/>
                <w:b w:val="0"/>
                <w:color w:val="auto"/>
                <w:sz w:val="22"/>
                <w:szCs w:val="22"/>
              </w:rPr>
              <w:t>)</w:t>
            </w:r>
          </w:p>
        </w:tc>
        <w:tc>
          <w:tcPr>
            <w:tcW w:w="1325" w:type="pct"/>
            <w:vAlign w:val="bottom"/>
          </w:tcPr>
          <w:p w14:paraId="25099172" w14:textId="39068AEE" w:rsidR="00A80D58" w:rsidRPr="00F54D1F" w:rsidRDefault="00166BFB" w:rsidP="00A80D58">
            <w:pPr>
              <w:tabs>
                <w:tab w:val="left" w:pos="3885"/>
              </w:tabs>
              <w:spacing w:before="120" w:after="120" w:line="276" w:lineRule="auto"/>
              <w:jc w:val="right"/>
              <w:cnfStyle w:val="000000100000" w:firstRow="0" w:lastRow="0" w:firstColumn="0" w:lastColumn="0" w:oddVBand="0" w:evenVBand="0" w:oddHBand="1" w:evenHBand="0" w:firstRowFirstColumn="0" w:firstRowLastColumn="0" w:lastRowFirstColumn="0" w:lastRowLastColumn="0"/>
              <w:rPr>
                <w:rFonts w:asciiTheme="majorHAnsi" w:eastAsia="Arial Unicode MS" w:hAnsiTheme="majorHAnsi" w:cstheme="majorHAnsi"/>
                <w:color w:val="auto"/>
                <w:sz w:val="22"/>
                <w:szCs w:val="22"/>
              </w:rPr>
            </w:pPr>
            <w:r>
              <w:rPr>
                <w:rFonts w:ascii="Arial" w:hAnsi="Arial" w:cs="Arial"/>
                <w:color w:val="000000"/>
                <w:sz w:val="22"/>
                <w:szCs w:val="22"/>
              </w:rPr>
              <w:t>1,27</w:t>
            </w:r>
          </w:p>
        </w:tc>
      </w:tr>
      <w:tr w:rsidR="00A80D58" w:rsidRPr="00F11127" w14:paraId="0F6A2F95" w14:textId="77777777" w:rsidTr="00EA7305">
        <w:tc>
          <w:tcPr>
            <w:cnfStyle w:val="001000000000" w:firstRow="0" w:lastRow="0" w:firstColumn="1" w:lastColumn="0" w:oddVBand="0" w:evenVBand="0" w:oddHBand="0" w:evenHBand="0" w:firstRowFirstColumn="0" w:firstRowLastColumn="0" w:lastRowFirstColumn="0" w:lastRowLastColumn="0"/>
            <w:tcW w:w="3675" w:type="pct"/>
            <w:vAlign w:val="bottom"/>
          </w:tcPr>
          <w:p w14:paraId="3662A4EE" w14:textId="77777777" w:rsidR="00A80D58" w:rsidRPr="00F11127" w:rsidRDefault="00A80D58" w:rsidP="00A80D58">
            <w:pPr>
              <w:tabs>
                <w:tab w:val="left" w:pos="3885"/>
              </w:tabs>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Razmerje med koristmi in stroški (B/</w:t>
            </w:r>
            <w:proofErr w:type="spellStart"/>
            <w:r w:rsidRPr="00F11127">
              <w:rPr>
                <w:rFonts w:asciiTheme="majorHAnsi" w:eastAsia="Arial Unicode MS" w:hAnsiTheme="majorHAnsi" w:cstheme="majorHAnsi"/>
                <w:b w:val="0"/>
                <w:color w:val="auto"/>
                <w:sz w:val="22"/>
                <w:szCs w:val="22"/>
              </w:rPr>
              <w:t>Cratio</w:t>
            </w:r>
            <w:proofErr w:type="spellEnd"/>
            <w:r w:rsidRPr="00F11127">
              <w:rPr>
                <w:rFonts w:asciiTheme="majorHAnsi" w:eastAsia="Arial Unicode MS" w:hAnsiTheme="majorHAnsi" w:cstheme="majorHAnsi"/>
                <w:b w:val="0"/>
                <w:color w:val="auto"/>
                <w:sz w:val="22"/>
                <w:szCs w:val="22"/>
              </w:rPr>
              <w:t>)</w:t>
            </w:r>
          </w:p>
        </w:tc>
        <w:tc>
          <w:tcPr>
            <w:tcW w:w="1325" w:type="pct"/>
            <w:vAlign w:val="bottom"/>
          </w:tcPr>
          <w:p w14:paraId="015E081F" w14:textId="7DCAC521" w:rsidR="00A80D58" w:rsidRPr="00F54D1F" w:rsidRDefault="00A80D58" w:rsidP="00A80D58">
            <w:pPr>
              <w:tabs>
                <w:tab w:val="left" w:pos="3885"/>
              </w:tabs>
              <w:spacing w:before="120" w:after="120" w:line="276" w:lineRule="auto"/>
              <w:jc w:val="right"/>
              <w:cnfStyle w:val="000000000000" w:firstRow="0"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sidRPr="00F54D1F">
              <w:rPr>
                <w:rFonts w:ascii="Arial" w:hAnsi="Arial" w:cs="Arial"/>
                <w:color w:val="000000"/>
                <w:sz w:val="22"/>
                <w:szCs w:val="22"/>
              </w:rPr>
              <w:t>2,</w:t>
            </w:r>
            <w:r w:rsidR="00166BFB">
              <w:rPr>
                <w:rFonts w:ascii="Arial" w:hAnsi="Arial" w:cs="Arial"/>
                <w:color w:val="000000"/>
                <w:sz w:val="22"/>
                <w:szCs w:val="22"/>
              </w:rPr>
              <w:t>02</w:t>
            </w:r>
          </w:p>
        </w:tc>
      </w:tr>
    </w:tbl>
    <w:p w14:paraId="77B021F2" w14:textId="77777777" w:rsidR="006B14FF" w:rsidRPr="00F11127" w:rsidRDefault="006B14FF" w:rsidP="00BD1D20">
      <w:pPr>
        <w:spacing w:line="276" w:lineRule="auto"/>
        <w:rPr>
          <w:rFonts w:asciiTheme="majorHAnsi" w:eastAsiaTheme="majorEastAsia" w:hAnsiTheme="majorHAnsi" w:cstheme="majorHAnsi"/>
          <w:b/>
          <w:bCs/>
          <w:color w:val="365F91" w:themeColor="accent1" w:themeShade="BF"/>
          <w:sz w:val="28"/>
          <w:szCs w:val="28"/>
        </w:rPr>
      </w:pPr>
      <w:bookmarkStart w:id="107" w:name="_Toc3698216"/>
      <w:r w:rsidRPr="00F11127">
        <w:rPr>
          <w:rFonts w:asciiTheme="majorHAnsi" w:hAnsiTheme="majorHAnsi" w:cstheme="majorHAnsi"/>
        </w:rPr>
        <w:br w:type="page"/>
      </w:r>
    </w:p>
    <w:p w14:paraId="3B133CCF" w14:textId="77777777" w:rsidR="00000766" w:rsidRPr="00F11127" w:rsidRDefault="00000766" w:rsidP="00BD1D20">
      <w:pPr>
        <w:pStyle w:val="Naslov1"/>
        <w:numPr>
          <w:ilvl w:val="0"/>
          <w:numId w:val="3"/>
        </w:numPr>
        <w:rPr>
          <w:rFonts w:cstheme="majorHAnsi"/>
        </w:rPr>
      </w:pPr>
      <w:bookmarkStart w:id="108" w:name="_Toc210033784"/>
      <w:r w:rsidRPr="00F11127">
        <w:rPr>
          <w:rFonts w:cstheme="majorHAnsi"/>
        </w:rPr>
        <w:lastRenderedPageBreak/>
        <w:t>OSNOVNI PODATKI O INVESTITORJU IN UPRAVLJAVCU, PARTNERJU IN IZDELOVALCU INVESTICIJSKE DOKUMENTACIJE</w:t>
      </w:r>
      <w:bookmarkEnd w:id="107"/>
      <w:bookmarkEnd w:id="108"/>
      <w:r w:rsidRPr="00F11127">
        <w:rPr>
          <w:rFonts w:cstheme="majorHAnsi"/>
        </w:rPr>
        <w:t xml:space="preserve"> </w:t>
      </w:r>
    </w:p>
    <w:p w14:paraId="0BB0520B" w14:textId="20D659F2" w:rsidR="00331252" w:rsidRPr="00F11127" w:rsidRDefault="0033125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09" w:name="_Toc210033785"/>
      <w:r w:rsidRPr="00F11127">
        <w:rPr>
          <w:rFonts w:asciiTheme="majorHAnsi" w:eastAsiaTheme="majorEastAsia" w:hAnsiTheme="majorHAnsi" w:cstheme="majorHAnsi"/>
          <w:color w:val="244061" w:themeColor="accent1" w:themeShade="80"/>
        </w:rPr>
        <w:t>Osnovni podatki o naročniku</w:t>
      </w:r>
      <w:r w:rsidR="005820BB">
        <w:rPr>
          <w:rFonts w:asciiTheme="majorHAnsi" w:eastAsiaTheme="majorEastAsia" w:hAnsiTheme="majorHAnsi" w:cstheme="majorHAnsi"/>
          <w:color w:val="244061" w:themeColor="accent1" w:themeShade="80"/>
        </w:rPr>
        <w:t>, investitorju</w:t>
      </w:r>
      <w:r w:rsidRPr="00F11127">
        <w:rPr>
          <w:rFonts w:asciiTheme="majorHAnsi" w:eastAsiaTheme="majorEastAsia" w:hAnsiTheme="majorHAnsi" w:cstheme="majorHAnsi"/>
          <w:color w:val="244061" w:themeColor="accent1" w:themeShade="80"/>
        </w:rPr>
        <w:t xml:space="preserve"> in upravljavcu</w:t>
      </w:r>
      <w:bookmarkEnd w:id="109"/>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0A0" w:firstRow="1" w:lastRow="0" w:firstColumn="1" w:lastColumn="0" w:noHBand="0" w:noVBand="0"/>
      </w:tblPr>
      <w:tblGrid>
        <w:gridCol w:w="3038"/>
        <w:gridCol w:w="6271"/>
      </w:tblGrid>
      <w:tr w:rsidR="00A24D61" w:rsidRPr="00F11127" w14:paraId="088DE73C" w14:textId="77777777" w:rsidTr="0093689D">
        <w:tc>
          <w:tcPr>
            <w:tcW w:w="1632" w:type="pct"/>
            <w:shd w:val="clear" w:color="auto" w:fill="DBE5F1"/>
            <w:vAlign w:val="center"/>
          </w:tcPr>
          <w:p w14:paraId="19172594"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NAZIV</w:t>
            </w:r>
          </w:p>
        </w:tc>
        <w:tc>
          <w:tcPr>
            <w:tcW w:w="3368" w:type="pct"/>
          </w:tcPr>
          <w:p w14:paraId="280951A5" w14:textId="77777777" w:rsidR="00A24D61" w:rsidRPr="00B26BA7" w:rsidRDefault="00A24D61" w:rsidP="0093689D">
            <w:pPr>
              <w:autoSpaceDE w:val="0"/>
              <w:autoSpaceDN w:val="0"/>
              <w:adjustRightInd w:val="0"/>
              <w:spacing w:line="276" w:lineRule="auto"/>
              <w:jc w:val="both"/>
              <w:rPr>
                <w:rFonts w:asciiTheme="majorHAnsi" w:eastAsia="Arial Unicode MS" w:hAnsiTheme="majorHAnsi" w:cstheme="majorHAnsi"/>
                <w:b/>
                <w:bCs/>
                <w:color w:val="000000"/>
                <w:sz w:val="22"/>
                <w:szCs w:val="22"/>
                <w:lang w:eastAsia="en-US"/>
              </w:rPr>
            </w:pPr>
            <w:r w:rsidRPr="00B26BA7">
              <w:rPr>
                <w:rFonts w:asciiTheme="majorHAnsi" w:eastAsia="Arial Unicode MS" w:hAnsiTheme="majorHAnsi" w:cstheme="majorHAnsi"/>
                <w:b/>
                <w:bCs/>
                <w:color w:val="000000"/>
                <w:sz w:val="22"/>
                <w:szCs w:val="22"/>
                <w:lang w:eastAsia="en-US"/>
              </w:rPr>
              <w:t>Občina Ig</w:t>
            </w:r>
          </w:p>
        </w:tc>
      </w:tr>
      <w:tr w:rsidR="00A24D61" w:rsidRPr="00F11127" w14:paraId="11C0AA5E" w14:textId="77777777" w:rsidTr="0093689D">
        <w:tc>
          <w:tcPr>
            <w:tcW w:w="1632" w:type="pct"/>
            <w:shd w:val="clear" w:color="auto" w:fill="DBE5F1"/>
            <w:vAlign w:val="center"/>
          </w:tcPr>
          <w:p w14:paraId="46EC966E"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NASLOV</w:t>
            </w:r>
          </w:p>
        </w:tc>
        <w:tc>
          <w:tcPr>
            <w:tcW w:w="3368" w:type="pct"/>
          </w:tcPr>
          <w:p w14:paraId="7D53C52F"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B26BA7">
              <w:rPr>
                <w:rFonts w:asciiTheme="majorHAnsi" w:eastAsia="Arial Unicode MS" w:hAnsiTheme="majorHAnsi" w:cstheme="majorHAnsi"/>
                <w:color w:val="000000"/>
                <w:sz w:val="22"/>
                <w:szCs w:val="22"/>
                <w:lang w:eastAsia="en-US"/>
              </w:rPr>
              <w:t>Govekarjeva cesta 6, 1292 Ig</w:t>
            </w:r>
          </w:p>
        </w:tc>
      </w:tr>
      <w:tr w:rsidR="00A24D61" w:rsidRPr="00F11127" w14:paraId="533EEF50" w14:textId="77777777" w:rsidTr="0093689D">
        <w:tc>
          <w:tcPr>
            <w:tcW w:w="1632" w:type="pct"/>
            <w:shd w:val="clear" w:color="auto" w:fill="DBE5F1"/>
            <w:vAlign w:val="center"/>
          </w:tcPr>
          <w:p w14:paraId="2754893A"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KONTAKT</w:t>
            </w:r>
          </w:p>
        </w:tc>
        <w:tc>
          <w:tcPr>
            <w:tcW w:w="3368" w:type="pct"/>
          </w:tcPr>
          <w:p w14:paraId="71214EEF" w14:textId="77777777" w:rsidR="00A24D61" w:rsidRPr="00FF5FF0"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Pr>
                <w:rFonts w:asciiTheme="majorHAnsi" w:eastAsia="Arial Unicode MS" w:hAnsiTheme="majorHAnsi" w:cstheme="majorHAnsi"/>
                <w:color w:val="000000"/>
                <w:sz w:val="22"/>
                <w:szCs w:val="22"/>
                <w:lang w:eastAsia="en-US"/>
              </w:rPr>
              <w:t xml:space="preserve">T: </w:t>
            </w:r>
            <w:r w:rsidRPr="00FF5FF0">
              <w:rPr>
                <w:rFonts w:asciiTheme="majorHAnsi" w:eastAsia="Arial Unicode MS" w:hAnsiTheme="majorHAnsi" w:cstheme="majorHAnsi"/>
                <w:color w:val="000000"/>
                <w:sz w:val="22"/>
                <w:szCs w:val="22"/>
                <w:lang w:eastAsia="en-US"/>
              </w:rPr>
              <w:t>01 280 23 00</w:t>
            </w:r>
          </w:p>
          <w:p w14:paraId="25DE1100"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Pr>
                <w:rFonts w:asciiTheme="majorHAnsi" w:eastAsia="Arial Unicode MS" w:hAnsiTheme="majorHAnsi" w:cstheme="majorHAnsi"/>
                <w:color w:val="000000"/>
                <w:sz w:val="22"/>
                <w:szCs w:val="22"/>
                <w:lang w:eastAsia="en-US"/>
              </w:rPr>
              <w:t xml:space="preserve">E: </w:t>
            </w:r>
            <w:r w:rsidRPr="00FF5FF0">
              <w:rPr>
                <w:rFonts w:asciiTheme="majorHAnsi" w:eastAsia="Arial Unicode MS" w:hAnsiTheme="majorHAnsi" w:cstheme="majorHAnsi"/>
                <w:color w:val="000000"/>
                <w:sz w:val="22"/>
                <w:szCs w:val="22"/>
                <w:lang w:eastAsia="en-US"/>
              </w:rPr>
              <w:t>info@obcina-ig.si</w:t>
            </w:r>
          </w:p>
        </w:tc>
      </w:tr>
      <w:tr w:rsidR="00A24D61" w:rsidRPr="00F11127" w14:paraId="5F5AF621" w14:textId="77777777" w:rsidTr="0093689D">
        <w:tc>
          <w:tcPr>
            <w:tcW w:w="1632" w:type="pct"/>
            <w:shd w:val="clear" w:color="auto" w:fill="DBE5F1"/>
            <w:vAlign w:val="center"/>
          </w:tcPr>
          <w:p w14:paraId="306FA063"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MATIČNA ŠTEVILKA</w:t>
            </w:r>
          </w:p>
        </w:tc>
        <w:tc>
          <w:tcPr>
            <w:tcW w:w="3368" w:type="pct"/>
          </w:tcPr>
          <w:p w14:paraId="4568C504"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F71185">
              <w:rPr>
                <w:rFonts w:asciiTheme="majorHAnsi" w:eastAsia="Arial Unicode MS" w:hAnsiTheme="majorHAnsi" w:cstheme="majorHAnsi"/>
                <w:color w:val="000000"/>
                <w:sz w:val="22"/>
                <w:szCs w:val="22"/>
                <w:lang w:eastAsia="en-US"/>
              </w:rPr>
              <w:t>5874769000</w:t>
            </w:r>
          </w:p>
        </w:tc>
      </w:tr>
      <w:tr w:rsidR="00A24D61" w:rsidRPr="00F11127" w14:paraId="6CC8B2BD" w14:textId="77777777" w:rsidTr="0093689D">
        <w:tc>
          <w:tcPr>
            <w:tcW w:w="1632" w:type="pct"/>
            <w:shd w:val="clear" w:color="auto" w:fill="DBE5F1"/>
            <w:vAlign w:val="center"/>
          </w:tcPr>
          <w:p w14:paraId="3FA13B5C"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DAVČNA ŠTEVILKA</w:t>
            </w:r>
          </w:p>
        </w:tc>
        <w:tc>
          <w:tcPr>
            <w:tcW w:w="3368" w:type="pct"/>
          </w:tcPr>
          <w:p w14:paraId="276F1D6D"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D4410C">
              <w:rPr>
                <w:rFonts w:asciiTheme="majorHAnsi" w:eastAsia="Arial Unicode MS" w:hAnsiTheme="majorHAnsi" w:cstheme="majorHAnsi"/>
                <w:color w:val="000000"/>
                <w:sz w:val="22"/>
                <w:szCs w:val="22"/>
                <w:lang w:eastAsia="en-US"/>
              </w:rPr>
              <w:t>SI 47731206</w:t>
            </w:r>
          </w:p>
        </w:tc>
      </w:tr>
      <w:tr w:rsidR="00A24D61" w:rsidRPr="00F11127" w14:paraId="0FDE461F" w14:textId="77777777" w:rsidTr="0093689D">
        <w:tc>
          <w:tcPr>
            <w:tcW w:w="1632" w:type="pct"/>
            <w:shd w:val="clear" w:color="auto" w:fill="DBE5F1"/>
            <w:vAlign w:val="center"/>
          </w:tcPr>
          <w:p w14:paraId="6A7DFC30"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ŠIFRA DEJAVNOSTI</w:t>
            </w:r>
          </w:p>
        </w:tc>
        <w:tc>
          <w:tcPr>
            <w:tcW w:w="3368" w:type="pct"/>
          </w:tcPr>
          <w:p w14:paraId="7E409D44"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3B764F">
              <w:rPr>
                <w:rFonts w:asciiTheme="majorHAnsi" w:eastAsia="Arial Unicode MS" w:hAnsiTheme="majorHAnsi" w:cstheme="majorHAnsi"/>
                <w:color w:val="000000"/>
                <w:sz w:val="22"/>
                <w:szCs w:val="22"/>
                <w:lang w:eastAsia="en-US"/>
              </w:rPr>
              <w:t xml:space="preserve">84.110 (Splošna </w:t>
            </w:r>
            <w:proofErr w:type="spellStart"/>
            <w:r w:rsidRPr="003B764F">
              <w:rPr>
                <w:rFonts w:asciiTheme="majorHAnsi" w:eastAsia="Arial Unicode MS" w:hAnsiTheme="majorHAnsi" w:cstheme="majorHAnsi"/>
                <w:color w:val="000000"/>
                <w:sz w:val="22"/>
                <w:szCs w:val="22"/>
                <w:lang w:eastAsia="en-US"/>
              </w:rPr>
              <w:t>dej.javne</w:t>
            </w:r>
            <w:proofErr w:type="spellEnd"/>
            <w:r w:rsidRPr="003B764F">
              <w:rPr>
                <w:rFonts w:asciiTheme="majorHAnsi" w:eastAsia="Arial Unicode MS" w:hAnsiTheme="majorHAnsi" w:cstheme="majorHAnsi"/>
                <w:color w:val="000000"/>
                <w:sz w:val="22"/>
                <w:szCs w:val="22"/>
                <w:lang w:eastAsia="en-US"/>
              </w:rPr>
              <w:t xml:space="preserve"> uprave)</w:t>
            </w:r>
          </w:p>
        </w:tc>
      </w:tr>
      <w:tr w:rsidR="00A24D61" w:rsidRPr="00F11127" w14:paraId="2E0FAEA8" w14:textId="77777777" w:rsidTr="0093689D">
        <w:tc>
          <w:tcPr>
            <w:tcW w:w="1632" w:type="pct"/>
            <w:shd w:val="clear" w:color="auto" w:fill="DBE5F1"/>
            <w:vAlign w:val="center"/>
          </w:tcPr>
          <w:p w14:paraId="5D34D605"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ŠT. TRANSAKCIJSKEGA RAČUNA</w:t>
            </w:r>
          </w:p>
        </w:tc>
        <w:tc>
          <w:tcPr>
            <w:tcW w:w="3368" w:type="pct"/>
          </w:tcPr>
          <w:p w14:paraId="4F0377F3" w14:textId="77777777" w:rsidR="00A24D61" w:rsidRPr="008653A6"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8653A6">
              <w:rPr>
                <w:rFonts w:asciiTheme="majorHAnsi" w:eastAsia="Arial Unicode MS" w:hAnsiTheme="majorHAnsi" w:cstheme="majorHAnsi"/>
                <w:color w:val="000000"/>
                <w:sz w:val="22"/>
                <w:szCs w:val="22"/>
                <w:lang w:eastAsia="en-US"/>
              </w:rPr>
              <w:t>SI56 0123 7010 0000 320</w:t>
            </w:r>
          </w:p>
          <w:p w14:paraId="531D81F6" w14:textId="2CAEF622"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p>
        </w:tc>
      </w:tr>
      <w:tr w:rsidR="00A24D61" w:rsidRPr="00F11127" w14:paraId="182E2037" w14:textId="77777777" w:rsidTr="0093689D">
        <w:tc>
          <w:tcPr>
            <w:tcW w:w="1632" w:type="pct"/>
            <w:shd w:val="clear" w:color="auto" w:fill="DBE5F1"/>
            <w:vAlign w:val="center"/>
          </w:tcPr>
          <w:p w14:paraId="2AAC3946" w14:textId="77777777" w:rsidR="00A24D61" w:rsidRPr="00F11127" w:rsidRDefault="00A24D61" w:rsidP="0093689D">
            <w:pPr>
              <w:spacing w:line="276" w:lineRule="auto"/>
              <w:rPr>
                <w:rFonts w:asciiTheme="majorHAnsi" w:eastAsia="Arial Unicode MS" w:hAnsiTheme="majorHAnsi" w:cstheme="majorHAnsi"/>
                <w:b/>
                <w:i/>
                <w:sz w:val="22"/>
                <w:szCs w:val="22"/>
                <w:lang w:eastAsia="en-US"/>
              </w:rPr>
            </w:pPr>
            <w:r w:rsidRPr="00F11127">
              <w:rPr>
                <w:rFonts w:asciiTheme="majorHAnsi" w:eastAsia="Arial Unicode MS" w:hAnsiTheme="majorHAnsi" w:cstheme="majorHAnsi"/>
                <w:b/>
                <w:i/>
                <w:sz w:val="22"/>
                <w:szCs w:val="22"/>
                <w:lang w:eastAsia="en-US"/>
              </w:rPr>
              <w:t>ODGOVORNA OSEBA</w:t>
            </w:r>
          </w:p>
        </w:tc>
        <w:tc>
          <w:tcPr>
            <w:tcW w:w="3368" w:type="pct"/>
          </w:tcPr>
          <w:p w14:paraId="2C1E0EE5" w14:textId="77777777" w:rsidR="00A24D61" w:rsidRPr="00F11127" w:rsidRDefault="00A24D61" w:rsidP="0093689D">
            <w:pPr>
              <w:autoSpaceDE w:val="0"/>
              <w:autoSpaceDN w:val="0"/>
              <w:adjustRightInd w:val="0"/>
              <w:spacing w:line="276" w:lineRule="auto"/>
              <w:jc w:val="both"/>
              <w:rPr>
                <w:rFonts w:asciiTheme="majorHAnsi" w:eastAsia="Arial Unicode MS" w:hAnsiTheme="majorHAnsi" w:cstheme="majorHAnsi"/>
                <w:color w:val="000000"/>
                <w:sz w:val="22"/>
                <w:szCs w:val="22"/>
                <w:lang w:eastAsia="en-US"/>
              </w:rPr>
            </w:pPr>
            <w:r w:rsidRPr="007A706A">
              <w:rPr>
                <w:rFonts w:asciiTheme="majorHAnsi" w:eastAsia="Arial Unicode MS" w:hAnsiTheme="majorHAnsi" w:cstheme="majorHAnsi"/>
                <w:color w:val="000000"/>
                <w:sz w:val="22"/>
                <w:szCs w:val="22"/>
                <w:lang w:eastAsia="en-US"/>
              </w:rPr>
              <w:t>Župan Zlatko Usenik</w:t>
            </w:r>
          </w:p>
        </w:tc>
      </w:tr>
    </w:tbl>
    <w:p w14:paraId="58CA2E11" w14:textId="77777777" w:rsidR="006B2762" w:rsidRPr="00F11127" w:rsidRDefault="006B276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10" w:name="_Toc210033786"/>
      <w:r w:rsidRPr="00F11127">
        <w:rPr>
          <w:rFonts w:asciiTheme="majorHAnsi" w:eastAsiaTheme="majorEastAsia" w:hAnsiTheme="majorHAnsi" w:cstheme="majorHAnsi"/>
          <w:color w:val="244061" w:themeColor="accent1" w:themeShade="80"/>
        </w:rPr>
        <w:t>Osnovni podatki o izdelovalcu investicijske dokumentacije</w:t>
      </w:r>
      <w:bookmarkEnd w:id="110"/>
      <w:r w:rsidRPr="00F11127">
        <w:rPr>
          <w:rFonts w:asciiTheme="majorHAnsi" w:eastAsiaTheme="majorEastAsia" w:hAnsiTheme="majorHAnsi" w:cstheme="majorHAnsi"/>
          <w:color w:val="244061" w:themeColor="accent1" w:themeShade="80"/>
        </w:rPr>
        <w:t xml:space="preserve"> </w:t>
      </w:r>
    </w:p>
    <w:tbl>
      <w:tblPr>
        <w:tblW w:w="5000" w:type="pct"/>
        <w:tblBorders>
          <w:top w:val="single" w:sz="18" w:space="0" w:color="808080"/>
          <w:left w:val="single" w:sz="18" w:space="0" w:color="808080"/>
          <w:bottom w:val="single" w:sz="18" w:space="0" w:color="808080"/>
          <w:right w:val="single" w:sz="18" w:space="0" w:color="808080"/>
          <w:insideH w:val="single" w:sz="6" w:space="0" w:color="808080"/>
          <w:insideV w:val="single" w:sz="6" w:space="0" w:color="808080"/>
        </w:tblBorders>
        <w:tblLook w:val="00A0" w:firstRow="1" w:lastRow="0" w:firstColumn="1" w:lastColumn="0" w:noHBand="0" w:noVBand="0"/>
      </w:tblPr>
      <w:tblGrid>
        <w:gridCol w:w="4070"/>
        <w:gridCol w:w="5239"/>
      </w:tblGrid>
      <w:tr w:rsidR="007907B6" w:rsidRPr="00F11127" w14:paraId="108A4DF2" w14:textId="77777777" w:rsidTr="00BE2C8A">
        <w:tc>
          <w:tcPr>
            <w:tcW w:w="2186" w:type="pct"/>
            <w:shd w:val="clear" w:color="auto" w:fill="DBE5F1" w:themeFill="accent1" w:themeFillTint="33"/>
            <w:vAlign w:val="center"/>
          </w:tcPr>
          <w:p w14:paraId="5F562707"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NAZIV</w:t>
            </w:r>
          </w:p>
        </w:tc>
        <w:tc>
          <w:tcPr>
            <w:tcW w:w="2814" w:type="pct"/>
          </w:tcPr>
          <w:p w14:paraId="0724241E"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proofErr w:type="spellStart"/>
            <w:r w:rsidRPr="00F11127">
              <w:rPr>
                <w:rFonts w:asciiTheme="majorHAnsi" w:eastAsia="Arial Unicode MS" w:hAnsiTheme="majorHAnsi" w:cstheme="majorHAnsi"/>
                <w:sz w:val="22"/>
                <w:szCs w:val="22"/>
              </w:rPr>
              <w:t>ProSVET</w:t>
            </w:r>
            <w:proofErr w:type="spellEnd"/>
            <w:r w:rsidRPr="00F11127">
              <w:rPr>
                <w:rFonts w:asciiTheme="majorHAnsi" w:eastAsia="Arial Unicode MS" w:hAnsiTheme="majorHAnsi" w:cstheme="majorHAnsi"/>
                <w:sz w:val="22"/>
                <w:szCs w:val="22"/>
              </w:rPr>
              <w:t xml:space="preserve">, Martina Magajna </w:t>
            </w:r>
            <w:proofErr w:type="spellStart"/>
            <w:r w:rsidRPr="00F11127">
              <w:rPr>
                <w:rFonts w:asciiTheme="majorHAnsi" w:eastAsia="Arial Unicode MS" w:hAnsiTheme="majorHAnsi" w:cstheme="majorHAnsi"/>
                <w:sz w:val="22"/>
                <w:szCs w:val="22"/>
              </w:rPr>
              <w:t>s.p</w:t>
            </w:r>
            <w:proofErr w:type="spellEnd"/>
            <w:r w:rsidRPr="00F11127">
              <w:rPr>
                <w:rFonts w:asciiTheme="majorHAnsi" w:eastAsia="Arial Unicode MS" w:hAnsiTheme="majorHAnsi" w:cstheme="majorHAnsi"/>
                <w:sz w:val="22"/>
                <w:szCs w:val="22"/>
              </w:rPr>
              <w:t>.</w:t>
            </w:r>
          </w:p>
        </w:tc>
      </w:tr>
      <w:tr w:rsidR="007907B6" w:rsidRPr="00F11127" w14:paraId="7E173FF3" w14:textId="77777777" w:rsidTr="00BE2C8A">
        <w:tc>
          <w:tcPr>
            <w:tcW w:w="2186" w:type="pct"/>
            <w:shd w:val="clear" w:color="auto" w:fill="DBE5F1" w:themeFill="accent1" w:themeFillTint="33"/>
            <w:vAlign w:val="center"/>
          </w:tcPr>
          <w:p w14:paraId="24DCF57D"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NASLOV</w:t>
            </w:r>
          </w:p>
        </w:tc>
        <w:tc>
          <w:tcPr>
            <w:tcW w:w="2814" w:type="pct"/>
          </w:tcPr>
          <w:p w14:paraId="4BC27535"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Dilce 40, 6230 Postojna</w:t>
            </w:r>
          </w:p>
        </w:tc>
      </w:tr>
      <w:tr w:rsidR="007907B6" w:rsidRPr="00F11127" w14:paraId="4191B739" w14:textId="77777777" w:rsidTr="00BE2C8A">
        <w:tc>
          <w:tcPr>
            <w:tcW w:w="2186" w:type="pct"/>
            <w:shd w:val="clear" w:color="auto" w:fill="DBE5F1" w:themeFill="accent1" w:themeFillTint="33"/>
            <w:vAlign w:val="center"/>
          </w:tcPr>
          <w:p w14:paraId="5CFD5B57"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MATIČNA ŠTEVILKA</w:t>
            </w:r>
          </w:p>
        </w:tc>
        <w:tc>
          <w:tcPr>
            <w:tcW w:w="2814" w:type="pct"/>
          </w:tcPr>
          <w:p w14:paraId="7EA6016D"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6679889000</w:t>
            </w:r>
          </w:p>
        </w:tc>
      </w:tr>
      <w:tr w:rsidR="007907B6" w:rsidRPr="00F11127" w14:paraId="0BD0315A" w14:textId="77777777" w:rsidTr="00BE2C8A">
        <w:tc>
          <w:tcPr>
            <w:tcW w:w="2186" w:type="pct"/>
            <w:shd w:val="clear" w:color="auto" w:fill="DBE5F1" w:themeFill="accent1" w:themeFillTint="33"/>
            <w:vAlign w:val="center"/>
          </w:tcPr>
          <w:p w14:paraId="0E2ECCAB"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DAVČNA ŠTEVILKA</w:t>
            </w:r>
          </w:p>
        </w:tc>
        <w:tc>
          <w:tcPr>
            <w:tcW w:w="2814" w:type="pct"/>
          </w:tcPr>
          <w:p w14:paraId="346E701F"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SI 23051094</w:t>
            </w:r>
          </w:p>
        </w:tc>
      </w:tr>
      <w:tr w:rsidR="007907B6" w:rsidRPr="00F11127" w14:paraId="2369DD31" w14:textId="77777777" w:rsidTr="00BE2C8A">
        <w:tc>
          <w:tcPr>
            <w:tcW w:w="2186" w:type="pct"/>
            <w:shd w:val="clear" w:color="auto" w:fill="DBE5F1" w:themeFill="accent1" w:themeFillTint="33"/>
            <w:vAlign w:val="center"/>
          </w:tcPr>
          <w:p w14:paraId="4D02063D"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ŠIFRA DEJAVNOSTI</w:t>
            </w:r>
          </w:p>
        </w:tc>
        <w:tc>
          <w:tcPr>
            <w:tcW w:w="2814" w:type="pct"/>
          </w:tcPr>
          <w:p w14:paraId="61B62302"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70.220 (Dr. podjetniško in poslovno svetovanje)</w:t>
            </w:r>
          </w:p>
        </w:tc>
      </w:tr>
      <w:tr w:rsidR="007907B6" w:rsidRPr="00F11127" w14:paraId="165D466C" w14:textId="77777777" w:rsidTr="00BE2C8A">
        <w:tc>
          <w:tcPr>
            <w:tcW w:w="2186" w:type="pct"/>
            <w:shd w:val="clear" w:color="auto" w:fill="DBE5F1" w:themeFill="accent1" w:themeFillTint="33"/>
            <w:vAlign w:val="center"/>
          </w:tcPr>
          <w:p w14:paraId="2F5775FF"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POSLOVNA BANKA</w:t>
            </w:r>
          </w:p>
        </w:tc>
        <w:tc>
          <w:tcPr>
            <w:tcW w:w="2814" w:type="pct"/>
          </w:tcPr>
          <w:p w14:paraId="49567F45"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Banka </w:t>
            </w:r>
            <w:proofErr w:type="spellStart"/>
            <w:r w:rsidRPr="00F11127">
              <w:rPr>
                <w:rFonts w:asciiTheme="majorHAnsi" w:eastAsia="Arial Unicode MS" w:hAnsiTheme="majorHAnsi" w:cstheme="majorHAnsi"/>
                <w:sz w:val="22"/>
                <w:szCs w:val="22"/>
              </w:rPr>
              <w:t>Intesa</w:t>
            </w:r>
            <w:proofErr w:type="spellEnd"/>
            <w:r w:rsidRPr="00F11127">
              <w:rPr>
                <w:rFonts w:asciiTheme="majorHAnsi" w:eastAsia="Arial Unicode MS" w:hAnsiTheme="majorHAnsi" w:cstheme="majorHAnsi"/>
                <w:sz w:val="22"/>
                <w:szCs w:val="22"/>
              </w:rPr>
              <w:t xml:space="preserve"> </w:t>
            </w:r>
            <w:proofErr w:type="spellStart"/>
            <w:r w:rsidRPr="00F11127">
              <w:rPr>
                <w:rFonts w:asciiTheme="majorHAnsi" w:eastAsia="Arial Unicode MS" w:hAnsiTheme="majorHAnsi" w:cstheme="majorHAnsi"/>
                <w:sz w:val="22"/>
                <w:szCs w:val="22"/>
              </w:rPr>
              <w:t>Sanpaolo</w:t>
            </w:r>
            <w:proofErr w:type="spellEnd"/>
            <w:r w:rsidRPr="00F11127">
              <w:rPr>
                <w:rFonts w:asciiTheme="majorHAnsi" w:eastAsia="Arial Unicode MS" w:hAnsiTheme="majorHAnsi" w:cstheme="majorHAnsi"/>
                <w:sz w:val="22"/>
                <w:szCs w:val="22"/>
              </w:rPr>
              <w:t xml:space="preserve"> </w:t>
            </w:r>
            <w:proofErr w:type="spellStart"/>
            <w:r w:rsidRPr="00F11127">
              <w:rPr>
                <w:rFonts w:asciiTheme="majorHAnsi" w:eastAsia="Arial Unicode MS" w:hAnsiTheme="majorHAnsi" w:cstheme="majorHAnsi"/>
                <w:sz w:val="22"/>
                <w:szCs w:val="22"/>
              </w:rPr>
              <w:t>d.d</w:t>
            </w:r>
            <w:proofErr w:type="spellEnd"/>
            <w:r w:rsidRPr="00F11127">
              <w:rPr>
                <w:rFonts w:asciiTheme="majorHAnsi" w:eastAsia="Arial Unicode MS" w:hAnsiTheme="majorHAnsi" w:cstheme="majorHAnsi"/>
                <w:sz w:val="22"/>
                <w:szCs w:val="22"/>
              </w:rPr>
              <w:t>.</w:t>
            </w:r>
          </w:p>
        </w:tc>
      </w:tr>
      <w:tr w:rsidR="007907B6" w:rsidRPr="00F11127" w14:paraId="661CBAA2" w14:textId="77777777" w:rsidTr="00BE2C8A">
        <w:tc>
          <w:tcPr>
            <w:tcW w:w="2186" w:type="pct"/>
            <w:shd w:val="clear" w:color="auto" w:fill="DBE5F1" w:themeFill="accent1" w:themeFillTint="33"/>
            <w:vAlign w:val="center"/>
          </w:tcPr>
          <w:p w14:paraId="1363543C"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ŠT. TRANSAKCIJSKEGA RAČUNA</w:t>
            </w:r>
          </w:p>
        </w:tc>
        <w:tc>
          <w:tcPr>
            <w:tcW w:w="2814" w:type="pct"/>
          </w:tcPr>
          <w:p w14:paraId="64A341B5"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IBAN SI56 1010 0005 3587 257</w:t>
            </w:r>
          </w:p>
        </w:tc>
      </w:tr>
      <w:tr w:rsidR="007907B6" w:rsidRPr="00F11127" w14:paraId="1C0D9E40" w14:textId="77777777" w:rsidTr="00BE2C8A">
        <w:tc>
          <w:tcPr>
            <w:tcW w:w="2186" w:type="pct"/>
            <w:shd w:val="clear" w:color="auto" w:fill="DBE5F1" w:themeFill="accent1" w:themeFillTint="33"/>
            <w:vAlign w:val="center"/>
          </w:tcPr>
          <w:p w14:paraId="7730B8AF" w14:textId="77777777" w:rsidR="007907B6" w:rsidRPr="00F11127" w:rsidRDefault="007907B6" w:rsidP="00BD1D20">
            <w:pPr>
              <w:spacing w:line="276" w:lineRule="auto"/>
              <w:rPr>
                <w:rFonts w:asciiTheme="majorHAnsi" w:eastAsia="Arial Unicode MS" w:hAnsiTheme="majorHAnsi" w:cstheme="majorHAnsi"/>
                <w:b/>
                <w:i/>
              </w:rPr>
            </w:pPr>
            <w:r w:rsidRPr="00F11127">
              <w:rPr>
                <w:rFonts w:asciiTheme="majorHAnsi" w:eastAsia="Arial Unicode MS" w:hAnsiTheme="majorHAnsi" w:cstheme="majorHAnsi"/>
                <w:b/>
                <w:i/>
              </w:rPr>
              <w:t>ODGOVORNA OSEBA</w:t>
            </w:r>
          </w:p>
        </w:tc>
        <w:tc>
          <w:tcPr>
            <w:tcW w:w="2814" w:type="pct"/>
          </w:tcPr>
          <w:p w14:paraId="2329F7A1" w14:textId="77777777" w:rsidR="007907B6" w:rsidRPr="00F11127" w:rsidRDefault="007907B6" w:rsidP="00BD1D20">
            <w:pPr>
              <w:pStyle w:val="Default"/>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Martina Magajna </w:t>
            </w:r>
          </w:p>
        </w:tc>
      </w:tr>
    </w:tbl>
    <w:p w14:paraId="517CD105" w14:textId="77777777" w:rsidR="00000766" w:rsidRPr="00F11127" w:rsidRDefault="00000766" w:rsidP="00BD1D20">
      <w:pPr>
        <w:spacing w:line="276" w:lineRule="auto"/>
        <w:rPr>
          <w:rFonts w:asciiTheme="majorHAnsi" w:hAnsiTheme="majorHAnsi" w:cstheme="majorHAnsi"/>
        </w:rPr>
      </w:pPr>
      <w:r w:rsidRPr="00F11127">
        <w:rPr>
          <w:rFonts w:asciiTheme="majorHAnsi" w:hAnsiTheme="majorHAnsi" w:cstheme="majorHAnsi"/>
        </w:rPr>
        <w:br w:type="page"/>
      </w:r>
    </w:p>
    <w:p w14:paraId="3C6B8981" w14:textId="7C7A91E8" w:rsidR="00000766" w:rsidRPr="00F11127" w:rsidRDefault="00000766" w:rsidP="00BD1D20">
      <w:pPr>
        <w:pStyle w:val="Naslov1"/>
        <w:numPr>
          <w:ilvl w:val="0"/>
          <w:numId w:val="3"/>
        </w:numPr>
        <w:rPr>
          <w:rFonts w:cstheme="majorHAnsi"/>
        </w:rPr>
      </w:pPr>
      <w:bookmarkStart w:id="111" w:name="_Toc3698222"/>
      <w:bookmarkStart w:id="112" w:name="_Toc210033787"/>
      <w:r w:rsidRPr="00F11127">
        <w:rPr>
          <w:rFonts w:cstheme="majorHAnsi"/>
        </w:rPr>
        <w:lastRenderedPageBreak/>
        <w:t>ANALIZA OBSTOJEČEGA STANJA</w:t>
      </w:r>
      <w:bookmarkEnd w:id="111"/>
      <w:bookmarkEnd w:id="112"/>
      <w:r w:rsidRPr="00F11127">
        <w:rPr>
          <w:rFonts w:cstheme="majorHAnsi"/>
        </w:rPr>
        <w:t xml:space="preserve"> </w:t>
      </w:r>
    </w:p>
    <w:p w14:paraId="073E1653" w14:textId="1FB6267A" w:rsidR="002E7976" w:rsidRPr="0076676D" w:rsidRDefault="0076676D" w:rsidP="0076676D">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13" w:name="_Toc210033788"/>
      <w:r>
        <w:rPr>
          <w:rFonts w:asciiTheme="majorHAnsi" w:eastAsiaTheme="majorEastAsia" w:hAnsiTheme="majorHAnsi" w:cstheme="majorHAnsi"/>
          <w:color w:val="244061" w:themeColor="accent1" w:themeShade="80"/>
        </w:rPr>
        <w:t>Trajnostn</w:t>
      </w:r>
      <w:r w:rsidR="00267BEC">
        <w:rPr>
          <w:rFonts w:asciiTheme="majorHAnsi" w:eastAsiaTheme="majorEastAsia" w:hAnsiTheme="majorHAnsi" w:cstheme="majorHAnsi"/>
          <w:color w:val="244061" w:themeColor="accent1" w:themeShade="80"/>
        </w:rPr>
        <w:t>a mobilnost v Sloveniji</w:t>
      </w:r>
      <w:bookmarkEnd w:id="113"/>
    </w:p>
    <w:p w14:paraId="3698CDE7" w14:textId="77777777" w:rsidR="00267BEC" w:rsidRPr="00267BEC" w:rsidRDefault="00267BEC" w:rsidP="00267BEC">
      <w:pPr>
        <w:spacing w:after="120" w:line="276" w:lineRule="auto"/>
        <w:jc w:val="both"/>
        <w:rPr>
          <w:rFonts w:ascii="Arial" w:hAnsi="Arial" w:cs="Arial"/>
          <w:sz w:val="22"/>
          <w:szCs w:val="22"/>
        </w:rPr>
      </w:pPr>
      <w:r w:rsidRPr="00267BEC">
        <w:rPr>
          <w:rFonts w:ascii="Arial" w:hAnsi="Arial" w:cs="Arial"/>
          <w:sz w:val="22"/>
          <w:szCs w:val="22"/>
        </w:rPr>
        <w:t xml:space="preserve">Slovenija se že več let usmerja v prehod na trajnostno mobilnost, skladno z nacionalnimi in evropskimi cilji zmanjševanja emisij toplogrednih plinov, izboljšanja kakovosti zraka, povečanja energetske učinkovitosti in zagotavljanja dostopnosti za vse prebivalce. Na strateški ravni je država sprejela več dokumentov, ki spodbujajo trajnostno mobilnost, med njimi </w:t>
      </w:r>
      <w:r w:rsidRPr="00267BEC">
        <w:rPr>
          <w:rFonts w:ascii="Arial" w:hAnsi="Arial" w:cs="Arial"/>
          <w:b/>
          <w:bCs/>
          <w:sz w:val="22"/>
          <w:szCs w:val="22"/>
        </w:rPr>
        <w:t>Celostne prometne strategije občin (CPS)</w:t>
      </w:r>
      <w:r w:rsidRPr="00267BEC">
        <w:rPr>
          <w:rFonts w:ascii="Arial" w:hAnsi="Arial" w:cs="Arial"/>
          <w:sz w:val="22"/>
          <w:szCs w:val="22"/>
        </w:rPr>
        <w:t>, nacionalne programe spodbujanja javnega potniškega prometa, ukrepe za razvoj kolesarske infrastrukture ter različne promocijske in izobraževalne projekte.</w:t>
      </w:r>
    </w:p>
    <w:p w14:paraId="1F1FF1E2" w14:textId="77777777" w:rsidR="00267BEC" w:rsidRPr="00267BEC" w:rsidRDefault="00267BEC" w:rsidP="00267BEC">
      <w:pPr>
        <w:spacing w:after="120" w:line="276" w:lineRule="auto"/>
        <w:jc w:val="both"/>
        <w:rPr>
          <w:rFonts w:ascii="Arial" w:hAnsi="Arial" w:cs="Arial"/>
          <w:sz w:val="22"/>
          <w:szCs w:val="22"/>
        </w:rPr>
      </w:pPr>
      <w:r w:rsidRPr="00267BEC">
        <w:rPr>
          <w:rFonts w:ascii="Arial" w:hAnsi="Arial" w:cs="Arial"/>
          <w:sz w:val="22"/>
          <w:szCs w:val="22"/>
        </w:rPr>
        <w:t>Kljub številnim prizadevanjem pa obstoječe stanje kaže na več ključnih izzivov:</w:t>
      </w:r>
    </w:p>
    <w:p w14:paraId="278F3236"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Visok delež uporabe osebnih vozil</w:t>
      </w:r>
      <w:r w:rsidRPr="00267BEC">
        <w:rPr>
          <w:rFonts w:ascii="Arial" w:hAnsi="Arial" w:cs="Arial"/>
          <w:sz w:val="22"/>
          <w:szCs w:val="22"/>
        </w:rPr>
        <w:t>: Osebni avtomobil ostaja prevladujoč način premikanja, tako v urbanih območjih kot na podeželju. Tudi za kratke poti prebivalci pogosto izberejo avtomobil, kar povzroča preobremenjenost cestnega omrežja, pomanjkanje parkirnih kapacitet in negativne vplive na okolje.</w:t>
      </w:r>
    </w:p>
    <w:p w14:paraId="3B86038E"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Nezadostna dostopnost javnega potniškega prometa</w:t>
      </w:r>
      <w:r w:rsidRPr="00267BEC">
        <w:rPr>
          <w:rFonts w:ascii="Arial" w:hAnsi="Arial" w:cs="Arial"/>
          <w:sz w:val="22"/>
          <w:szCs w:val="22"/>
        </w:rPr>
        <w:t>: Kljub obstoječim linijam avtobusnega in železniškega prometa je pokritost omrežja neenakomerna, zlasti v manjših občinah in razpršenih naseljih. Frekvenca voženj in povezljivost med različnimi načini prevoza sta pogosto nezadostni, kar zmanjšuje privlačnost javnega prevoza.</w:t>
      </w:r>
    </w:p>
    <w:p w14:paraId="1F43326F"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Pomanjkljiva infrastruktura za pešce in kolesarje</w:t>
      </w:r>
      <w:r w:rsidRPr="00267BEC">
        <w:rPr>
          <w:rFonts w:ascii="Arial" w:hAnsi="Arial" w:cs="Arial"/>
          <w:sz w:val="22"/>
          <w:szCs w:val="22"/>
        </w:rPr>
        <w:t xml:space="preserve">: V zadnjih letih se sicer intenzivneje gradi kolesarska infrastruktura, vendar je stanje še vedno </w:t>
      </w:r>
      <w:proofErr w:type="spellStart"/>
      <w:r w:rsidRPr="00267BEC">
        <w:rPr>
          <w:rFonts w:ascii="Arial" w:hAnsi="Arial" w:cs="Arial"/>
          <w:sz w:val="22"/>
          <w:szCs w:val="22"/>
        </w:rPr>
        <w:t>fragmentirano</w:t>
      </w:r>
      <w:proofErr w:type="spellEnd"/>
      <w:r w:rsidRPr="00267BEC">
        <w:rPr>
          <w:rFonts w:ascii="Arial" w:hAnsi="Arial" w:cs="Arial"/>
          <w:sz w:val="22"/>
          <w:szCs w:val="22"/>
        </w:rPr>
        <w:t xml:space="preserve"> in pogosto nepovezano. Varnost kolesarjev in pešcev, predvsem v križiščih in na regionalnih cestah, ostaja problematična.</w:t>
      </w:r>
    </w:p>
    <w:p w14:paraId="6FF2899D"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Slaba medsebojna usklajenost ukrepov</w:t>
      </w:r>
      <w:r w:rsidRPr="00267BEC">
        <w:rPr>
          <w:rFonts w:ascii="Arial" w:hAnsi="Arial" w:cs="Arial"/>
          <w:sz w:val="22"/>
          <w:szCs w:val="22"/>
        </w:rPr>
        <w:t xml:space="preserve">: Lokalne pobude za trajnostno mobilnost niso vedno usklajene z državnimi strategijami, kar vodi v neenotne rešitve in otežuje vzpostavitev učinkovitega </w:t>
      </w:r>
      <w:proofErr w:type="spellStart"/>
      <w:r w:rsidRPr="00267BEC">
        <w:rPr>
          <w:rFonts w:ascii="Arial" w:hAnsi="Arial" w:cs="Arial"/>
          <w:sz w:val="22"/>
          <w:szCs w:val="22"/>
        </w:rPr>
        <w:t>multimodalnega</w:t>
      </w:r>
      <w:proofErr w:type="spellEnd"/>
      <w:r w:rsidRPr="00267BEC">
        <w:rPr>
          <w:rFonts w:ascii="Arial" w:hAnsi="Arial" w:cs="Arial"/>
          <w:sz w:val="22"/>
          <w:szCs w:val="22"/>
        </w:rPr>
        <w:t xml:space="preserve"> sistema.</w:t>
      </w:r>
    </w:p>
    <w:p w14:paraId="46963C34"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Finančni in organizacijski izzivi</w:t>
      </w:r>
      <w:r w:rsidRPr="00267BEC">
        <w:rPr>
          <w:rFonts w:ascii="Arial" w:hAnsi="Arial" w:cs="Arial"/>
          <w:sz w:val="22"/>
          <w:szCs w:val="22"/>
        </w:rPr>
        <w:t xml:space="preserve">: Realizacija ukrepov je pogosto vezana na evropska sredstva, medtem ko so sredstva za dolgoročno vzdrževanje in nadgradnjo infrastrukture omejena. Poleg tega številne občine nimajo zadostnih strokovnih kapacitet za pripravo in izvajanje zahtevnih </w:t>
      </w:r>
      <w:proofErr w:type="spellStart"/>
      <w:r w:rsidRPr="00267BEC">
        <w:rPr>
          <w:rFonts w:ascii="Arial" w:hAnsi="Arial" w:cs="Arial"/>
          <w:sz w:val="22"/>
          <w:szCs w:val="22"/>
        </w:rPr>
        <w:t>mobilnostnih</w:t>
      </w:r>
      <w:proofErr w:type="spellEnd"/>
      <w:r w:rsidRPr="00267BEC">
        <w:rPr>
          <w:rFonts w:ascii="Arial" w:hAnsi="Arial" w:cs="Arial"/>
          <w:sz w:val="22"/>
          <w:szCs w:val="22"/>
        </w:rPr>
        <w:t xml:space="preserve"> projektov.</w:t>
      </w:r>
    </w:p>
    <w:p w14:paraId="0C906D96" w14:textId="77777777" w:rsidR="00267BEC" w:rsidRPr="00267BEC" w:rsidRDefault="00267BEC" w:rsidP="00267BEC">
      <w:pPr>
        <w:numPr>
          <w:ilvl w:val="0"/>
          <w:numId w:val="132"/>
        </w:numPr>
        <w:spacing w:after="120" w:line="276" w:lineRule="auto"/>
        <w:jc w:val="both"/>
        <w:rPr>
          <w:rFonts w:ascii="Arial" w:hAnsi="Arial" w:cs="Arial"/>
          <w:sz w:val="22"/>
          <w:szCs w:val="22"/>
        </w:rPr>
      </w:pPr>
      <w:r w:rsidRPr="00267BEC">
        <w:rPr>
          <w:rFonts w:ascii="Arial" w:hAnsi="Arial" w:cs="Arial"/>
          <w:b/>
          <w:bCs/>
          <w:sz w:val="22"/>
          <w:szCs w:val="22"/>
        </w:rPr>
        <w:t>Demografski in prostorski dejavniki</w:t>
      </w:r>
      <w:r w:rsidRPr="00267BEC">
        <w:rPr>
          <w:rFonts w:ascii="Arial" w:hAnsi="Arial" w:cs="Arial"/>
          <w:sz w:val="22"/>
          <w:szCs w:val="22"/>
        </w:rPr>
        <w:t>: Razpršena poselitev, staranje prebivalstva in rast predmestnih območij dodatno otežujejo razvoj učinkovitih sistemov javnega potniškega prometa in trajnostne mobilnosti.</w:t>
      </w:r>
    </w:p>
    <w:p w14:paraId="1BC8CD0A" w14:textId="77777777" w:rsidR="00267BEC" w:rsidRPr="00267BEC" w:rsidRDefault="00267BEC" w:rsidP="00267BEC">
      <w:pPr>
        <w:spacing w:after="120" w:line="276" w:lineRule="auto"/>
        <w:jc w:val="both"/>
        <w:rPr>
          <w:rFonts w:ascii="Arial" w:hAnsi="Arial" w:cs="Arial"/>
          <w:sz w:val="22"/>
          <w:szCs w:val="22"/>
        </w:rPr>
      </w:pPr>
      <w:r w:rsidRPr="00267BEC">
        <w:rPr>
          <w:rFonts w:ascii="Arial" w:hAnsi="Arial" w:cs="Arial"/>
          <w:sz w:val="22"/>
          <w:szCs w:val="22"/>
        </w:rPr>
        <w:t xml:space="preserve">Na pozitivni strani velja izpostaviti, da je ozaveščenost o pomenu trajnostne mobilnosti med prebivalci in podjetji v porastu. V številnih občinah so bili že pripravljeni </w:t>
      </w:r>
      <w:proofErr w:type="spellStart"/>
      <w:r w:rsidRPr="00267BEC">
        <w:rPr>
          <w:rFonts w:ascii="Arial" w:hAnsi="Arial" w:cs="Arial"/>
          <w:b/>
          <w:bCs/>
          <w:sz w:val="22"/>
          <w:szCs w:val="22"/>
        </w:rPr>
        <w:t>mobilnostni</w:t>
      </w:r>
      <w:proofErr w:type="spellEnd"/>
      <w:r w:rsidRPr="00267BEC">
        <w:rPr>
          <w:rFonts w:ascii="Arial" w:hAnsi="Arial" w:cs="Arial"/>
          <w:b/>
          <w:bCs/>
          <w:sz w:val="22"/>
          <w:szCs w:val="22"/>
        </w:rPr>
        <w:t xml:space="preserve"> načrti</w:t>
      </w:r>
      <w:r w:rsidRPr="00267BEC">
        <w:rPr>
          <w:rFonts w:ascii="Arial" w:hAnsi="Arial" w:cs="Arial"/>
          <w:sz w:val="22"/>
          <w:szCs w:val="22"/>
        </w:rPr>
        <w:t xml:space="preserve"> in izvedeni prvi ukrepi, kot so ureditev P+R parkirišč, kolesarske povezave, subvencije za javni prevoz in promocijske kampanje. Poleg tega je bil vzpostavljen tudi </w:t>
      </w:r>
      <w:r w:rsidRPr="00267BEC">
        <w:rPr>
          <w:rFonts w:ascii="Arial" w:hAnsi="Arial" w:cs="Arial"/>
          <w:b/>
          <w:bCs/>
          <w:sz w:val="22"/>
          <w:szCs w:val="22"/>
        </w:rPr>
        <w:t>Observatorij mobilnosti</w:t>
      </w:r>
      <w:r w:rsidRPr="00267BEC">
        <w:rPr>
          <w:rFonts w:ascii="Arial" w:hAnsi="Arial" w:cs="Arial"/>
          <w:sz w:val="22"/>
          <w:szCs w:val="22"/>
        </w:rPr>
        <w:t>, ki omogoča spremljanje in analizo prometnih tokov ter predstavlja pomembno podporo pri načrtovanju prihodnjih ukrepov.</w:t>
      </w:r>
    </w:p>
    <w:p w14:paraId="016EBF4B" w14:textId="77777777" w:rsidR="00267BEC" w:rsidRDefault="00267BEC" w:rsidP="00267BEC">
      <w:pPr>
        <w:spacing w:after="120" w:line="276" w:lineRule="auto"/>
        <w:jc w:val="both"/>
        <w:rPr>
          <w:rFonts w:ascii="Arial" w:hAnsi="Arial" w:cs="Arial"/>
          <w:sz w:val="22"/>
          <w:szCs w:val="22"/>
        </w:rPr>
      </w:pPr>
      <w:r w:rsidRPr="00267BEC">
        <w:rPr>
          <w:rFonts w:ascii="Arial" w:hAnsi="Arial" w:cs="Arial"/>
          <w:sz w:val="22"/>
          <w:szCs w:val="22"/>
        </w:rPr>
        <w:t>Skupna ocena obstoječega stanja kaže, da je Slovenija sicer na poti k uresničevanju ciljev trajnostne mobilnosti, vendar so spremembe potovalnih navad in prestrukturiranje prometnega sistema počasni. Ključni izziv ostaja zmanjšanje odvisnosti od osebnega avtomobila ter zagotavljanje privlačnih, varnih in učinkovitih alternativ, ki bodo prebivalcem omogočile enakovredno in dostopno mobilnost.</w:t>
      </w:r>
    </w:p>
    <w:p w14:paraId="0F2443A1" w14:textId="3EF34C7D" w:rsidR="00BC09EF" w:rsidRPr="0076676D" w:rsidRDefault="00BC09EF" w:rsidP="00BC09EF">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14" w:name="_Toc210033789"/>
      <w:r>
        <w:rPr>
          <w:rFonts w:asciiTheme="majorHAnsi" w:eastAsiaTheme="majorEastAsia" w:hAnsiTheme="majorHAnsi" w:cstheme="majorHAnsi"/>
          <w:color w:val="244061" w:themeColor="accent1" w:themeShade="80"/>
        </w:rPr>
        <w:lastRenderedPageBreak/>
        <w:t>Trajnostna mobilnost v Osrednjeslovenski regiji</w:t>
      </w:r>
      <w:bookmarkEnd w:id="114"/>
    </w:p>
    <w:p w14:paraId="3AC638C6" w14:textId="77777777" w:rsidR="00BC09EF" w:rsidRPr="00BC09EF" w:rsidRDefault="00BC09EF" w:rsidP="00BC09EF">
      <w:pPr>
        <w:spacing w:after="120" w:line="276" w:lineRule="auto"/>
        <w:jc w:val="both"/>
        <w:rPr>
          <w:rFonts w:ascii="Arial" w:hAnsi="Arial" w:cs="Arial"/>
          <w:sz w:val="22"/>
          <w:szCs w:val="22"/>
        </w:rPr>
      </w:pPr>
      <w:r w:rsidRPr="00BC09EF">
        <w:rPr>
          <w:rFonts w:ascii="Arial" w:hAnsi="Arial" w:cs="Arial"/>
          <w:sz w:val="22"/>
          <w:szCs w:val="22"/>
        </w:rPr>
        <w:t>Osrednjeslovenska regija je najgosteje poseljeno in gospodarsko najmočnejše območje Slovenije, v katerem živi skoraj četrtina prebivalcev države. Ljubljana kot glavno mesto predstavlja osrednje gravitacijsko središče, kjer je skoncentrirana večina delovnih mest, upravnih funkcij in storitvenih dejavnosti. Zaradi tega se v regiji ustvarjajo močni prometni tokovi, saj se vsakodnevno v Ljubljano pripelje več kot sto tisoč dnevnih migrantov iz okoliških občin. Takšna koncentracija ustvarja velike pritiske na prometno infrastrukturo in bistveno vpliva na kakovost bivanja prebivalcev.</w:t>
      </w:r>
    </w:p>
    <w:p w14:paraId="617CDE37" w14:textId="1E9A206D" w:rsidR="00BC09EF" w:rsidRPr="00BC09EF" w:rsidRDefault="009A707B" w:rsidP="00BC09EF">
      <w:pPr>
        <w:spacing w:after="120" w:line="276" w:lineRule="auto"/>
        <w:jc w:val="both"/>
        <w:rPr>
          <w:rFonts w:ascii="Arial" w:hAnsi="Arial" w:cs="Arial"/>
          <w:sz w:val="22"/>
          <w:szCs w:val="22"/>
        </w:rPr>
      </w:pPr>
      <w:r w:rsidRPr="00BC09EF">
        <w:rPr>
          <w:rFonts w:ascii="Arial" w:hAnsi="Arial" w:cs="Arial"/>
          <w:sz w:val="22"/>
          <w:szCs w:val="22"/>
        </w:rPr>
        <w:t>Prevladujoči</w:t>
      </w:r>
      <w:r w:rsidR="00BC09EF" w:rsidRPr="00BC09EF">
        <w:rPr>
          <w:rFonts w:ascii="Arial" w:hAnsi="Arial" w:cs="Arial"/>
          <w:sz w:val="22"/>
          <w:szCs w:val="22"/>
        </w:rPr>
        <w:t xml:space="preserve"> način mobilnosti v regiji ostaja uporaba osebnega avtomobila. Ta delež presega dve tretjini vseh opravljenih poti, kar povzroča preobremenjenost cestnega omrežja, prometne zastoje in večje izpuste toplogrednih plinov. Javni potniški promet sicer obstaja v obliki mestnih avtobusnih linij (LPP), medkrajevnega avtobusnega prometa in železnice, vendar njegova konkurenčnost glede na osebni avtomobil ostaja nizka. Mestni avtobusi so v konicah pogosto počasni zaradi prometnih zastojev, železniški promet pa še ni dovolj razvpit in pogost, da bi bil privlačna alternativa za večino dnevnih migrantov.</w:t>
      </w:r>
    </w:p>
    <w:p w14:paraId="0E65DF77" w14:textId="6FE0F035" w:rsidR="00BC09EF" w:rsidRPr="00BC09EF" w:rsidRDefault="00BC09EF" w:rsidP="00BC09EF">
      <w:pPr>
        <w:spacing w:after="120" w:line="276" w:lineRule="auto"/>
        <w:jc w:val="both"/>
        <w:rPr>
          <w:rFonts w:ascii="Arial" w:hAnsi="Arial" w:cs="Arial"/>
          <w:sz w:val="22"/>
          <w:szCs w:val="22"/>
        </w:rPr>
      </w:pPr>
      <w:r w:rsidRPr="00BC09EF">
        <w:rPr>
          <w:rFonts w:ascii="Arial" w:hAnsi="Arial" w:cs="Arial"/>
          <w:sz w:val="22"/>
          <w:szCs w:val="22"/>
        </w:rPr>
        <w:t xml:space="preserve">V Ljubljani je kolesarska infrastruktura relativno dobro razvita in dopolnjena s sistemom izposoje koles </w:t>
      </w:r>
      <w:proofErr w:type="spellStart"/>
      <w:r w:rsidRPr="00BC09EF">
        <w:rPr>
          <w:rFonts w:ascii="Arial" w:hAnsi="Arial" w:cs="Arial"/>
          <w:sz w:val="22"/>
          <w:szCs w:val="22"/>
        </w:rPr>
        <w:t>BicikeLJ</w:t>
      </w:r>
      <w:proofErr w:type="spellEnd"/>
      <w:r w:rsidR="00B46A07">
        <w:rPr>
          <w:rFonts w:ascii="Arial" w:hAnsi="Arial" w:cs="Arial"/>
          <w:sz w:val="22"/>
          <w:szCs w:val="22"/>
        </w:rPr>
        <w:t xml:space="preserve"> in </w:t>
      </w:r>
      <w:proofErr w:type="spellStart"/>
      <w:r w:rsidR="00B46A07">
        <w:rPr>
          <w:rFonts w:ascii="Arial" w:hAnsi="Arial" w:cs="Arial"/>
          <w:sz w:val="22"/>
          <w:szCs w:val="22"/>
        </w:rPr>
        <w:t>Nomago</w:t>
      </w:r>
      <w:proofErr w:type="spellEnd"/>
      <w:r w:rsidR="00B46A07">
        <w:rPr>
          <w:rFonts w:ascii="Arial" w:hAnsi="Arial" w:cs="Arial"/>
          <w:sz w:val="22"/>
          <w:szCs w:val="22"/>
        </w:rPr>
        <w:t xml:space="preserve"> </w:t>
      </w:r>
      <w:proofErr w:type="spellStart"/>
      <w:r w:rsidR="00B46A07">
        <w:rPr>
          <w:rFonts w:ascii="Arial" w:hAnsi="Arial" w:cs="Arial"/>
          <w:sz w:val="22"/>
          <w:szCs w:val="22"/>
        </w:rPr>
        <w:t>Bikes</w:t>
      </w:r>
      <w:proofErr w:type="spellEnd"/>
      <w:r w:rsidRPr="00BC09EF">
        <w:rPr>
          <w:rFonts w:ascii="Arial" w:hAnsi="Arial" w:cs="Arial"/>
          <w:sz w:val="22"/>
          <w:szCs w:val="22"/>
        </w:rPr>
        <w:t>, ki je povečal delež kolesarjenja v mestnem jedru. Vendar pa povezave z okoliškimi občinami ostajajo nepovezane, ponekod celo nevarne za kolesarje, zato kolesarjenje kot vsakodnevna oblika prevoza na regionalni ravni še ni zaživelo. Podobno velja za pešce: v mestnem središču so pogoji ugodni, v obmestnih in regionalnih povezavah pa infrastrukturna ureditev pogosto ni primerna.</w:t>
      </w:r>
    </w:p>
    <w:p w14:paraId="753A98E4" w14:textId="77777777" w:rsidR="00BC09EF" w:rsidRPr="00BC09EF" w:rsidRDefault="00BC09EF" w:rsidP="00BC09EF">
      <w:pPr>
        <w:spacing w:after="120" w:line="276" w:lineRule="auto"/>
        <w:jc w:val="both"/>
        <w:rPr>
          <w:rFonts w:ascii="Arial" w:hAnsi="Arial" w:cs="Arial"/>
          <w:sz w:val="22"/>
          <w:szCs w:val="22"/>
        </w:rPr>
      </w:pPr>
      <w:r w:rsidRPr="00BC09EF">
        <w:rPr>
          <w:rFonts w:ascii="Arial" w:hAnsi="Arial" w:cs="Arial"/>
          <w:sz w:val="22"/>
          <w:szCs w:val="22"/>
        </w:rPr>
        <w:t>V zadnjih letih so bili izvedeni določeni premiki. Vzpostavljen je bil sistem parkirišč P+R, ki omogoča prestop z avtomobila na javni potniški promet, kar se je izkazalo za učinkovito predvsem na obrobju Ljubljane. Mestna občina Ljubljana je z uvedbo celostne prometne strategije postavila temelje za nadaljnji razvoj trajnostne mobilnosti, kar vključuje tudi omejevanje prometa v mestnem jedru, širitev peš con in spodbujanje kolesarjenja. Obenem potekajo projekti modernizacije železnic in gradnje regionalnih kolesarskih povezav, ki bodo v prihodnosti lahko bistveno izboljšali dostopnost.</w:t>
      </w:r>
    </w:p>
    <w:p w14:paraId="640859AA" w14:textId="77777777" w:rsidR="00BC09EF" w:rsidRPr="00BC09EF" w:rsidRDefault="00BC09EF" w:rsidP="00A475EF">
      <w:pPr>
        <w:spacing w:after="120" w:line="276" w:lineRule="auto"/>
        <w:jc w:val="both"/>
        <w:rPr>
          <w:rFonts w:ascii="Arial" w:hAnsi="Arial" w:cs="Arial"/>
          <w:sz w:val="22"/>
          <w:szCs w:val="22"/>
        </w:rPr>
      </w:pPr>
      <w:r w:rsidRPr="00BC09EF">
        <w:rPr>
          <w:rFonts w:ascii="Arial" w:hAnsi="Arial" w:cs="Arial"/>
          <w:sz w:val="22"/>
          <w:szCs w:val="22"/>
        </w:rPr>
        <w:t>Kljub tem pozitivnim premikom pa obstoječe stanje ostaja problematično. Prevlada osebnega avtomobila, nizka privlačnost javnega prometa in še nezadostna regionalna kolesarska mreža kažejo, da je trajnostna mobilnost v Osrednji Sloveniji še v začetni fazi razvoja. Posledice so vsakodnevni prometni zastoji, presežene mejne vrednosti onesnaževal v zraku, povečana izpostavljenost hrupu ter zmanjšana kakovost bivanja v mestnih in primestnih območjih.</w:t>
      </w:r>
    </w:p>
    <w:p w14:paraId="2F64ABE5" w14:textId="77777777" w:rsidR="00BC09EF" w:rsidRPr="00BC09EF" w:rsidRDefault="00BC09EF" w:rsidP="00A475EF">
      <w:pPr>
        <w:spacing w:after="120" w:line="276" w:lineRule="auto"/>
        <w:jc w:val="both"/>
        <w:rPr>
          <w:rFonts w:ascii="Arial" w:hAnsi="Arial" w:cs="Arial"/>
          <w:sz w:val="22"/>
          <w:szCs w:val="22"/>
        </w:rPr>
      </w:pPr>
      <w:r w:rsidRPr="00BC09EF">
        <w:rPr>
          <w:rFonts w:ascii="Arial" w:hAnsi="Arial" w:cs="Arial"/>
          <w:sz w:val="22"/>
          <w:szCs w:val="22"/>
        </w:rPr>
        <w:t>Skupna ocena obstoječega stanja torej kaže, da Osrednja Slovenija zaradi svoje gospodarske in prostorske vloge nosi največji potencial, pa tudi največje tveganje glede mobilnosti v državi. Čeprav so bili izvedeni prvi pomembni koraki, obseg in hitrost izvedbe še ne zadoščata, da bi bistveno zmanjšali odvisnost prebivalcev od osebnega avtomobila. V prihodnje bo zato nujno nadaljevati z ukrepi, ki bodo povečali privlačnost javnega potniškega prometa, razvili varno in povezano kolesarsko omrežje ter zagotovili učinkovito integracijo različnih oblik trajnostne mobilnosti.</w:t>
      </w:r>
    </w:p>
    <w:p w14:paraId="4258ECE4" w14:textId="3C3A312F" w:rsidR="00E53734" w:rsidRPr="0076676D" w:rsidRDefault="00E53734" w:rsidP="00A475EF">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15" w:name="_Toc210033790"/>
      <w:r>
        <w:rPr>
          <w:rFonts w:asciiTheme="majorHAnsi" w:eastAsiaTheme="majorEastAsia" w:hAnsiTheme="majorHAnsi" w:cstheme="majorHAnsi"/>
          <w:color w:val="244061" w:themeColor="accent1" w:themeShade="80"/>
        </w:rPr>
        <w:t>Analiza stanja</w:t>
      </w:r>
      <w:bookmarkEnd w:id="115"/>
    </w:p>
    <w:p w14:paraId="424A91E9" w14:textId="7393DD31" w:rsidR="00120E04" w:rsidRPr="004C498A" w:rsidRDefault="00120E04" w:rsidP="00A475EF">
      <w:pPr>
        <w:spacing w:after="120" w:line="276" w:lineRule="auto"/>
        <w:jc w:val="both"/>
        <w:rPr>
          <w:rFonts w:ascii="Arial" w:hAnsi="Arial" w:cs="Arial"/>
          <w:sz w:val="22"/>
          <w:szCs w:val="22"/>
        </w:rPr>
      </w:pPr>
      <w:r w:rsidRPr="004C498A">
        <w:rPr>
          <w:rFonts w:ascii="Arial" w:hAnsi="Arial" w:cs="Arial"/>
          <w:sz w:val="22"/>
          <w:szCs w:val="22"/>
        </w:rPr>
        <w:t xml:space="preserve">V centru Iga so nekatere površine namenjene javni uporabi za prosti čas in druženje, vendar so te površine celovito neurejene, režimi parkiranja so urejeni parcialno, prav tako javne površine niso povezane med seboj z namenom varne povezave, prav tako je potrebno površine ozeleniti </w:t>
      </w:r>
      <w:r w:rsidRPr="004C498A">
        <w:rPr>
          <w:rFonts w:ascii="Arial" w:hAnsi="Arial" w:cs="Arial"/>
          <w:sz w:val="22"/>
          <w:szCs w:val="22"/>
        </w:rPr>
        <w:lastRenderedPageBreak/>
        <w:t>ter s tem omogočiti večjo funkcionalnost in koristi na istem prostorskem območju, pri čemer se funkcionalnost zagotavlja tudi za prilagajanje podnebnim spremembam, odvodnjavanje, zagotovitev zelenih površin in posledično gospodarskim učinkom, kot je dvig cen nepremičnin ter razvoju turizma. Neurejena je varna pot za šolarje, saj se v središču Iga nahaja OŠ Ig, v katero hodijo prvo triletje otroci iz šolskega okoliša, ki ne sodi med podružnične šole, od četrtega razreda dalje pa vsi učenci Občine Ig.</w:t>
      </w:r>
    </w:p>
    <w:p w14:paraId="41CC7574" w14:textId="77777777" w:rsidR="00120E04" w:rsidRPr="004C498A" w:rsidRDefault="00120E04" w:rsidP="00A475EF">
      <w:pPr>
        <w:spacing w:after="120" w:line="276" w:lineRule="auto"/>
        <w:jc w:val="both"/>
        <w:rPr>
          <w:rFonts w:ascii="Arial" w:hAnsi="Arial" w:cs="Arial"/>
          <w:sz w:val="22"/>
          <w:szCs w:val="22"/>
        </w:rPr>
      </w:pPr>
      <w:r w:rsidRPr="004C498A">
        <w:rPr>
          <w:rFonts w:ascii="Arial" w:hAnsi="Arial" w:cs="Arial"/>
          <w:sz w:val="22"/>
          <w:szCs w:val="22"/>
        </w:rPr>
        <w:t xml:space="preserve">V neposrednem centru Iga že stoji Hiša narave in kolišč - </w:t>
      </w:r>
      <w:proofErr w:type="spellStart"/>
      <w:r w:rsidRPr="004C498A">
        <w:rPr>
          <w:rFonts w:ascii="Arial" w:hAnsi="Arial" w:cs="Arial"/>
          <w:sz w:val="22"/>
          <w:szCs w:val="22"/>
        </w:rPr>
        <w:t>Morostig</w:t>
      </w:r>
      <w:proofErr w:type="spellEnd"/>
      <w:r w:rsidRPr="004C498A">
        <w:rPr>
          <w:rFonts w:ascii="Arial" w:hAnsi="Arial" w:cs="Arial"/>
          <w:sz w:val="22"/>
          <w:szCs w:val="22"/>
        </w:rPr>
        <w:t xml:space="preserve">, kjer se število obiskovalcev in turistov od njegovega odprtja vztrajno dviguje. Z ustrezno ureditvijo ostalih točk javnih površin bo </w:t>
      </w:r>
      <w:proofErr w:type="spellStart"/>
      <w:r w:rsidRPr="004C498A">
        <w:rPr>
          <w:rFonts w:ascii="Arial" w:hAnsi="Arial" w:cs="Arial"/>
          <w:sz w:val="22"/>
          <w:szCs w:val="22"/>
        </w:rPr>
        <w:t>Interpretacijski</w:t>
      </w:r>
      <w:proofErr w:type="spellEnd"/>
      <w:r w:rsidRPr="004C498A">
        <w:rPr>
          <w:rFonts w:ascii="Arial" w:hAnsi="Arial" w:cs="Arial"/>
          <w:sz w:val="22"/>
          <w:szCs w:val="22"/>
        </w:rPr>
        <w:t xml:space="preserve"> center še dodatno dvignil svoj standard ponudbe ter tako obiskovalcem kot turistom in prebivalcem omogočil neovirano gibanje med posameznimi točkami v naselju Ig kot tudi zagotovitev ustreznih površin za medgeneracijsko druženje ob upoštevanju čim večje površine zelenih površin in trajnostne mobilnosti. Tako bo občina imela možnost slediti vsem evropskim usmeritvam in standardom vezano na zelene površine in trajnostno mobilnost.</w:t>
      </w:r>
    </w:p>
    <w:p w14:paraId="5BC2CCDD" w14:textId="77777777" w:rsidR="00120E04" w:rsidRPr="004C498A" w:rsidRDefault="00120E04" w:rsidP="00A475EF">
      <w:pPr>
        <w:spacing w:after="120" w:line="276" w:lineRule="auto"/>
        <w:jc w:val="both"/>
        <w:rPr>
          <w:rFonts w:ascii="Arial" w:hAnsi="Arial" w:cs="Arial"/>
          <w:sz w:val="22"/>
          <w:szCs w:val="22"/>
        </w:rPr>
      </w:pPr>
      <w:r w:rsidRPr="004C498A">
        <w:rPr>
          <w:rFonts w:ascii="Arial" w:hAnsi="Arial" w:cs="Arial"/>
          <w:sz w:val="22"/>
          <w:szCs w:val="22"/>
        </w:rPr>
        <w:t xml:space="preserve">Na območju urejanja so ob Govekarjevi cesti javne stavbe, in sicer Osnovna šola Ig, Pošta, cerkev Sv. Martina, </w:t>
      </w:r>
      <w:proofErr w:type="spellStart"/>
      <w:r w:rsidRPr="004C498A">
        <w:rPr>
          <w:rFonts w:ascii="Arial" w:hAnsi="Arial" w:cs="Arial"/>
          <w:sz w:val="22"/>
          <w:szCs w:val="22"/>
        </w:rPr>
        <w:t>Morostig</w:t>
      </w:r>
      <w:proofErr w:type="spellEnd"/>
      <w:r w:rsidRPr="004C498A">
        <w:rPr>
          <w:rFonts w:ascii="Arial" w:hAnsi="Arial" w:cs="Arial"/>
          <w:sz w:val="22"/>
          <w:szCs w:val="22"/>
        </w:rPr>
        <w:t xml:space="preserve"> ter občinska stavba z gostujočim sedežem matičnega urada. Na stiku z Ljubljansko cesto pa je obstoječa glavna avtobusna postaja, ki je prestopnega značaja. Med Ljubljansko cesto in Govekarjevo cesto ni urejene varne šolske poti oz. varne pešpoti. Območje obstoječe avtobusne postaje je treba posodobiti tako z vizualnega kot s prometnega vidika.</w:t>
      </w:r>
    </w:p>
    <w:p w14:paraId="5B3A1F70" w14:textId="1DE602D7" w:rsidR="00120E04" w:rsidRPr="004C498A" w:rsidRDefault="00120E04" w:rsidP="00A475EF">
      <w:pPr>
        <w:spacing w:after="120" w:line="276" w:lineRule="auto"/>
        <w:rPr>
          <w:rFonts w:ascii="Arial" w:hAnsi="Arial" w:cs="Arial"/>
          <w:bCs/>
          <w:sz w:val="22"/>
          <w:szCs w:val="22"/>
        </w:rPr>
      </w:pPr>
      <w:bookmarkStart w:id="116" w:name="_Toc209029192"/>
      <w:bookmarkStart w:id="117" w:name="_Toc209277207"/>
      <w:bookmarkStart w:id="118" w:name="_Toc210033651"/>
      <w:r w:rsidRPr="004C498A">
        <w:rPr>
          <w:rFonts w:ascii="Arial" w:hAnsi="Arial" w:cs="Arial"/>
          <w:b/>
          <w:bCs/>
          <w:sz w:val="22"/>
          <w:szCs w:val="22"/>
        </w:rPr>
        <w:t xml:space="preserve">Slika </w:t>
      </w:r>
      <w:r w:rsidRPr="004C498A">
        <w:rPr>
          <w:rFonts w:ascii="Arial" w:hAnsi="Arial" w:cs="Arial"/>
          <w:b/>
          <w:bCs/>
          <w:sz w:val="22"/>
          <w:szCs w:val="22"/>
        </w:rPr>
        <w:fldChar w:fldCharType="begin"/>
      </w:r>
      <w:r w:rsidRPr="004C498A">
        <w:rPr>
          <w:rFonts w:ascii="Arial" w:hAnsi="Arial" w:cs="Arial"/>
          <w:b/>
          <w:bCs/>
          <w:sz w:val="22"/>
          <w:szCs w:val="22"/>
        </w:rPr>
        <w:instrText xml:space="preserve"> SEQ Slika \* ARABIC </w:instrText>
      </w:r>
      <w:r w:rsidRPr="004C498A">
        <w:rPr>
          <w:rFonts w:ascii="Arial" w:hAnsi="Arial" w:cs="Arial"/>
          <w:b/>
          <w:bCs/>
          <w:sz w:val="22"/>
          <w:szCs w:val="22"/>
        </w:rPr>
        <w:fldChar w:fldCharType="separate"/>
      </w:r>
      <w:r w:rsidR="00E74D26">
        <w:rPr>
          <w:rFonts w:ascii="Arial" w:hAnsi="Arial" w:cs="Arial"/>
          <w:b/>
          <w:bCs/>
          <w:noProof/>
          <w:sz w:val="22"/>
          <w:szCs w:val="22"/>
        </w:rPr>
        <w:t>3</w:t>
      </w:r>
      <w:r w:rsidRPr="004C498A">
        <w:rPr>
          <w:rFonts w:ascii="Arial" w:hAnsi="Arial" w:cs="Arial"/>
          <w:b/>
          <w:bCs/>
          <w:sz w:val="22"/>
          <w:szCs w:val="22"/>
        </w:rPr>
        <w:fldChar w:fldCharType="end"/>
      </w:r>
      <w:r w:rsidRPr="004C498A">
        <w:rPr>
          <w:rFonts w:ascii="Arial" w:hAnsi="Arial" w:cs="Arial"/>
          <w:b/>
          <w:bCs/>
          <w:sz w:val="22"/>
          <w:szCs w:val="22"/>
        </w:rPr>
        <w:t>:</w:t>
      </w:r>
      <w:r w:rsidR="00A475EF">
        <w:rPr>
          <w:rFonts w:ascii="Arial" w:hAnsi="Arial" w:cs="Arial"/>
          <w:b/>
          <w:bCs/>
          <w:sz w:val="22"/>
          <w:szCs w:val="22"/>
        </w:rPr>
        <w:t xml:space="preserve"> </w:t>
      </w:r>
      <w:r w:rsidRPr="004C498A">
        <w:rPr>
          <w:rFonts w:ascii="Arial" w:hAnsi="Arial" w:cs="Arial"/>
          <w:bCs/>
          <w:sz w:val="22"/>
          <w:szCs w:val="22"/>
        </w:rPr>
        <w:t>Center Iga</w:t>
      </w:r>
      <w:bookmarkEnd w:id="116"/>
      <w:bookmarkEnd w:id="117"/>
      <w:bookmarkEnd w:id="118"/>
    </w:p>
    <w:p w14:paraId="5FD4EDC4" w14:textId="77777777" w:rsidR="00120E04" w:rsidRPr="004C498A" w:rsidRDefault="00120E04" w:rsidP="00A475EF">
      <w:pPr>
        <w:spacing w:after="120" w:line="276" w:lineRule="auto"/>
        <w:jc w:val="both"/>
        <w:rPr>
          <w:rFonts w:ascii="Arial" w:hAnsi="Arial" w:cs="Arial"/>
          <w:sz w:val="22"/>
          <w:szCs w:val="22"/>
          <w:lang w:eastAsia="zh-TW"/>
        </w:rPr>
      </w:pPr>
      <w:r w:rsidRPr="004C498A">
        <w:rPr>
          <w:rFonts w:ascii="Arial" w:hAnsi="Arial" w:cs="Arial"/>
          <w:noProof/>
          <w:sz w:val="22"/>
          <w:szCs w:val="22"/>
        </w:rPr>
        <w:drawing>
          <wp:inline distT="0" distB="0" distL="0" distR="0" wp14:anchorId="066BEED9" wp14:editId="75B6A58A">
            <wp:extent cx="5759450" cy="3839845"/>
            <wp:effectExtent l="0" t="0" r="0" b="8255"/>
            <wp:docPr id="855704262" name="Picture 20" descr="An aerial view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04262" name="Picture 20" descr="An aerial view of a tow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p>
    <w:p w14:paraId="06B26F7E" w14:textId="77777777" w:rsidR="00120E04" w:rsidRPr="004C498A" w:rsidRDefault="00120E04" w:rsidP="00A475EF">
      <w:pPr>
        <w:spacing w:after="120" w:line="276" w:lineRule="auto"/>
        <w:jc w:val="both"/>
        <w:rPr>
          <w:rFonts w:ascii="Arial" w:hAnsi="Arial" w:cs="Arial"/>
          <w:sz w:val="22"/>
          <w:szCs w:val="22"/>
          <w:lang w:eastAsia="zh-TW"/>
        </w:rPr>
      </w:pPr>
    </w:p>
    <w:p w14:paraId="1082FBBA" w14:textId="1DD09D70" w:rsidR="008609C8" w:rsidRDefault="007E57C7" w:rsidP="00A475EF">
      <w:pPr>
        <w:spacing w:after="200" w:line="276" w:lineRule="auto"/>
        <w:jc w:val="both"/>
        <w:rPr>
          <w:rFonts w:ascii="Arial" w:hAnsi="Arial" w:cs="Arial"/>
          <w:sz w:val="22"/>
          <w:szCs w:val="22"/>
        </w:rPr>
      </w:pPr>
      <w:r>
        <w:rPr>
          <w:rFonts w:ascii="Arial" w:hAnsi="Arial" w:cs="Arial"/>
          <w:sz w:val="22"/>
          <w:szCs w:val="22"/>
        </w:rPr>
        <w:t xml:space="preserve">V nadaljevanju je podana podrobna </w:t>
      </w:r>
      <w:r w:rsidR="009A707B">
        <w:rPr>
          <w:rFonts w:ascii="Arial" w:hAnsi="Arial" w:cs="Arial"/>
          <w:sz w:val="22"/>
          <w:szCs w:val="22"/>
        </w:rPr>
        <w:t>analiza</w:t>
      </w:r>
      <w:r>
        <w:rPr>
          <w:rFonts w:ascii="Arial" w:hAnsi="Arial" w:cs="Arial"/>
          <w:sz w:val="22"/>
          <w:szCs w:val="22"/>
        </w:rPr>
        <w:t xml:space="preserve"> </w:t>
      </w:r>
      <w:r w:rsidR="009A707B">
        <w:rPr>
          <w:rFonts w:ascii="Arial" w:hAnsi="Arial" w:cs="Arial"/>
          <w:sz w:val="22"/>
          <w:szCs w:val="22"/>
        </w:rPr>
        <w:t xml:space="preserve">obstoječega </w:t>
      </w:r>
      <w:r>
        <w:rPr>
          <w:rFonts w:ascii="Arial" w:hAnsi="Arial" w:cs="Arial"/>
          <w:sz w:val="22"/>
          <w:szCs w:val="22"/>
        </w:rPr>
        <w:t>stanja področja</w:t>
      </w:r>
      <w:r w:rsidR="003E2BF1">
        <w:rPr>
          <w:rFonts w:ascii="Arial" w:hAnsi="Arial" w:cs="Arial"/>
          <w:sz w:val="22"/>
          <w:szCs w:val="22"/>
        </w:rPr>
        <w:t>,</w:t>
      </w:r>
      <w:r>
        <w:rPr>
          <w:rFonts w:ascii="Arial" w:hAnsi="Arial" w:cs="Arial"/>
          <w:sz w:val="22"/>
          <w:szCs w:val="22"/>
        </w:rPr>
        <w:t xml:space="preserve"> ki je predmet</w:t>
      </w:r>
      <w:r w:rsidR="009A707B">
        <w:rPr>
          <w:rFonts w:ascii="Arial" w:hAnsi="Arial" w:cs="Arial"/>
          <w:sz w:val="22"/>
          <w:szCs w:val="22"/>
        </w:rPr>
        <w:t xml:space="preserve"> obravnave</w:t>
      </w:r>
      <w:r w:rsidR="003E2BF1">
        <w:rPr>
          <w:rFonts w:ascii="Arial" w:hAnsi="Arial" w:cs="Arial"/>
          <w:sz w:val="22"/>
          <w:szCs w:val="22"/>
        </w:rPr>
        <w:t>:</w:t>
      </w:r>
    </w:p>
    <w:p w14:paraId="5DD642B9" w14:textId="77777777" w:rsidR="009A707B" w:rsidRDefault="009A707B" w:rsidP="00A475EF">
      <w:pPr>
        <w:spacing w:line="276" w:lineRule="auto"/>
        <w:jc w:val="both"/>
        <w:rPr>
          <w:rFonts w:ascii="Arial" w:hAnsi="Arial" w:cs="Arial"/>
          <w:sz w:val="22"/>
          <w:szCs w:val="22"/>
        </w:rPr>
      </w:pPr>
      <w:r w:rsidRPr="001A3386">
        <w:rPr>
          <w:rFonts w:ascii="Arial" w:hAnsi="Arial" w:cs="Arial"/>
          <w:b/>
          <w:bCs/>
          <w:sz w:val="22"/>
          <w:szCs w:val="22"/>
        </w:rPr>
        <w:t>Govekarjeva cesta</w:t>
      </w:r>
      <w:r w:rsidRPr="001A3386">
        <w:rPr>
          <w:rFonts w:ascii="Arial" w:hAnsi="Arial" w:cs="Arial"/>
          <w:sz w:val="22"/>
          <w:szCs w:val="22"/>
        </w:rPr>
        <w:t xml:space="preserve"> je del lokalne ceste Brest-Matena-Iška Loka-Ig (odsek 133011) in poteka od avtobusnega postajališča skozi občinsko središče. Urejena je kot dvosmerna cesta. Na obravnavanem odseku je dolžina ceste 197  m in je široka 6 m. Pločnik je parcialno urejen, na </w:t>
      </w:r>
      <w:r w:rsidRPr="001A3386">
        <w:rPr>
          <w:rFonts w:ascii="Arial" w:hAnsi="Arial" w:cs="Arial"/>
          <w:sz w:val="22"/>
          <w:szCs w:val="22"/>
        </w:rPr>
        <w:lastRenderedPageBreak/>
        <w:t>delu od avtobusnega postajališča do občinske stavbe pločnika ni zgrajenega. Na enem delu je urejen samo enostransko. Na Govekarjevi ni urejenih površin za kolesarje.</w:t>
      </w:r>
    </w:p>
    <w:p w14:paraId="75258E8D" w14:textId="77777777" w:rsidR="003850DD" w:rsidRDefault="003850DD" w:rsidP="00A475EF">
      <w:pPr>
        <w:spacing w:line="276" w:lineRule="auto"/>
        <w:jc w:val="both"/>
        <w:rPr>
          <w:rFonts w:ascii="Arial" w:hAnsi="Arial" w:cs="Arial"/>
          <w:sz w:val="22"/>
          <w:szCs w:val="22"/>
        </w:rPr>
      </w:pPr>
    </w:p>
    <w:p w14:paraId="5604281E" w14:textId="59CCE993" w:rsidR="006F5421" w:rsidRPr="0053720C" w:rsidRDefault="006F5421" w:rsidP="00A475EF">
      <w:pPr>
        <w:pStyle w:val="Napis"/>
        <w:spacing w:line="276" w:lineRule="auto"/>
        <w:jc w:val="both"/>
        <w:rPr>
          <w:rFonts w:asciiTheme="majorHAnsi" w:hAnsiTheme="majorHAnsi" w:cstheme="majorHAnsi"/>
          <w:b w:val="0"/>
          <w:bCs w:val="0"/>
          <w:color w:val="auto"/>
          <w:sz w:val="22"/>
          <w:szCs w:val="22"/>
        </w:rPr>
      </w:pPr>
      <w:bookmarkStart w:id="119" w:name="_Toc210033652"/>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4</w:t>
      </w:r>
      <w:r w:rsidRPr="0053720C">
        <w:rPr>
          <w:rFonts w:asciiTheme="majorHAnsi" w:hAnsiTheme="majorHAnsi" w:cstheme="majorHAnsi"/>
          <w:color w:val="auto"/>
          <w:sz w:val="22"/>
          <w:szCs w:val="22"/>
        </w:rPr>
        <w:fldChar w:fldCharType="end"/>
      </w:r>
      <w:r w:rsidRPr="0053720C">
        <w:rPr>
          <w:rFonts w:asciiTheme="majorHAnsi" w:hAnsiTheme="majorHAnsi" w:cstheme="majorHAnsi"/>
          <w:color w:val="auto"/>
          <w:sz w:val="22"/>
          <w:szCs w:val="22"/>
        </w:rPr>
        <w:t xml:space="preserve">: </w:t>
      </w:r>
      <w:r w:rsidRPr="0053720C">
        <w:rPr>
          <w:rFonts w:asciiTheme="majorHAnsi" w:hAnsiTheme="majorHAnsi" w:cstheme="majorHAnsi"/>
          <w:b w:val="0"/>
          <w:bCs w:val="0"/>
          <w:color w:val="auto"/>
          <w:sz w:val="22"/>
          <w:szCs w:val="22"/>
        </w:rPr>
        <w:t>Del Govekarjeve ceste, kjer ni urejenega pločnika</w:t>
      </w:r>
      <w:bookmarkEnd w:id="119"/>
    </w:p>
    <w:p w14:paraId="7883E142" w14:textId="77777777" w:rsidR="006F5421" w:rsidRPr="0053720C" w:rsidRDefault="006F5421" w:rsidP="00A475EF">
      <w:pPr>
        <w:spacing w:line="276" w:lineRule="auto"/>
        <w:jc w:val="both"/>
        <w:rPr>
          <w:rFonts w:asciiTheme="majorHAnsi" w:hAnsiTheme="majorHAnsi" w:cstheme="majorHAnsi"/>
          <w:sz w:val="22"/>
          <w:szCs w:val="22"/>
        </w:rPr>
      </w:pPr>
      <w:r w:rsidRPr="0053720C">
        <w:rPr>
          <w:rFonts w:asciiTheme="majorHAnsi" w:hAnsiTheme="majorHAnsi" w:cstheme="majorHAnsi"/>
          <w:noProof/>
          <w:sz w:val="22"/>
          <w:szCs w:val="22"/>
        </w:rPr>
        <w:drawing>
          <wp:inline distT="0" distB="0" distL="0" distR="0" wp14:anchorId="7665A36C" wp14:editId="009FF8CE">
            <wp:extent cx="3522980" cy="3619500"/>
            <wp:effectExtent l="0" t="0" r="1270" b="0"/>
            <wp:docPr id="1925445289" name="Slika 1"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45289" name="Slika 1" descr="A street with cars parked on it&#10;&#10;AI-generated content may be incorrect."/>
                    <pic:cNvPicPr/>
                  </pic:nvPicPr>
                  <pic:blipFill>
                    <a:blip r:embed="rId57"/>
                    <a:stretch>
                      <a:fillRect/>
                    </a:stretch>
                  </pic:blipFill>
                  <pic:spPr>
                    <a:xfrm>
                      <a:off x="0" y="0"/>
                      <a:ext cx="3539386" cy="3636355"/>
                    </a:xfrm>
                    <a:prstGeom prst="rect">
                      <a:avLst/>
                    </a:prstGeom>
                  </pic:spPr>
                </pic:pic>
              </a:graphicData>
            </a:graphic>
          </wp:inline>
        </w:drawing>
      </w:r>
    </w:p>
    <w:p w14:paraId="12DA1EC3" w14:textId="77777777" w:rsidR="006F5421" w:rsidRDefault="006F5421" w:rsidP="00A475EF">
      <w:pPr>
        <w:spacing w:line="276" w:lineRule="auto"/>
        <w:jc w:val="both"/>
        <w:rPr>
          <w:rFonts w:ascii="Arial" w:hAnsi="Arial" w:cs="Arial"/>
          <w:sz w:val="22"/>
          <w:szCs w:val="22"/>
        </w:rPr>
      </w:pPr>
    </w:p>
    <w:p w14:paraId="52EFE055" w14:textId="1418B4BB" w:rsidR="009A707B" w:rsidRDefault="009A707B" w:rsidP="00A475EF">
      <w:pPr>
        <w:spacing w:line="276" w:lineRule="auto"/>
        <w:jc w:val="both"/>
        <w:rPr>
          <w:rFonts w:ascii="Arial" w:hAnsi="Arial" w:cs="Arial"/>
          <w:sz w:val="22"/>
          <w:szCs w:val="22"/>
        </w:rPr>
      </w:pPr>
      <w:r w:rsidRPr="001A3386">
        <w:rPr>
          <w:rFonts w:ascii="Arial" w:hAnsi="Arial" w:cs="Arial"/>
          <w:sz w:val="22"/>
          <w:szCs w:val="22"/>
        </w:rPr>
        <w:t xml:space="preserve">Parkirna mesta za avtomobile so urejena ob Govekarjevi cesti na levi strani proti severu (12PM) in desni strani med občinsko stavbo in stavbo Pošta (21 PM).  Z novo ureditvijo se ta parkirna mesta ukinjajo. </w:t>
      </w:r>
    </w:p>
    <w:p w14:paraId="37E0B94A" w14:textId="77777777" w:rsidR="00A475EF" w:rsidRDefault="00A475EF" w:rsidP="00A475EF">
      <w:pPr>
        <w:spacing w:line="276" w:lineRule="auto"/>
        <w:jc w:val="both"/>
        <w:rPr>
          <w:rFonts w:ascii="Arial" w:hAnsi="Arial" w:cs="Arial"/>
          <w:sz w:val="22"/>
          <w:szCs w:val="22"/>
        </w:rPr>
      </w:pPr>
    </w:p>
    <w:p w14:paraId="033B1B8E" w14:textId="2D4DA3B3" w:rsidR="004607A3" w:rsidRPr="0053720C" w:rsidRDefault="004607A3" w:rsidP="00A475EF">
      <w:pPr>
        <w:pStyle w:val="Napis"/>
        <w:spacing w:line="276" w:lineRule="auto"/>
        <w:jc w:val="both"/>
        <w:rPr>
          <w:rFonts w:asciiTheme="majorHAnsi" w:hAnsiTheme="majorHAnsi" w:cstheme="majorHAnsi"/>
          <w:b w:val="0"/>
          <w:bCs w:val="0"/>
          <w:color w:val="auto"/>
          <w:sz w:val="22"/>
          <w:szCs w:val="22"/>
        </w:rPr>
      </w:pPr>
      <w:bookmarkStart w:id="120" w:name="_Toc210033653"/>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5</w:t>
      </w:r>
      <w:r w:rsidRPr="0053720C">
        <w:rPr>
          <w:rFonts w:asciiTheme="majorHAnsi" w:hAnsiTheme="majorHAnsi" w:cstheme="majorHAnsi"/>
          <w:color w:val="auto"/>
          <w:sz w:val="22"/>
          <w:szCs w:val="22"/>
        </w:rPr>
        <w:fldChar w:fldCharType="end"/>
      </w:r>
      <w:r w:rsidRPr="0053720C">
        <w:rPr>
          <w:rFonts w:asciiTheme="majorHAnsi" w:hAnsiTheme="majorHAnsi" w:cstheme="majorHAnsi"/>
          <w:color w:val="auto"/>
          <w:sz w:val="22"/>
          <w:szCs w:val="22"/>
        </w:rPr>
        <w:t>:</w:t>
      </w:r>
      <w:r w:rsidRPr="0053720C">
        <w:rPr>
          <w:rFonts w:asciiTheme="majorHAnsi" w:hAnsiTheme="majorHAnsi" w:cstheme="majorHAnsi"/>
          <w:b w:val="0"/>
          <w:bCs w:val="0"/>
          <w:color w:val="auto"/>
          <w:sz w:val="22"/>
          <w:szCs w:val="22"/>
        </w:rPr>
        <w:t xml:space="preserve"> Parkirna mesta na levi strani ob Govekarjevi cesti proti S (</w:t>
      </w:r>
      <w:proofErr w:type="spellStart"/>
      <w:r w:rsidRPr="0053720C">
        <w:rPr>
          <w:rFonts w:asciiTheme="majorHAnsi" w:hAnsiTheme="majorHAnsi" w:cstheme="majorHAnsi"/>
          <w:b w:val="0"/>
          <w:bCs w:val="0"/>
          <w:color w:val="auto"/>
          <w:sz w:val="22"/>
          <w:szCs w:val="22"/>
        </w:rPr>
        <w:t>Morostig</w:t>
      </w:r>
      <w:proofErr w:type="spellEnd"/>
      <w:r w:rsidRPr="0053720C">
        <w:rPr>
          <w:rFonts w:asciiTheme="majorHAnsi" w:hAnsiTheme="majorHAnsi" w:cstheme="majorHAnsi"/>
          <w:b w:val="0"/>
          <w:bCs w:val="0"/>
          <w:color w:val="auto"/>
          <w:sz w:val="22"/>
          <w:szCs w:val="22"/>
        </w:rPr>
        <w:t>), začasno zaprto v času Evropskega tedna mobilnosti</w:t>
      </w:r>
      <w:bookmarkEnd w:id="120"/>
      <w:r w:rsidRPr="0053720C">
        <w:rPr>
          <w:rFonts w:asciiTheme="majorHAnsi" w:hAnsiTheme="majorHAnsi" w:cstheme="majorHAnsi"/>
          <w:b w:val="0"/>
          <w:bCs w:val="0"/>
          <w:color w:val="auto"/>
          <w:sz w:val="22"/>
          <w:szCs w:val="22"/>
        </w:rPr>
        <w:t xml:space="preserve"> </w:t>
      </w:r>
    </w:p>
    <w:p w14:paraId="0D9CB9E1" w14:textId="77777777" w:rsidR="004607A3" w:rsidRPr="0053720C" w:rsidRDefault="004607A3" w:rsidP="00A475EF">
      <w:pPr>
        <w:spacing w:line="276" w:lineRule="auto"/>
        <w:jc w:val="both"/>
        <w:rPr>
          <w:rFonts w:asciiTheme="majorHAnsi" w:hAnsiTheme="majorHAnsi" w:cstheme="majorHAnsi"/>
          <w:sz w:val="22"/>
          <w:szCs w:val="22"/>
        </w:rPr>
      </w:pPr>
      <w:r w:rsidRPr="0053720C">
        <w:rPr>
          <w:rFonts w:asciiTheme="majorHAnsi" w:hAnsiTheme="majorHAnsi" w:cstheme="majorHAnsi"/>
          <w:noProof/>
          <w:sz w:val="22"/>
          <w:szCs w:val="22"/>
        </w:rPr>
        <w:drawing>
          <wp:inline distT="0" distB="0" distL="0" distR="0" wp14:anchorId="5093B56C" wp14:editId="33EACFCA">
            <wp:extent cx="5415148" cy="2791141"/>
            <wp:effectExtent l="0" t="0" r="0" b="9525"/>
            <wp:docPr id="911985886" name="Slika 1" descr="A road sign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985886" name="Slika 1" descr="A road sign in front of a building&#10;&#10;AI-generated content may be incorrect."/>
                    <pic:cNvPicPr/>
                  </pic:nvPicPr>
                  <pic:blipFill>
                    <a:blip r:embed="rId58"/>
                    <a:stretch>
                      <a:fillRect/>
                    </a:stretch>
                  </pic:blipFill>
                  <pic:spPr>
                    <a:xfrm>
                      <a:off x="0" y="0"/>
                      <a:ext cx="5427180" cy="2797343"/>
                    </a:xfrm>
                    <a:prstGeom prst="rect">
                      <a:avLst/>
                    </a:prstGeom>
                  </pic:spPr>
                </pic:pic>
              </a:graphicData>
            </a:graphic>
          </wp:inline>
        </w:drawing>
      </w:r>
    </w:p>
    <w:p w14:paraId="336D4D4C" w14:textId="77777777" w:rsidR="004607A3" w:rsidRDefault="004607A3" w:rsidP="00A475EF">
      <w:pPr>
        <w:spacing w:line="276" w:lineRule="auto"/>
        <w:jc w:val="both"/>
        <w:rPr>
          <w:rFonts w:ascii="Arial" w:hAnsi="Arial" w:cs="Arial"/>
          <w:sz w:val="22"/>
          <w:szCs w:val="22"/>
        </w:rPr>
      </w:pPr>
    </w:p>
    <w:p w14:paraId="6BCFD77E" w14:textId="77777777" w:rsidR="006F5421" w:rsidRDefault="006F5421" w:rsidP="00A475EF">
      <w:pPr>
        <w:spacing w:line="276" w:lineRule="auto"/>
        <w:jc w:val="both"/>
        <w:rPr>
          <w:rFonts w:ascii="Arial" w:hAnsi="Arial" w:cs="Arial"/>
          <w:sz w:val="22"/>
          <w:szCs w:val="22"/>
        </w:rPr>
      </w:pPr>
    </w:p>
    <w:p w14:paraId="727FAA4E" w14:textId="6B451EE5" w:rsidR="00C64BE3" w:rsidRPr="0053720C" w:rsidRDefault="00C64BE3" w:rsidP="00A475EF">
      <w:pPr>
        <w:pStyle w:val="Napis"/>
        <w:spacing w:line="276" w:lineRule="auto"/>
        <w:jc w:val="both"/>
        <w:rPr>
          <w:rFonts w:asciiTheme="majorHAnsi" w:hAnsiTheme="majorHAnsi" w:cstheme="majorHAnsi"/>
          <w:color w:val="auto"/>
          <w:sz w:val="22"/>
          <w:szCs w:val="22"/>
        </w:rPr>
      </w:pPr>
      <w:bookmarkStart w:id="121" w:name="_Toc210033654"/>
      <w:r w:rsidRPr="0053720C">
        <w:rPr>
          <w:rFonts w:asciiTheme="majorHAnsi" w:hAnsiTheme="majorHAnsi" w:cstheme="majorHAnsi"/>
          <w:noProof/>
          <w:color w:val="auto"/>
          <w:sz w:val="22"/>
          <w:szCs w:val="22"/>
        </w:rPr>
        <w:drawing>
          <wp:anchor distT="0" distB="0" distL="114300" distR="114300" simplePos="0" relativeHeight="251661824" behindDoc="0" locked="0" layoutInCell="1" allowOverlap="1" wp14:anchorId="72E9CAB9" wp14:editId="27DADCF2">
            <wp:simplePos x="0" y="0"/>
            <wp:positionH relativeFrom="column">
              <wp:posOffset>3810</wp:posOffset>
            </wp:positionH>
            <wp:positionV relativeFrom="paragraph">
              <wp:posOffset>300990</wp:posOffset>
            </wp:positionV>
            <wp:extent cx="5414645" cy="2368550"/>
            <wp:effectExtent l="0" t="0" r="0" b="0"/>
            <wp:wrapTopAndBottom/>
            <wp:docPr id="778145056" name="Slika 1" descr="A parking lot with cars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45056" name="Slika 1" descr="A parking lot with cars parked in front of a building&#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14645" cy="2368550"/>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6</w:t>
      </w:r>
      <w:r w:rsidRPr="0053720C">
        <w:rPr>
          <w:rFonts w:asciiTheme="majorHAnsi" w:hAnsiTheme="majorHAnsi" w:cstheme="majorHAnsi"/>
          <w:color w:val="auto"/>
          <w:sz w:val="22"/>
          <w:szCs w:val="22"/>
        </w:rPr>
        <w:fldChar w:fldCharType="end"/>
      </w:r>
      <w:r w:rsidRPr="0053720C">
        <w:rPr>
          <w:rFonts w:asciiTheme="majorHAnsi" w:hAnsiTheme="majorHAnsi" w:cstheme="majorHAnsi"/>
          <w:color w:val="auto"/>
          <w:sz w:val="22"/>
          <w:szCs w:val="22"/>
        </w:rPr>
        <w:t xml:space="preserve"> </w:t>
      </w:r>
      <w:r w:rsidRPr="0053720C">
        <w:rPr>
          <w:rFonts w:asciiTheme="majorHAnsi" w:hAnsiTheme="majorHAnsi" w:cstheme="majorHAnsi"/>
          <w:b w:val="0"/>
          <w:bCs w:val="0"/>
          <w:color w:val="auto"/>
          <w:sz w:val="22"/>
          <w:szCs w:val="22"/>
        </w:rPr>
        <w:t>Parkirna mesta med občinsko stavbo in pošto</w:t>
      </w:r>
      <w:bookmarkEnd w:id="121"/>
    </w:p>
    <w:p w14:paraId="26B55791" w14:textId="77777777" w:rsidR="00C64BE3" w:rsidRPr="0053720C" w:rsidRDefault="00C64BE3" w:rsidP="00A475EF">
      <w:pPr>
        <w:spacing w:line="276" w:lineRule="auto"/>
        <w:jc w:val="both"/>
        <w:rPr>
          <w:rFonts w:asciiTheme="majorHAnsi" w:hAnsiTheme="majorHAnsi" w:cstheme="majorHAnsi"/>
          <w:sz w:val="22"/>
          <w:szCs w:val="22"/>
        </w:rPr>
      </w:pPr>
    </w:p>
    <w:p w14:paraId="15ED1871" w14:textId="77777777" w:rsidR="00C64BE3" w:rsidRPr="0053720C" w:rsidRDefault="00C64BE3" w:rsidP="00A475EF">
      <w:pPr>
        <w:spacing w:line="276" w:lineRule="auto"/>
        <w:jc w:val="both"/>
        <w:rPr>
          <w:rFonts w:asciiTheme="majorHAnsi" w:hAnsiTheme="majorHAnsi" w:cstheme="majorHAnsi"/>
          <w:sz w:val="22"/>
          <w:szCs w:val="22"/>
        </w:rPr>
      </w:pPr>
      <w:r w:rsidRPr="0053720C">
        <w:rPr>
          <w:rFonts w:asciiTheme="majorHAnsi" w:hAnsiTheme="majorHAnsi" w:cstheme="majorHAnsi"/>
          <w:sz w:val="22"/>
          <w:szCs w:val="22"/>
        </w:rPr>
        <w:t xml:space="preserve">Hitrost na cesti je omejena na 30 km/h. Pri športni dvorani je postaja za šolski avtobus. V celoti je asfaltirana. </w:t>
      </w:r>
    </w:p>
    <w:p w14:paraId="43CF5475" w14:textId="77777777" w:rsidR="00C64BE3" w:rsidRPr="0053720C" w:rsidRDefault="00C64BE3" w:rsidP="00A475EF">
      <w:pPr>
        <w:pStyle w:val="Napis"/>
        <w:spacing w:line="276" w:lineRule="auto"/>
        <w:jc w:val="both"/>
        <w:rPr>
          <w:rFonts w:asciiTheme="majorHAnsi" w:hAnsiTheme="majorHAnsi" w:cstheme="majorHAnsi"/>
          <w:color w:val="auto"/>
          <w:sz w:val="22"/>
          <w:szCs w:val="22"/>
        </w:rPr>
      </w:pPr>
    </w:p>
    <w:p w14:paraId="03E7E932" w14:textId="6CBBCB1F" w:rsidR="00C64BE3" w:rsidRPr="0053720C" w:rsidRDefault="00C64BE3" w:rsidP="00A475EF">
      <w:pPr>
        <w:pStyle w:val="Napis"/>
        <w:spacing w:line="276" w:lineRule="auto"/>
        <w:jc w:val="both"/>
        <w:rPr>
          <w:rFonts w:asciiTheme="majorHAnsi" w:hAnsiTheme="majorHAnsi" w:cstheme="majorHAnsi"/>
          <w:color w:val="auto"/>
          <w:sz w:val="22"/>
          <w:szCs w:val="22"/>
        </w:rPr>
      </w:pPr>
      <w:bookmarkStart w:id="122" w:name="_Toc210033655"/>
      <w:r w:rsidRPr="0053720C">
        <w:rPr>
          <w:rFonts w:asciiTheme="majorHAnsi" w:hAnsiTheme="majorHAnsi" w:cstheme="majorHAnsi"/>
          <w:noProof/>
          <w:color w:val="auto"/>
          <w:sz w:val="22"/>
          <w:szCs w:val="22"/>
        </w:rPr>
        <w:drawing>
          <wp:anchor distT="0" distB="0" distL="114300" distR="114300" simplePos="0" relativeHeight="251662848" behindDoc="0" locked="0" layoutInCell="1" allowOverlap="1" wp14:anchorId="0D85631A" wp14:editId="0366455D">
            <wp:simplePos x="0" y="0"/>
            <wp:positionH relativeFrom="column">
              <wp:posOffset>3810</wp:posOffset>
            </wp:positionH>
            <wp:positionV relativeFrom="paragraph">
              <wp:posOffset>314960</wp:posOffset>
            </wp:positionV>
            <wp:extent cx="4800600" cy="2990850"/>
            <wp:effectExtent l="0" t="0" r="0" b="0"/>
            <wp:wrapTopAndBottom/>
            <wp:docPr id="2115392945" name="Slika 1" descr="A road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92945" name="Slika 1" descr="A road with cars parked on it&#10;&#10;AI-generated content may be incorrect."/>
                    <pic:cNvPicPr/>
                  </pic:nvPicPr>
                  <pic:blipFill>
                    <a:blip r:embed="rId60">
                      <a:extLst>
                        <a:ext uri="{28A0092B-C50C-407E-A947-70E740481C1C}">
                          <a14:useLocalDpi xmlns:a14="http://schemas.microsoft.com/office/drawing/2010/main" val="0"/>
                        </a:ext>
                      </a:extLst>
                    </a:blip>
                    <a:stretch>
                      <a:fillRect/>
                    </a:stretch>
                  </pic:blipFill>
                  <pic:spPr>
                    <a:xfrm>
                      <a:off x="0" y="0"/>
                      <a:ext cx="4800600" cy="2990850"/>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7</w:t>
      </w:r>
      <w:r w:rsidRPr="0053720C">
        <w:rPr>
          <w:rFonts w:asciiTheme="majorHAnsi" w:hAnsiTheme="majorHAnsi" w:cstheme="majorHAnsi"/>
          <w:color w:val="auto"/>
          <w:sz w:val="22"/>
          <w:szCs w:val="22"/>
        </w:rPr>
        <w:fldChar w:fldCharType="end"/>
      </w:r>
      <w:r w:rsidRPr="0053720C">
        <w:rPr>
          <w:rFonts w:asciiTheme="majorHAnsi" w:hAnsiTheme="majorHAnsi" w:cstheme="majorHAnsi"/>
          <w:color w:val="auto"/>
          <w:sz w:val="22"/>
          <w:szCs w:val="22"/>
        </w:rPr>
        <w:t xml:space="preserve">: </w:t>
      </w:r>
      <w:r w:rsidRPr="0053720C">
        <w:rPr>
          <w:rFonts w:asciiTheme="majorHAnsi" w:hAnsiTheme="majorHAnsi" w:cstheme="majorHAnsi"/>
          <w:b w:val="0"/>
          <w:bCs w:val="0"/>
          <w:color w:val="auto"/>
          <w:sz w:val="22"/>
          <w:szCs w:val="22"/>
        </w:rPr>
        <w:t>Govekarjeva cesta, avtobusno postajališče za šolski bus</w:t>
      </w:r>
      <w:bookmarkEnd w:id="122"/>
    </w:p>
    <w:p w14:paraId="111EC9E6" w14:textId="77777777" w:rsidR="00C64BE3" w:rsidRDefault="00C64BE3" w:rsidP="00A475EF">
      <w:pPr>
        <w:spacing w:line="276" w:lineRule="auto"/>
        <w:jc w:val="both"/>
        <w:rPr>
          <w:rFonts w:ascii="Arial" w:hAnsi="Arial" w:cs="Arial"/>
          <w:sz w:val="22"/>
          <w:szCs w:val="22"/>
        </w:rPr>
      </w:pPr>
    </w:p>
    <w:p w14:paraId="07050CF7" w14:textId="26C154FC" w:rsidR="009A707B" w:rsidRDefault="009A707B" w:rsidP="00A475EF">
      <w:pPr>
        <w:spacing w:line="276" w:lineRule="auto"/>
        <w:jc w:val="both"/>
        <w:rPr>
          <w:rFonts w:ascii="Arial" w:hAnsi="Arial" w:cs="Arial"/>
          <w:sz w:val="22"/>
          <w:szCs w:val="22"/>
        </w:rPr>
      </w:pPr>
      <w:r w:rsidRPr="001A3386">
        <w:rPr>
          <w:rFonts w:ascii="Arial" w:hAnsi="Arial" w:cs="Arial"/>
          <w:sz w:val="22"/>
          <w:szCs w:val="22"/>
        </w:rPr>
        <w:t>Na obravnavanem odseku je</w:t>
      </w:r>
      <w:r w:rsidR="002107C6">
        <w:rPr>
          <w:rFonts w:ascii="Arial" w:hAnsi="Arial" w:cs="Arial"/>
          <w:sz w:val="22"/>
          <w:szCs w:val="22"/>
        </w:rPr>
        <w:t xml:space="preserve"> bilo v obdobju od 12.9.2025 do 22.9.2025, merjeno v eno smer, povprečno 862 prevozov vozil na dan. Ob tej predpostavki, </w:t>
      </w:r>
      <w:r w:rsidR="00155EB3">
        <w:rPr>
          <w:rFonts w:ascii="Arial" w:hAnsi="Arial" w:cs="Arial"/>
          <w:sz w:val="22"/>
          <w:szCs w:val="22"/>
        </w:rPr>
        <w:t xml:space="preserve">da je enako število vozil v nasprotni smeri ocenjujemo, </w:t>
      </w:r>
      <w:r w:rsidR="002107C6">
        <w:rPr>
          <w:rFonts w:ascii="Arial" w:hAnsi="Arial" w:cs="Arial"/>
          <w:sz w:val="22"/>
          <w:szCs w:val="22"/>
        </w:rPr>
        <w:t>da je skupaj povprečno 1724,36 prevozov vozil v obe smeri</w:t>
      </w:r>
      <w:r w:rsidR="00485D0D">
        <w:rPr>
          <w:rFonts w:ascii="Arial" w:hAnsi="Arial" w:cs="Arial"/>
          <w:sz w:val="22"/>
          <w:szCs w:val="22"/>
        </w:rPr>
        <w:t xml:space="preserve"> na dan</w:t>
      </w:r>
      <w:r w:rsidRPr="001A3386">
        <w:rPr>
          <w:rStyle w:val="Sprotnaopomba-sklic"/>
          <w:rFonts w:ascii="Arial" w:hAnsi="Arial" w:cs="Arial"/>
          <w:sz w:val="22"/>
          <w:szCs w:val="22"/>
        </w:rPr>
        <w:footnoteReference w:id="2"/>
      </w:r>
      <w:r w:rsidRPr="001A3386">
        <w:rPr>
          <w:rFonts w:ascii="Arial" w:hAnsi="Arial" w:cs="Arial"/>
          <w:sz w:val="22"/>
          <w:szCs w:val="22"/>
        </w:rPr>
        <w:t xml:space="preserve">. </w:t>
      </w:r>
    </w:p>
    <w:p w14:paraId="67CF2436" w14:textId="77777777" w:rsidR="009A707B" w:rsidRPr="001A3386" w:rsidRDefault="009A707B" w:rsidP="00A475EF">
      <w:pPr>
        <w:spacing w:line="276" w:lineRule="auto"/>
        <w:jc w:val="both"/>
        <w:rPr>
          <w:rFonts w:ascii="Arial" w:hAnsi="Arial" w:cs="Arial"/>
          <w:sz w:val="22"/>
          <w:szCs w:val="22"/>
        </w:rPr>
      </w:pPr>
    </w:p>
    <w:p w14:paraId="10AD2C92" w14:textId="1376B591" w:rsidR="009A707B" w:rsidRDefault="009A707B" w:rsidP="00A475EF">
      <w:pPr>
        <w:spacing w:line="276" w:lineRule="auto"/>
        <w:jc w:val="both"/>
        <w:rPr>
          <w:rFonts w:ascii="Arial" w:hAnsi="Arial" w:cs="Arial"/>
          <w:sz w:val="22"/>
          <w:szCs w:val="22"/>
        </w:rPr>
      </w:pPr>
      <w:r w:rsidRPr="001A3386">
        <w:rPr>
          <w:rFonts w:ascii="Arial" w:hAnsi="Arial" w:cs="Arial"/>
          <w:sz w:val="22"/>
          <w:szCs w:val="22"/>
        </w:rPr>
        <w:t xml:space="preserve">Na delu Govekarjeve ceste, od križišča Troštove ulice, do parkirišča pri pokopališču je zarisan kolesarski pas. </w:t>
      </w:r>
      <w:r w:rsidR="002107C6" w:rsidRPr="001A3386">
        <w:rPr>
          <w:rFonts w:ascii="Arial" w:hAnsi="Arial" w:cs="Arial"/>
          <w:sz w:val="22"/>
          <w:szCs w:val="22"/>
        </w:rPr>
        <w:t>Na obravnavanem odseku je</w:t>
      </w:r>
      <w:r w:rsidR="002107C6">
        <w:rPr>
          <w:rFonts w:ascii="Arial" w:hAnsi="Arial" w:cs="Arial"/>
          <w:sz w:val="22"/>
          <w:szCs w:val="22"/>
        </w:rPr>
        <w:t xml:space="preserve"> bilo v obdobju od 1.9.2025 do 11.9.2025, merjeno v </w:t>
      </w:r>
      <w:r w:rsidR="002107C6">
        <w:rPr>
          <w:rFonts w:ascii="Arial" w:hAnsi="Arial" w:cs="Arial"/>
          <w:sz w:val="22"/>
          <w:szCs w:val="22"/>
        </w:rPr>
        <w:lastRenderedPageBreak/>
        <w:t>eno smer, povprečno 587 prevozov vozil na dan. Ob tej predpostavki</w:t>
      </w:r>
      <w:r w:rsidR="00155EB3">
        <w:rPr>
          <w:rFonts w:ascii="Arial" w:hAnsi="Arial" w:cs="Arial"/>
          <w:sz w:val="22"/>
          <w:szCs w:val="22"/>
        </w:rPr>
        <w:t xml:space="preserve">, da je enako število vozil v nasprotni smeri </w:t>
      </w:r>
      <w:r w:rsidR="002107C6">
        <w:rPr>
          <w:rFonts w:ascii="Arial" w:hAnsi="Arial" w:cs="Arial"/>
          <w:sz w:val="22"/>
          <w:szCs w:val="22"/>
        </w:rPr>
        <w:t>ocenjujemo, da je skupaj povprečno 1174,18 prevozov vozil v obe smeri</w:t>
      </w:r>
      <w:r w:rsidR="00485D0D">
        <w:rPr>
          <w:rFonts w:ascii="Arial" w:hAnsi="Arial" w:cs="Arial"/>
          <w:sz w:val="22"/>
          <w:szCs w:val="22"/>
        </w:rPr>
        <w:t xml:space="preserve"> na dan</w:t>
      </w:r>
      <w:r w:rsidRPr="001A3386">
        <w:rPr>
          <w:rStyle w:val="Sprotnaopomba-sklic"/>
          <w:rFonts w:ascii="Arial" w:hAnsi="Arial" w:cs="Arial"/>
          <w:sz w:val="22"/>
          <w:szCs w:val="22"/>
        </w:rPr>
        <w:footnoteReference w:id="3"/>
      </w:r>
      <w:r w:rsidRPr="001A3386">
        <w:rPr>
          <w:rFonts w:ascii="Arial" w:hAnsi="Arial" w:cs="Arial"/>
          <w:sz w:val="22"/>
          <w:szCs w:val="22"/>
        </w:rPr>
        <w:t>.</w:t>
      </w:r>
    </w:p>
    <w:p w14:paraId="5E93A7AB" w14:textId="77777777" w:rsidR="009A707B" w:rsidRPr="001A3386" w:rsidRDefault="009A707B" w:rsidP="00A475EF">
      <w:pPr>
        <w:spacing w:line="276" w:lineRule="auto"/>
        <w:jc w:val="both"/>
        <w:rPr>
          <w:rFonts w:ascii="Arial" w:hAnsi="Arial" w:cs="Arial"/>
          <w:sz w:val="22"/>
          <w:szCs w:val="22"/>
        </w:rPr>
      </w:pPr>
    </w:p>
    <w:p w14:paraId="619421A9" w14:textId="0B40705F" w:rsidR="009A707B" w:rsidRDefault="009A707B" w:rsidP="00A475EF">
      <w:pPr>
        <w:spacing w:line="276" w:lineRule="auto"/>
        <w:jc w:val="both"/>
        <w:rPr>
          <w:rFonts w:ascii="Arial" w:hAnsi="Arial" w:cs="Arial"/>
          <w:sz w:val="22"/>
          <w:szCs w:val="22"/>
        </w:rPr>
      </w:pPr>
      <w:r w:rsidRPr="001A3386">
        <w:rPr>
          <w:rFonts w:ascii="Arial" w:hAnsi="Arial" w:cs="Arial"/>
          <w:sz w:val="22"/>
          <w:szCs w:val="22"/>
        </w:rPr>
        <w:t>Ob Govekarjevi cesti (del, ki je predmet prenove) so nanizane pomemb</w:t>
      </w:r>
      <w:r w:rsidR="001305D6">
        <w:rPr>
          <w:rFonts w:ascii="Arial" w:hAnsi="Arial" w:cs="Arial"/>
          <w:sz w:val="22"/>
          <w:szCs w:val="22"/>
        </w:rPr>
        <w:t>n</w:t>
      </w:r>
      <w:r w:rsidRPr="001A3386">
        <w:rPr>
          <w:rFonts w:ascii="Arial" w:hAnsi="Arial" w:cs="Arial"/>
          <w:sz w:val="22"/>
          <w:szCs w:val="22"/>
        </w:rPr>
        <w:t xml:space="preserve">e ustanove: občinska stavba, pošta, športna dvorana z glavnim vhodom, </w:t>
      </w:r>
      <w:proofErr w:type="spellStart"/>
      <w:r w:rsidRPr="001A3386">
        <w:rPr>
          <w:rFonts w:ascii="Arial" w:hAnsi="Arial" w:cs="Arial"/>
          <w:sz w:val="22"/>
          <w:szCs w:val="22"/>
        </w:rPr>
        <w:t>Morostig</w:t>
      </w:r>
      <w:proofErr w:type="spellEnd"/>
      <w:r w:rsidRPr="001A3386">
        <w:rPr>
          <w:rFonts w:ascii="Arial" w:hAnsi="Arial" w:cs="Arial"/>
          <w:sz w:val="22"/>
          <w:szCs w:val="22"/>
        </w:rPr>
        <w:t xml:space="preserve"> – hiša narave in kolišč, župnijska cerkev sv. Martina.</w:t>
      </w:r>
    </w:p>
    <w:p w14:paraId="21B2AB95" w14:textId="77777777" w:rsidR="00C64BE3" w:rsidRDefault="00C64BE3" w:rsidP="00A475EF">
      <w:pPr>
        <w:spacing w:line="276" w:lineRule="auto"/>
        <w:jc w:val="both"/>
        <w:rPr>
          <w:rFonts w:ascii="Arial" w:hAnsi="Arial" w:cs="Arial"/>
          <w:sz w:val="22"/>
          <w:szCs w:val="22"/>
        </w:rPr>
      </w:pPr>
    </w:p>
    <w:p w14:paraId="49D3505A" w14:textId="68D5338A" w:rsidR="00A475EF" w:rsidRPr="0053720C" w:rsidRDefault="00A475EF" w:rsidP="00A475EF">
      <w:pPr>
        <w:pStyle w:val="Napis"/>
        <w:spacing w:line="276" w:lineRule="auto"/>
        <w:jc w:val="both"/>
        <w:rPr>
          <w:rFonts w:asciiTheme="majorHAnsi" w:hAnsiTheme="majorHAnsi" w:cstheme="majorHAnsi"/>
          <w:b w:val="0"/>
          <w:bCs w:val="0"/>
          <w:color w:val="auto"/>
          <w:sz w:val="22"/>
          <w:szCs w:val="22"/>
        </w:rPr>
      </w:pPr>
      <w:bookmarkStart w:id="123" w:name="_Toc210033656"/>
      <w:r w:rsidRPr="0053720C">
        <w:rPr>
          <w:rFonts w:asciiTheme="majorHAnsi" w:hAnsiTheme="majorHAnsi" w:cstheme="majorHAnsi"/>
          <w:noProof/>
          <w:color w:val="auto"/>
          <w:sz w:val="22"/>
          <w:szCs w:val="22"/>
        </w:rPr>
        <w:drawing>
          <wp:anchor distT="0" distB="0" distL="114300" distR="114300" simplePos="0" relativeHeight="251664896" behindDoc="0" locked="0" layoutInCell="1" allowOverlap="1" wp14:anchorId="4ABE7C43" wp14:editId="57068FDF">
            <wp:simplePos x="0" y="0"/>
            <wp:positionH relativeFrom="column">
              <wp:posOffset>3810</wp:posOffset>
            </wp:positionH>
            <wp:positionV relativeFrom="paragraph">
              <wp:posOffset>293370</wp:posOffset>
            </wp:positionV>
            <wp:extent cx="5505450" cy="3557270"/>
            <wp:effectExtent l="0" t="0" r="0" b="5080"/>
            <wp:wrapTopAndBottom/>
            <wp:docPr id="802730803" name="Slika 1" descr="A crosswalk with a white tower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30803" name="Slika 1" descr="A crosswalk with a white tower in the background&#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505450" cy="3557270"/>
                    </a:xfrm>
                    <a:prstGeom prst="rect">
                      <a:avLst/>
                    </a:prstGeom>
                  </pic:spPr>
                </pic:pic>
              </a:graphicData>
            </a:graphic>
            <wp14:sizeRelH relativeFrom="page">
              <wp14:pctWidth>0</wp14:pctWidth>
            </wp14:sizeRelH>
            <wp14:sizeRelV relativeFrom="page">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8</w:t>
      </w:r>
      <w:r w:rsidRPr="0053720C">
        <w:rPr>
          <w:rFonts w:asciiTheme="majorHAnsi" w:hAnsiTheme="majorHAnsi" w:cstheme="majorHAnsi"/>
          <w:color w:val="auto"/>
          <w:sz w:val="22"/>
          <w:szCs w:val="22"/>
        </w:rPr>
        <w:fldChar w:fldCharType="end"/>
      </w:r>
      <w:r w:rsidRPr="0053720C">
        <w:rPr>
          <w:rFonts w:asciiTheme="majorHAnsi" w:hAnsiTheme="majorHAnsi" w:cstheme="majorHAnsi"/>
          <w:b w:val="0"/>
          <w:bCs w:val="0"/>
          <w:color w:val="auto"/>
          <w:sz w:val="22"/>
          <w:szCs w:val="22"/>
        </w:rPr>
        <w:t>: Križišče Govekarjeve ceste in Troštove ulice</w:t>
      </w:r>
      <w:r w:rsidR="001E11FF">
        <w:rPr>
          <w:rFonts w:asciiTheme="majorHAnsi" w:hAnsiTheme="majorHAnsi" w:cstheme="majorHAnsi"/>
          <w:b w:val="0"/>
          <w:bCs w:val="0"/>
          <w:color w:val="auto"/>
          <w:sz w:val="22"/>
          <w:szCs w:val="22"/>
        </w:rPr>
        <w:t xml:space="preserve"> ter kolesarski pas na Govekarjevi cesti</w:t>
      </w:r>
      <w:bookmarkEnd w:id="123"/>
    </w:p>
    <w:p w14:paraId="237B94C2" w14:textId="77777777" w:rsidR="00A475EF" w:rsidRDefault="00A475EF" w:rsidP="00A475EF">
      <w:pPr>
        <w:spacing w:line="276" w:lineRule="auto"/>
        <w:rPr>
          <w:rFonts w:ascii="Arial" w:hAnsi="Arial" w:cs="Arial"/>
          <w:b/>
          <w:bCs/>
          <w:sz w:val="22"/>
          <w:szCs w:val="22"/>
        </w:rPr>
      </w:pPr>
    </w:p>
    <w:p w14:paraId="68965B7B" w14:textId="21CBD373" w:rsidR="009A707B" w:rsidRPr="001A3386" w:rsidRDefault="009A707B" w:rsidP="00A475EF">
      <w:pPr>
        <w:spacing w:line="276" w:lineRule="auto"/>
        <w:rPr>
          <w:rFonts w:ascii="Arial" w:hAnsi="Arial" w:cs="Arial"/>
          <w:sz w:val="22"/>
          <w:szCs w:val="22"/>
        </w:rPr>
      </w:pPr>
      <w:r w:rsidRPr="001A3386">
        <w:rPr>
          <w:rFonts w:ascii="Arial" w:hAnsi="Arial" w:cs="Arial"/>
          <w:b/>
          <w:bCs/>
          <w:sz w:val="22"/>
          <w:szCs w:val="22"/>
        </w:rPr>
        <w:t>Troštova</w:t>
      </w:r>
      <w:r w:rsidRPr="001A3386">
        <w:rPr>
          <w:rFonts w:ascii="Arial" w:hAnsi="Arial" w:cs="Arial"/>
          <w:sz w:val="22"/>
          <w:szCs w:val="22"/>
        </w:rPr>
        <w:t xml:space="preserve"> </w:t>
      </w:r>
      <w:r w:rsidRPr="001A3386">
        <w:rPr>
          <w:rFonts w:ascii="Arial" w:hAnsi="Arial" w:cs="Arial"/>
          <w:b/>
          <w:bCs/>
          <w:sz w:val="22"/>
          <w:szCs w:val="22"/>
        </w:rPr>
        <w:t>ulica</w:t>
      </w:r>
      <w:r w:rsidRPr="001A3386">
        <w:rPr>
          <w:rFonts w:ascii="Arial" w:hAnsi="Arial" w:cs="Arial"/>
          <w:sz w:val="22"/>
          <w:szCs w:val="22"/>
        </w:rPr>
        <w:t xml:space="preserve">, ki je na obravnavanem odseku kategorizirana kot javna pot št. 634261, je urejena kot dvosmerna, z dvostranskim pločnikom. V celoti je asfaltirana. Na delu ulice so urejena paralelna parkirna mesta, ki bodo z novo ureditvijo ukinjena. Hitrost je omejena na 30 km/h. Cesta je dolga 89 m in široka 5,5 m. </w:t>
      </w:r>
    </w:p>
    <w:p w14:paraId="2385841E" w14:textId="77777777" w:rsidR="00D5731F" w:rsidRDefault="00D5731F" w:rsidP="009A707B">
      <w:pPr>
        <w:rPr>
          <w:rFonts w:asciiTheme="minorHAnsi" w:eastAsiaTheme="minorEastAsia" w:hAnsiTheme="minorHAnsi" w:cstheme="minorBidi"/>
          <w:b/>
          <w:bCs/>
          <w:color w:val="4F81BD" w:themeColor="accent1"/>
          <w:sz w:val="18"/>
          <w:szCs w:val="18"/>
        </w:rPr>
      </w:pPr>
    </w:p>
    <w:p w14:paraId="7ADB0385" w14:textId="11AB6FB1" w:rsidR="00D5731F" w:rsidRPr="0053720C" w:rsidRDefault="00D5731F" w:rsidP="00D5731F">
      <w:pPr>
        <w:pStyle w:val="Napis"/>
        <w:spacing w:line="276" w:lineRule="auto"/>
        <w:rPr>
          <w:rFonts w:asciiTheme="majorHAnsi" w:hAnsiTheme="majorHAnsi" w:cstheme="majorHAnsi"/>
          <w:color w:val="auto"/>
          <w:sz w:val="22"/>
          <w:szCs w:val="22"/>
        </w:rPr>
      </w:pPr>
      <w:bookmarkStart w:id="124" w:name="_Toc210033657"/>
      <w:r w:rsidRPr="0053720C">
        <w:rPr>
          <w:rFonts w:asciiTheme="majorHAnsi" w:hAnsiTheme="majorHAnsi" w:cstheme="majorHAnsi"/>
          <w:noProof/>
          <w:color w:val="auto"/>
          <w:sz w:val="22"/>
          <w:szCs w:val="22"/>
        </w:rPr>
        <w:lastRenderedPageBreak/>
        <w:drawing>
          <wp:anchor distT="0" distB="0" distL="114300" distR="114300" simplePos="0" relativeHeight="251667968" behindDoc="0" locked="0" layoutInCell="1" allowOverlap="1" wp14:anchorId="3F230DC3" wp14:editId="3ED3C2D6">
            <wp:simplePos x="0" y="0"/>
            <wp:positionH relativeFrom="column">
              <wp:posOffset>2956560</wp:posOffset>
            </wp:positionH>
            <wp:positionV relativeFrom="paragraph">
              <wp:posOffset>360045</wp:posOffset>
            </wp:positionV>
            <wp:extent cx="3290570" cy="3075305"/>
            <wp:effectExtent l="0" t="0" r="5080" b="0"/>
            <wp:wrapTopAndBottom/>
            <wp:docPr id="1194903750" name="Slika 1" descr="A row of cars parked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03750" name="Slika 1" descr="A row of cars parked on a street&#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3290570" cy="3075305"/>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noProof/>
          <w:color w:val="auto"/>
          <w:sz w:val="22"/>
          <w:szCs w:val="22"/>
        </w:rPr>
        <w:drawing>
          <wp:anchor distT="0" distB="0" distL="114300" distR="114300" simplePos="0" relativeHeight="251666944" behindDoc="0" locked="0" layoutInCell="1" allowOverlap="1" wp14:anchorId="5CE67324" wp14:editId="5CF8D910">
            <wp:simplePos x="0" y="0"/>
            <wp:positionH relativeFrom="column">
              <wp:posOffset>3810</wp:posOffset>
            </wp:positionH>
            <wp:positionV relativeFrom="paragraph">
              <wp:posOffset>360045</wp:posOffset>
            </wp:positionV>
            <wp:extent cx="2899410" cy="3065145"/>
            <wp:effectExtent l="0" t="0" r="0" b="1905"/>
            <wp:wrapTopAndBottom/>
            <wp:docPr id="1101804268" name="Slika 1" descr="Cars parked cars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804268" name="Slika 1" descr="Cars parked cars on a street&#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2899410" cy="3065145"/>
                    </a:xfrm>
                    <a:prstGeom prst="rect">
                      <a:avLst/>
                    </a:prstGeom>
                  </pic:spPr>
                </pic:pic>
              </a:graphicData>
            </a:graphic>
            <wp14:sizeRelH relativeFrom="page">
              <wp14:pctWidth>0</wp14:pctWidth>
            </wp14:sizeRelH>
            <wp14:sizeRelV relativeFrom="page">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9</w:t>
      </w:r>
      <w:r w:rsidRPr="0053720C">
        <w:rPr>
          <w:rFonts w:asciiTheme="majorHAnsi" w:hAnsiTheme="majorHAnsi" w:cstheme="majorHAnsi"/>
          <w:color w:val="auto"/>
          <w:sz w:val="22"/>
          <w:szCs w:val="22"/>
        </w:rPr>
        <w:fldChar w:fldCharType="end"/>
      </w:r>
      <w:r w:rsidRPr="0053720C">
        <w:rPr>
          <w:rFonts w:asciiTheme="majorHAnsi" w:hAnsiTheme="majorHAnsi" w:cstheme="majorHAnsi"/>
          <w:i/>
          <w:iCs/>
          <w:color w:val="auto"/>
          <w:sz w:val="22"/>
          <w:szCs w:val="22"/>
        </w:rPr>
        <w:t xml:space="preserve"> </w:t>
      </w:r>
      <w:r w:rsidRPr="0053720C">
        <w:rPr>
          <w:rFonts w:asciiTheme="majorHAnsi" w:hAnsiTheme="majorHAnsi" w:cstheme="majorHAnsi"/>
          <w:b w:val="0"/>
          <w:bCs w:val="0"/>
          <w:color w:val="auto"/>
          <w:sz w:val="22"/>
          <w:szCs w:val="22"/>
        </w:rPr>
        <w:t>Troštova ulica</w:t>
      </w:r>
      <w:bookmarkEnd w:id="124"/>
    </w:p>
    <w:p w14:paraId="1EFA13EC" w14:textId="77777777" w:rsidR="00D5731F" w:rsidRDefault="00D5731F" w:rsidP="009A707B">
      <w:pPr>
        <w:rPr>
          <w:rFonts w:asciiTheme="minorHAnsi" w:eastAsiaTheme="minorEastAsia" w:hAnsiTheme="minorHAnsi" w:cstheme="minorBidi"/>
          <w:b/>
          <w:bCs/>
          <w:color w:val="4F81BD" w:themeColor="accent1"/>
          <w:sz w:val="18"/>
          <w:szCs w:val="18"/>
        </w:rPr>
      </w:pPr>
    </w:p>
    <w:p w14:paraId="732E1E97" w14:textId="77777777" w:rsidR="00D5731F" w:rsidRDefault="00D5731F" w:rsidP="00D5731F">
      <w:pPr>
        <w:spacing w:line="276" w:lineRule="auto"/>
        <w:rPr>
          <w:rFonts w:asciiTheme="minorHAnsi" w:eastAsiaTheme="minorEastAsia" w:hAnsiTheme="minorHAnsi" w:cstheme="minorBidi"/>
          <w:b/>
          <w:bCs/>
          <w:color w:val="4F81BD" w:themeColor="accent1"/>
          <w:sz w:val="18"/>
          <w:szCs w:val="18"/>
        </w:rPr>
      </w:pPr>
    </w:p>
    <w:p w14:paraId="1B80E7D1" w14:textId="48669C43" w:rsidR="009A707B" w:rsidRPr="001A3386" w:rsidRDefault="009A707B" w:rsidP="00D5731F">
      <w:pPr>
        <w:spacing w:line="276" w:lineRule="auto"/>
        <w:rPr>
          <w:rFonts w:ascii="Arial" w:hAnsi="Arial" w:cs="Arial"/>
          <w:sz w:val="22"/>
          <w:szCs w:val="22"/>
        </w:rPr>
      </w:pPr>
      <w:r w:rsidRPr="001A3386">
        <w:rPr>
          <w:rFonts w:ascii="Arial" w:hAnsi="Arial" w:cs="Arial"/>
          <w:sz w:val="22"/>
          <w:szCs w:val="22"/>
        </w:rPr>
        <w:t xml:space="preserve">Ob Troštovi ulici je zgrajena športna dvorana, Osnovna šola Ig. Na koncu Troštove ulice je  novo športno igrišče, poleg obstoječih stanovanjskih hiš.  </w:t>
      </w:r>
    </w:p>
    <w:p w14:paraId="3B49EC48" w14:textId="77777777" w:rsidR="009A707B" w:rsidRDefault="009A707B" w:rsidP="00D5731F">
      <w:pPr>
        <w:pStyle w:val="Default"/>
        <w:spacing w:line="276" w:lineRule="auto"/>
        <w:jc w:val="both"/>
        <w:rPr>
          <w:sz w:val="22"/>
          <w:szCs w:val="22"/>
        </w:rPr>
      </w:pPr>
    </w:p>
    <w:p w14:paraId="1DFA5835" w14:textId="08C05B08" w:rsidR="009A707B" w:rsidRPr="001A3386" w:rsidRDefault="009A707B" w:rsidP="00D5731F">
      <w:pPr>
        <w:pStyle w:val="Default"/>
        <w:spacing w:line="276" w:lineRule="auto"/>
        <w:jc w:val="both"/>
        <w:rPr>
          <w:sz w:val="22"/>
          <w:szCs w:val="22"/>
        </w:rPr>
      </w:pPr>
      <w:r w:rsidRPr="001A3386">
        <w:rPr>
          <w:sz w:val="22"/>
          <w:szCs w:val="22"/>
        </w:rPr>
        <w:t xml:space="preserve">Obstoječe </w:t>
      </w:r>
      <w:r w:rsidRPr="001A3386">
        <w:rPr>
          <w:b/>
          <w:bCs/>
          <w:sz w:val="22"/>
          <w:szCs w:val="22"/>
        </w:rPr>
        <w:t>avtobusno postajališče</w:t>
      </w:r>
      <w:r w:rsidRPr="001A3386">
        <w:rPr>
          <w:sz w:val="22"/>
          <w:szCs w:val="22"/>
        </w:rPr>
        <w:t xml:space="preserve"> leži ob Ljubljanski (regionalna cesta R3-642, odsek 1360) in Govekarjevi cesti. Na avtobusnem postajališču ustavljajo integrirani medkrajevni avtobusi (linija 40 in 42) dolžine 12 m in mestni avtobusi (linija 19I) dolžine 18 m. Na avtobusnem postajališču sta postavljeni dve nadstrešnici – čakalnici za potnike, ki ne zadoščata kapaciteti upor</w:t>
      </w:r>
      <w:r w:rsidR="00A43375">
        <w:rPr>
          <w:sz w:val="22"/>
          <w:szCs w:val="22"/>
        </w:rPr>
        <w:t>a</w:t>
      </w:r>
      <w:r w:rsidRPr="001A3386">
        <w:rPr>
          <w:sz w:val="22"/>
          <w:szCs w:val="22"/>
        </w:rPr>
        <w:t xml:space="preserve">bnikov. Na Ljubljanski cesti, mimo avtobusnega postajališča je omejitev hitrosti 50 km/h. Trenutna ureditev ne omogoča optimalnega prestopanja med avtobusi in ne zadošča kapaciteti uporabe. Ker ima avtobusno postajališče le en peron, avtobusi pogosto stojijo zaporedno na Ljubljanski cesti, kar povzroča nepreglednost, predvsem pri izvozu iz Govekarjeve ceste na Ljubljansko cesto. </w:t>
      </w:r>
    </w:p>
    <w:p w14:paraId="42F5AABA" w14:textId="77777777" w:rsidR="00D5731F" w:rsidRDefault="00D5731F" w:rsidP="009A707B">
      <w:pPr>
        <w:pStyle w:val="Default"/>
        <w:jc w:val="both"/>
        <w:rPr>
          <w:rFonts w:asciiTheme="minorHAnsi" w:eastAsiaTheme="minorEastAsia" w:hAnsiTheme="minorHAnsi" w:cstheme="minorBidi"/>
          <w:b/>
          <w:bCs/>
          <w:color w:val="4F81BD" w:themeColor="accent1"/>
          <w:sz w:val="18"/>
          <w:szCs w:val="18"/>
          <w:lang w:eastAsia="sl-SI"/>
        </w:rPr>
      </w:pPr>
    </w:p>
    <w:p w14:paraId="4C4956BD" w14:textId="77777777" w:rsidR="00D5731F" w:rsidRDefault="00D5731F" w:rsidP="009A707B">
      <w:pPr>
        <w:pStyle w:val="Default"/>
        <w:jc w:val="both"/>
        <w:rPr>
          <w:rFonts w:asciiTheme="minorHAnsi" w:eastAsiaTheme="minorEastAsia" w:hAnsiTheme="minorHAnsi" w:cstheme="minorBidi"/>
          <w:b/>
          <w:bCs/>
          <w:color w:val="4F81BD" w:themeColor="accent1"/>
          <w:sz w:val="18"/>
          <w:szCs w:val="18"/>
          <w:lang w:eastAsia="sl-SI"/>
        </w:rPr>
      </w:pPr>
    </w:p>
    <w:p w14:paraId="433CBE7E" w14:textId="65A37EEE" w:rsidR="009A707B" w:rsidRPr="00D5731F" w:rsidRDefault="009A707B" w:rsidP="00D5731F">
      <w:pPr>
        <w:pStyle w:val="Default"/>
        <w:spacing w:line="276" w:lineRule="auto"/>
        <w:jc w:val="both"/>
        <w:rPr>
          <w:sz w:val="22"/>
          <w:szCs w:val="22"/>
        </w:rPr>
      </w:pPr>
      <w:r w:rsidRPr="00D5731F">
        <w:rPr>
          <w:b/>
          <w:bCs/>
          <w:sz w:val="22"/>
          <w:szCs w:val="22"/>
        </w:rPr>
        <w:t>Mirujoč promet</w:t>
      </w:r>
      <w:r w:rsidRPr="00D5731F">
        <w:rPr>
          <w:sz w:val="22"/>
          <w:szCs w:val="22"/>
        </w:rPr>
        <w:t xml:space="preserve"> v središču Iga je urejen na več mestih. Parkirna mesta za avtomobile so urejena ob Govekarjevi cesti na levi strani proti severu (12 PM) in desni strani med občinsko stavbo in stavbo Pošta (21 PM).  Ob občinski stavbi je  urejenih 5 parkirnih mest za zaposlene. Pred osnovno šolo in na prostoru nekdanjega igrišča je urejenih  skupno 63 PM.</w:t>
      </w:r>
    </w:p>
    <w:p w14:paraId="0C64C882" w14:textId="77777777" w:rsidR="009A707B" w:rsidRPr="00D5731F" w:rsidRDefault="009A707B" w:rsidP="00D5731F">
      <w:pPr>
        <w:pStyle w:val="Default"/>
        <w:spacing w:line="276" w:lineRule="auto"/>
        <w:jc w:val="both"/>
        <w:rPr>
          <w:sz w:val="22"/>
          <w:szCs w:val="22"/>
        </w:rPr>
      </w:pPr>
      <w:r w:rsidRPr="00D5731F">
        <w:rPr>
          <w:sz w:val="22"/>
          <w:szCs w:val="22"/>
        </w:rPr>
        <w:t>Začasno parkirišče je urejeno tudi na mestu porušene stavbe Govekarjeva cesta 3 severno od avtobusnega postajališča, ob Govekarjevi cesti.</w:t>
      </w:r>
    </w:p>
    <w:p w14:paraId="04BE5C55" w14:textId="05B50C90" w:rsidR="007E5252" w:rsidRPr="0053720C" w:rsidRDefault="007E5252" w:rsidP="007E5252">
      <w:pPr>
        <w:pStyle w:val="Napis"/>
        <w:spacing w:line="276" w:lineRule="auto"/>
        <w:rPr>
          <w:rFonts w:asciiTheme="majorHAnsi" w:hAnsiTheme="majorHAnsi" w:cstheme="majorHAnsi"/>
          <w:color w:val="auto"/>
          <w:sz w:val="22"/>
          <w:szCs w:val="22"/>
        </w:rPr>
      </w:pPr>
      <w:bookmarkStart w:id="125" w:name="_Toc210033658"/>
      <w:r w:rsidRPr="0053720C">
        <w:rPr>
          <w:rFonts w:asciiTheme="majorHAnsi" w:hAnsiTheme="majorHAnsi" w:cstheme="majorHAnsi"/>
          <w:noProof/>
          <w:color w:val="auto"/>
          <w:sz w:val="22"/>
          <w:szCs w:val="22"/>
        </w:rPr>
        <w:lastRenderedPageBreak/>
        <w:drawing>
          <wp:anchor distT="0" distB="0" distL="114300" distR="114300" simplePos="0" relativeHeight="251670016" behindDoc="0" locked="0" layoutInCell="1" allowOverlap="1" wp14:anchorId="15E8D7B6" wp14:editId="43024E19">
            <wp:simplePos x="0" y="0"/>
            <wp:positionH relativeFrom="column">
              <wp:posOffset>3810</wp:posOffset>
            </wp:positionH>
            <wp:positionV relativeFrom="paragraph">
              <wp:posOffset>311785</wp:posOffset>
            </wp:positionV>
            <wp:extent cx="5647690" cy="3200400"/>
            <wp:effectExtent l="0" t="0" r="0" b="0"/>
            <wp:wrapTopAndBottom/>
            <wp:docPr id="1535236849" name="Slika 1" descr="A red car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36849" name="Slika 1" descr="A red car parked in a parking lot&#10;&#10;AI-generated content may be incorrect."/>
                    <pic:cNvPicPr/>
                  </pic:nvPicPr>
                  <pic:blipFill>
                    <a:blip r:embed="rId64">
                      <a:extLst>
                        <a:ext uri="{28A0092B-C50C-407E-A947-70E740481C1C}">
                          <a14:useLocalDpi xmlns:a14="http://schemas.microsoft.com/office/drawing/2010/main" val="0"/>
                        </a:ext>
                      </a:extLst>
                    </a:blip>
                    <a:stretch>
                      <a:fillRect/>
                    </a:stretch>
                  </pic:blipFill>
                  <pic:spPr>
                    <a:xfrm>
                      <a:off x="0" y="0"/>
                      <a:ext cx="5647690" cy="3200400"/>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10</w:t>
      </w:r>
      <w:r w:rsidRPr="0053720C">
        <w:rPr>
          <w:rFonts w:asciiTheme="majorHAnsi" w:hAnsiTheme="majorHAnsi" w:cstheme="majorHAnsi"/>
          <w:color w:val="auto"/>
          <w:sz w:val="22"/>
          <w:szCs w:val="22"/>
        </w:rPr>
        <w:fldChar w:fldCharType="end"/>
      </w:r>
      <w:r>
        <w:rPr>
          <w:rFonts w:asciiTheme="majorHAnsi" w:hAnsiTheme="majorHAnsi" w:cstheme="majorHAnsi"/>
          <w:color w:val="auto"/>
          <w:sz w:val="22"/>
          <w:szCs w:val="22"/>
        </w:rPr>
        <w:t>:</w:t>
      </w:r>
      <w:r w:rsidRPr="0053720C">
        <w:rPr>
          <w:rFonts w:asciiTheme="majorHAnsi" w:hAnsiTheme="majorHAnsi" w:cstheme="majorHAnsi"/>
          <w:i/>
          <w:iCs/>
          <w:color w:val="auto"/>
          <w:sz w:val="22"/>
          <w:szCs w:val="22"/>
        </w:rPr>
        <w:t xml:space="preserve"> </w:t>
      </w:r>
      <w:r w:rsidRPr="007274C3">
        <w:rPr>
          <w:rFonts w:asciiTheme="majorHAnsi" w:hAnsiTheme="majorHAnsi" w:cstheme="majorHAnsi"/>
          <w:b w:val="0"/>
          <w:bCs w:val="0"/>
          <w:color w:val="auto"/>
          <w:sz w:val="22"/>
          <w:szCs w:val="22"/>
        </w:rPr>
        <w:t>Parkirišče pri OŠ</w:t>
      </w:r>
      <w:bookmarkEnd w:id="125"/>
    </w:p>
    <w:p w14:paraId="116CE9D0" w14:textId="77777777" w:rsidR="009A707B" w:rsidRDefault="009A707B" w:rsidP="00D5731F">
      <w:pPr>
        <w:pStyle w:val="Default"/>
        <w:spacing w:line="276" w:lineRule="auto"/>
        <w:jc w:val="both"/>
        <w:rPr>
          <w:sz w:val="22"/>
          <w:szCs w:val="22"/>
        </w:rPr>
      </w:pPr>
    </w:p>
    <w:p w14:paraId="64BA5E9E" w14:textId="0A0D6D19" w:rsidR="00DF4439" w:rsidRPr="0053720C" w:rsidRDefault="00DF4439" w:rsidP="00DF4439">
      <w:pPr>
        <w:pStyle w:val="Napis"/>
        <w:spacing w:line="276" w:lineRule="auto"/>
        <w:jc w:val="both"/>
        <w:rPr>
          <w:rFonts w:asciiTheme="majorHAnsi" w:hAnsiTheme="majorHAnsi" w:cstheme="majorHAnsi"/>
          <w:color w:val="auto"/>
          <w:sz w:val="22"/>
          <w:szCs w:val="22"/>
        </w:rPr>
      </w:pPr>
      <w:bookmarkStart w:id="126" w:name="_Toc210033659"/>
      <w:r w:rsidRPr="0053720C">
        <w:rPr>
          <w:rFonts w:asciiTheme="majorHAnsi" w:hAnsiTheme="majorHAnsi" w:cstheme="majorHAnsi"/>
          <w:noProof/>
          <w:color w:val="auto"/>
          <w:sz w:val="22"/>
          <w:szCs w:val="22"/>
        </w:rPr>
        <w:drawing>
          <wp:anchor distT="0" distB="0" distL="114300" distR="114300" simplePos="0" relativeHeight="251672064" behindDoc="0" locked="0" layoutInCell="1" allowOverlap="1" wp14:anchorId="5CCCB434" wp14:editId="1BCD9134">
            <wp:simplePos x="0" y="0"/>
            <wp:positionH relativeFrom="column">
              <wp:posOffset>3810</wp:posOffset>
            </wp:positionH>
            <wp:positionV relativeFrom="paragraph">
              <wp:posOffset>307975</wp:posOffset>
            </wp:positionV>
            <wp:extent cx="5857875" cy="3468370"/>
            <wp:effectExtent l="0" t="0" r="9525" b="0"/>
            <wp:wrapTopAndBottom/>
            <wp:docPr id="758355412" name="Slika 1" descr="A parking lot with cars parked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55412" name="Slika 1" descr="A parking lot with cars parked in front of a building&#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5857875" cy="3468370"/>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11</w:t>
      </w:r>
      <w:r w:rsidRPr="0053720C">
        <w:rPr>
          <w:rFonts w:asciiTheme="majorHAnsi" w:hAnsiTheme="majorHAnsi" w:cstheme="majorHAnsi"/>
          <w:color w:val="auto"/>
          <w:sz w:val="22"/>
          <w:szCs w:val="22"/>
        </w:rPr>
        <w:fldChar w:fldCharType="end"/>
      </w:r>
      <w:r w:rsidRPr="0053720C">
        <w:rPr>
          <w:rFonts w:asciiTheme="majorHAnsi" w:hAnsiTheme="majorHAnsi" w:cstheme="majorHAnsi"/>
          <w:i/>
          <w:iCs/>
          <w:color w:val="auto"/>
          <w:sz w:val="22"/>
          <w:szCs w:val="22"/>
        </w:rPr>
        <w:t xml:space="preserve"> </w:t>
      </w:r>
      <w:r w:rsidRPr="007274C3">
        <w:rPr>
          <w:rFonts w:asciiTheme="majorHAnsi" w:hAnsiTheme="majorHAnsi" w:cstheme="majorHAnsi"/>
          <w:b w:val="0"/>
          <w:bCs w:val="0"/>
          <w:color w:val="auto"/>
          <w:sz w:val="22"/>
          <w:szCs w:val="22"/>
        </w:rPr>
        <w:t>Parkirišče pri OŠ</w:t>
      </w:r>
      <w:bookmarkEnd w:id="126"/>
    </w:p>
    <w:p w14:paraId="45AEFA05" w14:textId="77777777" w:rsidR="00DF4439" w:rsidRPr="00D5731F" w:rsidRDefault="00DF4439" w:rsidP="00D5731F">
      <w:pPr>
        <w:pStyle w:val="Default"/>
        <w:spacing w:line="276" w:lineRule="auto"/>
        <w:jc w:val="both"/>
        <w:rPr>
          <w:sz w:val="22"/>
          <w:szCs w:val="22"/>
        </w:rPr>
      </w:pPr>
    </w:p>
    <w:p w14:paraId="1A528816" w14:textId="46C6B91D" w:rsidR="009A707B" w:rsidRPr="00D5731F" w:rsidRDefault="009A707B" w:rsidP="00D5731F">
      <w:pPr>
        <w:pStyle w:val="Default"/>
        <w:spacing w:line="276" w:lineRule="auto"/>
        <w:jc w:val="both"/>
        <w:rPr>
          <w:sz w:val="22"/>
          <w:szCs w:val="22"/>
        </w:rPr>
      </w:pPr>
    </w:p>
    <w:p w14:paraId="6469F0D2" w14:textId="42A6681B" w:rsidR="009A707B" w:rsidRPr="00D5731F" w:rsidRDefault="009A707B" w:rsidP="00D5731F">
      <w:pPr>
        <w:pStyle w:val="Default"/>
        <w:spacing w:line="276" w:lineRule="auto"/>
        <w:jc w:val="both"/>
        <w:rPr>
          <w:sz w:val="22"/>
          <w:szCs w:val="22"/>
        </w:rPr>
      </w:pPr>
    </w:p>
    <w:p w14:paraId="4888C03A" w14:textId="77777777" w:rsidR="00DF4439" w:rsidRDefault="00DF4439" w:rsidP="00D5731F">
      <w:pPr>
        <w:pStyle w:val="Default"/>
        <w:spacing w:line="276" w:lineRule="auto"/>
        <w:jc w:val="both"/>
        <w:rPr>
          <w:sz w:val="22"/>
          <w:szCs w:val="22"/>
        </w:rPr>
      </w:pPr>
    </w:p>
    <w:p w14:paraId="4F04EE26" w14:textId="77777777" w:rsidR="00DF4439" w:rsidRDefault="00DF4439" w:rsidP="00D5731F">
      <w:pPr>
        <w:pStyle w:val="Default"/>
        <w:spacing w:line="276" w:lineRule="auto"/>
        <w:jc w:val="both"/>
        <w:rPr>
          <w:sz w:val="22"/>
          <w:szCs w:val="22"/>
        </w:rPr>
      </w:pPr>
    </w:p>
    <w:p w14:paraId="33EBA68E" w14:textId="77777777" w:rsidR="00FB0F49" w:rsidRDefault="00FB0F49">
      <w:pPr>
        <w:spacing w:after="200" w:line="276" w:lineRule="auto"/>
        <w:rPr>
          <w:rFonts w:asciiTheme="majorHAnsi" w:eastAsiaTheme="minorEastAsia" w:hAnsiTheme="majorHAnsi" w:cstheme="majorHAnsi"/>
          <w:b/>
          <w:bCs/>
          <w:sz w:val="22"/>
          <w:szCs w:val="22"/>
        </w:rPr>
      </w:pPr>
      <w:r>
        <w:rPr>
          <w:rFonts w:asciiTheme="majorHAnsi" w:hAnsiTheme="majorHAnsi" w:cstheme="majorHAnsi"/>
          <w:sz w:val="22"/>
          <w:szCs w:val="22"/>
        </w:rPr>
        <w:br w:type="page"/>
      </w:r>
    </w:p>
    <w:p w14:paraId="784B280D" w14:textId="63CF7C17" w:rsidR="00FB0F49" w:rsidRPr="0053720C" w:rsidRDefault="00FB0F49" w:rsidP="00FB0F49">
      <w:pPr>
        <w:pStyle w:val="Napis"/>
        <w:spacing w:line="276" w:lineRule="auto"/>
        <w:jc w:val="both"/>
        <w:rPr>
          <w:rFonts w:asciiTheme="majorHAnsi" w:hAnsiTheme="majorHAnsi" w:cstheme="majorHAnsi"/>
          <w:color w:val="auto"/>
          <w:sz w:val="22"/>
          <w:szCs w:val="22"/>
        </w:rPr>
      </w:pPr>
      <w:bookmarkStart w:id="127" w:name="_Toc210033660"/>
      <w:r w:rsidRPr="0053720C">
        <w:rPr>
          <w:rFonts w:asciiTheme="majorHAnsi" w:hAnsiTheme="majorHAnsi" w:cstheme="majorHAnsi"/>
          <w:color w:val="auto"/>
          <w:sz w:val="22"/>
          <w:szCs w:val="22"/>
        </w:rPr>
        <w:lastRenderedPageBreak/>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12</w:t>
      </w:r>
      <w:r w:rsidRPr="0053720C">
        <w:rPr>
          <w:rFonts w:asciiTheme="majorHAnsi" w:hAnsiTheme="majorHAnsi" w:cstheme="majorHAnsi"/>
          <w:color w:val="auto"/>
          <w:sz w:val="22"/>
          <w:szCs w:val="22"/>
        </w:rPr>
        <w:fldChar w:fldCharType="end"/>
      </w:r>
      <w:r>
        <w:rPr>
          <w:rFonts w:asciiTheme="majorHAnsi" w:hAnsiTheme="majorHAnsi" w:cstheme="majorHAnsi"/>
          <w:color w:val="auto"/>
          <w:sz w:val="22"/>
          <w:szCs w:val="22"/>
        </w:rPr>
        <w:t>:</w:t>
      </w:r>
      <w:r w:rsidRPr="0053720C">
        <w:rPr>
          <w:rFonts w:asciiTheme="majorHAnsi" w:hAnsiTheme="majorHAnsi" w:cstheme="majorHAnsi"/>
          <w:i/>
          <w:iCs/>
          <w:color w:val="auto"/>
          <w:sz w:val="22"/>
          <w:szCs w:val="22"/>
        </w:rPr>
        <w:t xml:space="preserve"> </w:t>
      </w:r>
      <w:r w:rsidRPr="007274C3">
        <w:rPr>
          <w:rFonts w:asciiTheme="majorHAnsi" w:hAnsiTheme="majorHAnsi" w:cstheme="majorHAnsi"/>
          <w:b w:val="0"/>
          <w:bCs w:val="0"/>
          <w:color w:val="auto"/>
          <w:sz w:val="22"/>
          <w:szCs w:val="22"/>
        </w:rPr>
        <w:t>Začasno parkirišče ob Govekarjevi cesti</w:t>
      </w:r>
      <w:bookmarkEnd w:id="127"/>
    </w:p>
    <w:p w14:paraId="764C821D" w14:textId="77777777" w:rsidR="00FB0F49" w:rsidRPr="0053720C" w:rsidRDefault="00FB0F49" w:rsidP="00FB0F49">
      <w:pPr>
        <w:pStyle w:val="Default"/>
        <w:spacing w:line="276" w:lineRule="auto"/>
        <w:jc w:val="both"/>
        <w:rPr>
          <w:rFonts w:asciiTheme="majorHAnsi" w:hAnsiTheme="majorHAnsi" w:cstheme="majorHAnsi"/>
          <w:color w:val="auto"/>
          <w:sz w:val="22"/>
          <w:szCs w:val="22"/>
        </w:rPr>
      </w:pPr>
      <w:r w:rsidRPr="0053720C">
        <w:rPr>
          <w:rFonts w:asciiTheme="majorHAnsi" w:hAnsiTheme="majorHAnsi" w:cstheme="majorHAnsi"/>
          <w:noProof/>
          <w:color w:val="auto"/>
          <w:sz w:val="22"/>
          <w:szCs w:val="22"/>
        </w:rPr>
        <w:drawing>
          <wp:anchor distT="0" distB="0" distL="114300" distR="114300" simplePos="0" relativeHeight="251674112" behindDoc="0" locked="0" layoutInCell="1" allowOverlap="1" wp14:anchorId="70289B6D" wp14:editId="7261696E">
            <wp:simplePos x="0" y="0"/>
            <wp:positionH relativeFrom="column">
              <wp:posOffset>3810</wp:posOffset>
            </wp:positionH>
            <wp:positionV relativeFrom="paragraph">
              <wp:posOffset>-1905</wp:posOffset>
            </wp:positionV>
            <wp:extent cx="5844578" cy="3629025"/>
            <wp:effectExtent l="0" t="0" r="3810" b="0"/>
            <wp:wrapTopAndBottom/>
            <wp:docPr id="1344477514" name="Slika 1" descr="A group of cars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77514" name="Slika 1" descr="A group of cars parked in a parking lot&#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5844578" cy="3629025"/>
                    </a:xfrm>
                    <a:prstGeom prst="rect">
                      <a:avLst/>
                    </a:prstGeom>
                  </pic:spPr>
                </pic:pic>
              </a:graphicData>
            </a:graphic>
          </wp:anchor>
        </w:drawing>
      </w:r>
    </w:p>
    <w:p w14:paraId="4125CCB6" w14:textId="77777777" w:rsidR="009A707B" w:rsidRPr="00D5731F" w:rsidRDefault="009A707B" w:rsidP="00D5731F">
      <w:pPr>
        <w:pStyle w:val="Default"/>
        <w:spacing w:line="276" w:lineRule="auto"/>
        <w:jc w:val="both"/>
        <w:rPr>
          <w:sz w:val="22"/>
          <w:szCs w:val="22"/>
        </w:rPr>
      </w:pPr>
    </w:p>
    <w:p w14:paraId="622B300A" w14:textId="77777777" w:rsidR="009A707B" w:rsidRPr="00D5731F" w:rsidRDefault="009A707B" w:rsidP="00D5731F">
      <w:pPr>
        <w:pStyle w:val="Default"/>
        <w:spacing w:line="276" w:lineRule="auto"/>
        <w:jc w:val="both"/>
        <w:rPr>
          <w:sz w:val="22"/>
          <w:szCs w:val="22"/>
        </w:rPr>
      </w:pPr>
      <w:r w:rsidRPr="00D5731F">
        <w:rPr>
          <w:sz w:val="22"/>
          <w:szCs w:val="22"/>
        </w:rPr>
        <w:t>V središču Iga zasajenih 15 dreves, ki jih bomo ohranili s presaditvijo.</w:t>
      </w:r>
    </w:p>
    <w:p w14:paraId="2DDEEC3D" w14:textId="77777777" w:rsidR="009A707B" w:rsidRDefault="009A707B" w:rsidP="00D5731F">
      <w:pPr>
        <w:pStyle w:val="Default"/>
        <w:spacing w:line="276" w:lineRule="auto"/>
        <w:jc w:val="both"/>
        <w:rPr>
          <w:sz w:val="22"/>
          <w:szCs w:val="22"/>
        </w:rPr>
      </w:pPr>
    </w:p>
    <w:p w14:paraId="10F4BBC9" w14:textId="0ED59C94" w:rsidR="00512FD3" w:rsidRPr="0053720C" w:rsidRDefault="00512FD3" w:rsidP="00512FD3">
      <w:pPr>
        <w:pStyle w:val="Napis"/>
        <w:spacing w:line="276" w:lineRule="auto"/>
        <w:jc w:val="both"/>
        <w:rPr>
          <w:rFonts w:asciiTheme="majorHAnsi" w:hAnsiTheme="majorHAnsi" w:cstheme="majorHAnsi"/>
          <w:color w:val="auto"/>
          <w:sz w:val="22"/>
          <w:szCs w:val="22"/>
        </w:rPr>
      </w:pPr>
      <w:bookmarkStart w:id="128" w:name="_Toc210033661"/>
      <w:r w:rsidRPr="0053720C">
        <w:rPr>
          <w:rFonts w:asciiTheme="majorHAnsi" w:hAnsiTheme="majorHAnsi" w:cstheme="majorHAnsi"/>
          <w:noProof/>
          <w:color w:val="auto"/>
          <w:sz w:val="22"/>
          <w:szCs w:val="22"/>
        </w:rPr>
        <w:drawing>
          <wp:anchor distT="0" distB="0" distL="114300" distR="114300" simplePos="0" relativeHeight="251676160" behindDoc="0" locked="0" layoutInCell="1" allowOverlap="1" wp14:anchorId="17D4CD09" wp14:editId="5B575FF9">
            <wp:simplePos x="0" y="0"/>
            <wp:positionH relativeFrom="column">
              <wp:posOffset>3175</wp:posOffset>
            </wp:positionH>
            <wp:positionV relativeFrom="paragraph">
              <wp:posOffset>308610</wp:posOffset>
            </wp:positionV>
            <wp:extent cx="5838825" cy="3369310"/>
            <wp:effectExtent l="0" t="0" r="9525" b="2540"/>
            <wp:wrapTopAndBottom/>
            <wp:docPr id="46205579" name="Slika 1" descr="Cars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5579" name="Slika 1" descr="Cars parked in a parking lot&#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838825" cy="3369310"/>
                    </a:xfrm>
                    <a:prstGeom prst="rect">
                      <a:avLst/>
                    </a:prstGeom>
                  </pic:spPr>
                </pic:pic>
              </a:graphicData>
            </a:graphic>
            <wp14:sizeRelH relativeFrom="margin">
              <wp14:pctWidth>0</wp14:pctWidth>
            </wp14:sizeRelH>
            <wp14:sizeRelV relativeFrom="margin">
              <wp14:pctHeight>0</wp14:pctHeight>
            </wp14:sizeRelV>
          </wp:anchor>
        </w:drawing>
      </w:r>
      <w:r w:rsidRPr="0053720C">
        <w:rPr>
          <w:rFonts w:asciiTheme="majorHAnsi" w:hAnsiTheme="majorHAnsi" w:cstheme="majorHAnsi"/>
          <w:color w:val="auto"/>
          <w:sz w:val="22"/>
          <w:szCs w:val="22"/>
        </w:rPr>
        <w:t xml:space="preserve">Slika </w:t>
      </w:r>
      <w:r w:rsidRPr="0053720C">
        <w:rPr>
          <w:rFonts w:asciiTheme="majorHAnsi" w:hAnsiTheme="majorHAnsi" w:cstheme="majorHAnsi"/>
          <w:color w:val="auto"/>
          <w:sz w:val="22"/>
          <w:szCs w:val="22"/>
        </w:rPr>
        <w:fldChar w:fldCharType="begin"/>
      </w:r>
      <w:r w:rsidRPr="0053720C">
        <w:rPr>
          <w:rFonts w:asciiTheme="majorHAnsi" w:hAnsiTheme="majorHAnsi" w:cstheme="majorHAnsi"/>
          <w:color w:val="auto"/>
          <w:sz w:val="22"/>
          <w:szCs w:val="22"/>
        </w:rPr>
        <w:instrText xml:space="preserve"> SEQ Slika \* ARABIC </w:instrText>
      </w:r>
      <w:r w:rsidRPr="0053720C">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13</w:t>
      </w:r>
      <w:r w:rsidRPr="0053720C">
        <w:rPr>
          <w:rFonts w:asciiTheme="majorHAnsi" w:hAnsiTheme="majorHAnsi" w:cstheme="majorHAnsi"/>
          <w:color w:val="auto"/>
          <w:sz w:val="22"/>
          <w:szCs w:val="22"/>
        </w:rPr>
        <w:fldChar w:fldCharType="end"/>
      </w:r>
      <w:r>
        <w:rPr>
          <w:rFonts w:asciiTheme="majorHAnsi" w:hAnsiTheme="majorHAnsi" w:cstheme="majorHAnsi"/>
          <w:color w:val="auto"/>
          <w:sz w:val="22"/>
          <w:szCs w:val="22"/>
        </w:rPr>
        <w:t>:</w:t>
      </w:r>
      <w:r w:rsidRPr="0053720C">
        <w:rPr>
          <w:rFonts w:asciiTheme="majorHAnsi" w:hAnsiTheme="majorHAnsi" w:cstheme="majorHAnsi"/>
          <w:i/>
          <w:iCs/>
          <w:color w:val="auto"/>
          <w:sz w:val="22"/>
          <w:szCs w:val="22"/>
        </w:rPr>
        <w:t xml:space="preserve"> </w:t>
      </w:r>
      <w:r w:rsidRPr="00596A37">
        <w:rPr>
          <w:rFonts w:asciiTheme="majorHAnsi" w:hAnsiTheme="majorHAnsi" w:cstheme="majorHAnsi"/>
          <w:b w:val="0"/>
          <w:bCs w:val="0"/>
          <w:color w:val="auto"/>
          <w:sz w:val="22"/>
          <w:szCs w:val="22"/>
        </w:rPr>
        <w:t>Obstoječa drevesa</w:t>
      </w:r>
      <w:bookmarkEnd w:id="128"/>
    </w:p>
    <w:p w14:paraId="5CDFCE28" w14:textId="77777777" w:rsidR="00512FD3" w:rsidRPr="00D5731F" w:rsidRDefault="00512FD3" w:rsidP="00D5731F">
      <w:pPr>
        <w:pStyle w:val="Default"/>
        <w:spacing w:line="276" w:lineRule="auto"/>
        <w:jc w:val="both"/>
        <w:rPr>
          <w:sz w:val="22"/>
          <w:szCs w:val="22"/>
        </w:rPr>
      </w:pPr>
    </w:p>
    <w:p w14:paraId="5C19BC9F" w14:textId="77777777" w:rsidR="009A707B" w:rsidRPr="00D5731F" w:rsidRDefault="009A707B" w:rsidP="00D5731F">
      <w:pPr>
        <w:pStyle w:val="Default"/>
        <w:spacing w:line="276" w:lineRule="auto"/>
        <w:jc w:val="both"/>
        <w:rPr>
          <w:sz w:val="22"/>
          <w:szCs w:val="22"/>
        </w:rPr>
      </w:pPr>
    </w:p>
    <w:p w14:paraId="53289AB0" w14:textId="77777777" w:rsidR="009A707B" w:rsidRPr="00D5731F" w:rsidRDefault="009A707B" w:rsidP="00D5731F">
      <w:pPr>
        <w:pStyle w:val="Default"/>
        <w:spacing w:line="276" w:lineRule="auto"/>
        <w:jc w:val="both"/>
        <w:rPr>
          <w:sz w:val="22"/>
          <w:szCs w:val="22"/>
        </w:rPr>
      </w:pPr>
      <w:r w:rsidRPr="00D5731F">
        <w:rPr>
          <w:sz w:val="22"/>
          <w:szCs w:val="22"/>
        </w:rPr>
        <w:lastRenderedPageBreak/>
        <w:t>Kolesarska infrastruktura v središču Iga ni urejena, razen nekaj stojal za kolesa ob glavnih stavbah.</w:t>
      </w:r>
    </w:p>
    <w:p w14:paraId="38DB3077" w14:textId="77777777" w:rsidR="009A707B" w:rsidRPr="00C00BFC" w:rsidRDefault="009A707B" w:rsidP="00BD1D20">
      <w:pPr>
        <w:spacing w:after="200" w:line="276" w:lineRule="auto"/>
        <w:jc w:val="both"/>
        <w:rPr>
          <w:rFonts w:ascii="Arial" w:hAnsi="Arial" w:cs="Arial"/>
          <w:sz w:val="22"/>
          <w:szCs w:val="22"/>
        </w:rPr>
      </w:pPr>
    </w:p>
    <w:p w14:paraId="336FB6E3" w14:textId="77777777" w:rsidR="00000766" w:rsidRPr="00F11127" w:rsidRDefault="00000766"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29" w:name="_Toc3698232"/>
      <w:bookmarkStart w:id="130" w:name="_Toc210033791"/>
      <w:r w:rsidRPr="00F11127">
        <w:rPr>
          <w:rFonts w:asciiTheme="majorHAnsi" w:eastAsiaTheme="majorEastAsia" w:hAnsiTheme="majorHAnsi" w:cstheme="majorHAnsi"/>
          <w:color w:val="244061" w:themeColor="accent1" w:themeShade="80"/>
        </w:rPr>
        <w:t>Razlogi za investicijsko namero in prikaz potreb, ki jih bo zadovoljevala investicija</w:t>
      </w:r>
      <w:bookmarkEnd w:id="129"/>
      <w:bookmarkEnd w:id="130"/>
    </w:p>
    <w:p w14:paraId="51D649A3" w14:textId="77777777" w:rsidR="00FC0662" w:rsidRDefault="00FC0662" w:rsidP="00BD1D20">
      <w:pPr>
        <w:pBdr>
          <w:top w:val="nil"/>
          <w:left w:val="nil"/>
          <w:bottom w:val="nil"/>
          <w:right w:val="nil"/>
          <w:between w:val="nil"/>
        </w:pBdr>
        <w:spacing w:line="276" w:lineRule="auto"/>
        <w:jc w:val="both"/>
        <w:rPr>
          <w:rFonts w:ascii="Arial" w:eastAsia="Arial" w:hAnsi="Arial" w:cs="Arial"/>
          <w:color w:val="000000"/>
          <w:sz w:val="22"/>
          <w:szCs w:val="22"/>
        </w:rPr>
      </w:pPr>
    </w:p>
    <w:p w14:paraId="24D3DEF0" w14:textId="77777777" w:rsidR="00FC0662" w:rsidRPr="004C498A" w:rsidRDefault="00FC0662" w:rsidP="00FC0662">
      <w:pPr>
        <w:spacing w:after="120" w:line="276" w:lineRule="auto"/>
        <w:jc w:val="both"/>
        <w:rPr>
          <w:rFonts w:ascii="Arial" w:hAnsi="Arial" w:cs="Arial"/>
          <w:sz w:val="22"/>
          <w:szCs w:val="22"/>
        </w:rPr>
      </w:pPr>
      <w:r w:rsidRPr="004C498A">
        <w:rPr>
          <w:rFonts w:ascii="Arial" w:hAnsi="Arial" w:cs="Arial"/>
          <w:sz w:val="22"/>
          <w:szCs w:val="22"/>
        </w:rPr>
        <w:t xml:space="preserve">Obstoječe prometne in javne površine v središču Iga so funkcionalno in prometno preobremenjene ter prostorsko nepovezane. Peš in kolesarske povezave med ključnimi javnimi objekti – Osnovno šolo Ig, Občino Ig, Pošto, cerkvijo sv. Martina, </w:t>
      </w:r>
      <w:proofErr w:type="spellStart"/>
      <w:r w:rsidRPr="004C498A">
        <w:rPr>
          <w:rFonts w:ascii="Arial" w:hAnsi="Arial" w:cs="Arial"/>
          <w:sz w:val="22"/>
          <w:szCs w:val="22"/>
        </w:rPr>
        <w:t>interpretacijskim</w:t>
      </w:r>
      <w:proofErr w:type="spellEnd"/>
      <w:r w:rsidRPr="004C498A">
        <w:rPr>
          <w:rFonts w:ascii="Arial" w:hAnsi="Arial" w:cs="Arial"/>
          <w:sz w:val="22"/>
          <w:szCs w:val="22"/>
        </w:rPr>
        <w:t xml:space="preserve"> centrom </w:t>
      </w:r>
      <w:r>
        <w:rPr>
          <w:rFonts w:ascii="Arial" w:hAnsi="Arial" w:cs="Arial"/>
          <w:sz w:val="22"/>
          <w:szCs w:val="22"/>
        </w:rPr>
        <w:t xml:space="preserve">– Hiša </w:t>
      </w:r>
      <w:proofErr w:type="spellStart"/>
      <w:r w:rsidRPr="004C498A">
        <w:rPr>
          <w:rFonts w:ascii="Arial" w:hAnsi="Arial" w:cs="Arial"/>
          <w:sz w:val="22"/>
          <w:szCs w:val="22"/>
        </w:rPr>
        <w:t>Morostig</w:t>
      </w:r>
      <w:proofErr w:type="spellEnd"/>
      <w:r w:rsidRPr="004C498A">
        <w:rPr>
          <w:rFonts w:ascii="Arial" w:hAnsi="Arial" w:cs="Arial"/>
          <w:sz w:val="22"/>
          <w:szCs w:val="22"/>
        </w:rPr>
        <w:t xml:space="preserve"> in avtobusno postajo – niso urejene v skladu s sodobnimi standardi varnosti in trajnostne mobilnosti. Posledično se pojavljajo prometne nevarnosti, zlasti za šolarje, starejše in druge ranljive skupine prebivalcev.</w:t>
      </w:r>
    </w:p>
    <w:p w14:paraId="6F1C662A" w14:textId="77777777" w:rsidR="00FC0662" w:rsidRPr="004C498A" w:rsidRDefault="00FC0662" w:rsidP="00FC0662">
      <w:pPr>
        <w:spacing w:after="120" w:line="276" w:lineRule="auto"/>
        <w:jc w:val="both"/>
        <w:rPr>
          <w:rFonts w:ascii="Arial" w:hAnsi="Arial" w:cs="Arial"/>
          <w:sz w:val="22"/>
          <w:szCs w:val="22"/>
        </w:rPr>
      </w:pPr>
      <w:r w:rsidRPr="004C498A">
        <w:rPr>
          <w:rFonts w:ascii="Arial" w:hAnsi="Arial" w:cs="Arial"/>
          <w:sz w:val="22"/>
          <w:szCs w:val="22"/>
        </w:rPr>
        <w:t>Dodatno so javne površine urejene parcialno, z nepreglednimi režimi parkiranja in brez zadostne ozelenitve, kar negativno vpliva na kakovost bivanja ter zmanjšuje odpornost prostora na podnebne spremembe. Zaradi pomanjkanja zelenih pasov, drevoredov in prepustnih površin se pojavljajo težave z odvodnjavanjem, učinki toplotnih otokov in hrupom v naselju.</w:t>
      </w:r>
    </w:p>
    <w:p w14:paraId="2F885651" w14:textId="77777777" w:rsidR="00FC0662" w:rsidRPr="004C498A" w:rsidRDefault="00FC0662" w:rsidP="00FC0662">
      <w:pPr>
        <w:spacing w:after="120" w:line="276" w:lineRule="auto"/>
        <w:jc w:val="both"/>
        <w:rPr>
          <w:rFonts w:ascii="Arial" w:hAnsi="Arial" w:cs="Arial"/>
          <w:sz w:val="22"/>
          <w:szCs w:val="22"/>
        </w:rPr>
      </w:pPr>
      <w:r w:rsidRPr="004C498A">
        <w:rPr>
          <w:rFonts w:ascii="Arial" w:hAnsi="Arial" w:cs="Arial"/>
          <w:sz w:val="22"/>
          <w:szCs w:val="22"/>
        </w:rPr>
        <w:t xml:space="preserve">Rastoče število obiskovalcev </w:t>
      </w:r>
      <w:proofErr w:type="spellStart"/>
      <w:r w:rsidRPr="004C498A">
        <w:rPr>
          <w:rFonts w:ascii="Arial" w:hAnsi="Arial" w:cs="Arial"/>
          <w:sz w:val="22"/>
          <w:szCs w:val="22"/>
        </w:rPr>
        <w:t>Morostig</w:t>
      </w:r>
      <w:r>
        <w:rPr>
          <w:rFonts w:ascii="Arial" w:hAnsi="Arial" w:cs="Arial"/>
          <w:sz w:val="22"/>
          <w:szCs w:val="22"/>
        </w:rPr>
        <w:t>a</w:t>
      </w:r>
      <w:proofErr w:type="spellEnd"/>
      <w:r>
        <w:rPr>
          <w:rFonts w:ascii="Arial" w:hAnsi="Arial" w:cs="Arial"/>
          <w:sz w:val="22"/>
          <w:szCs w:val="22"/>
        </w:rPr>
        <w:t xml:space="preserve"> – hiša narave in kolišč</w:t>
      </w:r>
      <w:r w:rsidRPr="004C498A">
        <w:rPr>
          <w:rFonts w:ascii="Arial" w:hAnsi="Arial" w:cs="Arial"/>
          <w:sz w:val="22"/>
          <w:szCs w:val="22"/>
        </w:rPr>
        <w:t xml:space="preserve"> ter povečan turistični in rekreativni pomen območja dodatno krepita potrebo po ureditvi celovitega sistema javnih površin, ki bo </w:t>
      </w:r>
      <w:r>
        <w:rPr>
          <w:rFonts w:ascii="Arial" w:hAnsi="Arial" w:cs="Arial"/>
          <w:sz w:val="22"/>
          <w:szCs w:val="22"/>
        </w:rPr>
        <w:t xml:space="preserve">tako obiskovalcem kot </w:t>
      </w:r>
      <w:r w:rsidRPr="004C498A">
        <w:rPr>
          <w:rFonts w:ascii="Arial" w:hAnsi="Arial" w:cs="Arial"/>
          <w:sz w:val="22"/>
          <w:szCs w:val="22"/>
        </w:rPr>
        <w:t>prebivalcem omogočil neovirano gibanje, kakovostno preživljanje prostega časa in medgeneracijsko druženje.</w:t>
      </w:r>
    </w:p>
    <w:p w14:paraId="1C641B0C" w14:textId="77777777" w:rsidR="00FC0662" w:rsidRPr="004C498A" w:rsidRDefault="00FC0662" w:rsidP="00FC0662">
      <w:pPr>
        <w:spacing w:after="120" w:line="276" w:lineRule="auto"/>
        <w:jc w:val="both"/>
        <w:rPr>
          <w:rFonts w:ascii="Arial" w:hAnsi="Arial" w:cs="Arial"/>
          <w:sz w:val="22"/>
          <w:szCs w:val="22"/>
        </w:rPr>
      </w:pPr>
      <w:r w:rsidRPr="004C498A">
        <w:rPr>
          <w:rFonts w:ascii="Arial" w:hAnsi="Arial" w:cs="Arial"/>
          <w:sz w:val="22"/>
          <w:szCs w:val="22"/>
        </w:rPr>
        <w:t>Investicijska namera izhaja tudi iz strateških in zakonodajnih okvirov:</w:t>
      </w:r>
    </w:p>
    <w:p w14:paraId="476E68FC" w14:textId="77777777" w:rsidR="00FC0662" w:rsidRPr="004C498A" w:rsidRDefault="00FC0662" w:rsidP="00FC0662">
      <w:pPr>
        <w:numPr>
          <w:ilvl w:val="0"/>
          <w:numId w:val="133"/>
        </w:numPr>
        <w:spacing w:after="120" w:line="276" w:lineRule="auto"/>
        <w:jc w:val="both"/>
        <w:rPr>
          <w:rFonts w:ascii="Arial" w:hAnsi="Arial" w:cs="Arial"/>
          <w:sz w:val="22"/>
          <w:szCs w:val="22"/>
        </w:rPr>
      </w:pPr>
      <w:r w:rsidRPr="004C498A">
        <w:rPr>
          <w:rFonts w:ascii="Arial" w:hAnsi="Arial" w:cs="Arial"/>
          <w:sz w:val="22"/>
          <w:szCs w:val="22"/>
        </w:rPr>
        <w:t>Nacionalnih in evropskih usmeritev na področju trajnostne mobilnosti,</w:t>
      </w:r>
    </w:p>
    <w:p w14:paraId="71BE6C47" w14:textId="77777777" w:rsidR="00FC0662" w:rsidRPr="004C498A" w:rsidRDefault="00FC0662" w:rsidP="00FC0662">
      <w:pPr>
        <w:numPr>
          <w:ilvl w:val="0"/>
          <w:numId w:val="133"/>
        </w:numPr>
        <w:spacing w:after="120" w:line="276" w:lineRule="auto"/>
        <w:jc w:val="both"/>
        <w:rPr>
          <w:rFonts w:ascii="Arial" w:hAnsi="Arial" w:cs="Arial"/>
          <w:sz w:val="22"/>
          <w:szCs w:val="22"/>
        </w:rPr>
      </w:pPr>
      <w:r w:rsidRPr="004C498A">
        <w:rPr>
          <w:rFonts w:ascii="Arial" w:hAnsi="Arial" w:cs="Arial"/>
          <w:sz w:val="22"/>
          <w:szCs w:val="22"/>
        </w:rPr>
        <w:t xml:space="preserve">zahtev javnega razpisa </w:t>
      </w:r>
      <w:r w:rsidRPr="004C498A">
        <w:rPr>
          <w:rFonts w:ascii="Arial" w:hAnsi="Arial" w:cs="Arial"/>
          <w:b/>
          <w:bCs/>
          <w:sz w:val="22"/>
          <w:szCs w:val="22"/>
        </w:rPr>
        <w:t>JR EKP UTM 2025</w:t>
      </w:r>
      <w:r w:rsidRPr="004C498A">
        <w:rPr>
          <w:rFonts w:ascii="Arial" w:hAnsi="Arial" w:cs="Arial"/>
          <w:sz w:val="22"/>
          <w:szCs w:val="22"/>
        </w:rPr>
        <w:t>, ki spodbujajo zmanjšanje emisij toplogrednih plinov, izboljšanje kakovosti zraka in bivanja, razvoj zelene infrastrukture ter večjo prometno varnost,</w:t>
      </w:r>
    </w:p>
    <w:p w14:paraId="314CCCBD" w14:textId="77777777" w:rsidR="00FC0662" w:rsidRPr="004C498A" w:rsidRDefault="00FC0662" w:rsidP="00FC0662">
      <w:pPr>
        <w:numPr>
          <w:ilvl w:val="0"/>
          <w:numId w:val="133"/>
        </w:numPr>
        <w:spacing w:after="120" w:line="276" w:lineRule="auto"/>
        <w:jc w:val="both"/>
        <w:rPr>
          <w:rFonts w:ascii="Arial" w:hAnsi="Arial" w:cs="Arial"/>
          <w:sz w:val="22"/>
          <w:szCs w:val="22"/>
        </w:rPr>
      </w:pPr>
      <w:r w:rsidRPr="004C498A">
        <w:rPr>
          <w:rFonts w:ascii="Arial" w:hAnsi="Arial" w:cs="Arial"/>
          <w:sz w:val="22"/>
          <w:szCs w:val="22"/>
        </w:rPr>
        <w:t>potreb občine po zagotavljanju varnih šolskih poti in vključujočih javnih površin za vse prebivalce,</w:t>
      </w:r>
    </w:p>
    <w:p w14:paraId="6A574CB1" w14:textId="77777777" w:rsidR="00FC0662" w:rsidRPr="004C498A" w:rsidRDefault="00FC0662" w:rsidP="00FC0662">
      <w:pPr>
        <w:numPr>
          <w:ilvl w:val="0"/>
          <w:numId w:val="133"/>
        </w:numPr>
        <w:spacing w:after="120" w:line="276" w:lineRule="auto"/>
        <w:jc w:val="both"/>
        <w:rPr>
          <w:rFonts w:ascii="Arial" w:hAnsi="Arial" w:cs="Arial"/>
          <w:sz w:val="22"/>
          <w:szCs w:val="22"/>
        </w:rPr>
      </w:pPr>
      <w:r w:rsidRPr="004C498A">
        <w:rPr>
          <w:rFonts w:ascii="Arial" w:hAnsi="Arial" w:cs="Arial"/>
          <w:sz w:val="22"/>
          <w:szCs w:val="22"/>
        </w:rPr>
        <w:t>sledenju zastavljenih ciljev iz sprejete Občinske celostne prometne strategije Ig.</w:t>
      </w:r>
    </w:p>
    <w:p w14:paraId="322620EE" w14:textId="77777777" w:rsidR="00FC0662" w:rsidRPr="00FC0662" w:rsidRDefault="00FC0662" w:rsidP="00FC0662">
      <w:pPr>
        <w:spacing w:after="120" w:line="276" w:lineRule="auto"/>
        <w:jc w:val="both"/>
        <w:rPr>
          <w:rFonts w:ascii="Arial" w:hAnsi="Arial" w:cs="Arial"/>
          <w:b/>
          <w:bCs/>
          <w:sz w:val="22"/>
          <w:szCs w:val="22"/>
        </w:rPr>
      </w:pPr>
      <w:r w:rsidRPr="00FC0662">
        <w:rPr>
          <w:rFonts w:ascii="Arial" w:hAnsi="Arial" w:cs="Arial"/>
          <w:b/>
          <w:bCs/>
          <w:sz w:val="22"/>
          <w:szCs w:val="22"/>
        </w:rPr>
        <w:t xml:space="preserve">Našteti razlogi skupaj utemeljujejo potrebo po investiciji, ki bo s celovito preureditvijo prometnih in javnih površin v središču Iga zagotovila varno, dostopno in </w:t>
      </w:r>
      <w:proofErr w:type="spellStart"/>
      <w:r w:rsidRPr="00FC0662">
        <w:rPr>
          <w:rFonts w:ascii="Arial" w:hAnsi="Arial" w:cs="Arial"/>
          <w:b/>
          <w:bCs/>
          <w:sz w:val="22"/>
          <w:szCs w:val="22"/>
        </w:rPr>
        <w:t>okoljsko</w:t>
      </w:r>
      <w:proofErr w:type="spellEnd"/>
      <w:r w:rsidRPr="00FC0662">
        <w:rPr>
          <w:rFonts w:ascii="Arial" w:hAnsi="Arial" w:cs="Arial"/>
          <w:b/>
          <w:bCs/>
          <w:sz w:val="22"/>
          <w:szCs w:val="22"/>
        </w:rPr>
        <w:t xml:space="preserve"> trajnostno ureditev prostora.</w:t>
      </w:r>
    </w:p>
    <w:p w14:paraId="7348AD69" w14:textId="452B5CE5" w:rsidR="00000766" w:rsidRPr="00F11127" w:rsidRDefault="00000766"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131" w:name="_Toc3698233"/>
      <w:bookmarkStart w:id="132" w:name="_Toc210033792"/>
      <w:r w:rsidRPr="00F11127">
        <w:rPr>
          <w:rFonts w:asciiTheme="majorHAnsi" w:eastAsiaTheme="majorEastAsia" w:hAnsiTheme="majorHAnsi" w:cstheme="majorHAnsi"/>
          <w:color w:val="244061" w:themeColor="accent1" w:themeShade="80"/>
        </w:rPr>
        <w:t xml:space="preserve">Usklajenosti investicijskega projekta z državnim strateškim razvojnim dokumentom </w:t>
      </w:r>
      <w:r w:rsidR="00987434">
        <w:rPr>
          <w:rFonts w:asciiTheme="majorHAnsi" w:eastAsiaTheme="majorEastAsia" w:hAnsiTheme="majorHAnsi" w:cstheme="majorHAnsi"/>
          <w:color w:val="244061" w:themeColor="accent1" w:themeShade="80"/>
        </w:rPr>
        <w:t xml:space="preserve">in drugimi razvojnimi dokumenti, </w:t>
      </w:r>
      <w:r w:rsidRPr="00F11127">
        <w:rPr>
          <w:rFonts w:asciiTheme="majorHAnsi" w:eastAsiaTheme="majorEastAsia" w:hAnsiTheme="majorHAnsi" w:cstheme="majorHAnsi"/>
          <w:color w:val="244061" w:themeColor="accent1" w:themeShade="80"/>
        </w:rPr>
        <w:t>usmeritvami Skupnosti ter strategijami in izvedbenimi dokumenti strategij posameznih področij in dejavnosti</w:t>
      </w:r>
      <w:bookmarkEnd w:id="131"/>
      <w:bookmarkEnd w:id="132"/>
    </w:p>
    <w:p w14:paraId="6D37A14D"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Investicija je usklajena s strateškimi in izvedbeni dokumenti tako na občinski kot državni in ravni EU. </w:t>
      </w:r>
    </w:p>
    <w:p w14:paraId="0A33E623"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Projekt je usklajen s sledečimi razvojnimi strategijami: - </w:t>
      </w:r>
    </w:p>
    <w:p w14:paraId="04107435"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 xml:space="preserve">Strategija razvoja Slovenije 2030, </w:t>
      </w:r>
    </w:p>
    <w:p w14:paraId="0646BE2B" w14:textId="77777777" w:rsidR="007259FD" w:rsidRPr="004C498A" w:rsidRDefault="007259FD" w:rsidP="007259FD">
      <w:pPr>
        <w:numPr>
          <w:ilvl w:val="0"/>
          <w:numId w:val="134"/>
        </w:numPr>
        <w:spacing w:line="276" w:lineRule="auto"/>
        <w:contextualSpacing/>
        <w:rPr>
          <w:rFonts w:ascii="Arial" w:hAnsi="Arial" w:cs="Arial"/>
          <w:sz w:val="22"/>
          <w:szCs w:val="22"/>
        </w:rPr>
      </w:pPr>
      <w:r w:rsidRPr="004C498A">
        <w:rPr>
          <w:rFonts w:ascii="Arial" w:hAnsi="Arial" w:cs="Arial"/>
          <w:sz w:val="22"/>
          <w:szCs w:val="22"/>
        </w:rPr>
        <w:t>Slovenska strategija trajnostne pametne specializacije S5,</w:t>
      </w:r>
    </w:p>
    <w:p w14:paraId="62FA31D7"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 xml:space="preserve">Strategija prostorskega razvoja Slovenije, </w:t>
      </w:r>
    </w:p>
    <w:p w14:paraId="3356E41E"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Celoviti nacionalni energetski in podnebni načrt Republike Slovenije,</w:t>
      </w:r>
    </w:p>
    <w:p w14:paraId="277A12AA"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 xml:space="preserve">Strategija kulturne dediščine 2020-2023, </w:t>
      </w:r>
    </w:p>
    <w:p w14:paraId="112ACD57"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lastRenderedPageBreak/>
        <w:t xml:space="preserve">Strategija trajnostne rasti slovenskega turizma 2017-2021, </w:t>
      </w:r>
    </w:p>
    <w:p w14:paraId="32144452"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 xml:space="preserve">Program evropske kohezijske politike v obdobju 2021-2027 v Sloveniji, </w:t>
      </w:r>
    </w:p>
    <w:p w14:paraId="4E8DBCBA"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Regionalni razvojni program Ljubljanske urbane regije za obdobje 2021-2027,</w:t>
      </w:r>
    </w:p>
    <w:p w14:paraId="2E8E1B97" w14:textId="77777777" w:rsidR="007259FD" w:rsidRPr="004C498A" w:rsidRDefault="007259FD" w:rsidP="007259FD">
      <w:pPr>
        <w:numPr>
          <w:ilvl w:val="0"/>
          <w:numId w:val="134"/>
        </w:numPr>
        <w:spacing w:after="120" w:line="276" w:lineRule="auto"/>
        <w:contextualSpacing/>
        <w:jc w:val="both"/>
        <w:rPr>
          <w:rFonts w:ascii="Arial" w:hAnsi="Arial" w:cs="Arial"/>
          <w:sz w:val="22"/>
          <w:szCs w:val="22"/>
        </w:rPr>
      </w:pPr>
      <w:r w:rsidRPr="004C498A">
        <w:rPr>
          <w:rFonts w:ascii="Arial" w:hAnsi="Arial" w:cs="Arial"/>
          <w:sz w:val="22"/>
          <w:szCs w:val="22"/>
        </w:rPr>
        <w:t>Občinska celostna prometna strategija Ig,</w:t>
      </w:r>
    </w:p>
    <w:p w14:paraId="5516C0F3" w14:textId="2C166F0E" w:rsidR="007259FD" w:rsidRPr="007259FD" w:rsidRDefault="007259FD" w:rsidP="0009142F">
      <w:pPr>
        <w:numPr>
          <w:ilvl w:val="0"/>
          <w:numId w:val="134"/>
        </w:numPr>
        <w:spacing w:after="120" w:line="276" w:lineRule="auto"/>
        <w:contextualSpacing/>
        <w:jc w:val="both"/>
        <w:rPr>
          <w:rFonts w:ascii="Arial" w:hAnsi="Arial" w:cs="Arial"/>
          <w:sz w:val="22"/>
          <w:szCs w:val="22"/>
        </w:rPr>
      </w:pPr>
      <w:r w:rsidRPr="007259FD">
        <w:rPr>
          <w:rFonts w:ascii="Arial" w:hAnsi="Arial" w:cs="Arial"/>
          <w:sz w:val="22"/>
          <w:szCs w:val="22"/>
        </w:rPr>
        <w:t>Strategija prostorskega razvoja Občine Ig.</w:t>
      </w:r>
    </w:p>
    <w:p w14:paraId="64F51AAB"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33" w:name="_Toc209029135"/>
      <w:bookmarkStart w:id="134" w:name="_Toc209277127"/>
      <w:bookmarkStart w:id="135" w:name="_Toc210033793"/>
      <w:r w:rsidRPr="007259FD">
        <w:rPr>
          <w:rFonts w:asciiTheme="majorHAnsi" w:eastAsiaTheme="majorEastAsia" w:hAnsiTheme="majorHAnsi" w:cstheme="majorHAnsi"/>
          <w:color w:val="244061" w:themeColor="accent1" w:themeShade="80"/>
          <w:szCs w:val="22"/>
        </w:rPr>
        <w:t>Strategija razvoja Slovenije 2030</w:t>
      </w:r>
      <w:bookmarkEnd w:id="133"/>
      <w:bookmarkEnd w:id="134"/>
      <w:bookmarkEnd w:id="135"/>
    </w:p>
    <w:p w14:paraId="4F6B6F84"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Strategijo razvoja Slovenije 2030 je Vlada RS sprejela na svoji 159. redni seji, 7. 12. 2017 ter je podlaga celovitega procesa srednjeročnega načrtovanja, ki predvideva določitev prednostnih nalog in ukrepov, ti pa morajo biti določeni tako, da upoštevajo usmeritve fiskalne politike. </w:t>
      </w:r>
    </w:p>
    <w:p w14:paraId="67A20D37"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Osrednji cilj Strategije razvoja Slovenije 2030 je zagotoviti kakovostno življenje za vse, ki ga je mogoče uresničiti z uravnoteženim gospodarskim, družbenim in </w:t>
      </w:r>
      <w:proofErr w:type="spellStart"/>
      <w:r w:rsidRPr="004C498A">
        <w:rPr>
          <w:rFonts w:ascii="Arial" w:hAnsi="Arial" w:cs="Arial"/>
          <w:sz w:val="22"/>
          <w:szCs w:val="22"/>
        </w:rPr>
        <w:t>okoljskim</w:t>
      </w:r>
      <w:proofErr w:type="spellEnd"/>
      <w:r w:rsidRPr="004C498A">
        <w:rPr>
          <w:rFonts w:ascii="Arial" w:hAnsi="Arial" w:cs="Arial"/>
          <w:sz w:val="22"/>
          <w:szCs w:val="22"/>
        </w:rPr>
        <w:t xml:space="preserve"> razvojem, ki upošteva omejitve in zmožnosti planeta ter ustvarja pogoje in priložnosti za sedanje in prihodnje rodove. Na ravni posameznika se kakovostno življenje kaže v dobrih priložnostih za delo, izobraževanje in ustvarjanje, v dostojnem, varnem in aktivnem življenju, zdravem in čistem okolju ter vključevanju v demokratično odločanje in soupravljanje družbe. </w:t>
      </w:r>
    </w:p>
    <w:p w14:paraId="4EE1F742"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Strateške usmeritve države za doseganje kakovostnega življenja so: </w:t>
      </w:r>
    </w:p>
    <w:p w14:paraId="4DD7779E" w14:textId="77777777" w:rsidR="007259FD" w:rsidRPr="004C498A" w:rsidRDefault="007259FD" w:rsidP="007259FD">
      <w:pPr>
        <w:numPr>
          <w:ilvl w:val="0"/>
          <w:numId w:val="135"/>
        </w:numPr>
        <w:spacing w:after="120" w:line="276" w:lineRule="auto"/>
        <w:contextualSpacing/>
        <w:jc w:val="both"/>
        <w:rPr>
          <w:rFonts w:ascii="Arial" w:hAnsi="Arial" w:cs="Arial"/>
          <w:sz w:val="22"/>
          <w:szCs w:val="22"/>
        </w:rPr>
      </w:pPr>
      <w:r w:rsidRPr="004C498A">
        <w:rPr>
          <w:rFonts w:ascii="Arial" w:hAnsi="Arial" w:cs="Arial"/>
          <w:sz w:val="22"/>
          <w:szCs w:val="22"/>
        </w:rPr>
        <w:t xml:space="preserve">vključujoča, zdrava, varna in odgovorna družba,  </w:t>
      </w:r>
    </w:p>
    <w:p w14:paraId="5E14BDAA" w14:textId="77777777" w:rsidR="007259FD" w:rsidRPr="004C498A" w:rsidRDefault="007259FD" w:rsidP="007259FD">
      <w:pPr>
        <w:numPr>
          <w:ilvl w:val="0"/>
          <w:numId w:val="135"/>
        </w:numPr>
        <w:spacing w:after="120" w:line="276" w:lineRule="auto"/>
        <w:contextualSpacing/>
        <w:jc w:val="both"/>
        <w:rPr>
          <w:rFonts w:ascii="Arial" w:hAnsi="Arial" w:cs="Arial"/>
          <w:sz w:val="22"/>
          <w:szCs w:val="22"/>
        </w:rPr>
      </w:pPr>
      <w:r w:rsidRPr="004C498A">
        <w:rPr>
          <w:rFonts w:ascii="Arial" w:hAnsi="Arial" w:cs="Arial"/>
          <w:sz w:val="22"/>
          <w:szCs w:val="22"/>
        </w:rPr>
        <w:t xml:space="preserve">učenje za in skozi vse življenje,  </w:t>
      </w:r>
    </w:p>
    <w:p w14:paraId="5CBD17B8" w14:textId="77777777" w:rsidR="007259FD" w:rsidRPr="004C498A" w:rsidRDefault="007259FD" w:rsidP="007259FD">
      <w:pPr>
        <w:numPr>
          <w:ilvl w:val="0"/>
          <w:numId w:val="135"/>
        </w:numPr>
        <w:spacing w:after="120" w:line="276" w:lineRule="auto"/>
        <w:contextualSpacing/>
        <w:jc w:val="both"/>
        <w:rPr>
          <w:rFonts w:ascii="Arial" w:hAnsi="Arial" w:cs="Arial"/>
          <w:sz w:val="22"/>
          <w:szCs w:val="22"/>
        </w:rPr>
      </w:pPr>
      <w:r w:rsidRPr="004C498A">
        <w:rPr>
          <w:rFonts w:ascii="Arial" w:hAnsi="Arial" w:cs="Arial"/>
          <w:sz w:val="22"/>
          <w:szCs w:val="22"/>
        </w:rPr>
        <w:t xml:space="preserve">visoko produktivno gospodarstvo, ki ustvarja dodano vrednost za vse,  </w:t>
      </w:r>
    </w:p>
    <w:p w14:paraId="5D43DC70" w14:textId="77777777" w:rsidR="007259FD" w:rsidRPr="004C498A" w:rsidRDefault="007259FD" w:rsidP="007259FD">
      <w:pPr>
        <w:numPr>
          <w:ilvl w:val="0"/>
          <w:numId w:val="135"/>
        </w:numPr>
        <w:spacing w:after="120" w:line="276" w:lineRule="auto"/>
        <w:contextualSpacing/>
        <w:jc w:val="both"/>
        <w:rPr>
          <w:rFonts w:ascii="Arial" w:hAnsi="Arial" w:cs="Arial"/>
          <w:sz w:val="22"/>
          <w:szCs w:val="22"/>
        </w:rPr>
      </w:pPr>
      <w:r w:rsidRPr="004C498A">
        <w:rPr>
          <w:rFonts w:ascii="Arial" w:hAnsi="Arial" w:cs="Arial"/>
          <w:sz w:val="22"/>
          <w:szCs w:val="22"/>
        </w:rPr>
        <w:t xml:space="preserve">ohranjeno zdravo naravno okolje,  </w:t>
      </w:r>
    </w:p>
    <w:p w14:paraId="0F6C926D" w14:textId="77777777" w:rsidR="007259FD" w:rsidRPr="004C498A" w:rsidRDefault="007259FD" w:rsidP="007259FD">
      <w:pPr>
        <w:numPr>
          <w:ilvl w:val="0"/>
          <w:numId w:val="135"/>
        </w:numPr>
        <w:spacing w:after="120" w:line="276" w:lineRule="auto"/>
        <w:contextualSpacing/>
        <w:jc w:val="both"/>
        <w:rPr>
          <w:rFonts w:ascii="Arial" w:hAnsi="Arial" w:cs="Arial"/>
          <w:sz w:val="22"/>
          <w:szCs w:val="22"/>
        </w:rPr>
      </w:pPr>
      <w:r w:rsidRPr="004C498A">
        <w:rPr>
          <w:rFonts w:ascii="Arial" w:hAnsi="Arial" w:cs="Arial"/>
          <w:sz w:val="22"/>
          <w:szCs w:val="22"/>
        </w:rPr>
        <w:t xml:space="preserve">visoka stopnja sodelovanja, usposobljenosti in učinkovitosti upravljanja. </w:t>
      </w:r>
    </w:p>
    <w:p w14:paraId="533A1BFD"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Razvojni cilji strategije: </w:t>
      </w:r>
    </w:p>
    <w:p w14:paraId="7750A22E"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1: Zdravo in aktivno življenje  </w:t>
      </w:r>
    </w:p>
    <w:p w14:paraId="6B6AC6C7"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2: Znanje in spretnosti za kakovostno življenje in delo  </w:t>
      </w:r>
    </w:p>
    <w:p w14:paraId="7A58BB19"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3: Dostojno življenje za vse  </w:t>
      </w:r>
    </w:p>
    <w:p w14:paraId="390EA332"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4: Kultura in jezik kot temeljna dejavnika nacionalne identitete  </w:t>
      </w:r>
    </w:p>
    <w:p w14:paraId="01978B69"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5: Gospodarska stabilnost  </w:t>
      </w:r>
    </w:p>
    <w:p w14:paraId="2DCBF13F"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6: Konkurenčni in družbeno odgovoren podjetniški in raziskovalni sektor  </w:t>
      </w:r>
    </w:p>
    <w:p w14:paraId="03F2B6EA"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7: Vključujoč trg dela in kakovostna delovna mesta  </w:t>
      </w:r>
    </w:p>
    <w:p w14:paraId="115FD064"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8: </w:t>
      </w:r>
      <w:proofErr w:type="spellStart"/>
      <w:r w:rsidRPr="004C498A">
        <w:rPr>
          <w:rFonts w:ascii="Arial" w:hAnsi="Arial" w:cs="Arial"/>
          <w:sz w:val="22"/>
          <w:szCs w:val="22"/>
        </w:rPr>
        <w:t>Nizkoogljično</w:t>
      </w:r>
      <w:proofErr w:type="spellEnd"/>
      <w:r w:rsidRPr="004C498A">
        <w:rPr>
          <w:rFonts w:ascii="Arial" w:hAnsi="Arial" w:cs="Arial"/>
          <w:sz w:val="22"/>
          <w:szCs w:val="22"/>
        </w:rPr>
        <w:t xml:space="preserve"> krožno gospodarstvo  </w:t>
      </w:r>
    </w:p>
    <w:p w14:paraId="23CA4FF4"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9: Trajnostno upravljanje naravnih virov  </w:t>
      </w:r>
    </w:p>
    <w:p w14:paraId="236A07A4"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10: Zaupanja vreden pravni sistem  </w:t>
      </w:r>
    </w:p>
    <w:p w14:paraId="35B3DF0E"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 xml:space="preserve">Cilj 11: Varna in globalno odgovorna Slovenija  </w:t>
      </w:r>
    </w:p>
    <w:p w14:paraId="5080EE52" w14:textId="77777777" w:rsidR="007259FD" w:rsidRPr="004C498A" w:rsidRDefault="007259FD" w:rsidP="007259FD">
      <w:pPr>
        <w:numPr>
          <w:ilvl w:val="0"/>
          <w:numId w:val="136"/>
        </w:numPr>
        <w:spacing w:after="120" w:line="276" w:lineRule="auto"/>
        <w:contextualSpacing/>
        <w:jc w:val="both"/>
        <w:rPr>
          <w:rFonts w:ascii="Arial" w:hAnsi="Arial" w:cs="Arial"/>
          <w:sz w:val="22"/>
          <w:szCs w:val="22"/>
        </w:rPr>
      </w:pPr>
      <w:r w:rsidRPr="004C498A">
        <w:rPr>
          <w:rFonts w:ascii="Arial" w:hAnsi="Arial" w:cs="Arial"/>
          <w:sz w:val="22"/>
          <w:szCs w:val="22"/>
        </w:rPr>
        <w:t>Cilj 12: Učinkovito upravljanje in kakovostne javne storitve</w:t>
      </w:r>
    </w:p>
    <w:p w14:paraId="7D4393DB"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SRS za obdobje 2014 2020 poudarja, da je potrebno posebno pozornost nameniti razvoju, ki prinaša delovna mesta, večjo produktivnost in ne negativno vpliva na okolje. Vizija razvoja v okviru SRS: »Slovenija je konkurenčna družba znanja in inoviranja, ki ob spoštovanju </w:t>
      </w:r>
      <w:proofErr w:type="spellStart"/>
      <w:r w:rsidRPr="004C498A">
        <w:rPr>
          <w:rFonts w:ascii="Arial" w:hAnsi="Arial" w:cs="Arial"/>
          <w:sz w:val="22"/>
          <w:szCs w:val="22"/>
        </w:rPr>
        <w:t>okoljskih</w:t>
      </w:r>
      <w:proofErr w:type="spellEnd"/>
      <w:r w:rsidRPr="004C498A">
        <w:rPr>
          <w:rFonts w:ascii="Arial" w:hAnsi="Arial" w:cs="Arial"/>
          <w:sz w:val="22"/>
          <w:szCs w:val="22"/>
        </w:rPr>
        <w:t xml:space="preserve"> omejitev zagotavlja blagostanje svojih prebivalcev in postaja model moderne </w:t>
      </w:r>
      <w:proofErr w:type="spellStart"/>
      <w:r w:rsidRPr="004C498A">
        <w:rPr>
          <w:rFonts w:ascii="Arial" w:hAnsi="Arial" w:cs="Arial"/>
          <w:sz w:val="22"/>
          <w:szCs w:val="22"/>
        </w:rPr>
        <w:t>eko</w:t>
      </w:r>
      <w:proofErr w:type="spellEnd"/>
      <w:r w:rsidRPr="004C498A">
        <w:rPr>
          <w:rFonts w:ascii="Arial" w:hAnsi="Arial" w:cs="Arial"/>
          <w:sz w:val="22"/>
          <w:szCs w:val="22"/>
        </w:rPr>
        <w:t xml:space="preserve"> regije«. Razvojne prioritete SRS: </w:t>
      </w:r>
    </w:p>
    <w:p w14:paraId="248C311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1. Konkurenčno gospodarstvo; </w:t>
      </w:r>
    </w:p>
    <w:p w14:paraId="31452FC7"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2. Znanje in zaposlovanje; </w:t>
      </w:r>
    </w:p>
    <w:p w14:paraId="4646C401"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3. Zeleno življenjsko okolje ter </w:t>
      </w:r>
    </w:p>
    <w:p w14:paraId="23DA249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lastRenderedPageBreak/>
        <w:t xml:space="preserve">4. Vključujoča družba. </w:t>
      </w:r>
    </w:p>
    <w:p w14:paraId="02BB9B77"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sz w:val="22"/>
          <w:szCs w:val="22"/>
        </w:rPr>
        <w:t>Razvoj mora temeljiti na izboljšanju učinkovitosti rabe vseh virov, človeških, finančnih in naravnih, na inovativni in intenzivni uporabi informacijsko komunikacijskih in tehnologije, ter na ustrezni delitvi bremen in ugodnosti ob povečanju zaposlenosti. Predpogoji za to pa so pravna država, učinkovita javna uprava in ustrezna prometna infrastruktura za trajnostno mobilnost. S svojim ciljem predstavlja obravnavani projekt v osnutku Strategije razvoja Slovenije 2014–2020 določene cilje na četrti razvojni prioriteti: Vključujoča družba, katere cilj je zagotoviti dostopnost kulture vsem družbenim skupinam in skrb za družbeno kohezivnost. To se bo doseglo z vlaganjem v zelene površine in trajnostno mobilnost.</w:t>
      </w:r>
    </w:p>
    <w:p w14:paraId="4B13B671"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36" w:name="_Toc209029136"/>
      <w:bookmarkStart w:id="137" w:name="_Toc209277128"/>
      <w:bookmarkStart w:id="138" w:name="_Toc210033794"/>
      <w:r w:rsidRPr="007259FD">
        <w:rPr>
          <w:rFonts w:asciiTheme="majorHAnsi" w:eastAsiaTheme="majorEastAsia" w:hAnsiTheme="majorHAnsi" w:cstheme="majorHAnsi"/>
          <w:color w:val="244061" w:themeColor="accent1" w:themeShade="80"/>
          <w:szCs w:val="22"/>
        </w:rPr>
        <w:t>Slovenska strategija trajnostne pametne specializacije S5</w:t>
      </w:r>
      <w:bookmarkEnd w:id="136"/>
      <w:bookmarkEnd w:id="137"/>
      <w:bookmarkEnd w:id="138"/>
    </w:p>
    <w:p w14:paraId="2C6B74C6"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V programskem obdobju 2021–2027 je nadgrajena Strategija pametne specializacije v Sloveniji kot cilj zastavila zeleni prehod, ki ga razumemo kot </w:t>
      </w:r>
      <w:r w:rsidRPr="004C498A">
        <w:rPr>
          <w:rFonts w:ascii="Arial" w:hAnsi="Arial" w:cs="Arial"/>
          <w:bCs/>
          <w:sz w:val="22"/>
          <w:szCs w:val="22"/>
        </w:rPr>
        <w:t xml:space="preserve">inovativno, </w:t>
      </w:r>
      <w:proofErr w:type="spellStart"/>
      <w:r w:rsidRPr="004C498A">
        <w:rPr>
          <w:rFonts w:ascii="Arial" w:hAnsi="Arial" w:cs="Arial"/>
          <w:bCs/>
          <w:sz w:val="22"/>
          <w:szCs w:val="22"/>
        </w:rPr>
        <w:t>nizkoogljično</w:t>
      </w:r>
      <w:proofErr w:type="spellEnd"/>
      <w:r w:rsidRPr="004C498A">
        <w:rPr>
          <w:rFonts w:ascii="Arial" w:hAnsi="Arial" w:cs="Arial"/>
          <w:bCs/>
          <w:sz w:val="22"/>
          <w:szCs w:val="22"/>
        </w:rPr>
        <w:t>, digitalno in na znanju temelječo preobrazbo gospodarstva in družbe</w:t>
      </w:r>
      <w:r w:rsidRPr="004C498A">
        <w:rPr>
          <w:rFonts w:ascii="Arial" w:hAnsi="Arial" w:cs="Arial"/>
          <w:sz w:val="22"/>
          <w:szCs w:val="22"/>
        </w:rPr>
        <w:t xml:space="preserve">. Pri tem procesu igrajo deležniki na področjih, kjer Slovenija izkazuje primerjalne prednosti in so vključena v prednostna področja S5, vodilno vlogo. Koncept ob nedavno sprejeti Uredbi EU o taksonomiji tudi na ravni EU dobiva trajnostni značaj. V Sloveniji tak razvoj koncepta uveljavljamo pod kratico S5 (ang. </w:t>
      </w:r>
      <w:proofErr w:type="spellStart"/>
      <w:r w:rsidRPr="004C498A">
        <w:rPr>
          <w:rFonts w:ascii="Arial" w:hAnsi="Arial" w:cs="Arial"/>
          <w:i/>
          <w:sz w:val="22"/>
          <w:szCs w:val="22"/>
        </w:rPr>
        <w:t>Slovenian</w:t>
      </w:r>
      <w:proofErr w:type="spellEnd"/>
      <w:r w:rsidRPr="004C498A">
        <w:rPr>
          <w:rFonts w:ascii="Arial" w:hAnsi="Arial" w:cs="Arial"/>
          <w:i/>
          <w:sz w:val="22"/>
          <w:szCs w:val="22"/>
        </w:rPr>
        <w:t xml:space="preserve"> </w:t>
      </w:r>
      <w:proofErr w:type="spellStart"/>
      <w:r w:rsidRPr="004C498A">
        <w:rPr>
          <w:rFonts w:ascii="Arial" w:hAnsi="Arial" w:cs="Arial"/>
          <w:b/>
          <w:i/>
          <w:sz w:val="22"/>
          <w:szCs w:val="22"/>
        </w:rPr>
        <w:t>Sustainable</w:t>
      </w:r>
      <w:proofErr w:type="spellEnd"/>
      <w:r w:rsidRPr="004C498A">
        <w:rPr>
          <w:rFonts w:ascii="Arial" w:hAnsi="Arial" w:cs="Arial"/>
          <w:i/>
          <w:sz w:val="22"/>
          <w:szCs w:val="22"/>
        </w:rPr>
        <w:t xml:space="preserve"> Smart </w:t>
      </w:r>
      <w:proofErr w:type="spellStart"/>
      <w:r w:rsidRPr="004C498A">
        <w:rPr>
          <w:rFonts w:ascii="Arial" w:hAnsi="Arial" w:cs="Arial"/>
          <w:i/>
          <w:sz w:val="22"/>
          <w:szCs w:val="22"/>
        </w:rPr>
        <w:t>Specialisation</w:t>
      </w:r>
      <w:proofErr w:type="spellEnd"/>
      <w:r w:rsidRPr="004C498A">
        <w:rPr>
          <w:rFonts w:ascii="Arial" w:hAnsi="Arial" w:cs="Arial"/>
          <w:i/>
          <w:sz w:val="22"/>
          <w:szCs w:val="22"/>
        </w:rPr>
        <w:t xml:space="preserve"> </w:t>
      </w:r>
      <w:proofErr w:type="spellStart"/>
      <w:r w:rsidRPr="004C498A">
        <w:rPr>
          <w:rFonts w:ascii="Arial" w:hAnsi="Arial" w:cs="Arial"/>
          <w:i/>
          <w:sz w:val="22"/>
          <w:szCs w:val="22"/>
        </w:rPr>
        <w:t>Strategy</w:t>
      </w:r>
      <w:proofErr w:type="spellEnd"/>
      <w:r w:rsidRPr="004C498A">
        <w:rPr>
          <w:rFonts w:ascii="Arial" w:hAnsi="Arial" w:cs="Arial"/>
          <w:sz w:val="22"/>
          <w:szCs w:val="22"/>
        </w:rPr>
        <w:t xml:space="preserve">), ki predstavlja celovito in osrednjo podlago za dodeljevanje dela sredstev v okviru ESRR znotraj cilja Pametna Evropa. </w:t>
      </w:r>
    </w:p>
    <w:p w14:paraId="316BA786"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Strateški cilj S5 je zeleni prehod, ki ga razumemo kot </w:t>
      </w:r>
      <w:r w:rsidRPr="004C498A">
        <w:rPr>
          <w:rFonts w:ascii="Arial" w:hAnsi="Arial" w:cs="Arial"/>
          <w:b/>
          <w:sz w:val="22"/>
          <w:szCs w:val="22"/>
        </w:rPr>
        <w:t xml:space="preserve">inovativna, </w:t>
      </w:r>
      <w:proofErr w:type="spellStart"/>
      <w:r w:rsidRPr="004C498A">
        <w:rPr>
          <w:rFonts w:ascii="Arial" w:hAnsi="Arial" w:cs="Arial"/>
          <w:b/>
          <w:sz w:val="22"/>
          <w:szCs w:val="22"/>
        </w:rPr>
        <w:t>nizkoogljična</w:t>
      </w:r>
      <w:proofErr w:type="spellEnd"/>
      <w:r w:rsidRPr="004C498A">
        <w:rPr>
          <w:rFonts w:ascii="Arial" w:hAnsi="Arial" w:cs="Arial"/>
          <w:b/>
          <w:sz w:val="22"/>
          <w:szCs w:val="22"/>
        </w:rPr>
        <w:t>, digitalna in na znanju temelječa preobrazba gospodarstva in družbe</w:t>
      </w:r>
      <w:r w:rsidRPr="004C498A">
        <w:rPr>
          <w:rFonts w:ascii="Arial" w:hAnsi="Arial" w:cs="Arial"/>
          <w:sz w:val="22"/>
          <w:szCs w:val="22"/>
        </w:rPr>
        <w:t>.</w:t>
      </w:r>
    </w:p>
    <w:p w14:paraId="0A06801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Strategija spodbuja </w:t>
      </w:r>
      <w:proofErr w:type="spellStart"/>
      <w:r w:rsidRPr="004C498A">
        <w:rPr>
          <w:rFonts w:ascii="Arial" w:hAnsi="Arial" w:cs="Arial"/>
          <w:sz w:val="22"/>
          <w:szCs w:val="22"/>
        </w:rPr>
        <w:t>ogljično</w:t>
      </w:r>
      <w:proofErr w:type="spellEnd"/>
      <w:r w:rsidRPr="004C498A">
        <w:rPr>
          <w:rFonts w:ascii="Arial" w:hAnsi="Arial" w:cs="Arial"/>
          <w:sz w:val="22"/>
          <w:szCs w:val="22"/>
        </w:rPr>
        <w:t xml:space="preserve"> neodvisno družbo, ki vključuje rešitve z uporabo podatkov agregatne mobilnosti oziroma migracij znotraj posamezne občine in med občinami; pametno prometno ureditev mest; </w:t>
      </w:r>
      <w:proofErr w:type="spellStart"/>
      <w:r w:rsidRPr="004C498A">
        <w:rPr>
          <w:rFonts w:ascii="Arial" w:hAnsi="Arial" w:cs="Arial"/>
          <w:sz w:val="22"/>
          <w:szCs w:val="22"/>
        </w:rPr>
        <w:t>multimodalno</w:t>
      </w:r>
      <w:proofErr w:type="spellEnd"/>
      <w:r w:rsidRPr="004C498A">
        <w:rPr>
          <w:rFonts w:ascii="Arial" w:hAnsi="Arial" w:cs="Arial"/>
          <w:sz w:val="22"/>
          <w:szCs w:val="22"/>
        </w:rPr>
        <w:t xml:space="preserve"> platformo mobilnosti.</w:t>
      </w:r>
    </w:p>
    <w:p w14:paraId="366DE0D5"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Ureditev zelenih površin z zelenimi in modrimi ukrepi ustvarja pogoje za zmanjšanje </w:t>
      </w:r>
      <w:proofErr w:type="spellStart"/>
      <w:r w:rsidRPr="004C498A">
        <w:rPr>
          <w:rFonts w:ascii="Arial" w:hAnsi="Arial" w:cs="Arial"/>
          <w:sz w:val="22"/>
          <w:szCs w:val="22"/>
        </w:rPr>
        <w:t>ogljičnega</w:t>
      </w:r>
      <w:proofErr w:type="spellEnd"/>
      <w:r w:rsidRPr="004C498A">
        <w:rPr>
          <w:rFonts w:ascii="Arial" w:hAnsi="Arial" w:cs="Arial"/>
          <w:sz w:val="22"/>
          <w:szCs w:val="22"/>
        </w:rPr>
        <w:t xml:space="preserve"> odtisa ter primernih površin, ki ima pozitiven vpliv zlasti pomemben za ranljive skupine, ki imajo možnost prilagajanja na vse večje temperaturne razlike še manjše.</w:t>
      </w:r>
    </w:p>
    <w:p w14:paraId="16CEEE76"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39" w:name="_Toc209029137"/>
      <w:bookmarkStart w:id="140" w:name="_Toc209277129"/>
      <w:bookmarkStart w:id="141" w:name="_Toc210033795"/>
      <w:r w:rsidRPr="007259FD">
        <w:rPr>
          <w:rFonts w:asciiTheme="majorHAnsi" w:eastAsiaTheme="majorEastAsia" w:hAnsiTheme="majorHAnsi" w:cstheme="majorHAnsi"/>
          <w:color w:val="244061" w:themeColor="accent1" w:themeShade="80"/>
          <w:szCs w:val="22"/>
        </w:rPr>
        <w:t>Strategija prostorskega razvoja Slovenije 2050</w:t>
      </w:r>
      <w:bookmarkEnd w:id="139"/>
      <w:bookmarkEnd w:id="140"/>
      <w:bookmarkEnd w:id="141"/>
    </w:p>
    <w:p w14:paraId="3C3127DA"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Strategije prostorskega razvoja Slovenije 2050 je strateški prostorski akt, ki ga je 28. 06. 2023 z resolucijo sprejel Državni zbor Republike Slovenije. Pripravo SPRS2050 je vidilo Ministrstvo za naravne vire in prostor, Direktorat za prostor in graditev. </w:t>
      </w:r>
    </w:p>
    <w:p w14:paraId="44D2A1D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Projekt je skladen s SPRS2050, ki določa dolgoročne strateške cilje države in usmeritve razvoja dejavnosti v prostoru. Projekt je skladen s strateškimi usmeritvami prostorskega razvoja, ki podpira razvoj čezmejnih urbanih območij in čezmejno povezanih poselitvenih in gospodarskih sistemov – na širših mestnih območjih v obmejnem prostoru se v povezavi s sosednjimi čezmejnimi središči povečujejo gospodarska, raziskovalno-izobraževalna in kulturna vloga posameznih središč z namenom krepitve njihove vloge na čezmejnem funkcionalnem urbanem območju. S tem se na širšem čezmejnem funkcionalnem območju krepijo skupne konkurenčne prednosti, zlasti doseganje kritične mase za izboljšanje inovacijskih zmogljivosti, in racionalnejša raba infrastrukturnih zmogljivosti. </w:t>
      </w:r>
    </w:p>
    <w:p w14:paraId="5F98D362"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Strateški cilji SPRS2050 postavljajo okvirne pogoje za doseganje prostorske kohezije, krepitve vloge Slovenije v procesih čezmejnega in mednarodnega povezovanja ter za oblikovanje novih, več funkcionalnih rešitev za razvojne težave sodobne družbe. </w:t>
      </w:r>
    </w:p>
    <w:p w14:paraId="04F23B9C"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lastRenderedPageBreak/>
        <w:t xml:space="preserve">V tem smislu cilji: </w:t>
      </w:r>
    </w:p>
    <w:p w14:paraId="5BE57D74"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krepijo prostorsko učinkovitost rabe virov, povezanost prostora (znotraj države in v mednarodnem prostoru), konkurenčnost posameznih območij in skladen regionalni razvoj; </w:t>
      </w:r>
    </w:p>
    <w:p w14:paraId="0E0AA44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izboljšujejo prostorsko kakovost – kakovost bivalnega in naravnega okolja, dostopnost stanovanj, dostopnost storitev ter spodbujajo socialno vključenost;</w:t>
      </w:r>
    </w:p>
    <w:p w14:paraId="494E2405"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krepijo prostorsko identiteto s krepitvijo lokalnega znanja, pripadnosti in vizije skupnosti ter s krepitvijo prepoznavnosti Slovenije kot države z visoko kakovostjo ohranjenih naravnih in kulturnih prvin krajine. </w:t>
      </w:r>
    </w:p>
    <w:p w14:paraId="55C8ABEE"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Cilji SPRS2050 so: </w:t>
      </w:r>
    </w:p>
    <w:p w14:paraId="0E78BAAE"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1.</w:t>
      </w:r>
      <w:r w:rsidRPr="004C498A">
        <w:rPr>
          <w:rFonts w:ascii="Arial" w:hAnsi="Arial" w:cs="Arial"/>
          <w:sz w:val="22"/>
          <w:szCs w:val="22"/>
        </w:rPr>
        <w:t xml:space="preserve"> Vzpostaviti ustrezne razmere za prehod v podnebno nevtralno družbo. </w:t>
      </w:r>
    </w:p>
    <w:p w14:paraId="489E6A4B"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2.</w:t>
      </w:r>
      <w:r w:rsidRPr="004C498A">
        <w:rPr>
          <w:rFonts w:ascii="Arial" w:hAnsi="Arial" w:cs="Arial"/>
          <w:sz w:val="22"/>
          <w:szCs w:val="22"/>
        </w:rPr>
        <w:t xml:space="preserve"> Doseči mednarodno konkurenčnost slovenskih mest. </w:t>
      </w:r>
    </w:p>
    <w:p w14:paraId="0060AB39"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3.</w:t>
      </w:r>
      <w:r w:rsidRPr="004C498A">
        <w:rPr>
          <w:rFonts w:ascii="Arial" w:hAnsi="Arial" w:cs="Arial"/>
          <w:sz w:val="22"/>
          <w:szCs w:val="22"/>
        </w:rPr>
        <w:t xml:space="preserve"> Zagotoviti kakovost življenja na urbanih in podeželskih območjih. </w:t>
      </w:r>
    </w:p>
    <w:p w14:paraId="1795535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4.</w:t>
      </w:r>
      <w:r w:rsidRPr="004C498A">
        <w:rPr>
          <w:rFonts w:ascii="Arial" w:hAnsi="Arial" w:cs="Arial"/>
          <w:sz w:val="22"/>
          <w:szCs w:val="22"/>
        </w:rPr>
        <w:t xml:space="preserve"> Okrepiti prostorsko identiteto. </w:t>
      </w:r>
    </w:p>
    <w:p w14:paraId="56AC16B0"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5.</w:t>
      </w:r>
      <w:r w:rsidRPr="004C498A">
        <w:rPr>
          <w:rFonts w:ascii="Arial" w:hAnsi="Arial" w:cs="Arial"/>
          <w:sz w:val="22"/>
          <w:szCs w:val="22"/>
        </w:rPr>
        <w:t xml:space="preserve"> Izboljšati odpornost in prilagodljivost prostora na spremembe. </w:t>
      </w:r>
    </w:p>
    <w:p w14:paraId="22EF4878"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Projekt je skladen s cilji prostorskega razvoja SPRS2050 predvsem v naslednjih pogledih: </w:t>
      </w:r>
    </w:p>
    <w:p w14:paraId="50BBEA2D"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 Cilj 1</w:t>
      </w:r>
      <w:r w:rsidRPr="004C498A">
        <w:rPr>
          <w:rFonts w:ascii="Arial" w:hAnsi="Arial" w:cs="Arial"/>
          <w:sz w:val="22"/>
          <w:szCs w:val="22"/>
        </w:rPr>
        <w:t>: Vzpostaviti ustrezne razmere za prehod v podnebno nevtralno družbo,</w:t>
      </w:r>
    </w:p>
    <w:p w14:paraId="54139E3B"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prednostna naloga P2: Povečati varčnost in učinkovitost rabe prostora ter naravnih virov</w:t>
      </w:r>
    </w:p>
    <w:p w14:paraId="0FAA2E21"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prednostna naloga P3: Prenoviti razvrednotena urbana in krajinska območja </w:t>
      </w:r>
    </w:p>
    <w:p w14:paraId="0EB862A9"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(z izvedbo projekta se bo prispevalo k ustrezni tudi urbani ureditvi centra Iga, z izvedbo projekta se bo  pripomoglo k skladnemu regionalnemu razvoju, na prostorskih potencialnih in virih območja na trajnostni način, s tem da se bo nudila podporo gospodarstvu, kulturnemu in socialnemu razvoju, omogočajo zaposlenost v lokalnem okolju in prispevalo k preprečevanju izseljevanja prebivalstva, povečevanju odpornost na podnebne spremembe ter omogočanju prilagajanje nanje, zmanjševalo ranljivost prostora ter krepilo nacionalno in regionalno prostorsko identiteto); </w:t>
      </w:r>
    </w:p>
    <w:p w14:paraId="52ADA97C"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 Cilj 3</w:t>
      </w:r>
      <w:r w:rsidRPr="004C498A">
        <w:rPr>
          <w:rFonts w:ascii="Arial" w:hAnsi="Arial" w:cs="Arial"/>
          <w:sz w:val="22"/>
          <w:szCs w:val="22"/>
        </w:rPr>
        <w:t xml:space="preserve">: Zagotoviti kakovost življenja na urbanih in podeželskih območjih,  </w:t>
      </w:r>
    </w:p>
    <w:p w14:paraId="6B4BEDC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prednostna naloga P6: Povečati privlačnost in kakovost bivanja v slovenskih mestih </w:t>
      </w:r>
    </w:p>
    <w:p w14:paraId="5AEF1063"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 prednostna naloga P8: Izboljšati odpornost naselij na podnebne spremembe </w:t>
      </w:r>
    </w:p>
    <w:p w14:paraId="20549F47"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(z izvedbo projekta se bo oblikovalo mestni/urbani prostor v prostor za interakcijo, inovacije, kulturne in skupnostne povezanosti, kjer se bodo na območju posegov prepletali prostori za bivanje, delo in prosti čas v navezavi na okolico in krajino; na območju se bo izboljšalo trajnostno mobilnost kot osnovni koncept udobne, učinkovite, zdrave in okolju prijazne dostopnosti, prispevalo se bo k uvajanju rešitev krožnega gospodarstva; gradnja bo izvedena skladno z načeli trajnostne gradnje, v okolici pa se bo uredilo tudi ustrezne zelene površine in raščena tla, kot pomembnemu blažilcu vpliva podnebnih sprememb, zlasti z vidika zmanjšanja vplivov emisij toplogrednih plinov in prašnih delcev v okolje; k večji privlačnosti urbanega območja pa bo prispevala tudi celostna prenova in kvalitetno zasnovane urbanistične rešitve, kjer naj bi se posegi v okviru projekta izvajali; zasnovane urbanistične rešitve in arhitekturne zasnove upoštevajo tudi kakovostno stavbno, arhitekturno in kulturno dediščino, kakovostno oblikovane in vzdrževanje javne grajene in zelene površine v povezavi z zelenimi sistemi ter v življenje skupnosti dobro vključeno kulturno dediščino in javno dostopne dele območja); </w:t>
      </w:r>
    </w:p>
    <w:p w14:paraId="696F1D30"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lastRenderedPageBreak/>
        <w:t xml:space="preserve"> Cilj 5: </w:t>
      </w:r>
      <w:r w:rsidRPr="004C498A">
        <w:rPr>
          <w:rFonts w:ascii="Arial" w:hAnsi="Arial" w:cs="Arial"/>
          <w:sz w:val="22"/>
          <w:szCs w:val="22"/>
        </w:rPr>
        <w:t>Izboljšati odpornost in prilagodljivost prostora na spremembe - prednostna naloga P12: Izboljšati odpornost prostora - prednostna naloga P13: Okrepiti zmožnosti zaznavanja izzivov in njihovih učinkov na prostor</w:t>
      </w:r>
    </w:p>
    <w:p w14:paraId="66BFB5B1"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(z izvedbo projekta se bo spodbujala krepitev sinergij v prostoru ter omogočalo doseganje več funkcionalnosti prostora, zlasti na tistih področjih, kjer to lahko prispeva k večji odpornosti prostora na podnebne spremembe ter omilitvi škodljivih posledic naravnih nesreč; okrepljena bo skrb za ustrezno umestitev rešitev ter istočasno ohranitev ekološke povezljivosti).</w:t>
      </w:r>
    </w:p>
    <w:p w14:paraId="63AA3FC9"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sz w:val="22"/>
          <w:szCs w:val="22"/>
        </w:rPr>
        <w:t>Iz vsega navedenega vidimo, da je projekt skladen s SPRS2050, saj bo njegova izvedba pripomogla k uresničevanju ciljev SPRS2050.</w:t>
      </w:r>
    </w:p>
    <w:p w14:paraId="4D3B536C"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42" w:name="_Toc209029138"/>
      <w:bookmarkStart w:id="143" w:name="_Toc209277130"/>
      <w:bookmarkStart w:id="144" w:name="_Toc210033796"/>
      <w:r w:rsidRPr="007259FD">
        <w:rPr>
          <w:rFonts w:asciiTheme="majorHAnsi" w:eastAsiaTheme="majorEastAsia" w:hAnsiTheme="majorHAnsi" w:cstheme="majorHAnsi"/>
          <w:color w:val="244061" w:themeColor="accent1" w:themeShade="80"/>
          <w:szCs w:val="22"/>
        </w:rPr>
        <w:t>Celoviti nacionalni energetski in podnebni načrt Republike Slovenije (NEPN)</w:t>
      </w:r>
      <w:bookmarkEnd w:id="142"/>
      <w:bookmarkEnd w:id="143"/>
      <w:bookmarkEnd w:id="144"/>
    </w:p>
    <w:p w14:paraId="1F06EF03"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Celoviti nacionalni energetski in podnebni načrt (NEPN) je akcijsko strateški dokument, ki ga je skladno z Uredbo EU 2018/1999 o upravljanju energetske unije in podnebnih ukrepov dolžna sprejeti vsaka država članica EU.</w:t>
      </w:r>
    </w:p>
    <w:p w14:paraId="680BF811"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NEPN za obdobje do leta 2030 (s pogledom do 2040) določa cilje, politike in ukrepe na petih razsežnostih energetske unije:</w:t>
      </w:r>
    </w:p>
    <w:p w14:paraId="2E3883F0"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1.</w:t>
      </w:r>
      <w:r w:rsidRPr="004C498A">
        <w:rPr>
          <w:rFonts w:ascii="Arial" w:hAnsi="Arial" w:cs="Arial"/>
          <w:sz w:val="22"/>
          <w:szCs w:val="22"/>
        </w:rPr>
        <w:t xml:space="preserve"> razogljičenje (emisije TGP in OVE),</w:t>
      </w:r>
    </w:p>
    <w:p w14:paraId="492A46E8"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2.</w:t>
      </w:r>
      <w:r w:rsidRPr="004C498A">
        <w:rPr>
          <w:rFonts w:ascii="Arial" w:hAnsi="Arial" w:cs="Arial"/>
          <w:sz w:val="22"/>
          <w:szCs w:val="22"/>
        </w:rPr>
        <w:t xml:space="preserve"> energetska učinkovitost,</w:t>
      </w:r>
    </w:p>
    <w:p w14:paraId="75EF1F60"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3.</w:t>
      </w:r>
      <w:r w:rsidRPr="004C498A">
        <w:rPr>
          <w:rFonts w:ascii="Arial" w:hAnsi="Arial" w:cs="Arial"/>
          <w:sz w:val="22"/>
          <w:szCs w:val="22"/>
        </w:rPr>
        <w:t xml:space="preserve"> energetska varnost,</w:t>
      </w:r>
    </w:p>
    <w:p w14:paraId="719391B2"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4.</w:t>
      </w:r>
      <w:r w:rsidRPr="004C498A">
        <w:rPr>
          <w:rFonts w:ascii="Arial" w:hAnsi="Arial" w:cs="Arial"/>
          <w:sz w:val="22"/>
          <w:szCs w:val="22"/>
        </w:rPr>
        <w:t xml:space="preserve"> notranji trg ter</w:t>
      </w:r>
    </w:p>
    <w:p w14:paraId="45494230"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5.</w:t>
      </w:r>
      <w:r w:rsidRPr="004C498A">
        <w:rPr>
          <w:rFonts w:ascii="Arial" w:hAnsi="Arial" w:cs="Arial"/>
          <w:sz w:val="22"/>
          <w:szCs w:val="22"/>
        </w:rPr>
        <w:t xml:space="preserve"> raziskave, inovacije in konkurenčnost.</w:t>
      </w:r>
    </w:p>
    <w:p w14:paraId="267D1444"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Slovenija mora v naslednjem desetletju obvladati hitro rast potniškega in tovornega prometa ter usmerjati prometne tokove na alternativna prevozna sredstva. Pri tem je ključnega pomena postopno zmanjševanje rabe energije s povečanjem energetske učinkovitosti in prehodom na </w:t>
      </w:r>
      <w:proofErr w:type="spellStart"/>
      <w:r w:rsidRPr="004C498A">
        <w:rPr>
          <w:rFonts w:ascii="Arial" w:hAnsi="Arial" w:cs="Arial"/>
          <w:sz w:val="22"/>
          <w:szCs w:val="22"/>
        </w:rPr>
        <w:t>nizkoemisijska</w:t>
      </w:r>
      <w:proofErr w:type="spellEnd"/>
      <w:r w:rsidRPr="004C498A">
        <w:rPr>
          <w:rFonts w:ascii="Arial" w:hAnsi="Arial" w:cs="Arial"/>
          <w:sz w:val="22"/>
          <w:szCs w:val="22"/>
        </w:rPr>
        <w:t xml:space="preserve"> vozila. K trajnostni mobilnosti svoj delež prispevata tudi pešačenje in kolesarjenje, zato bomo aktivno spodbujali izgradnjo kolesarske infrastrukture in infrastrukture za pešce. Na ta način bo Slovenija omogočila prebivalstvu enostaven, hiter, zelen in za okolje ter mestna središča </w:t>
      </w:r>
      <w:proofErr w:type="spellStart"/>
      <w:r w:rsidRPr="004C498A">
        <w:rPr>
          <w:rFonts w:ascii="Arial" w:hAnsi="Arial" w:cs="Arial"/>
          <w:sz w:val="22"/>
          <w:szCs w:val="22"/>
        </w:rPr>
        <w:t>neinvaziven</w:t>
      </w:r>
      <w:proofErr w:type="spellEnd"/>
      <w:r w:rsidRPr="004C498A">
        <w:rPr>
          <w:rFonts w:ascii="Arial" w:hAnsi="Arial" w:cs="Arial"/>
          <w:sz w:val="22"/>
          <w:szCs w:val="22"/>
        </w:rPr>
        <w:t xml:space="preserve"> promet v zadnjih kilometrih. Cilj je, da se v deležu potovanj zmanjša število potovanj z osebnim avtomobilom (zdaj je takšnih 67 % potovanj) in bistveno poveča število potovanj peš, s kolesom ali javnim potniškim prevozom.</w:t>
      </w:r>
    </w:p>
    <w:p w14:paraId="277F2C9A"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Predmetni projekt, ki predstavlja ureditev zelene infrastrukture in ukrepe trajnostne mobilnosti, bo prispeval ravno k temu cilju, saj bodo prebivalci v rangu 500 metrov lahko pešačili v prijaznem okolju ter s tem prispevali k zmanjšanju </w:t>
      </w:r>
      <w:proofErr w:type="spellStart"/>
      <w:r w:rsidRPr="004C498A">
        <w:rPr>
          <w:rFonts w:ascii="Arial" w:hAnsi="Arial" w:cs="Arial"/>
          <w:sz w:val="22"/>
          <w:szCs w:val="22"/>
        </w:rPr>
        <w:t>ogljičnega</w:t>
      </w:r>
      <w:proofErr w:type="spellEnd"/>
      <w:r w:rsidRPr="004C498A">
        <w:rPr>
          <w:rFonts w:ascii="Arial" w:hAnsi="Arial" w:cs="Arial"/>
          <w:sz w:val="22"/>
          <w:szCs w:val="22"/>
        </w:rPr>
        <w:t xml:space="preserve"> odtisa, sama investicija pa k ugodnejšemu okolju za prebivalce, obiskovalce in turiste.</w:t>
      </w:r>
    </w:p>
    <w:p w14:paraId="03E1768B"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45" w:name="_Toc209029139"/>
      <w:bookmarkStart w:id="146" w:name="_Toc209277131"/>
      <w:bookmarkStart w:id="147" w:name="_Toc210033797"/>
      <w:r w:rsidRPr="007259FD">
        <w:rPr>
          <w:rFonts w:asciiTheme="majorHAnsi" w:eastAsiaTheme="majorEastAsia" w:hAnsiTheme="majorHAnsi" w:cstheme="majorHAnsi"/>
          <w:color w:val="244061" w:themeColor="accent1" w:themeShade="80"/>
          <w:szCs w:val="22"/>
        </w:rPr>
        <w:t>Program Evropske kohezijske politike v obdobju 2021-2027 (PEKP 21-27)</w:t>
      </w:r>
      <w:bookmarkEnd w:id="145"/>
      <w:bookmarkEnd w:id="146"/>
      <w:bookmarkEnd w:id="147"/>
    </w:p>
    <w:p w14:paraId="7C204105"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Evropska kohezijska politika je glavna naložbena politika Evropske unije. Z njeno pomočjo se je v Sloveniji uresničilo že številne projekte, ki so bistveno prispevali k hitrejšemu razvoju države. V obdobju hitrih sprememb, ki jih narekujeta zeleni in digitalni prehod, so za Slovenijo ključnega pomena ukrepi v smeri večje odpornosti gospodarstva in družbe, izkoriščanja novih priložnosti ter pospešitve prehoda v visoko produktivno, </w:t>
      </w:r>
      <w:proofErr w:type="spellStart"/>
      <w:r w:rsidRPr="004C498A">
        <w:rPr>
          <w:rFonts w:ascii="Arial" w:hAnsi="Arial" w:cs="Arial"/>
          <w:sz w:val="22"/>
          <w:szCs w:val="22"/>
        </w:rPr>
        <w:t>nizkoogljično</w:t>
      </w:r>
      <w:proofErr w:type="spellEnd"/>
      <w:r w:rsidRPr="004C498A">
        <w:rPr>
          <w:rFonts w:ascii="Arial" w:hAnsi="Arial" w:cs="Arial"/>
          <w:sz w:val="22"/>
          <w:szCs w:val="22"/>
        </w:rPr>
        <w:t xml:space="preserve"> in krožno gospodarstvo, s končnim ciljem kakovostnega življenja za vse. </w:t>
      </w:r>
    </w:p>
    <w:p w14:paraId="7C6B5B38"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lastRenderedPageBreak/>
        <w:t xml:space="preserve">Projekt je skladen s cilji PEKP 21-27, in sicer s ciljno politiko 2 »Bolj zelena, </w:t>
      </w:r>
      <w:proofErr w:type="spellStart"/>
      <w:r w:rsidRPr="004C498A">
        <w:rPr>
          <w:rFonts w:ascii="Arial" w:hAnsi="Arial" w:cs="Arial"/>
          <w:sz w:val="22"/>
          <w:szCs w:val="22"/>
        </w:rPr>
        <w:t>nizkoogljična</w:t>
      </w:r>
      <w:proofErr w:type="spellEnd"/>
      <w:r w:rsidRPr="004C498A">
        <w:rPr>
          <w:rFonts w:ascii="Arial" w:hAnsi="Arial" w:cs="Arial"/>
          <w:sz w:val="22"/>
          <w:szCs w:val="22"/>
        </w:rPr>
        <w:t xml:space="preserve"> Evropa, ki je odporna in prehaja na gospodarstvo z ničelnim </w:t>
      </w:r>
      <w:proofErr w:type="spellStart"/>
      <w:r w:rsidRPr="004C498A">
        <w:rPr>
          <w:rFonts w:ascii="Arial" w:hAnsi="Arial" w:cs="Arial"/>
          <w:sz w:val="22"/>
          <w:szCs w:val="22"/>
        </w:rPr>
        <w:t>ogljičnim</w:t>
      </w:r>
      <w:proofErr w:type="spellEnd"/>
      <w:r w:rsidRPr="004C498A">
        <w:rPr>
          <w:rFonts w:ascii="Arial" w:hAnsi="Arial" w:cs="Arial"/>
          <w:sz w:val="22"/>
          <w:szCs w:val="22"/>
        </w:rPr>
        <w:t xml:space="preserve"> odtisom s spodbujanjem čistega in pravičnega energetskega prehoda, zelenih in modrih naložb, krožnega gospodarstva, blaženja podnebnih sprememb in prilagajanja nanje ter preprečevanja in obvladovanja tveganj ter trajnostne mestne mobilnosti.«</w:t>
      </w:r>
    </w:p>
    <w:p w14:paraId="3D975DAB"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CILJ:</w:t>
      </w:r>
      <w:r w:rsidRPr="004C498A">
        <w:rPr>
          <w:rFonts w:ascii="Arial" w:hAnsi="Arial" w:cs="Arial"/>
          <w:sz w:val="22"/>
          <w:szCs w:val="22"/>
        </w:rPr>
        <w:t xml:space="preserve"> Izboljšanje varstva in ohranjanja narave ter biotske raznovrstnosti in zelene infrastrukture, tudi v mestnem okolju, in zmanjšanje vseh oblik onesnaževanja Ukrepi za izboljšanje stanja biotske raznovrstnosti v omrežju Natura 2000 in na drugih prednostnih območjih varstva narave so namenjeni prioritetnim Natura 2000 območjem za izboljšanje stanja vrst in habitatnih tipov, v manjšem delu ureditvi z obiskom najbolj obremenjenih delov narave ter vlagan jem v zeleno infrastrukturo v urbanem okolju, Prednostna naloga 3: Zelena preobrazba za podnebno nevtralnost Specifični cilj RSO2.7. Izboljšanje varstva in ohranjanja narave ter biotske raznovrstnosti in zelene infrastrukture, tudi v mestnem okolju, in zmanjšanje vseh oblik onesnaževanja (ESRR)</w:t>
      </w:r>
    </w:p>
    <w:p w14:paraId="72F1395E"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ter prav tako </w:t>
      </w:r>
    </w:p>
    <w:p w14:paraId="2B32B998"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b/>
          <w:sz w:val="22"/>
          <w:szCs w:val="22"/>
        </w:rPr>
        <w:t>CILJ:</w:t>
      </w:r>
      <w:r w:rsidRPr="004C498A">
        <w:rPr>
          <w:rFonts w:ascii="Arial" w:hAnsi="Arial" w:cs="Arial"/>
          <w:sz w:val="22"/>
          <w:szCs w:val="22"/>
        </w:rPr>
        <w:t xml:space="preserve"> Spodbujanje trajnostne mestne mobilnosti v okviru prehoda na gospodarstvo z ničelno stopnjo neto emisij ogljika Investicije na področju trajnostne urbane mobilnosti bodo pripomogle k dvigu deleža trajnostnih prometnih načinov v dnevnih migracijah prebivalstva ter zmanjšanju emisij toplogrednih plinov (TPG). Trajna rešitev za ta izziv je prehod na trajnostno mobilnost z nizkimi emisijami CO2 in onesnaževal zraka ter z nizko porabo energije s poudarkom na aktivni mobilnosti, zato bodo ukrepi usmerjeni na navedena področja. Hkrati pa bodo ukrepi usmerjeni v povečanje uporabe vozil na alternativne energente. Poleg ukrepov za izboljšanje javnega potniškega prometa z uvajanjem </w:t>
      </w:r>
      <w:proofErr w:type="spellStart"/>
      <w:r w:rsidRPr="004C498A">
        <w:rPr>
          <w:rFonts w:ascii="Arial" w:hAnsi="Arial" w:cs="Arial"/>
          <w:sz w:val="22"/>
          <w:szCs w:val="22"/>
        </w:rPr>
        <w:t>brezemisijskih</w:t>
      </w:r>
      <w:proofErr w:type="spellEnd"/>
      <w:r w:rsidRPr="004C498A">
        <w:rPr>
          <w:rFonts w:ascii="Arial" w:hAnsi="Arial" w:cs="Arial"/>
          <w:sz w:val="22"/>
          <w:szCs w:val="22"/>
        </w:rPr>
        <w:t xml:space="preserve"> vozil, je namreč ključno zagotavljanje ustrezne polnilne infrastrukture za alternativne energente za različne vrste vozil. Prednostno bodo sredstva namenjena infrastrukturi za </w:t>
      </w:r>
      <w:proofErr w:type="spellStart"/>
      <w:r w:rsidRPr="004C498A">
        <w:rPr>
          <w:rFonts w:ascii="Arial" w:hAnsi="Arial" w:cs="Arial"/>
          <w:sz w:val="22"/>
          <w:szCs w:val="22"/>
        </w:rPr>
        <w:t>multimodalni</w:t>
      </w:r>
      <w:proofErr w:type="spellEnd"/>
      <w:r w:rsidRPr="004C498A">
        <w:rPr>
          <w:rFonts w:ascii="Arial" w:hAnsi="Arial" w:cs="Arial"/>
          <w:sz w:val="22"/>
          <w:szCs w:val="22"/>
        </w:rPr>
        <w:t xml:space="preserve"> potniški promet od vrat do vrat. Hrbtenica sistema mora biti javni potniški promet (JPP), dopolnjuje pa se s kolesarskimi povezavami in infrastrukturo za pešce, s poudarkom na dostopu do postajališč JPP ter s točkami prestopa iz osebnega avtomobila na JPP ali </w:t>
      </w:r>
      <w:proofErr w:type="spellStart"/>
      <w:r w:rsidRPr="004C498A">
        <w:rPr>
          <w:rFonts w:ascii="Arial" w:hAnsi="Arial" w:cs="Arial"/>
          <w:sz w:val="22"/>
          <w:szCs w:val="22"/>
        </w:rPr>
        <w:t>sopotništvo</w:t>
      </w:r>
      <w:proofErr w:type="spellEnd"/>
      <w:r w:rsidRPr="004C498A">
        <w:rPr>
          <w:rFonts w:ascii="Arial" w:hAnsi="Arial" w:cs="Arial"/>
          <w:sz w:val="22"/>
          <w:szCs w:val="22"/>
        </w:rPr>
        <w:t xml:space="preserve"> ali ostale aktivne oblike prevoza, prednostne naloge 5 »Trajnostna (čez)regionalna mobilnost in povezljivost«, specifičnega cilja RSO 3.2 »Razvoj in krepitev trajnostne, pametne in </w:t>
      </w:r>
      <w:proofErr w:type="spellStart"/>
      <w:r w:rsidRPr="004C498A">
        <w:rPr>
          <w:rFonts w:ascii="Arial" w:hAnsi="Arial" w:cs="Arial"/>
          <w:sz w:val="22"/>
          <w:szCs w:val="22"/>
        </w:rPr>
        <w:t>intermodalne</w:t>
      </w:r>
      <w:proofErr w:type="spellEnd"/>
      <w:r w:rsidRPr="004C498A">
        <w:rPr>
          <w:rFonts w:ascii="Arial" w:hAnsi="Arial" w:cs="Arial"/>
          <w:sz w:val="22"/>
          <w:szCs w:val="22"/>
        </w:rPr>
        <w:t xml:space="preserve"> nacionalne, regionalne in lokalne mobilnosti, odporne proti podnebnim spremembam, vključno z boljšim dostopom do vseevropskega prometnega omrežja (TEN-T) in čezmejno mobilnostjo«.</w:t>
      </w:r>
    </w:p>
    <w:p w14:paraId="23D36032"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48" w:name="_Toc209029140"/>
      <w:bookmarkStart w:id="149" w:name="_Toc209277132"/>
      <w:bookmarkStart w:id="150" w:name="_Toc210033798"/>
      <w:r w:rsidRPr="007259FD">
        <w:rPr>
          <w:rFonts w:asciiTheme="majorHAnsi" w:eastAsiaTheme="majorEastAsia" w:hAnsiTheme="majorHAnsi" w:cstheme="majorHAnsi"/>
          <w:color w:val="244061" w:themeColor="accent1" w:themeShade="80"/>
          <w:szCs w:val="22"/>
        </w:rPr>
        <w:t>Regionalni razvojni program Ljubljanske urbane regije 2021-2027 (RRP LUR)</w:t>
      </w:r>
      <w:bookmarkEnd w:id="148"/>
      <w:bookmarkEnd w:id="149"/>
      <w:bookmarkEnd w:id="150"/>
    </w:p>
    <w:p w14:paraId="408EC721"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Splošni okvir za določitev ciljev in usmeritev regionalne politike v Sloveniji ter pripravo RRP določata Strategija razvoja Slovenije 2030 (SRS 2030) in Strategija prostorskega razvoja Slovenije 2050 (SPRS 2050). </w:t>
      </w:r>
    </w:p>
    <w:p w14:paraId="407A0D3D"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 xml:space="preserve">Vsebinska izhodišča programiranja v okviru Evropske kohezijske politike so usmerjena na pet ciljev: </w:t>
      </w:r>
    </w:p>
    <w:p w14:paraId="255AA53E"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1.</w:t>
      </w:r>
      <w:r w:rsidRPr="004C498A">
        <w:rPr>
          <w:rFonts w:ascii="Arial" w:hAnsi="Arial" w:cs="Arial"/>
          <w:sz w:val="22"/>
          <w:szCs w:val="22"/>
        </w:rPr>
        <w:t xml:space="preserve"> Pametnejša Evropa s spodbujanjem inovativne in pametne gospodarske preobrazbe; </w:t>
      </w:r>
    </w:p>
    <w:p w14:paraId="21820B53"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2.</w:t>
      </w:r>
      <w:r w:rsidRPr="004C498A">
        <w:rPr>
          <w:rFonts w:ascii="Arial" w:hAnsi="Arial" w:cs="Arial"/>
          <w:sz w:val="22"/>
          <w:szCs w:val="22"/>
        </w:rPr>
        <w:t xml:space="preserve"> Bolj zelena, </w:t>
      </w:r>
      <w:proofErr w:type="spellStart"/>
      <w:r w:rsidRPr="004C498A">
        <w:rPr>
          <w:rFonts w:ascii="Arial" w:hAnsi="Arial" w:cs="Arial"/>
          <w:sz w:val="22"/>
          <w:szCs w:val="22"/>
        </w:rPr>
        <w:t>nizkoogljična</w:t>
      </w:r>
      <w:proofErr w:type="spellEnd"/>
      <w:r w:rsidRPr="004C498A">
        <w:rPr>
          <w:rFonts w:ascii="Arial" w:hAnsi="Arial" w:cs="Arial"/>
          <w:sz w:val="22"/>
          <w:szCs w:val="22"/>
        </w:rPr>
        <w:t xml:space="preserve"> Evropa s spodbujanjem prehoda na čisto in pravično energijo, zelene in modre naložbe, krožno gospodarstvo, prilagajanje podnebnim spremembam ter preprečevanje in upravljanje tveganj; </w:t>
      </w:r>
    </w:p>
    <w:p w14:paraId="14F933CA"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3.</w:t>
      </w:r>
      <w:r w:rsidRPr="004C498A">
        <w:rPr>
          <w:rFonts w:ascii="Arial" w:hAnsi="Arial" w:cs="Arial"/>
          <w:sz w:val="22"/>
          <w:szCs w:val="22"/>
        </w:rPr>
        <w:t xml:space="preserve"> Bolj povezana Evropa z izboljšanjem mobilnosti in regionalne povezljivosti IKT; </w:t>
      </w:r>
    </w:p>
    <w:p w14:paraId="37448E8C"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lastRenderedPageBreak/>
        <w:t>4.</w:t>
      </w:r>
      <w:r w:rsidRPr="004C498A">
        <w:rPr>
          <w:rFonts w:ascii="Arial" w:hAnsi="Arial" w:cs="Arial"/>
          <w:sz w:val="22"/>
          <w:szCs w:val="22"/>
        </w:rPr>
        <w:t xml:space="preserve"> Bolj socialna Evropa za izvajanje evropskega stebra socialnih pravic; </w:t>
      </w:r>
    </w:p>
    <w:p w14:paraId="5C1D533F"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b/>
          <w:sz w:val="22"/>
          <w:szCs w:val="22"/>
        </w:rPr>
        <w:t>5.</w:t>
      </w:r>
      <w:r w:rsidRPr="004C498A">
        <w:rPr>
          <w:rFonts w:ascii="Arial" w:hAnsi="Arial" w:cs="Arial"/>
          <w:sz w:val="22"/>
          <w:szCs w:val="22"/>
        </w:rPr>
        <w:t xml:space="preserve"> Evropa, ki je bliže državljanom, in sicer s spodbujanjem trajnostnega in celostnega razvoja mest, podeželja in obalnih območij ter lokalnih pobud.</w:t>
      </w:r>
    </w:p>
    <w:p w14:paraId="6C0F6F2D" w14:textId="77777777" w:rsidR="007259FD" w:rsidRPr="004C498A" w:rsidRDefault="007259FD" w:rsidP="007259FD">
      <w:pPr>
        <w:spacing w:after="120" w:line="276" w:lineRule="auto"/>
        <w:jc w:val="both"/>
        <w:rPr>
          <w:rFonts w:ascii="Arial" w:hAnsi="Arial" w:cs="Arial"/>
          <w:sz w:val="22"/>
          <w:szCs w:val="22"/>
        </w:rPr>
      </w:pPr>
      <w:r w:rsidRPr="004C498A">
        <w:rPr>
          <w:rFonts w:ascii="Arial" w:hAnsi="Arial" w:cs="Arial"/>
          <w:sz w:val="22"/>
          <w:szCs w:val="22"/>
        </w:rPr>
        <w:t>Kot prioriteto 3 RRP LUR navaja zeleno regijo trajnostnih rešitev, konkretno 6.3.1 Trajnostna mobilnost in 6.3.4 Razvoj in upravljanje zelene infrastrukture.</w:t>
      </w:r>
    </w:p>
    <w:p w14:paraId="272902A4" w14:textId="77777777" w:rsidR="007259FD" w:rsidRPr="00BC0DCF" w:rsidRDefault="007259FD" w:rsidP="007259FD">
      <w:pPr>
        <w:spacing w:after="120" w:line="276" w:lineRule="auto"/>
        <w:jc w:val="both"/>
        <w:rPr>
          <w:rFonts w:ascii="Arial" w:hAnsi="Arial" w:cs="Arial"/>
          <w:sz w:val="22"/>
          <w:szCs w:val="22"/>
        </w:rPr>
      </w:pPr>
      <w:r w:rsidRPr="004C498A">
        <w:rPr>
          <w:rFonts w:ascii="Arial" w:hAnsi="Arial" w:cs="Arial"/>
          <w:sz w:val="22"/>
          <w:szCs w:val="22"/>
        </w:rPr>
        <w:t>Projekt sledi dvema prioritetama RRP LUR.</w:t>
      </w:r>
    </w:p>
    <w:p w14:paraId="077F1D58"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51" w:name="_Toc209029141"/>
      <w:bookmarkStart w:id="152" w:name="_Toc209277133"/>
      <w:bookmarkStart w:id="153" w:name="_Toc210033799"/>
      <w:r w:rsidRPr="007259FD">
        <w:rPr>
          <w:rFonts w:asciiTheme="majorHAnsi" w:eastAsiaTheme="majorEastAsia" w:hAnsiTheme="majorHAnsi" w:cstheme="majorHAnsi"/>
          <w:color w:val="244061" w:themeColor="accent1" w:themeShade="80"/>
          <w:szCs w:val="22"/>
        </w:rPr>
        <w:t>Občinska celostna prometna strategija Ig</w:t>
      </w:r>
      <w:bookmarkEnd w:id="151"/>
      <w:bookmarkEnd w:id="152"/>
      <w:bookmarkEnd w:id="153"/>
    </w:p>
    <w:p w14:paraId="2809B320"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Občina Ig je izrazito bivalna, s prevladujočim deležem delovno aktivnega prebivalstva, pri čemer se velika večina zaposlenih vsakodnevno vozi na delo v druge občine, predvsem Ljubljano. To ustvarja visoke obremenitve cestnega prometa, saj je osebni avtomobil še vedno najpogostejši način premikanja. Stopnja motorizacije se je v zadnjem desetletju povečala, kar se odraža v prometnih zastojih in preobremenjenosti s parkiranjem v središču Iga, kjer so javne površine pogosto namenjene mirujočemu prometu.</w:t>
      </w:r>
    </w:p>
    <w:p w14:paraId="172991F1"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Javni potniški promet je premalo razvit in za uporabnike časovno nekonkurenčen. Delež prebivalcev, ki se vanj vključuje za vsakodnevne poti, je zelo nizek, kar velja tako za potovanja znotraj občine kot tudi za povezave s sosednjimi občinami. Najboljšo dostopnost ima območje središča Iga, kjer je glavno avtobusno postajališče, vendar peš dostop do njega zajema le ožjo okolico. Dostop s kolesom je širši, a nezadosten, saj občina še nima dovolj varno urejenih in povezanih kolesarskih poti, ki bi omogočale privlačne in varne povezave med naselji ter naprej do Ljubljane in drugih sosednjih občin.</w:t>
      </w:r>
    </w:p>
    <w:p w14:paraId="30D090AF"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 xml:space="preserve">Aktivne oblike mobilnosti, kot sta hoja in kolesarjenje, so premalo zastopane, čeprav ankete kažejo, da bi prebivalci bili pripravljeni večkrat potovati na trajnostne načine, če bi bile poti varnejše, krajše in bolj udobne. Številni pešci so primorani hoditi ob prometnih cestah brez zaščite, manjkajo varne šolske poti, dostop do postaj javnega prevoza pa je pogosto nevaren in neurejen. Hkrati pa so se v zadnjih letih že izvedli nekateri ukrepi za izboljšanje stanja, kot so brv </w:t>
      </w:r>
      <w:proofErr w:type="spellStart"/>
      <w:r w:rsidRPr="004C498A">
        <w:rPr>
          <w:rFonts w:ascii="Arial" w:hAnsi="Arial" w:cs="Arial"/>
          <w:sz w:val="22"/>
          <w:szCs w:val="22"/>
          <w:lang w:eastAsia="zh-TW"/>
        </w:rPr>
        <w:t>Rastuke</w:t>
      </w:r>
      <w:proofErr w:type="spellEnd"/>
      <w:r w:rsidRPr="004C498A">
        <w:rPr>
          <w:rFonts w:ascii="Arial" w:hAnsi="Arial" w:cs="Arial"/>
          <w:sz w:val="22"/>
          <w:szCs w:val="22"/>
          <w:lang w:eastAsia="zh-TW"/>
        </w:rPr>
        <w:t>–Čolnarska ulica, pešpoti do Ljubljanske ceste, novi pločniki ob glavnih poteh in ureditev Govekarjeve ceste. V pripravi je tudi projektna dokumentacija za celovito ureditev središča Iga, ki bo zasnovana po načelih trajnostne mobilnosti.</w:t>
      </w:r>
    </w:p>
    <w:p w14:paraId="4C4B6403"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Na področju prometne varnosti se stanje v zadnjem obdobju ni bistveno izboljšalo. V obdobju 2018–2022 je bilo v občini zabeleženih 164 prometnih nesreč, pri čemer ostaja delež nesreč z udeleženimi pešci in kolesarji zaskrbljujoč (okoli 18 % vseh nesreč letno). V večini primerov gre za lažje telesne poškodbe, a občani prometno varnost prepoznavajo kot eno ključnih vrednot, kar potrjujejo tudi rezultati anket in razprav.</w:t>
      </w:r>
    </w:p>
    <w:p w14:paraId="0348AA26"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Na podlagi teh izzivov OCPS predvideva niz ukrepov za izboljšanje stanja. V ospredju so ukrepi za izboljšanje pogojev za hojo, predvsem ureditev novih varnih pešpoti ob prometnicah in varnih šolskih poti, skupaj z ozelenitvijo javnih površin ter umirjanjem motornega prometa v središču Iga. Na področju kolesarjenja so predvidene povezane in varne kolesarske poti med naselji in do avtobusnih postaj, skupaj z razvojem sistema (e-)koles. Posebna pozornost bo namenjena tudi izboljšanju povezav javnega potniškega prometa, kjer je cilj povečati delež uporabnikov ter vzpostaviti povezovalne točke za enostavno kombiniranje različnih načinov mobilnosti. Ukrepi vključujejo tudi učinkovitejše upravljanje mirujočega prometa s parkirno politiko ter umikanje avtomobilskega prometa iz središč naselij.</w:t>
      </w:r>
    </w:p>
    <w:p w14:paraId="15B42C3B"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lastRenderedPageBreak/>
        <w:t>Za reševanje ugotovljenih prometnih izzivov OCPS Ig predvideva širok nabor ukrepov, ki se nanašajo na vse oblike mobilnosti in so razdeljeni v pet temeljnih stebrov.</w:t>
      </w:r>
    </w:p>
    <w:p w14:paraId="3C117E4C"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Na področju hoje je predvidena ureditev novih varnih pešpoti v naseljih in med njimi ter do avtobusnih postajališč. Poseben poudarek bo namenjen varnim šolskim potem, z razširjenimi pločniki, talnimi ureditvami in ukrepi za umirjanje prometa. Površine za pešce bodo ozelenjene, opremljene z drevoredi in urbano opremo, v središču Iga pa bo izvedena celovita prenova, ki vključuje razširjene pločnike ob Govekarjevi cesti, prestavitev parkirnih mest, ureditev trga med Občino in pošto s paviljoni in stojnicami ter postavitev javnih sanitarij. Predvideni so tudi rekreacijski koridorji za hojo in boljši peš dostop do naravnih in rekreativnih območij.</w:t>
      </w:r>
    </w:p>
    <w:p w14:paraId="0626F032"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Za kolesarjenje se načrtuje vzpostavitev varnih in povezanih kolesarskih poti, tako znotraj naselij kot tudi do sosednjih občin (Ljubljana, Škofljica, Brezovica, Podpeč). Predvidena je izgradnja kolesarskih povezav do avtobusnih postaj in P+R parkirišč ter vzpostavitev sistema javne izposoje koles in e-koles, skupaj s podporno infrastrukturo, kot so stojala in polnilnice. Poti bodo zasajene z drevesi za senco, hkrati pa se bodo razvijale tudi rekreativne kolesarske povezave, ki bodo omogočale dostop do naravnih in turističnih območij.</w:t>
      </w:r>
    </w:p>
    <w:p w14:paraId="1ED965B0"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 xml:space="preserve">Na področju javnega potniškega prometa strategija predvideva izboljšanje povezanosti med naselji v občini in z okoliškimi občinami ter nadgradnjo avtobusnih linij z večjo frekvenco in boljšo časovno usklajenostjo. Vzpostavile se bodo povezovalne točke, ki bodo omogočale enostavno kombiniranje različnih načinov mobilnosti – javnega prevoza, </w:t>
      </w:r>
      <w:proofErr w:type="spellStart"/>
      <w:r w:rsidRPr="004C498A">
        <w:rPr>
          <w:rFonts w:ascii="Arial" w:hAnsi="Arial" w:cs="Arial"/>
          <w:sz w:val="22"/>
          <w:szCs w:val="22"/>
          <w:lang w:eastAsia="zh-TW"/>
        </w:rPr>
        <w:t>sopotništva</w:t>
      </w:r>
      <w:proofErr w:type="spellEnd"/>
      <w:r w:rsidRPr="004C498A">
        <w:rPr>
          <w:rFonts w:ascii="Arial" w:hAnsi="Arial" w:cs="Arial"/>
          <w:sz w:val="22"/>
          <w:szCs w:val="22"/>
          <w:lang w:eastAsia="zh-TW"/>
        </w:rPr>
        <w:t>, kolesarjenja, izposoje koles in parkirišč P+R. Glavno avtobusno postajališče v središču Iga bo prenovljeno in opremljeno z nadstrešnicami, izboljšan pa bo tudi peš in kolesarski dostop do postajališč.</w:t>
      </w:r>
    </w:p>
    <w:p w14:paraId="151EDB45"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V zvezi z motornim prometom so predvideni ukrepi za njegovo umirjanje v središču Iga in v naseljih, z uvedbo enosmernih ureditev, območij umirjenega prometa in talnih ureditev. Strategija predvideva postopno umikanje motornega prometa iz središč naselij ter oblikovanje učinkovite parkirne politike, ki bo zmanjšala obremenjenost s parkiranjem v centru in spodbudila uporabo P+R parkirišč na robu naselij. Na ključnih prometnih točkah so načrtovane rekonstrukcije, med drugim ureditev krožišča pri obrtni coni in križišča v Tomišlju. Posebna pozornost bo namenjena tudi zagotavljanju varnosti in prevoznosti za kmetijsko mehanizacijo.</w:t>
      </w:r>
    </w:p>
    <w:p w14:paraId="5BCEA0BC"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Zadnji sklop ukrepov se nanaša na celostno prometno načrtovanje. Občina se zavezuje, da bo načela trajnostne mobilnosti vključila v svoje vsakodnevno odločanje, okrepila usposobljenost zaposlenih in zagotovila kontinuirano komunikacijo z javnostjo. Vzpostavljen bo sistem spremljanja učinkov strategije z enotnimi kazalniki, o katerih bo občina redno poročala ministrstvu do leta 2032. Strategija predvideva tudi nadaljnje vključevanje prebivalcev pri izvajanju ukrepov ter ozaveščanje o prednostih trajnostne mobilnosti.</w:t>
      </w:r>
    </w:p>
    <w:p w14:paraId="20F92EC1"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Na ta način OCPS Ig povezuje infrastrukturne ukrepe (pločniki, kolesarske poti, avtobusna postajališča, parkirišča) z mehkimi ukrepi (umirjanje prometa, parkirna politika, ozaveščanje), kar zagotavlja celovit prehod k bolj varni, dostopni in trajnostni mobilnosti.</w:t>
      </w:r>
    </w:p>
    <w:p w14:paraId="12836F84"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S celostnim pristopom občina tako odgovarja na ključne izzive: visoko odvisnost od osebnega avtomobila, prometno obremenjenost središča, nezadostno razvite trajnostne oblike mobilnosti in prometno varnost ranljivih skupin. Vključevanje prebivalcev v proces priprave strategije ter že izražena visoka podpora ukrepom pa zagotavljata trdno osnovo, da bodo predvideni ukrepi tudi dejansko zaživeli v praksi in dolgoročno izboljšali kakovost življenja v občini.</w:t>
      </w:r>
    </w:p>
    <w:p w14:paraId="5759E6C8" w14:textId="77777777" w:rsidR="007259FD" w:rsidRPr="004C498A" w:rsidRDefault="007259FD" w:rsidP="007259FD">
      <w:pPr>
        <w:spacing w:after="120" w:line="276" w:lineRule="auto"/>
        <w:jc w:val="both"/>
        <w:rPr>
          <w:rFonts w:ascii="Arial" w:hAnsi="Arial" w:cs="Arial"/>
          <w:sz w:val="22"/>
          <w:szCs w:val="22"/>
          <w:lang w:eastAsia="zh-TW"/>
        </w:rPr>
      </w:pPr>
      <w:r w:rsidRPr="004C498A">
        <w:rPr>
          <w:rFonts w:ascii="Arial" w:hAnsi="Arial" w:cs="Arial"/>
          <w:sz w:val="22"/>
          <w:szCs w:val="22"/>
          <w:lang w:eastAsia="zh-TW"/>
        </w:rPr>
        <w:t>Občina Ig ima v akcijskem načrtu OCPS med drugim zapisane naslednje ukrepe, ki se neposredno nanašajo na obravnavani projekt:</w:t>
      </w:r>
    </w:p>
    <w:p w14:paraId="2EF7599A"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Priprava projektne, investicijske in druge dokumentacije za celovito ureditev središča Iga.</w:t>
      </w:r>
    </w:p>
    <w:p w14:paraId="623545B4"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lastRenderedPageBreak/>
        <w:t>Transformacija parkirnih površin pred Občino v trg s površinami za pešce, paviljonom, stojnicami in sanitarijami.</w:t>
      </w:r>
    </w:p>
    <w:p w14:paraId="30C005A6"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 xml:space="preserve">Ureditev enosmernega krožnega prometa med OŠ in Občino (ob pošti) in zagotovitev površin za izboljšanje udobja in varnosti ranljivih udeležencev v prometu. </w:t>
      </w:r>
    </w:p>
    <w:p w14:paraId="51A5836D"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Ureditev Govekarjeve ceste ob OŠ s površinami za pešce in kolesarje, drevoredom in urbano opremo.</w:t>
      </w:r>
    </w:p>
    <w:p w14:paraId="55AFC96F"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Vzpostavitev regijske javne mreže sistema izposoje (e-)koles po celi občini, ki bo kompatibilen s sistemi v sosednjih občinah</w:t>
      </w:r>
    </w:p>
    <w:p w14:paraId="53CF832F"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 xml:space="preserve">Postavitev (varnih) kolesarnic in naslonov za priklapljanje koles (opcijsko s servisnimi stojali za popravilo koles in polnilnicami za e-kolesa): najmanj 5 lokacij v času trajanja strategije </w:t>
      </w:r>
    </w:p>
    <w:p w14:paraId="5AE89670" w14:textId="77777777" w:rsidR="007259FD" w:rsidRPr="004C498A" w:rsidRDefault="007259FD" w:rsidP="007259FD">
      <w:pPr>
        <w:spacing w:after="120" w:line="276" w:lineRule="auto"/>
        <w:ind w:left="284"/>
        <w:jc w:val="both"/>
        <w:rPr>
          <w:rFonts w:ascii="Arial" w:hAnsi="Arial" w:cs="Arial"/>
          <w:sz w:val="22"/>
          <w:szCs w:val="22"/>
          <w:lang w:eastAsia="zh-TW"/>
        </w:rPr>
      </w:pPr>
      <w:r w:rsidRPr="004C498A">
        <w:rPr>
          <w:rFonts w:ascii="Arial" w:hAnsi="Arial" w:cs="Arial"/>
          <w:sz w:val="22"/>
          <w:szCs w:val="22"/>
          <w:lang w:eastAsia="zh-TW"/>
        </w:rPr>
        <w:t xml:space="preserve">(npr. na območju obrtne cone, na parkirišču pri pokopališču, pri vstopu na kolišča, v središču Iga oz. ob avtobusnem postajališču in drugih </w:t>
      </w:r>
      <w:proofErr w:type="spellStart"/>
      <w:r w:rsidRPr="004C498A">
        <w:rPr>
          <w:rFonts w:ascii="Arial" w:hAnsi="Arial" w:cs="Arial"/>
          <w:sz w:val="22"/>
          <w:szCs w:val="22"/>
          <w:lang w:eastAsia="zh-TW"/>
        </w:rPr>
        <w:t>večmodalnih</w:t>
      </w:r>
      <w:proofErr w:type="spellEnd"/>
      <w:r w:rsidRPr="004C498A">
        <w:rPr>
          <w:rFonts w:ascii="Arial" w:hAnsi="Arial" w:cs="Arial"/>
          <w:sz w:val="22"/>
          <w:szCs w:val="22"/>
          <w:lang w:eastAsia="zh-TW"/>
        </w:rPr>
        <w:t xml:space="preserve"> točkah oz. avtobusnih postajališčih...).</w:t>
      </w:r>
    </w:p>
    <w:p w14:paraId="27E023E6" w14:textId="77777777" w:rsidR="007259FD" w:rsidRPr="004C498A"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Prenova avtobusne postaje v središču Iga z ureditvijo treh peronov pokritih z nadstrešnico, ureditvijo čakalnice in klopi za čakajoče.</w:t>
      </w:r>
    </w:p>
    <w:p w14:paraId="5CCE06E5" w14:textId="77777777" w:rsidR="007259FD" w:rsidRPr="00BC0DCF" w:rsidRDefault="007259FD" w:rsidP="007259FD">
      <w:pPr>
        <w:numPr>
          <w:ilvl w:val="0"/>
          <w:numId w:val="13"/>
        </w:numPr>
        <w:spacing w:after="120" w:line="276" w:lineRule="auto"/>
        <w:contextualSpacing/>
        <w:jc w:val="both"/>
        <w:rPr>
          <w:rFonts w:ascii="Arial" w:hAnsi="Arial" w:cs="Arial"/>
          <w:sz w:val="22"/>
          <w:szCs w:val="22"/>
          <w:lang w:eastAsia="zh-TW"/>
        </w:rPr>
      </w:pPr>
      <w:r w:rsidRPr="004C498A">
        <w:rPr>
          <w:rFonts w:ascii="Arial" w:hAnsi="Arial" w:cs="Arial"/>
          <w:sz w:val="22"/>
          <w:szCs w:val="22"/>
          <w:lang w:eastAsia="zh-TW"/>
        </w:rPr>
        <w:t>Umirjanje prometa s prikazovalniki in merilniki hitrosti, z zniževanjem dovoljene hitrosti vožnje ter drugimi ukrepi, izjemoma s hitrostnimi ovirami v okolici šol in vrtcev</w:t>
      </w:r>
    </w:p>
    <w:p w14:paraId="6EA66F5C" w14:textId="77777777" w:rsidR="007259FD" w:rsidRPr="007259FD" w:rsidRDefault="007259FD" w:rsidP="007259FD">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54" w:name="_Toc209029142"/>
      <w:bookmarkStart w:id="155" w:name="_Toc209277134"/>
      <w:bookmarkStart w:id="156" w:name="_Toc210033800"/>
      <w:r w:rsidRPr="007259FD">
        <w:rPr>
          <w:rFonts w:asciiTheme="majorHAnsi" w:eastAsiaTheme="majorEastAsia" w:hAnsiTheme="majorHAnsi" w:cstheme="majorHAnsi"/>
          <w:color w:val="244061" w:themeColor="accent1" w:themeShade="80"/>
          <w:szCs w:val="22"/>
        </w:rPr>
        <w:t>Spisek strokovnih podlag</w:t>
      </w:r>
      <w:bookmarkEnd w:id="154"/>
      <w:bookmarkEnd w:id="155"/>
      <w:bookmarkEnd w:id="156"/>
    </w:p>
    <w:p w14:paraId="7C78F8C6" w14:textId="77777777" w:rsidR="007259FD" w:rsidRPr="004C498A" w:rsidRDefault="007259FD" w:rsidP="007259FD">
      <w:pPr>
        <w:spacing w:line="276" w:lineRule="auto"/>
        <w:jc w:val="both"/>
        <w:rPr>
          <w:rFonts w:ascii="Arial" w:hAnsi="Arial" w:cs="Arial"/>
          <w:sz w:val="22"/>
          <w:szCs w:val="22"/>
          <w:lang w:eastAsia="zh-TW"/>
        </w:rPr>
      </w:pPr>
      <w:r w:rsidRPr="004C498A">
        <w:rPr>
          <w:rFonts w:ascii="Arial" w:hAnsi="Arial" w:cs="Arial"/>
          <w:sz w:val="22"/>
          <w:szCs w:val="22"/>
          <w:lang w:eastAsia="zh-TW"/>
        </w:rPr>
        <w:t>Strokovne podlage za izdelavo investicijskega programa so:</w:t>
      </w:r>
    </w:p>
    <w:p w14:paraId="47ECAC62" w14:textId="77777777" w:rsidR="007259FD" w:rsidRPr="004C498A" w:rsidRDefault="007259FD" w:rsidP="007259FD">
      <w:pPr>
        <w:numPr>
          <w:ilvl w:val="0"/>
          <w:numId w:val="131"/>
        </w:numPr>
        <w:spacing w:line="276" w:lineRule="auto"/>
        <w:contextualSpacing/>
        <w:jc w:val="both"/>
        <w:rPr>
          <w:rFonts w:ascii="Arial" w:hAnsi="Arial" w:cs="Arial"/>
          <w:sz w:val="22"/>
          <w:szCs w:val="22"/>
          <w:lang w:eastAsia="zh-TW"/>
        </w:rPr>
      </w:pPr>
      <w:r w:rsidRPr="004C498A">
        <w:rPr>
          <w:rFonts w:ascii="Arial" w:hAnsi="Arial" w:cs="Arial"/>
          <w:sz w:val="22"/>
          <w:szCs w:val="22"/>
          <w:lang w:eastAsia="zh-TW"/>
        </w:rPr>
        <w:t>Uredba o enotni metodologiji za pripravo in obravnavo investicijske dokumentacije na področju javnih financ (Uradni list RS, št. 60/06, 54/10 in 27/16)</w:t>
      </w:r>
    </w:p>
    <w:p w14:paraId="5D9DFE19" w14:textId="77777777" w:rsidR="007259FD" w:rsidRPr="004C498A" w:rsidRDefault="007259FD" w:rsidP="007259FD">
      <w:pPr>
        <w:numPr>
          <w:ilvl w:val="0"/>
          <w:numId w:val="131"/>
        </w:numPr>
        <w:spacing w:line="276" w:lineRule="auto"/>
        <w:contextualSpacing/>
        <w:jc w:val="both"/>
        <w:rPr>
          <w:rFonts w:ascii="Arial" w:hAnsi="Arial" w:cs="Arial"/>
          <w:sz w:val="22"/>
          <w:szCs w:val="22"/>
          <w:lang w:eastAsia="zh-TW"/>
        </w:rPr>
      </w:pPr>
      <w:r w:rsidRPr="004C498A">
        <w:rPr>
          <w:rFonts w:ascii="Arial" w:hAnsi="Arial" w:cs="Arial"/>
          <w:sz w:val="22"/>
          <w:szCs w:val="22"/>
          <w:lang w:eastAsia="zh-TW"/>
        </w:rPr>
        <w:t xml:space="preserve">Zakon o financiranju občin (Uradni list RS, št. 123/06, 57/08, 36/11, 14/15 – ZUUJFO, 71/17 in 21/18 – </w:t>
      </w:r>
      <w:proofErr w:type="spellStart"/>
      <w:r w:rsidRPr="004C498A">
        <w:rPr>
          <w:rFonts w:ascii="Arial" w:hAnsi="Arial" w:cs="Arial"/>
          <w:sz w:val="22"/>
          <w:szCs w:val="22"/>
          <w:lang w:eastAsia="zh-TW"/>
        </w:rPr>
        <w:t>popr</w:t>
      </w:r>
      <w:proofErr w:type="spellEnd"/>
      <w:r w:rsidRPr="004C498A">
        <w:rPr>
          <w:rFonts w:ascii="Arial" w:hAnsi="Arial" w:cs="Arial"/>
          <w:sz w:val="22"/>
          <w:szCs w:val="22"/>
          <w:lang w:eastAsia="zh-TW"/>
        </w:rPr>
        <w:t>., 80/20 – ZIUOOPE, 189/20 – ZFRO, 207/21 in 44/22 – ZVO-2)</w:t>
      </w:r>
    </w:p>
    <w:p w14:paraId="1129DE66" w14:textId="0C0AE35F" w:rsidR="007259FD" w:rsidRPr="00BC0DCF" w:rsidRDefault="007259FD" w:rsidP="007259FD">
      <w:pPr>
        <w:numPr>
          <w:ilvl w:val="0"/>
          <w:numId w:val="131"/>
        </w:numPr>
        <w:spacing w:line="276" w:lineRule="auto"/>
        <w:ind w:left="714"/>
        <w:jc w:val="both"/>
        <w:rPr>
          <w:rFonts w:ascii="Arial" w:eastAsia="Arial" w:hAnsi="Arial" w:cs="Arial"/>
          <w:sz w:val="22"/>
          <w:szCs w:val="22"/>
        </w:rPr>
      </w:pPr>
      <w:r w:rsidRPr="00BC0DCF">
        <w:rPr>
          <w:rFonts w:ascii="Arial" w:eastAsia="Arial" w:hAnsi="Arial" w:cs="Arial"/>
          <w:sz w:val="22"/>
          <w:szCs w:val="22"/>
        </w:rPr>
        <w:t>Zakon o javnem naročanju (ZJN-3), Uradni list RS, št. </w:t>
      </w:r>
      <w:hyperlink r:id="rId68" w:tgtFrame="_blank" w:tooltip="Zakon o javnem naročanju (ZJN-3)" w:history="1">
        <w:r w:rsidRPr="00BC0DCF">
          <w:rPr>
            <w:rFonts w:ascii="Arial" w:eastAsia="Arial" w:hAnsi="Arial" w:cs="Arial"/>
            <w:sz w:val="22"/>
            <w:szCs w:val="22"/>
          </w:rPr>
          <w:t>91/15</w:t>
        </w:r>
      </w:hyperlink>
      <w:r w:rsidRPr="00BC0DCF">
        <w:rPr>
          <w:rFonts w:ascii="Arial" w:eastAsia="Arial" w:hAnsi="Arial" w:cs="Arial"/>
          <w:sz w:val="22"/>
          <w:szCs w:val="22"/>
        </w:rPr>
        <w:t>, </w:t>
      </w:r>
      <w:hyperlink r:id="rId69" w:tgtFrame="_blank" w:tooltip="Zakon o spremembah in dopolnitvah Zakona o javnem naročanju (ZJN-3A)" w:history="1">
        <w:r w:rsidRPr="00BC0DCF">
          <w:rPr>
            <w:rFonts w:ascii="Arial" w:eastAsia="Arial" w:hAnsi="Arial" w:cs="Arial"/>
            <w:sz w:val="22"/>
            <w:szCs w:val="22"/>
          </w:rPr>
          <w:t>14/18</w:t>
        </w:r>
      </w:hyperlink>
      <w:r w:rsidRPr="00BC0DCF">
        <w:rPr>
          <w:rFonts w:ascii="Arial" w:eastAsia="Arial" w:hAnsi="Arial" w:cs="Arial"/>
          <w:sz w:val="22"/>
          <w:szCs w:val="22"/>
        </w:rPr>
        <w:t>, </w:t>
      </w:r>
      <w:hyperlink r:id="rId70" w:tgtFrame="_blank" w:tooltip="Zakon o spremembah in dopolnitvah Zakona o javnem naročanju (ZJN-3B)" w:history="1">
        <w:r w:rsidRPr="00BC0DCF">
          <w:rPr>
            <w:rFonts w:ascii="Arial" w:eastAsia="Arial" w:hAnsi="Arial" w:cs="Arial"/>
            <w:sz w:val="22"/>
            <w:szCs w:val="22"/>
          </w:rPr>
          <w:t>121/21</w:t>
        </w:r>
      </w:hyperlink>
      <w:r w:rsidRPr="00BC0DCF">
        <w:rPr>
          <w:rFonts w:ascii="Arial" w:eastAsia="Arial" w:hAnsi="Arial" w:cs="Arial"/>
          <w:sz w:val="22"/>
          <w:szCs w:val="22"/>
        </w:rPr>
        <w:t>, </w:t>
      </w:r>
      <w:hyperlink r:id="rId71" w:tgtFrame="_blank" w:tooltip="Zakon o spremembah in dopolnitvah Zakona o javnem naročanju (ZJN-3C)" w:history="1">
        <w:r w:rsidRPr="00BC0DCF">
          <w:rPr>
            <w:rFonts w:ascii="Arial" w:eastAsia="Arial" w:hAnsi="Arial" w:cs="Arial"/>
            <w:sz w:val="22"/>
            <w:szCs w:val="22"/>
          </w:rPr>
          <w:t>10/22</w:t>
        </w:r>
      </w:hyperlink>
      <w:r w:rsidRPr="00BC0DCF">
        <w:rPr>
          <w:rFonts w:ascii="Arial" w:eastAsia="Arial" w:hAnsi="Arial" w:cs="Arial"/>
          <w:sz w:val="22"/>
          <w:szCs w:val="22"/>
        </w:rPr>
        <w:t>, </w:t>
      </w:r>
      <w:hyperlink r:id="rId72" w:tgtFrame="_blank" w:tooltip="Odločba o ugotovitvi, da je točka b) četrtega odstavka 75. člena in točka c) drugega odstavka v zvezi s petim odstavkom 67.a člena Zakona o javnem naročanju v neskladju z Ustavo" w:history="1">
        <w:r w:rsidRPr="00BC0DCF">
          <w:rPr>
            <w:rFonts w:ascii="Arial" w:eastAsia="Arial" w:hAnsi="Arial" w:cs="Arial"/>
            <w:sz w:val="22"/>
            <w:szCs w:val="22"/>
          </w:rPr>
          <w:t>74/22</w:t>
        </w:r>
      </w:hyperlink>
      <w:r w:rsidRPr="00BC0DCF">
        <w:rPr>
          <w:rFonts w:ascii="Arial" w:eastAsia="Arial" w:hAnsi="Arial" w:cs="Arial"/>
          <w:sz w:val="22"/>
          <w:szCs w:val="22"/>
        </w:rPr>
        <w:t xml:space="preserve"> – </w:t>
      </w:r>
      <w:proofErr w:type="spellStart"/>
      <w:r w:rsidRPr="00BC0DCF">
        <w:rPr>
          <w:rFonts w:ascii="Arial" w:eastAsia="Arial" w:hAnsi="Arial" w:cs="Arial"/>
          <w:sz w:val="22"/>
          <w:szCs w:val="22"/>
        </w:rPr>
        <w:t>odl</w:t>
      </w:r>
      <w:proofErr w:type="spellEnd"/>
      <w:r w:rsidRPr="00BC0DCF">
        <w:rPr>
          <w:rFonts w:ascii="Arial" w:eastAsia="Arial" w:hAnsi="Arial" w:cs="Arial"/>
          <w:sz w:val="22"/>
          <w:szCs w:val="22"/>
        </w:rPr>
        <w:t>. US, </w:t>
      </w:r>
      <w:hyperlink r:id="rId73" w:tgtFrame="_blank" w:tooltip="Zakon o nujnih ukrepih za zagotovitev stabilnosti zdravstvenega sistema (ZNUZSZS)" w:history="1">
        <w:r w:rsidRPr="00BC0DCF">
          <w:rPr>
            <w:rFonts w:ascii="Arial" w:eastAsia="Arial" w:hAnsi="Arial" w:cs="Arial"/>
            <w:sz w:val="22"/>
            <w:szCs w:val="22"/>
          </w:rPr>
          <w:t>100/22</w:t>
        </w:r>
      </w:hyperlink>
      <w:r w:rsidRPr="00BC0DCF">
        <w:rPr>
          <w:rFonts w:ascii="Arial" w:eastAsia="Arial" w:hAnsi="Arial" w:cs="Arial"/>
          <w:sz w:val="22"/>
          <w:szCs w:val="22"/>
        </w:rPr>
        <w:t> – ZNUZSZS, </w:t>
      </w:r>
      <w:hyperlink r:id="rId74" w:tgtFrame="_blank" w:tooltip="Zakon o spremembah in dopolnitvah Zakona o javnem naročanju (ZJN-3D)" w:history="1">
        <w:r w:rsidRPr="00BC0DCF">
          <w:rPr>
            <w:rFonts w:ascii="Arial" w:eastAsia="Arial" w:hAnsi="Arial" w:cs="Arial"/>
            <w:sz w:val="22"/>
            <w:szCs w:val="22"/>
          </w:rPr>
          <w:t>28/23</w:t>
        </w:r>
      </w:hyperlink>
      <w:r w:rsidRPr="00BC0DCF">
        <w:rPr>
          <w:rFonts w:ascii="Arial" w:eastAsia="Arial" w:hAnsi="Arial" w:cs="Arial"/>
          <w:sz w:val="22"/>
          <w:szCs w:val="22"/>
        </w:rPr>
        <w:t> in </w:t>
      </w:r>
      <w:hyperlink r:id="rId75" w:tgtFrame="_blank" w:tooltip="Zakon o spremembah in dopolnitvah Zakona o odpravi posledic naravnih nesreč (ZOPNN-F)" w:history="1">
        <w:r w:rsidRPr="00BC0DCF">
          <w:rPr>
            <w:rFonts w:ascii="Arial" w:eastAsia="Arial" w:hAnsi="Arial" w:cs="Arial"/>
            <w:sz w:val="22"/>
            <w:szCs w:val="22"/>
          </w:rPr>
          <w:t>88/23</w:t>
        </w:r>
      </w:hyperlink>
      <w:r w:rsidRPr="00BC0DCF">
        <w:rPr>
          <w:rFonts w:ascii="Arial" w:eastAsia="Arial" w:hAnsi="Arial" w:cs="Arial"/>
          <w:sz w:val="22"/>
          <w:szCs w:val="22"/>
        </w:rPr>
        <w:t> – ZOPNN-F.</w:t>
      </w:r>
    </w:p>
    <w:p w14:paraId="0E7EC275" w14:textId="77777777" w:rsidR="009C0E4C" w:rsidRPr="00F11127" w:rsidRDefault="009C0E4C" w:rsidP="00BD1D20">
      <w:pPr>
        <w:spacing w:after="120" w:line="276" w:lineRule="auto"/>
        <w:jc w:val="both"/>
        <w:rPr>
          <w:rFonts w:asciiTheme="majorHAnsi" w:hAnsiTheme="majorHAnsi" w:cstheme="majorHAnsi"/>
          <w:sz w:val="22"/>
          <w:szCs w:val="22"/>
          <w:lang w:eastAsia="zh-TW"/>
        </w:rPr>
      </w:pPr>
      <w:r w:rsidRPr="00F11127">
        <w:rPr>
          <w:rFonts w:asciiTheme="majorHAnsi" w:hAnsiTheme="majorHAnsi" w:cstheme="majorHAnsi"/>
        </w:rPr>
        <w:br w:type="page"/>
      </w:r>
    </w:p>
    <w:p w14:paraId="2FF6B42F" w14:textId="77777777" w:rsidR="006B2762" w:rsidRPr="00F11127" w:rsidRDefault="006B2762" w:rsidP="00BD1D20">
      <w:pPr>
        <w:pStyle w:val="Naslov1"/>
        <w:numPr>
          <w:ilvl w:val="0"/>
          <w:numId w:val="3"/>
        </w:numPr>
        <w:rPr>
          <w:rFonts w:cstheme="majorHAnsi"/>
        </w:rPr>
      </w:pPr>
      <w:bookmarkStart w:id="157" w:name="_Toc210033801"/>
      <w:r w:rsidRPr="00F11127">
        <w:rPr>
          <w:rFonts w:cstheme="majorHAnsi"/>
        </w:rPr>
        <w:lastRenderedPageBreak/>
        <w:t xml:space="preserve">ANALIZA </w:t>
      </w:r>
      <w:r w:rsidR="00000766" w:rsidRPr="00F11127">
        <w:rPr>
          <w:rFonts w:cstheme="majorHAnsi"/>
        </w:rPr>
        <w:t>TRŽNIH MOŽNOSTI</w:t>
      </w:r>
      <w:bookmarkEnd w:id="157"/>
      <w:r w:rsidRPr="00F11127">
        <w:rPr>
          <w:rFonts w:cstheme="majorHAnsi"/>
        </w:rPr>
        <w:t xml:space="preserve"> </w:t>
      </w:r>
    </w:p>
    <w:p w14:paraId="266B32F6" w14:textId="77777777" w:rsidR="00E430F8" w:rsidRPr="00F11127" w:rsidRDefault="00E430F8" w:rsidP="00BD1D20">
      <w:pPr>
        <w:spacing w:line="276" w:lineRule="auto"/>
        <w:jc w:val="both"/>
        <w:rPr>
          <w:rFonts w:asciiTheme="majorHAnsi" w:hAnsiTheme="majorHAnsi" w:cstheme="majorHAnsi"/>
          <w:sz w:val="22"/>
          <w:szCs w:val="22"/>
        </w:rPr>
      </w:pPr>
    </w:p>
    <w:p w14:paraId="0D6F1940" w14:textId="77777777" w:rsidR="0092545F" w:rsidRPr="0092545F" w:rsidRDefault="0092545F" w:rsidP="0092545F">
      <w:pPr>
        <w:spacing w:after="200" w:line="276" w:lineRule="auto"/>
        <w:jc w:val="both"/>
        <w:rPr>
          <w:rFonts w:ascii="Arial" w:hAnsi="Arial" w:cs="Arial"/>
          <w:sz w:val="22"/>
          <w:szCs w:val="22"/>
        </w:rPr>
      </w:pPr>
      <w:r w:rsidRPr="0092545F">
        <w:rPr>
          <w:rFonts w:ascii="Arial" w:hAnsi="Arial" w:cs="Arial"/>
          <w:sz w:val="22"/>
          <w:szCs w:val="22"/>
        </w:rPr>
        <w:t xml:space="preserve">Analiza tržnih možnosti je proces zbiranja, zapisovanja, razvrščanja in analiziranja podatkov o kupcih, konkurentih in drugih dejavnikih, ki oblikujejo odnose med ponudniki proizvodov in storitev ter njihovimi kupci. Ocena oziroma analiza tržnih možnosti investicijskega projekta je raziskava, ki podpira različne strateške poslovne odločitve investitorja, s poudarkom na odločitvah s področja trženja. Na tržne možnosti investicijskega projekta navadno v največji meri vplivajo dejavniki, kot so: velikost trga, moč konkurence ter potencialna rast trga. </w:t>
      </w:r>
    </w:p>
    <w:p w14:paraId="3504A18B" w14:textId="77777777" w:rsidR="0092545F" w:rsidRDefault="0092545F" w:rsidP="0092545F">
      <w:pPr>
        <w:spacing w:after="200" w:line="276" w:lineRule="auto"/>
        <w:jc w:val="both"/>
        <w:rPr>
          <w:rFonts w:ascii="Arial" w:hAnsi="Arial" w:cs="Arial"/>
          <w:sz w:val="22"/>
          <w:szCs w:val="22"/>
        </w:rPr>
      </w:pPr>
      <w:r w:rsidRPr="0092545F">
        <w:rPr>
          <w:rFonts w:ascii="Arial" w:hAnsi="Arial" w:cs="Arial"/>
          <w:sz w:val="22"/>
          <w:szCs w:val="22"/>
        </w:rPr>
        <w:t>Izvedba investicije ne pomeni razvoja tržne dejavnosti v podjetniškem smislu, saj občina ni tržna institucija. Projekt pa kljub temu omogoča ustvarjanje določenih prihodkov v okviru izvajanja javnih storitev, s katerimi se lahko dolgoročno delno pokrivajo obratovalni stroški nove infrastrukture.</w:t>
      </w:r>
    </w:p>
    <w:p w14:paraId="39FB5208" w14:textId="77777777" w:rsidR="00711DE5" w:rsidRPr="003A7B0D" w:rsidRDefault="00711DE5" w:rsidP="00711DE5">
      <w:pPr>
        <w:spacing w:after="200" w:line="276" w:lineRule="auto"/>
        <w:jc w:val="both"/>
        <w:rPr>
          <w:rFonts w:ascii="Arial" w:hAnsi="Arial" w:cs="Arial"/>
          <w:sz w:val="22"/>
          <w:szCs w:val="22"/>
        </w:rPr>
      </w:pPr>
      <w:r w:rsidRPr="003A7B0D">
        <w:rPr>
          <w:rFonts w:ascii="Arial" w:hAnsi="Arial" w:cs="Arial"/>
          <w:sz w:val="22"/>
          <w:szCs w:val="22"/>
        </w:rPr>
        <w:t>Z izvedbo projekta se vzpostavljata dva vira prihodkov v okviru javnih storitev:</w:t>
      </w:r>
    </w:p>
    <w:p w14:paraId="7986C283" w14:textId="77777777" w:rsidR="00711DE5" w:rsidRPr="00BC0DCF" w:rsidRDefault="00711DE5" w:rsidP="00711DE5">
      <w:pPr>
        <w:numPr>
          <w:ilvl w:val="0"/>
          <w:numId w:val="137"/>
        </w:numPr>
        <w:spacing w:after="200" w:line="276" w:lineRule="auto"/>
        <w:jc w:val="both"/>
        <w:rPr>
          <w:rFonts w:ascii="Arial" w:hAnsi="Arial" w:cs="Arial"/>
          <w:sz w:val="22"/>
          <w:szCs w:val="22"/>
        </w:rPr>
      </w:pPr>
      <w:r w:rsidRPr="003A7B0D">
        <w:rPr>
          <w:rFonts w:ascii="Arial" w:hAnsi="Arial" w:cs="Arial"/>
          <w:b/>
          <w:bCs/>
          <w:sz w:val="22"/>
          <w:szCs w:val="22"/>
        </w:rPr>
        <w:t>Prihodki od parkirišč</w:t>
      </w:r>
    </w:p>
    <w:p w14:paraId="41E111FA" w14:textId="77777777" w:rsidR="00711DE5" w:rsidRPr="003A7B0D" w:rsidRDefault="00711DE5" w:rsidP="00711DE5">
      <w:pPr>
        <w:spacing w:after="200" w:line="276" w:lineRule="auto"/>
        <w:ind w:left="720"/>
        <w:jc w:val="both"/>
        <w:rPr>
          <w:rFonts w:ascii="Arial" w:hAnsi="Arial" w:cs="Arial"/>
          <w:sz w:val="22"/>
          <w:szCs w:val="22"/>
        </w:rPr>
      </w:pPr>
      <w:r w:rsidRPr="003A7B0D">
        <w:rPr>
          <w:rFonts w:ascii="Arial" w:hAnsi="Arial" w:cs="Arial"/>
          <w:sz w:val="22"/>
          <w:szCs w:val="22"/>
        </w:rPr>
        <w:t>V središču Iga bo urejenih 56 parkirnih mest</w:t>
      </w:r>
      <w:r>
        <w:rPr>
          <w:rFonts w:ascii="Arial" w:hAnsi="Arial" w:cs="Arial"/>
          <w:sz w:val="22"/>
          <w:szCs w:val="22"/>
        </w:rPr>
        <w:t xml:space="preserve"> (izgradnja parkirišča predstavlja neupravičen strošek)</w:t>
      </w:r>
      <w:r w:rsidRPr="003A7B0D">
        <w:rPr>
          <w:rFonts w:ascii="Arial" w:hAnsi="Arial" w:cs="Arial"/>
          <w:sz w:val="22"/>
          <w:szCs w:val="22"/>
        </w:rPr>
        <w:t xml:space="preserve">. Ob predpostavljeni 80-odstotni zasedenosti v času od 8.00 do 18.00, ter ob upoštevanju, da približno 40 % uporabnikov parkira kratkotrajno (do dve uri brezplačno), medtem ko ostali po dveh urah parkiranja plačujejo parkirnino v višini 0,50 </w:t>
      </w:r>
      <w:r w:rsidRPr="00BC0DCF">
        <w:rPr>
          <w:rFonts w:ascii="Arial" w:hAnsi="Arial" w:cs="Arial"/>
          <w:sz w:val="22"/>
          <w:szCs w:val="22"/>
        </w:rPr>
        <w:t>EUR</w:t>
      </w:r>
      <w:r w:rsidRPr="003A7B0D">
        <w:rPr>
          <w:rFonts w:ascii="Arial" w:hAnsi="Arial" w:cs="Arial"/>
          <w:sz w:val="22"/>
          <w:szCs w:val="22"/>
        </w:rPr>
        <w:t xml:space="preserve">/uro, se ocenjujejo prihodki v višini približno 17.160 </w:t>
      </w:r>
      <w:r w:rsidRPr="00BC0DCF">
        <w:rPr>
          <w:rFonts w:ascii="Arial" w:hAnsi="Arial" w:cs="Arial"/>
          <w:sz w:val="22"/>
          <w:szCs w:val="22"/>
        </w:rPr>
        <w:t>EUR</w:t>
      </w:r>
      <w:r w:rsidRPr="003A7B0D">
        <w:rPr>
          <w:rFonts w:ascii="Arial" w:hAnsi="Arial" w:cs="Arial"/>
          <w:sz w:val="22"/>
          <w:szCs w:val="22"/>
        </w:rPr>
        <w:t xml:space="preserve"> letno (upoštevano 260 delovnih dni na leto).</w:t>
      </w:r>
    </w:p>
    <w:p w14:paraId="727B7D5B" w14:textId="77777777" w:rsidR="00711DE5" w:rsidRPr="00BC0DCF" w:rsidRDefault="00711DE5" w:rsidP="00711DE5">
      <w:pPr>
        <w:numPr>
          <w:ilvl w:val="0"/>
          <w:numId w:val="137"/>
        </w:numPr>
        <w:spacing w:after="200" w:line="276" w:lineRule="auto"/>
        <w:jc w:val="both"/>
        <w:rPr>
          <w:rFonts w:ascii="Arial" w:hAnsi="Arial" w:cs="Arial"/>
          <w:sz w:val="22"/>
          <w:szCs w:val="22"/>
        </w:rPr>
      </w:pPr>
      <w:r w:rsidRPr="003A7B0D">
        <w:rPr>
          <w:rFonts w:ascii="Arial" w:hAnsi="Arial" w:cs="Arial"/>
          <w:b/>
          <w:bCs/>
          <w:sz w:val="22"/>
          <w:szCs w:val="22"/>
        </w:rPr>
        <w:t>Prihodki iz sistema javne izposoje e-koles</w:t>
      </w:r>
    </w:p>
    <w:p w14:paraId="06850E96" w14:textId="5DBDF08A" w:rsidR="00711DE5" w:rsidRPr="003A7B0D" w:rsidRDefault="00711DE5" w:rsidP="00711DE5">
      <w:pPr>
        <w:spacing w:after="200" w:line="276" w:lineRule="auto"/>
        <w:ind w:left="720"/>
        <w:jc w:val="both"/>
        <w:rPr>
          <w:rFonts w:ascii="Arial" w:hAnsi="Arial" w:cs="Arial"/>
          <w:sz w:val="22"/>
          <w:szCs w:val="22"/>
        </w:rPr>
      </w:pPr>
      <w:r w:rsidRPr="003A7B0D">
        <w:rPr>
          <w:rFonts w:ascii="Arial" w:hAnsi="Arial" w:cs="Arial"/>
          <w:sz w:val="22"/>
          <w:szCs w:val="22"/>
        </w:rPr>
        <w:t xml:space="preserve">Za občino Ig, ki šteje </w:t>
      </w:r>
      <w:r w:rsidR="0032375A">
        <w:rPr>
          <w:rFonts w:ascii="Arial" w:hAnsi="Arial" w:cs="Arial"/>
          <w:sz w:val="22"/>
          <w:szCs w:val="22"/>
        </w:rPr>
        <w:t>7.926</w:t>
      </w:r>
      <w:r w:rsidRPr="003A7B0D">
        <w:rPr>
          <w:rFonts w:ascii="Arial" w:hAnsi="Arial" w:cs="Arial"/>
          <w:sz w:val="22"/>
          <w:szCs w:val="22"/>
        </w:rPr>
        <w:t xml:space="preserve"> prebivalcev, se ocenjuje, da se bo v sistem registriralo približno 5 % prebivalcev (okoli 390 uporabnikov). Ob letni uporabnini v višini 20 </w:t>
      </w:r>
      <w:r w:rsidRPr="00BC0DCF">
        <w:rPr>
          <w:rFonts w:ascii="Arial" w:hAnsi="Arial" w:cs="Arial"/>
          <w:sz w:val="22"/>
          <w:szCs w:val="22"/>
        </w:rPr>
        <w:t>EUR</w:t>
      </w:r>
      <w:r w:rsidRPr="003A7B0D">
        <w:rPr>
          <w:rFonts w:ascii="Arial" w:hAnsi="Arial" w:cs="Arial"/>
          <w:sz w:val="22"/>
          <w:szCs w:val="22"/>
        </w:rPr>
        <w:t xml:space="preserve"> znašajo skupni pričakovani prihodki sistema e-koles približno 7.800 </w:t>
      </w:r>
      <w:r w:rsidRPr="00BC0DCF">
        <w:rPr>
          <w:rFonts w:ascii="Arial" w:hAnsi="Arial" w:cs="Arial"/>
          <w:sz w:val="22"/>
          <w:szCs w:val="22"/>
        </w:rPr>
        <w:t>EUR</w:t>
      </w:r>
      <w:r w:rsidRPr="003A7B0D">
        <w:rPr>
          <w:rFonts w:ascii="Arial" w:hAnsi="Arial" w:cs="Arial"/>
          <w:sz w:val="22"/>
          <w:szCs w:val="22"/>
        </w:rPr>
        <w:t xml:space="preserve"> letno.</w:t>
      </w:r>
    </w:p>
    <w:p w14:paraId="398D5427" w14:textId="77777777" w:rsidR="00711DE5" w:rsidRPr="003A7B0D" w:rsidRDefault="00711DE5" w:rsidP="00711DE5">
      <w:pPr>
        <w:spacing w:after="200" w:line="276" w:lineRule="auto"/>
        <w:jc w:val="both"/>
        <w:rPr>
          <w:rFonts w:ascii="Arial" w:hAnsi="Arial" w:cs="Arial"/>
          <w:sz w:val="22"/>
          <w:szCs w:val="22"/>
        </w:rPr>
      </w:pPr>
      <w:r w:rsidRPr="003A7B0D">
        <w:rPr>
          <w:rFonts w:ascii="Arial" w:hAnsi="Arial" w:cs="Arial"/>
          <w:sz w:val="22"/>
          <w:szCs w:val="22"/>
        </w:rPr>
        <w:t xml:space="preserve">Skupni letni prihodki iz obeh virov se tako ocenjujejo na okoli 24.960 </w:t>
      </w:r>
      <w:r w:rsidRPr="00BC0DCF">
        <w:rPr>
          <w:rFonts w:ascii="Arial" w:hAnsi="Arial" w:cs="Arial"/>
          <w:sz w:val="22"/>
          <w:szCs w:val="22"/>
        </w:rPr>
        <w:t>EUR</w:t>
      </w:r>
      <w:r w:rsidRPr="003A7B0D">
        <w:rPr>
          <w:rFonts w:ascii="Arial" w:hAnsi="Arial" w:cs="Arial"/>
          <w:sz w:val="22"/>
          <w:szCs w:val="22"/>
        </w:rPr>
        <w:t>, kar predstavlja prispevek k pokrivanju obratovalnih stroškov nove infrastrukture.</w:t>
      </w:r>
    </w:p>
    <w:p w14:paraId="4BBAC400" w14:textId="77777777" w:rsidR="00F72643" w:rsidRDefault="00F72643" w:rsidP="00BD1D20">
      <w:pPr>
        <w:spacing w:after="200" w:line="276" w:lineRule="auto"/>
        <w:rPr>
          <w:rFonts w:asciiTheme="majorHAnsi" w:eastAsiaTheme="majorEastAsia" w:hAnsiTheme="majorHAnsi" w:cstheme="majorHAnsi"/>
          <w:b/>
          <w:bCs/>
          <w:color w:val="365F91" w:themeColor="accent1" w:themeShade="BF"/>
          <w:sz w:val="28"/>
          <w:szCs w:val="28"/>
        </w:rPr>
      </w:pPr>
      <w:r>
        <w:rPr>
          <w:rFonts w:cstheme="majorHAnsi"/>
        </w:rPr>
        <w:br w:type="page"/>
      </w:r>
    </w:p>
    <w:p w14:paraId="54C049DF" w14:textId="4E19B828" w:rsidR="00A844EE" w:rsidRPr="00F11127" w:rsidRDefault="00000766" w:rsidP="00BD1D20">
      <w:pPr>
        <w:pStyle w:val="Naslov1"/>
        <w:numPr>
          <w:ilvl w:val="0"/>
          <w:numId w:val="3"/>
        </w:numPr>
        <w:rPr>
          <w:rFonts w:cstheme="majorHAnsi"/>
        </w:rPr>
      </w:pPr>
      <w:bookmarkStart w:id="158" w:name="_Toc210033802"/>
      <w:r w:rsidRPr="00F11127">
        <w:rPr>
          <w:rFonts w:cstheme="majorHAnsi"/>
        </w:rPr>
        <w:lastRenderedPageBreak/>
        <w:t>TEHNIČNO-TEHNOLOŠKI DEL</w:t>
      </w:r>
      <w:bookmarkEnd w:id="158"/>
    </w:p>
    <w:p w14:paraId="65328620" w14:textId="77777777" w:rsidR="00334632" w:rsidRDefault="00334632" w:rsidP="00BD1D20">
      <w:pPr>
        <w:spacing w:after="120" w:line="276" w:lineRule="auto"/>
        <w:jc w:val="both"/>
        <w:rPr>
          <w:rFonts w:ascii="Arial" w:eastAsia="Arial" w:hAnsi="Arial" w:cs="Arial"/>
          <w:sz w:val="22"/>
          <w:szCs w:val="22"/>
        </w:rPr>
      </w:pPr>
      <w:bookmarkStart w:id="159" w:name="_Hlk125799335"/>
    </w:p>
    <w:bookmarkEnd w:id="159"/>
    <w:p w14:paraId="21F6CA17" w14:textId="77777777" w:rsidR="00990AB7" w:rsidRPr="00990AB7" w:rsidRDefault="00990AB7" w:rsidP="00990AB7">
      <w:pPr>
        <w:spacing w:after="120" w:line="276" w:lineRule="auto"/>
        <w:jc w:val="both"/>
        <w:rPr>
          <w:rFonts w:ascii="Arial" w:hAnsi="Arial" w:cs="Arial"/>
          <w:b/>
          <w:sz w:val="22"/>
          <w:szCs w:val="22"/>
          <w:u w:val="single"/>
          <w:lang w:eastAsia="en-US"/>
        </w:rPr>
      </w:pPr>
      <w:r w:rsidRPr="00990AB7">
        <w:rPr>
          <w:rFonts w:ascii="Arial" w:hAnsi="Arial" w:cs="Arial"/>
          <w:sz w:val="22"/>
          <w:szCs w:val="22"/>
          <w:u w:val="single"/>
          <w:lang w:eastAsia="en-US"/>
        </w:rPr>
        <w:t xml:space="preserve">Projekt je smiselno načrtovan po načelih </w:t>
      </w:r>
      <w:r w:rsidRPr="00990AB7">
        <w:rPr>
          <w:rFonts w:ascii="Arial" w:hAnsi="Arial" w:cs="Arial"/>
          <w:b/>
          <w:sz w:val="22"/>
          <w:szCs w:val="22"/>
          <w:u w:val="single"/>
          <w:lang w:eastAsia="en-US"/>
        </w:rPr>
        <w:t xml:space="preserve">NTR – na naravi temelječe rešitve </w:t>
      </w:r>
      <w:r w:rsidRPr="00990AB7">
        <w:rPr>
          <w:rFonts w:ascii="Arial" w:hAnsi="Arial" w:cs="Arial"/>
          <w:sz w:val="22"/>
          <w:szCs w:val="22"/>
          <w:u w:val="single"/>
          <w:lang w:eastAsia="en-US"/>
        </w:rPr>
        <w:t>(NBS):</w:t>
      </w:r>
    </w:p>
    <w:p w14:paraId="13B3A7FA" w14:textId="77777777" w:rsidR="00990AB7" w:rsidRPr="00990AB7" w:rsidRDefault="00990AB7" w:rsidP="00990AB7">
      <w:pPr>
        <w:spacing w:after="120" w:line="276" w:lineRule="auto"/>
        <w:jc w:val="both"/>
        <w:rPr>
          <w:rFonts w:ascii="Arial" w:hAnsi="Arial" w:cs="Arial"/>
          <w:sz w:val="22"/>
          <w:szCs w:val="22"/>
          <w:lang w:eastAsia="en-US"/>
        </w:rPr>
      </w:pPr>
      <w:r w:rsidRPr="00990AB7">
        <w:rPr>
          <w:rFonts w:ascii="Arial" w:hAnsi="Arial" w:cs="Arial"/>
          <w:sz w:val="22"/>
          <w:szCs w:val="22"/>
          <w:lang w:eastAsia="en-US"/>
        </w:rPr>
        <w:t>Projekt vključuje ureditve površin v središču naselja, ki bodo pozitivno vplivale na zdravje in dobro počutje ljudi, zmanjševanje CO</w:t>
      </w:r>
      <w:r w:rsidRPr="00990AB7">
        <w:rPr>
          <w:rFonts w:ascii="Arial" w:hAnsi="Arial" w:cs="Arial"/>
          <w:sz w:val="22"/>
          <w:szCs w:val="22"/>
          <w:vertAlign w:val="subscript"/>
          <w:lang w:eastAsia="en-US"/>
        </w:rPr>
        <w:t>2</w:t>
      </w:r>
      <w:r w:rsidRPr="00990AB7">
        <w:rPr>
          <w:rFonts w:ascii="Arial" w:hAnsi="Arial" w:cs="Arial"/>
          <w:sz w:val="22"/>
          <w:szCs w:val="22"/>
          <w:lang w:eastAsia="en-US"/>
        </w:rPr>
        <w:t xml:space="preserve"> v ozračju, biotsko raznovrstnost in prihranek energije. </w:t>
      </w:r>
    </w:p>
    <w:p w14:paraId="6E3FF091" w14:textId="77777777" w:rsidR="00990AB7" w:rsidRPr="00990AB7" w:rsidRDefault="00990AB7" w:rsidP="00990AB7">
      <w:pPr>
        <w:spacing w:after="120" w:line="276" w:lineRule="auto"/>
        <w:jc w:val="both"/>
        <w:rPr>
          <w:rFonts w:ascii="Arial" w:hAnsi="Arial" w:cs="Arial"/>
          <w:sz w:val="22"/>
          <w:szCs w:val="22"/>
          <w:lang w:eastAsia="en-US"/>
        </w:rPr>
      </w:pPr>
      <w:r w:rsidRPr="00990AB7">
        <w:rPr>
          <w:rFonts w:ascii="Arial" w:hAnsi="Arial" w:cs="Arial"/>
          <w:sz w:val="22"/>
          <w:szCs w:val="22"/>
          <w:lang w:eastAsia="en-US"/>
        </w:rPr>
        <w:t>Cilj projekta je ureditev središča naselja tako, da postane kvaliteten prostor za srečevanje in aktivnosti prebivalcev.</w:t>
      </w:r>
    </w:p>
    <w:p w14:paraId="0A0213FE" w14:textId="3AB9EA4A" w:rsidR="00990AB7" w:rsidRPr="00990AB7" w:rsidRDefault="00990AB7" w:rsidP="00990AB7">
      <w:pPr>
        <w:spacing w:after="120" w:line="276" w:lineRule="auto"/>
        <w:rPr>
          <w:rFonts w:ascii="Arial" w:hAnsi="Arial" w:cs="Arial"/>
          <w:b/>
          <w:bCs/>
          <w:color w:val="4F81BD"/>
          <w:sz w:val="22"/>
          <w:szCs w:val="22"/>
          <w:lang w:eastAsia="zh-TW"/>
        </w:rPr>
      </w:pPr>
      <w:bookmarkStart w:id="160" w:name="_Toc209029193"/>
      <w:bookmarkStart w:id="161" w:name="_Toc209277208"/>
      <w:bookmarkStart w:id="162" w:name="_Toc210033662"/>
      <w:r w:rsidRPr="00990AB7">
        <w:rPr>
          <w:rFonts w:ascii="Arial" w:hAnsi="Arial" w:cs="Arial"/>
          <w:b/>
          <w:bCs/>
          <w:sz w:val="22"/>
          <w:szCs w:val="22"/>
        </w:rPr>
        <w:t xml:space="preserve">Slika </w:t>
      </w:r>
      <w:r w:rsidRPr="00990AB7">
        <w:rPr>
          <w:rFonts w:ascii="Arial" w:hAnsi="Arial" w:cs="Arial"/>
          <w:b/>
          <w:bCs/>
          <w:sz w:val="22"/>
          <w:szCs w:val="22"/>
        </w:rPr>
        <w:fldChar w:fldCharType="begin"/>
      </w:r>
      <w:r w:rsidRPr="00990AB7">
        <w:rPr>
          <w:rFonts w:ascii="Arial" w:hAnsi="Arial" w:cs="Arial"/>
          <w:b/>
          <w:bCs/>
          <w:sz w:val="22"/>
          <w:szCs w:val="22"/>
        </w:rPr>
        <w:instrText xml:space="preserve"> SEQ Slika \* ARABIC </w:instrText>
      </w:r>
      <w:r w:rsidRPr="00990AB7">
        <w:rPr>
          <w:rFonts w:ascii="Arial" w:hAnsi="Arial" w:cs="Arial"/>
          <w:b/>
          <w:bCs/>
          <w:sz w:val="22"/>
          <w:szCs w:val="22"/>
        </w:rPr>
        <w:fldChar w:fldCharType="separate"/>
      </w:r>
      <w:r w:rsidR="00E74D26">
        <w:rPr>
          <w:rFonts w:ascii="Arial" w:hAnsi="Arial" w:cs="Arial"/>
          <w:b/>
          <w:bCs/>
          <w:noProof/>
          <w:sz w:val="22"/>
          <w:szCs w:val="22"/>
        </w:rPr>
        <w:t>14</w:t>
      </w:r>
      <w:r w:rsidRPr="00990AB7">
        <w:rPr>
          <w:rFonts w:ascii="Arial" w:hAnsi="Arial" w:cs="Arial"/>
          <w:b/>
          <w:bCs/>
          <w:sz w:val="22"/>
          <w:szCs w:val="22"/>
        </w:rPr>
        <w:fldChar w:fldCharType="end"/>
      </w:r>
      <w:r w:rsidRPr="00990AB7">
        <w:rPr>
          <w:rFonts w:ascii="Arial" w:hAnsi="Arial" w:cs="Arial"/>
          <w:b/>
          <w:bCs/>
          <w:sz w:val="22"/>
          <w:szCs w:val="22"/>
        </w:rPr>
        <w:t xml:space="preserve">: </w:t>
      </w:r>
      <w:r w:rsidRPr="00990AB7">
        <w:rPr>
          <w:rFonts w:ascii="Arial" w:hAnsi="Arial" w:cs="Arial"/>
          <w:bCs/>
          <w:sz w:val="22"/>
          <w:szCs w:val="22"/>
        </w:rPr>
        <w:t>Register prostorskih enot</w:t>
      </w:r>
      <w:bookmarkEnd w:id="160"/>
      <w:bookmarkEnd w:id="161"/>
      <w:bookmarkEnd w:id="162"/>
    </w:p>
    <w:p w14:paraId="0CC5BE75" w14:textId="77777777" w:rsidR="00990AB7" w:rsidRPr="00990AB7" w:rsidRDefault="00990AB7" w:rsidP="00990AB7">
      <w:pPr>
        <w:spacing w:after="120" w:line="276" w:lineRule="auto"/>
        <w:rPr>
          <w:rFonts w:ascii="Arial" w:hAnsi="Arial" w:cs="Arial"/>
          <w:sz w:val="22"/>
          <w:szCs w:val="22"/>
          <w:lang w:eastAsia="zh-TW"/>
        </w:rPr>
      </w:pPr>
      <w:r w:rsidRPr="00990AB7">
        <w:rPr>
          <w:rFonts w:ascii="Arial" w:hAnsi="Arial" w:cs="Arial"/>
          <w:noProof/>
          <w:sz w:val="22"/>
          <w:szCs w:val="22"/>
        </w:rPr>
        <w:drawing>
          <wp:inline distT="0" distB="0" distL="0" distR="0" wp14:anchorId="46A8047B" wp14:editId="36C0C18C">
            <wp:extent cx="5759450" cy="4328160"/>
            <wp:effectExtent l="0" t="0" r="0" b="0"/>
            <wp:docPr id="1622855542" name="Picture 14"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55542" name="Picture 14" descr="A satellite view of a city&#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59450" cy="4328160"/>
                    </a:xfrm>
                    <a:prstGeom prst="rect">
                      <a:avLst/>
                    </a:prstGeom>
                    <a:noFill/>
                    <a:ln>
                      <a:noFill/>
                    </a:ln>
                  </pic:spPr>
                </pic:pic>
              </a:graphicData>
            </a:graphic>
          </wp:inline>
        </w:drawing>
      </w:r>
    </w:p>
    <w:p w14:paraId="19285769"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Občina Ig predvideva serijo posegov v sklopu ureditve središča kraja, ki bodo znatno izboljšali prometno ureditev v smislu trajnostne mobilnosti.</w:t>
      </w:r>
    </w:p>
    <w:p w14:paraId="3BAE26DE"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Vsi predvideni posegi so usmerjeni v zmanjšanje površin za osebni motorni promet in obenem povečujejo kapacitete javnega potniškega prometa, talne ureditve pa dajejo prednost pešcem in kolesarjem. Predvideni so ukrepi za izboljšavo varnosti vseh uporabnikov s poudarkom na varnosti in vključenosti otrok, starejših ter gibalno oviranih (deljena prometna površina, kolesarski pasovi, pločnik pri coni »</w:t>
      </w:r>
      <w:proofErr w:type="spellStart"/>
      <w:r w:rsidRPr="00990AB7">
        <w:rPr>
          <w:rFonts w:ascii="Arial" w:hAnsi="Arial" w:cs="Arial"/>
          <w:sz w:val="22"/>
          <w:szCs w:val="22"/>
          <w:lang w:eastAsia="en-US"/>
        </w:rPr>
        <w:t>drop-off</w:t>
      </w:r>
      <w:proofErr w:type="spellEnd"/>
      <w:r w:rsidRPr="00990AB7">
        <w:rPr>
          <w:rFonts w:ascii="Arial" w:hAnsi="Arial" w:cs="Arial"/>
          <w:sz w:val="22"/>
          <w:szCs w:val="22"/>
          <w:lang w:eastAsia="en-US"/>
        </w:rPr>
        <w:t xml:space="preserve">« pred šolo, izravnava talnih ureditev, ustrezne haptične oznake površin itd.) ter umirjanja prometa, z izhodiščem, da se osebni motorni promet omeji na najnujnejše za nemoteno uporabo središča kraja, obenem pa je še vedno omogočeno udobje premikanja in </w:t>
      </w:r>
      <w:proofErr w:type="spellStart"/>
      <w:r w:rsidRPr="00990AB7">
        <w:rPr>
          <w:rFonts w:ascii="Arial" w:hAnsi="Arial" w:cs="Arial"/>
          <w:sz w:val="22"/>
          <w:szCs w:val="22"/>
          <w:lang w:eastAsia="en-US"/>
        </w:rPr>
        <w:t>nediskriminatornost</w:t>
      </w:r>
      <w:proofErr w:type="spellEnd"/>
      <w:r w:rsidRPr="00990AB7">
        <w:rPr>
          <w:rFonts w:ascii="Arial" w:hAnsi="Arial" w:cs="Arial"/>
          <w:sz w:val="22"/>
          <w:szCs w:val="22"/>
          <w:lang w:eastAsia="en-US"/>
        </w:rPr>
        <w:t xml:space="preserve"> (predvsem do ranljivih skupin). </w:t>
      </w:r>
    </w:p>
    <w:p w14:paraId="2315F6AE"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Celovita ureditev trga bo izvedena z dvema ločenima projektoma in sicer z ureditvijo zelene infrastrukture ter izvedbe ukrepov trajnostne mobilnosti, ki se skupaj dopolnjujeta in izvajata sočasno.</w:t>
      </w:r>
    </w:p>
    <w:p w14:paraId="1CA5377F"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lastRenderedPageBreak/>
        <w:t>Ravno zaradi skupne dopolnitve obeh projektov v dokumentu orišemo tudi projekt urejanja zelene infrastrukture, ki je teritorialno in vrednostno povsem ločen od ukrepov trajnostne mobilnosti, ki so predmet tega projekta.</w:t>
      </w:r>
    </w:p>
    <w:p w14:paraId="094EC527"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Cilj projekta je ureditev središča naselja tako, da postane kvaliteten prostor za srečevanje in aktivnosti prebivalcev in predvideva ureditve:</w:t>
      </w:r>
    </w:p>
    <w:p w14:paraId="2DEE1D9F"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163" w:name="_Toc209029147"/>
      <w:bookmarkStart w:id="164" w:name="_Toc209277143"/>
      <w:bookmarkStart w:id="165" w:name="_Toc210033803"/>
      <w:r w:rsidRPr="00990AB7">
        <w:rPr>
          <w:rFonts w:asciiTheme="majorHAnsi" w:eastAsiaTheme="majorEastAsia" w:hAnsiTheme="majorHAnsi" w:cstheme="majorHAnsi"/>
          <w:color w:val="244061" w:themeColor="accent1" w:themeShade="80"/>
          <w:szCs w:val="22"/>
        </w:rPr>
        <w:t>Zelena infrastruktura</w:t>
      </w:r>
      <w:bookmarkEnd w:id="163"/>
      <w:bookmarkEnd w:id="164"/>
      <w:bookmarkEnd w:id="165"/>
    </w:p>
    <w:p w14:paraId="22F315EF"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Kot že predhodno navedeno ureditev zelene infrastrukture ni predmet tega projekta, vendar zaradi simbioze obeh projektov podajamo opis ukrepov.</w:t>
      </w:r>
    </w:p>
    <w:p w14:paraId="629D3C00"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Park</w:t>
      </w:r>
    </w:p>
    <w:p w14:paraId="4513C575"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Predvidena je ureditev parkovne poteze na mestu obstoječe stavbe vrtca. Površine se nahajajo na robu središča Iga in so namenjene za prebivanje kvalitetnega prostega časa v zelenem okolju.</w:t>
      </w:r>
    </w:p>
    <w:p w14:paraId="228B0434"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Širina poteze je min. 24 m ob minimalno 60% raščenega terena. Parkovna poteza je oddaljena 170 m od osrednjega trga naselja</w:t>
      </w:r>
    </w:p>
    <w:p w14:paraId="4A2D0B8B"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Zelene površine ob drugih javnih stavbah – površina pred občinsko stavbo</w:t>
      </w:r>
    </w:p>
    <w:p w14:paraId="3D20A65E"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Pred občinsko stavbo občine Ig se namesto obstoječih parkirnih mest predvidi glavna občinska tržna površina, ki bo deloma tlakovana, deloma na raščenem terenu. Ureditev površin ob javnih stavbah se nadaljuje tudi preko Govekarjeve ceste in poveže občinsko stavbo z obstoječo Hišo narave in kolišč-</w:t>
      </w:r>
      <w:proofErr w:type="spellStart"/>
      <w:r w:rsidRPr="00990AB7">
        <w:rPr>
          <w:rFonts w:ascii="Arial" w:hAnsi="Arial" w:cs="Arial"/>
          <w:sz w:val="22"/>
          <w:szCs w:val="22"/>
          <w:lang w:eastAsia="en-US"/>
        </w:rPr>
        <w:t>Morostig</w:t>
      </w:r>
      <w:proofErr w:type="spellEnd"/>
      <w:r w:rsidRPr="00990AB7">
        <w:rPr>
          <w:rFonts w:ascii="Arial" w:hAnsi="Arial" w:cs="Arial"/>
          <w:sz w:val="22"/>
          <w:szCs w:val="22"/>
          <w:lang w:eastAsia="en-US"/>
        </w:rPr>
        <w:t xml:space="preserve"> in Centrom Ig. Na SV strani se tržne površine zaključijo z večnamenskimi pomožnimi objekti, ki služijo za potrebe druženja prebivalcev, javne toalete in servisiranje zelenih površin. </w:t>
      </w:r>
    </w:p>
    <w:p w14:paraId="289B39F1"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 xml:space="preserve">Zelena </w:t>
      </w:r>
      <w:proofErr w:type="spellStart"/>
      <w:r w:rsidRPr="00990AB7">
        <w:rPr>
          <w:rFonts w:ascii="Arial" w:hAnsi="Arial" w:cs="Arial"/>
          <w:sz w:val="22"/>
          <w:szCs w:val="22"/>
          <w:u w:val="single"/>
          <w:lang w:eastAsia="en-US"/>
        </w:rPr>
        <w:t>členitvena</w:t>
      </w:r>
      <w:proofErr w:type="spellEnd"/>
      <w:r w:rsidRPr="00990AB7">
        <w:rPr>
          <w:rFonts w:ascii="Arial" w:hAnsi="Arial" w:cs="Arial"/>
          <w:sz w:val="22"/>
          <w:szCs w:val="22"/>
          <w:u w:val="single"/>
          <w:lang w:eastAsia="en-US"/>
        </w:rPr>
        <w:t xml:space="preserve"> poteza</w:t>
      </w:r>
    </w:p>
    <w:p w14:paraId="660AAB90"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Predviden je nov drevored ob Govekarjevi cesti, ki poteka skozi središče naselja. Obstoječi drevored se ohranja v največji možni meri. Ureditev ustvari nov profil ceste, ki poleg prijetnega ambienta, protihrupnega delovanja in senčenja ustvari novo linearno urbanistično potezo naselja. Deloma se drevored uredi na zahodnem delu Govekarjeve ceste, proti severu pa se prestavi na vzhodni del ob športni dvorani.</w:t>
      </w:r>
    </w:p>
    <w:p w14:paraId="4264AB6C"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Javna igrišča za otroke in mladostnike</w:t>
      </w:r>
    </w:p>
    <w:p w14:paraId="2B112E98"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Predvideno je otroško igrišče v samem središču kraja, ki bo dopolnjevalo mešan program obstoječih javnih objektov in predvidenih novih zelenih površin. Velikost predvidenega igrišča je 200 m</w:t>
      </w:r>
      <w:r w:rsidRPr="00990AB7">
        <w:rPr>
          <w:rFonts w:ascii="Arial" w:hAnsi="Arial" w:cs="Arial"/>
          <w:sz w:val="22"/>
          <w:szCs w:val="22"/>
          <w:vertAlign w:val="superscript"/>
          <w:lang w:eastAsia="en-US"/>
        </w:rPr>
        <w:t>2</w:t>
      </w:r>
      <w:r w:rsidRPr="00990AB7">
        <w:rPr>
          <w:rFonts w:ascii="Arial" w:hAnsi="Arial" w:cs="Arial"/>
          <w:sz w:val="22"/>
          <w:szCs w:val="22"/>
          <w:lang w:eastAsia="en-US"/>
        </w:rPr>
        <w:t xml:space="preserve"> ob minimalnem deležu zelenih površin na raščenem terenu 30 % in zastrtost s košnjami vsaj 30 %. Igrišče se nahaja v samem središču naselja. </w:t>
      </w:r>
    </w:p>
    <w:p w14:paraId="4D354753"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Ureditve obstoječih parkirišč</w:t>
      </w:r>
    </w:p>
    <w:p w14:paraId="0FFE0748"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Obstoječe parkirišče, ki povezuje predvideno parkovno potezo z Govekarjevo cesto, se uredi in ozeleni. Obstoječe parkirišče s 14 parkirnimi mesti se ozeleni z zelenimi otoki z zasaditvijo in zagotovi pokritost s krošnjami min. 30 % z zadostnim številom dreves. Paralelna parkirna mesta se odstranijo, ohranijo se samo parkirna mesta ob službenem vhodu v OŠ Ig. </w:t>
      </w:r>
    </w:p>
    <w:p w14:paraId="1F6A1D9D"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Vertikalna ozelenitev</w:t>
      </w:r>
    </w:p>
    <w:p w14:paraId="44FEDC50"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lastRenderedPageBreak/>
        <w:t>Ozeleni se zid na severni meji avtobusnega postajališča, ki leži na začetku Govekarjeve ceste na vstopu v središče naselja.</w:t>
      </w:r>
    </w:p>
    <w:p w14:paraId="0056BF76"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166" w:name="_Toc209029148"/>
      <w:bookmarkStart w:id="167" w:name="_Toc209277144"/>
      <w:bookmarkStart w:id="168" w:name="_Toc210033804"/>
      <w:r w:rsidRPr="00990AB7">
        <w:rPr>
          <w:rFonts w:asciiTheme="majorHAnsi" w:eastAsiaTheme="majorEastAsia" w:hAnsiTheme="majorHAnsi" w:cstheme="majorHAnsi"/>
          <w:color w:val="244061" w:themeColor="accent1" w:themeShade="80"/>
          <w:szCs w:val="22"/>
        </w:rPr>
        <w:t>Trajnostna mobilnost</w:t>
      </w:r>
      <w:bookmarkEnd w:id="166"/>
      <w:bookmarkEnd w:id="167"/>
      <w:bookmarkEnd w:id="168"/>
    </w:p>
    <w:p w14:paraId="448A1847"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Občina Ig predvideva serijo posegov v sklopu ureditve središča kraja, ki bodo znatno izboljšali prometno ureditev v smislu trajnostne mobilnosti.</w:t>
      </w:r>
    </w:p>
    <w:p w14:paraId="00D2272D"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Vsi predvideni posegi so usmerjeni v zmanjšanje površin za osebni motorni promet in obenem povečujejo kapacitete javnega potniškega prometa, talne ureditve pa dajejo prednost pešcem in kolesarjem. Predvideni so ukrepi za izboljšavo varnosti vseh uporabnikov s poudarkom na varnosti in vključenosti otrok, starejših ter gibalno oviranih (deljena prometna površina, skupni prometni prostor, »</w:t>
      </w:r>
      <w:proofErr w:type="spellStart"/>
      <w:r w:rsidRPr="00990AB7">
        <w:rPr>
          <w:rFonts w:ascii="Arial" w:hAnsi="Arial" w:cs="Arial"/>
          <w:sz w:val="22"/>
          <w:szCs w:val="22"/>
          <w:lang w:eastAsia="en-US"/>
        </w:rPr>
        <w:t>drop-off</w:t>
      </w:r>
      <w:proofErr w:type="spellEnd"/>
      <w:r w:rsidRPr="00990AB7">
        <w:rPr>
          <w:rFonts w:ascii="Arial" w:hAnsi="Arial" w:cs="Arial"/>
          <w:sz w:val="22"/>
          <w:szCs w:val="22"/>
          <w:lang w:eastAsia="en-US"/>
        </w:rPr>
        <w:t xml:space="preserve">« cona pred šolo, izravnava talnih ureditev, ustrezne haptične oznake površin itd.) ter umirjanja prometa, z izhodiščem, da se osebni motorni promet omeji na najnujnejše za nemoteno uporabo središča kraja, obenem pa je še vedno omogočeno udobje premikanja in </w:t>
      </w:r>
      <w:proofErr w:type="spellStart"/>
      <w:r w:rsidRPr="00990AB7">
        <w:rPr>
          <w:rFonts w:ascii="Arial" w:hAnsi="Arial" w:cs="Arial"/>
          <w:sz w:val="22"/>
          <w:szCs w:val="22"/>
          <w:lang w:eastAsia="en-US"/>
        </w:rPr>
        <w:t>nediskriminatornost</w:t>
      </w:r>
      <w:proofErr w:type="spellEnd"/>
      <w:r w:rsidRPr="00990AB7">
        <w:rPr>
          <w:rFonts w:ascii="Arial" w:hAnsi="Arial" w:cs="Arial"/>
          <w:sz w:val="22"/>
          <w:szCs w:val="22"/>
          <w:lang w:eastAsia="en-US"/>
        </w:rPr>
        <w:t xml:space="preserve"> (predvsem do starejših in gibalno oviranih oseb). </w:t>
      </w:r>
    </w:p>
    <w:p w14:paraId="1935927C"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69" w:name="_Toc209277145"/>
      <w:bookmarkStart w:id="170" w:name="_Toc210033805"/>
      <w:r w:rsidRPr="00990AB7">
        <w:rPr>
          <w:rFonts w:asciiTheme="majorHAnsi" w:eastAsiaTheme="majorEastAsia" w:hAnsiTheme="majorHAnsi" w:cstheme="majorHAnsi"/>
          <w:color w:val="244061" w:themeColor="accent1" w:themeShade="80"/>
          <w:szCs w:val="22"/>
        </w:rPr>
        <w:t>Govekarjeva cesta</w:t>
      </w:r>
      <w:bookmarkEnd w:id="169"/>
      <w:bookmarkEnd w:id="170"/>
    </w:p>
    <w:p w14:paraId="642C6C21" w14:textId="7382995E" w:rsidR="00990AB7" w:rsidRPr="00990AB7" w:rsidRDefault="00821D25" w:rsidP="00990AB7">
      <w:pPr>
        <w:spacing w:after="200" w:line="276" w:lineRule="auto"/>
        <w:jc w:val="both"/>
        <w:rPr>
          <w:rFonts w:ascii="Arial" w:hAnsi="Arial" w:cs="Arial"/>
          <w:sz w:val="22"/>
          <w:szCs w:val="22"/>
          <w:lang w:eastAsia="en-US"/>
        </w:rPr>
      </w:pPr>
      <w:r>
        <w:rPr>
          <w:rFonts w:ascii="Arial" w:hAnsi="Arial" w:cs="Arial"/>
          <w:sz w:val="22"/>
          <w:szCs w:val="22"/>
          <w:lang w:eastAsia="en-US"/>
        </w:rPr>
        <w:t xml:space="preserve">Preureditev </w:t>
      </w:r>
      <w:r w:rsidR="00990AB7" w:rsidRPr="00990AB7">
        <w:rPr>
          <w:rFonts w:ascii="Arial" w:hAnsi="Arial" w:cs="Arial"/>
          <w:sz w:val="22"/>
          <w:szCs w:val="22"/>
          <w:lang w:eastAsia="en-US"/>
        </w:rPr>
        <w:t xml:space="preserve">Govekarjeve ceste </w:t>
      </w:r>
      <w:r>
        <w:rPr>
          <w:rFonts w:ascii="Arial" w:hAnsi="Arial" w:cs="Arial"/>
          <w:sz w:val="22"/>
          <w:szCs w:val="22"/>
          <w:lang w:eastAsia="en-US"/>
        </w:rPr>
        <w:t xml:space="preserve">in uvedba </w:t>
      </w:r>
      <w:r w:rsidR="00990AB7" w:rsidRPr="00990AB7">
        <w:rPr>
          <w:rFonts w:ascii="Arial" w:hAnsi="Arial" w:cs="Arial"/>
          <w:sz w:val="22"/>
          <w:szCs w:val="22"/>
          <w:lang w:eastAsia="en-US"/>
        </w:rPr>
        <w:t>skupn</w:t>
      </w:r>
      <w:r>
        <w:rPr>
          <w:rFonts w:ascii="Arial" w:hAnsi="Arial" w:cs="Arial"/>
          <w:sz w:val="22"/>
          <w:szCs w:val="22"/>
          <w:lang w:eastAsia="en-US"/>
        </w:rPr>
        <w:t>ega</w:t>
      </w:r>
      <w:r w:rsidR="00990AB7" w:rsidRPr="00990AB7">
        <w:rPr>
          <w:rFonts w:ascii="Arial" w:hAnsi="Arial" w:cs="Arial"/>
          <w:sz w:val="22"/>
          <w:szCs w:val="22"/>
          <w:lang w:eastAsia="en-US"/>
        </w:rPr>
        <w:t xml:space="preserve"> prometn</w:t>
      </w:r>
      <w:r>
        <w:rPr>
          <w:rFonts w:ascii="Arial" w:hAnsi="Arial" w:cs="Arial"/>
          <w:sz w:val="22"/>
          <w:szCs w:val="22"/>
          <w:lang w:eastAsia="en-US"/>
        </w:rPr>
        <w:t>ega</w:t>
      </w:r>
      <w:r w:rsidR="00990AB7" w:rsidRPr="00990AB7">
        <w:rPr>
          <w:rFonts w:ascii="Arial" w:hAnsi="Arial" w:cs="Arial"/>
          <w:sz w:val="22"/>
          <w:szCs w:val="22"/>
          <w:lang w:eastAsia="en-US"/>
        </w:rPr>
        <w:t xml:space="preserve"> prostor</w:t>
      </w:r>
      <w:r w:rsidR="00DC3367">
        <w:rPr>
          <w:rFonts w:ascii="Arial" w:hAnsi="Arial" w:cs="Arial"/>
          <w:sz w:val="22"/>
          <w:szCs w:val="22"/>
          <w:lang w:eastAsia="en-US"/>
        </w:rPr>
        <w:t>a</w:t>
      </w:r>
      <w:r w:rsidR="00990AB7" w:rsidRPr="00990AB7">
        <w:rPr>
          <w:rFonts w:ascii="Arial" w:hAnsi="Arial" w:cs="Arial"/>
          <w:sz w:val="22"/>
          <w:szCs w:val="22"/>
          <w:lang w:eastAsia="en-US"/>
        </w:rPr>
        <w:t xml:space="preserve"> po vzoru sodobnih urbanističnih načel v centrih naselij. Rekonstrukcija upošteva principe trajnostne mobilnosti – izboljšanje površin za pešce in kolesarje, zmanjšanje širine cestišča, stojno mesto za šolski avtobus na cestišču, višinska poravnava z nivojem pločnikov in tržnih površin. Obojestransko sta urejena razširjena pločnika, ki merita na najožjem delu 1,6 metra, ponekod pa sta razširjena v trg. Vzdolž ceste se uredi drevored z zelenimi pasovi in otoki, ki omogoča izdatno senčenje peš površin in klopi za počitek. Zelena krajinska ureditev se ureja v sklopu ureditve zelene infrastrukture. Ureditev vključuje več ukrepov za umirjanje prometa.</w:t>
      </w:r>
    </w:p>
    <w:p w14:paraId="173D23EE"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71" w:name="_Toc209277146"/>
      <w:bookmarkStart w:id="172" w:name="_Toc210033806"/>
      <w:r w:rsidRPr="00990AB7">
        <w:rPr>
          <w:rFonts w:asciiTheme="majorHAnsi" w:eastAsiaTheme="majorEastAsia" w:hAnsiTheme="majorHAnsi" w:cstheme="majorHAnsi"/>
          <w:color w:val="244061" w:themeColor="accent1" w:themeShade="80"/>
          <w:szCs w:val="22"/>
        </w:rPr>
        <w:t>Troštova ulica</w:t>
      </w:r>
      <w:bookmarkEnd w:id="171"/>
      <w:bookmarkEnd w:id="172"/>
    </w:p>
    <w:p w14:paraId="27D85354"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Ureditev Troštove ulice kot skupni prometni prostor, prav tako kot ureditev Govekarjeve ceste vključuje sodobna urbanistična načela in principe trajnostne mobilnosti. Ukinitev paralelnih parkirnih mest na Troštovi ulici omogoči ureditev zelenega pasu za manjša drevesa in širšega pločnika za pešce, ki se ureja v sklopu ureditve zelene infrastrukture. Ureditev vključuje več ukrepov za umirjanje prometa.</w:t>
      </w:r>
    </w:p>
    <w:p w14:paraId="21697A27"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73" w:name="_Toc209277147"/>
      <w:bookmarkStart w:id="174" w:name="_Toc210033807"/>
      <w:r w:rsidRPr="00990AB7">
        <w:rPr>
          <w:rFonts w:asciiTheme="majorHAnsi" w:eastAsiaTheme="majorEastAsia" w:hAnsiTheme="majorHAnsi" w:cstheme="majorHAnsi"/>
          <w:color w:val="244061" w:themeColor="accent1" w:themeShade="80"/>
          <w:szCs w:val="22"/>
        </w:rPr>
        <w:t>Avtobusno postajališče</w:t>
      </w:r>
      <w:bookmarkEnd w:id="173"/>
      <w:bookmarkEnd w:id="174"/>
    </w:p>
    <w:p w14:paraId="53AE85DF" w14:textId="700CE26D"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Na mestu obstoječega postajališča je predvidena izvedba novega avtobusnega postajališča s tremi </w:t>
      </w:r>
      <w:proofErr w:type="spellStart"/>
      <w:r w:rsidRPr="00990AB7">
        <w:rPr>
          <w:rFonts w:ascii="Arial" w:hAnsi="Arial" w:cs="Arial"/>
          <w:sz w:val="22"/>
          <w:szCs w:val="22"/>
          <w:lang w:eastAsia="en-US"/>
        </w:rPr>
        <w:t>nadkritimi</w:t>
      </w:r>
      <w:proofErr w:type="spellEnd"/>
      <w:r w:rsidRPr="00990AB7">
        <w:rPr>
          <w:rFonts w:ascii="Arial" w:hAnsi="Arial" w:cs="Arial"/>
          <w:sz w:val="22"/>
          <w:szCs w:val="22"/>
          <w:lang w:eastAsia="en-US"/>
        </w:rPr>
        <w:t xml:space="preserve"> peroni in ustrezno opremo.</w:t>
      </w:r>
      <w:r w:rsidR="002E5733">
        <w:rPr>
          <w:rFonts w:ascii="Arial" w:hAnsi="Arial" w:cs="Arial"/>
          <w:sz w:val="22"/>
          <w:szCs w:val="22"/>
          <w:lang w:eastAsia="en-US"/>
        </w:rPr>
        <w:t xml:space="preserve"> </w:t>
      </w:r>
      <w:r w:rsidRPr="00990AB7">
        <w:rPr>
          <w:rFonts w:ascii="Arial" w:hAnsi="Arial" w:cs="Arial"/>
          <w:sz w:val="22"/>
          <w:szCs w:val="22"/>
          <w:lang w:eastAsia="en-US"/>
        </w:rPr>
        <w:t xml:space="preserve">Celotno območje (cca 800 m2) je na robovih ozelenjeno, predvidena so stojna mesta za javno izposojo e- koles. Severni rob območja je proti sosednjim parcelam ograjen in </w:t>
      </w:r>
      <w:proofErr w:type="spellStart"/>
      <w:r w:rsidRPr="00990AB7">
        <w:rPr>
          <w:rFonts w:ascii="Arial" w:hAnsi="Arial" w:cs="Arial"/>
          <w:sz w:val="22"/>
          <w:szCs w:val="22"/>
          <w:lang w:eastAsia="en-US"/>
        </w:rPr>
        <w:t>zazelenjen</w:t>
      </w:r>
      <w:proofErr w:type="spellEnd"/>
      <w:r w:rsidRPr="00990AB7">
        <w:rPr>
          <w:rFonts w:ascii="Arial" w:hAnsi="Arial" w:cs="Arial"/>
          <w:sz w:val="22"/>
          <w:szCs w:val="22"/>
          <w:lang w:eastAsia="en-US"/>
        </w:rPr>
        <w:t>, ki se ureja v sklopu projekta ureditve zelene infrastrukture.</w:t>
      </w:r>
    </w:p>
    <w:p w14:paraId="1ED02EF1"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75" w:name="_Toc209277148"/>
      <w:bookmarkStart w:id="176" w:name="_Toc210033808"/>
      <w:r w:rsidRPr="00990AB7">
        <w:rPr>
          <w:rFonts w:asciiTheme="majorHAnsi" w:eastAsiaTheme="majorEastAsia" w:hAnsiTheme="majorHAnsi" w:cstheme="majorHAnsi"/>
          <w:color w:val="244061" w:themeColor="accent1" w:themeShade="80"/>
          <w:szCs w:val="22"/>
        </w:rPr>
        <w:t>Mirujoči promet</w:t>
      </w:r>
      <w:bookmarkEnd w:id="175"/>
      <w:bookmarkEnd w:id="176"/>
    </w:p>
    <w:p w14:paraId="71311E17" w14:textId="10792D96"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Mirujoči promet - obstoječe parkirne površine so zmanjšane na račun povečanja zelenih površin. Prometna ureditev omogoča boljšo pretočnost prometa in izogibanje zamaškom v jutranjih konicah (krožišče, krožna pot, »</w:t>
      </w:r>
      <w:proofErr w:type="spellStart"/>
      <w:r w:rsidRPr="00990AB7">
        <w:rPr>
          <w:rFonts w:ascii="Arial" w:hAnsi="Arial" w:cs="Arial"/>
          <w:sz w:val="22"/>
          <w:szCs w:val="22"/>
          <w:lang w:eastAsia="en-US"/>
        </w:rPr>
        <w:t>drop-off</w:t>
      </w:r>
      <w:proofErr w:type="spellEnd"/>
      <w:r w:rsidRPr="00990AB7">
        <w:rPr>
          <w:rFonts w:ascii="Arial" w:hAnsi="Arial" w:cs="Arial"/>
          <w:sz w:val="22"/>
          <w:szCs w:val="22"/>
          <w:lang w:eastAsia="en-US"/>
        </w:rPr>
        <w:t xml:space="preserve">«), predvidena parkirna mesta so omejena z zelenjem, </w:t>
      </w:r>
      <w:r w:rsidRPr="00990AB7">
        <w:rPr>
          <w:rFonts w:ascii="Arial" w:hAnsi="Arial" w:cs="Arial"/>
          <w:sz w:val="22"/>
          <w:szCs w:val="22"/>
          <w:lang w:eastAsia="en-US"/>
        </w:rPr>
        <w:lastRenderedPageBreak/>
        <w:t>deloma so urejena kot utrjene, a vodoprepustne zelene površine, ki se ureja</w:t>
      </w:r>
      <w:r w:rsidR="00DC3367">
        <w:rPr>
          <w:rFonts w:ascii="Arial" w:hAnsi="Arial" w:cs="Arial"/>
          <w:sz w:val="22"/>
          <w:szCs w:val="22"/>
          <w:lang w:eastAsia="en-US"/>
        </w:rPr>
        <w:t>jo</w:t>
      </w:r>
      <w:r w:rsidRPr="00990AB7">
        <w:rPr>
          <w:rFonts w:ascii="Arial" w:hAnsi="Arial" w:cs="Arial"/>
          <w:sz w:val="22"/>
          <w:szCs w:val="22"/>
          <w:lang w:eastAsia="en-US"/>
        </w:rPr>
        <w:t xml:space="preserve"> v sklopu projekta ureditve zelene infrastrukture. Vse parkirne kapacitete so z Govekarjeve ceste, torej središčnega območja kraja, zagotovljene na parkirnih mestih pred osnovno šolo, sedanje centralno parkirišče pa je namenjeno novemu glavnemu trgu kraja. Parkirni režim spodbuja kratkotrajno parkiranje in stimulira aktivnosti v središču preko celega dneva.</w:t>
      </w:r>
    </w:p>
    <w:p w14:paraId="644E483F"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77" w:name="_Toc209277149"/>
      <w:bookmarkStart w:id="178" w:name="_Toc210033809"/>
      <w:r w:rsidRPr="00990AB7">
        <w:rPr>
          <w:rFonts w:asciiTheme="majorHAnsi" w:eastAsiaTheme="majorEastAsia" w:hAnsiTheme="majorHAnsi" w:cstheme="majorHAnsi"/>
          <w:color w:val="244061" w:themeColor="accent1" w:themeShade="80"/>
          <w:szCs w:val="22"/>
        </w:rPr>
        <w:t>Kolesarska infrastruktura</w:t>
      </w:r>
      <w:bookmarkEnd w:id="177"/>
      <w:bookmarkEnd w:id="178"/>
    </w:p>
    <w:p w14:paraId="0B25FE55" w14:textId="65C30EAC"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Kolesa in električna kolesa – predvidenih je sedem lokacij s parkirnimi mesti za kolesa, od tega dve lokaciji za javni sistem izposoje e-koles</w:t>
      </w:r>
      <w:r w:rsidR="00DC3367">
        <w:rPr>
          <w:rFonts w:ascii="Arial" w:hAnsi="Arial" w:cs="Arial"/>
          <w:sz w:val="22"/>
          <w:szCs w:val="22"/>
          <w:lang w:eastAsia="en-US"/>
        </w:rPr>
        <w:t>.</w:t>
      </w:r>
      <w:r w:rsidRPr="00990AB7">
        <w:rPr>
          <w:rFonts w:ascii="Arial" w:hAnsi="Arial" w:cs="Arial"/>
          <w:sz w:val="22"/>
          <w:szCs w:val="22"/>
          <w:lang w:eastAsia="en-US"/>
        </w:rPr>
        <w:t xml:space="preserve"> Prometna ureditev kraja z deljenimi prometnimi površinami in kolesarskimi potmi spodbuja rabo koles in umirja osebni motorni promet. </w:t>
      </w:r>
    </w:p>
    <w:p w14:paraId="4B9AC56A" w14:textId="77777777" w:rsid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RRA LUR je skupaj z 21 občinami, med njimi tudi Občino Ig, dne 22.10.2024, sklenila okvirni sporazum za vzpostavitev javnega sistema izposoje e-koles v LUR, z izvajalcem NOMAGO d.o.o. V okviru tega dogovora bo Občina Ig postavila v obravnavanem območju postajališča. V sklopu tega projekta sta predvideni dve lokaciji.</w:t>
      </w:r>
    </w:p>
    <w:p w14:paraId="0B9458BD"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179" w:name="_Toc209029149"/>
      <w:bookmarkStart w:id="180" w:name="_Toc209277150"/>
      <w:bookmarkStart w:id="181" w:name="_Toc210033810"/>
      <w:r w:rsidRPr="00990AB7">
        <w:rPr>
          <w:rFonts w:asciiTheme="majorHAnsi" w:eastAsiaTheme="majorEastAsia" w:hAnsiTheme="majorHAnsi" w:cstheme="majorHAnsi"/>
          <w:color w:val="244061" w:themeColor="accent1" w:themeShade="80"/>
          <w:szCs w:val="22"/>
        </w:rPr>
        <w:t>NOVI EUROPSKI BAUHAUS</w:t>
      </w:r>
      <w:bookmarkEnd w:id="179"/>
      <w:bookmarkEnd w:id="180"/>
      <w:bookmarkEnd w:id="181"/>
    </w:p>
    <w:p w14:paraId="5695DC22" w14:textId="09B12DC0"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Avtomobilski promet je podrejen peščem in kolesarjem (Govekarjeva cesta in Troštova ulica postaneta skupni prometni prostor). Hkrati upošteva varnostna načela v prometu v smislu reduciranja sekanja različnih prometnih tokov. Kolesarski promet je podprt s kolesarnicami / nadkritimi stojali za kolesa in polnilnicami za električna kolesa</w:t>
      </w:r>
      <w:r w:rsidR="00DC3367">
        <w:rPr>
          <w:rFonts w:ascii="Arial" w:hAnsi="Arial" w:cs="Arial"/>
          <w:sz w:val="22"/>
          <w:szCs w:val="22"/>
          <w:lang w:val="pl-PL" w:eastAsia="en-US"/>
        </w:rPr>
        <w:t xml:space="preserve"> v sistemu izposoje e-koles</w:t>
      </w:r>
      <w:r w:rsidRPr="00990AB7">
        <w:rPr>
          <w:rFonts w:ascii="Arial" w:hAnsi="Arial" w:cs="Arial"/>
          <w:sz w:val="22"/>
          <w:szCs w:val="22"/>
          <w:lang w:val="pl-PL" w:eastAsia="en-US"/>
        </w:rPr>
        <w:t>. Za slepe in slabovidne pešce se izdela taktilne oznake. Vse peš površine so predvidene v izvedbi nizkega profila, ki omogoča starejšim in gibalno oviranim lažjo dostopnost.</w:t>
      </w:r>
    </w:p>
    <w:p w14:paraId="4E2AE529"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Novi objekt pred občinsko stavbo – kolesarnica in nadstrešnica AP predvidevajo uporabo lesa in naravnih materialov v čim večji meri. Za namen samozadostne oskrbe, je predviden zajem deževnice in sončna elektrarna. Objekti predvidevajo tudi ustrezno naravno prezračevanje in senčenje po konceptu trajnostne gradnje.</w:t>
      </w:r>
    </w:p>
    <w:p w14:paraId="5EA62372"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182" w:name="_Toc209029150"/>
      <w:bookmarkStart w:id="183" w:name="_Toc209277151"/>
      <w:bookmarkStart w:id="184" w:name="_Toc210033811"/>
      <w:r w:rsidRPr="00990AB7">
        <w:rPr>
          <w:rFonts w:asciiTheme="majorHAnsi" w:eastAsiaTheme="majorEastAsia" w:hAnsiTheme="majorHAnsi" w:cstheme="majorHAnsi"/>
          <w:color w:val="244061" w:themeColor="accent1" w:themeShade="80"/>
          <w:szCs w:val="22"/>
        </w:rPr>
        <w:t>EU RAZPIS TRAJNOSTNA MOBILNOST</w:t>
      </w:r>
      <w:bookmarkEnd w:id="182"/>
      <w:bookmarkEnd w:id="183"/>
      <w:bookmarkEnd w:id="184"/>
    </w:p>
    <w:p w14:paraId="7BB5FD69" w14:textId="386A5ED8"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V projekt so vključeni naslednji upravičeni nameni): </w:t>
      </w:r>
    </w:p>
    <w:p w14:paraId="0FC7A906"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85" w:name="_Toc209277152"/>
      <w:bookmarkStart w:id="186" w:name="_Toc210033812"/>
      <w:r w:rsidRPr="00990AB7">
        <w:rPr>
          <w:rFonts w:asciiTheme="majorHAnsi" w:eastAsiaTheme="majorEastAsia" w:hAnsiTheme="majorHAnsi" w:cstheme="majorHAnsi"/>
          <w:color w:val="244061" w:themeColor="accent1" w:themeShade="80"/>
          <w:szCs w:val="22"/>
        </w:rPr>
        <w:t>Ukrep 1: Celovita preureditev ulic in cest skladno z načeli trajnostne mobilnosti</w:t>
      </w:r>
      <w:bookmarkEnd w:id="185"/>
      <w:bookmarkEnd w:id="186"/>
    </w:p>
    <w:p w14:paraId="79ABF2AA"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w:t>
      </w:r>
      <w:proofErr w:type="spellStart"/>
      <w:r w:rsidRPr="00990AB7">
        <w:rPr>
          <w:rFonts w:ascii="Arial" w:hAnsi="Arial" w:cs="Arial"/>
          <w:sz w:val="22"/>
          <w:szCs w:val="22"/>
          <w:u w:val="single"/>
          <w:lang w:eastAsia="en-US"/>
        </w:rPr>
        <w:t>podukrep</w:t>
      </w:r>
      <w:proofErr w:type="spellEnd"/>
      <w:r w:rsidRPr="00990AB7">
        <w:rPr>
          <w:rFonts w:ascii="Arial" w:hAnsi="Arial" w:cs="Arial"/>
          <w:sz w:val="22"/>
          <w:szCs w:val="22"/>
          <w:u w:val="single"/>
          <w:lang w:eastAsia="en-US"/>
        </w:rPr>
        <w:t xml:space="preserve"> “območje skupnega prometnega prostora)</w:t>
      </w:r>
    </w:p>
    <w:p w14:paraId="54895965" w14:textId="7384C44F"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Govekarjeva cesta se rekonstruira in zoži na minimalno širino za dvopasovni dvosmerni promet – 5,5 m</w:t>
      </w:r>
      <w:r w:rsidR="00821D25">
        <w:rPr>
          <w:rFonts w:ascii="Arial" w:hAnsi="Arial" w:cs="Arial"/>
          <w:sz w:val="22"/>
          <w:szCs w:val="22"/>
          <w:lang w:eastAsia="en-US"/>
        </w:rPr>
        <w:t xml:space="preserve"> in uredi </w:t>
      </w:r>
      <w:r w:rsidRPr="00990AB7">
        <w:rPr>
          <w:rFonts w:ascii="Arial" w:hAnsi="Arial" w:cs="Arial"/>
          <w:sz w:val="22"/>
          <w:szCs w:val="22"/>
          <w:lang w:eastAsia="en-US"/>
        </w:rPr>
        <w:t xml:space="preserve"> skupni prometni prostor z omejitvijo hitrosti na 20 km/h</w:t>
      </w:r>
      <w:r w:rsidR="00821D25" w:rsidRPr="00990AB7">
        <w:rPr>
          <w:rFonts w:ascii="Arial" w:hAnsi="Arial" w:cs="Arial"/>
          <w:sz w:val="22"/>
          <w:szCs w:val="22"/>
          <w:lang w:eastAsia="en-US"/>
        </w:rPr>
        <w:t>. Višina ceste se poravna s pločniki in trgom, na katere meji</w:t>
      </w:r>
      <w:r w:rsidR="00821D25">
        <w:rPr>
          <w:rFonts w:ascii="Arial" w:hAnsi="Arial" w:cs="Arial"/>
          <w:sz w:val="22"/>
          <w:szCs w:val="22"/>
          <w:lang w:eastAsia="en-US"/>
        </w:rPr>
        <w:t xml:space="preserve">. </w:t>
      </w:r>
      <w:r w:rsidRPr="00990AB7">
        <w:rPr>
          <w:rFonts w:ascii="Arial" w:hAnsi="Arial" w:cs="Arial"/>
          <w:sz w:val="22"/>
          <w:szCs w:val="22"/>
          <w:lang w:eastAsia="en-US"/>
        </w:rPr>
        <w:t>Na obeh straneh območja je označeno, da gre za skupni prometni prostor (znak 2445 oz. 2445-1). Postavijo se merilec hitrosti, dva prikazovalnika in števec za kolesarje. Najmanj 10 % površine ni asfaltirane – kocke/beton. Vsa obstoječa parkirna mesta na zahodni strani Govekarjeve ceste se odstranijo in se nadomestijo z zelenim pasom z drevoredom, ki se ureja v sklopu projekta ureditve zelene infrastrukture. Urejenih je 6 PM za invalide.</w:t>
      </w:r>
    </w:p>
    <w:p w14:paraId="3437586D"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Troštova ulica se rekonstruira z novim zelenim pasom, ki se ureja v sklopu projekta ureditve zelene infrastrukture, in se zoži na 4 m, kar pomeni, da je dovolj široka samo za eno vozilo, vendar </w:t>
      </w:r>
      <w:r w:rsidRPr="00990AB7">
        <w:rPr>
          <w:rFonts w:ascii="Arial" w:hAnsi="Arial" w:cs="Arial"/>
          <w:sz w:val="22"/>
          <w:szCs w:val="22"/>
          <w:lang w:eastAsia="en-US"/>
        </w:rPr>
        <w:lastRenderedPageBreak/>
        <w:t xml:space="preserve">ostane dvopasovna. Na obeh koncih zoženja se uredi mesto za čakanje vozila, ki omogoča dobro preglednost zoženega dela. Ko je pas prost lahko vozilo zapelje na zoženi del v nasprotnem primeru počaka. Najmanj 10 % površine ni asfaltirane – kocke/beton. </w:t>
      </w:r>
    </w:p>
    <w:p w14:paraId="4A48142E"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87" w:name="_Toc209277153"/>
      <w:bookmarkStart w:id="188" w:name="_Toc210033813"/>
      <w:r w:rsidRPr="00990AB7">
        <w:rPr>
          <w:rFonts w:asciiTheme="majorHAnsi" w:eastAsiaTheme="majorEastAsia" w:hAnsiTheme="majorHAnsi" w:cstheme="majorHAnsi"/>
          <w:color w:val="244061" w:themeColor="accent1" w:themeShade="80"/>
          <w:szCs w:val="22"/>
        </w:rPr>
        <w:t>Ukrep 2: Ureditev namenskih površin za JPP</w:t>
      </w:r>
      <w:bookmarkEnd w:id="187"/>
      <w:bookmarkEnd w:id="188"/>
    </w:p>
    <w:p w14:paraId="5578E5E9"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Avtobusno postajališče se bo uredilo na nivoju cestišča z nadstrešnico nad tremi peroni. Nadstrešnica bo imela sedišča za vsaj tri osebe in bo osvetljena. Imela bo tudi koš za smeti, talne oznake za slepe in slabovidne v skladu z 10. členom Pravilnika o univerzalni graditvi in uporabi objektov in vozni red. Avtobusno postajališče izpolnjuje pogoje 8., 9., 10. člen Pravilnika o opremljenosti avtobusnih postaj, pomembnejših avtobusnih postajališč in avtobusnih postajališč ter načinu opravljanja storitev avtobusnih postaj (</w:t>
      </w:r>
      <w:proofErr w:type="spellStart"/>
      <w:r w:rsidRPr="00990AB7">
        <w:rPr>
          <w:rFonts w:ascii="Arial" w:hAnsi="Arial" w:cs="Arial"/>
          <w:sz w:val="22"/>
          <w:szCs w:val="22"/>
          <w:lang w:eastAsia="en-US"/>
        </w:rPr>
        <w:t>Ur.l</w:t>
      </w:r>
      <w:proofErr w:type="spellEnd"/>
      <w:r w:rsidRPr="00990AB7">
        <w:rPr>
          <w:rFonts w:ascii="Arial" w:hAnsi="Arial" w:cs="Arial"/>
          <w:sz w:val="22"/>
          <w:szCs w:val="22"/>
          <w:lang w:eastAsia="en-US"/>
        </w:rPr>
        <w:t>. RS, št. 86/04, 131/06-ZPCP-2).</w:t>
      </w:r>
    </w:p>
    <w:p w14:paraId="1A18FCAE"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89" w:name="_Toc209277154"/>
      <w:bookmarkStart w:id="190" w:name="_Toc210033814"/>
      <w:r w:rsidRPr="00990AB7">
        <w:rPr>
          <w:rFonts w:asciiTheme="majorHAnsi" w:eastAsiaTheme="majorEastAsia" w:hAnsiTheme="majorHAnsi" w:cstheme="majorHAnsi"/>
          <w:color w:val="244061" w:themeColor="accent1" w:themeShade="80"/>
          <w:szCs w:val="22"/>
        </w:rPr>
        <w:t>Ukrep 4: Infrastruktura za kolesarje</w:t>
      </w:r>
      <w:bookmarkEnd w:id="189"/>
      <w:bookmarkEnd w:id="190"/>
    </w:p>
    <w:p w14:paraId="2E958CBD" w14:textId="77777777" w:rsidR="00990AB7" w:rsidRPr="00257006" w:rsidRDefault="00990AB7" w:rsidP="00990AB7">
      <w:pPr>
        <w:spacing w:after="200" w:line="276" w:lineRule="auto"/>
        <w:jc w:val="both"/>
        <w:rPr>
          <w:rFonts w:asciiTheme="majorHAnsi" w:hAnsiTheme="majorHAnsi" w:cstheme="majorHAnsi"/>
          <w:sz w:val="22"/>
          <w:szCs w:val="22"/>
          <w:lang w:eastAsia="en-US"/>
        </w:rPr>
      </w:pPr>
      <w:r w:rsidRPr="00257006">
        <w:rPr>
          <w:rFonts w:asciiTheme="majorHAnsi" w:hAnsiTheme="majorHAnsi" w:cstheme="majorHAnsi"/>
          <w:sz w:val="22"/>
          <w:szCs w:val="22"/>
          <w:lang w:eastAsia="en-US"/>
        </w:rPr>
        <w:t>Odprta nadkrita parkirišča za kolesa so predvidena na štirih lokacijah v centru Iga – ob vhodu v park, ob telovadnici, ob novem javnem otroškem igrišču in ob novem pomožnem objektu sanitarij. Vsa štiri nadkrita parkirna mesta imajo prostora za 10 koles. V enem od pomožnih objektov se predvidi tudi pokrita varna kolesarnica v velikost 25,0 m</w:t>
      </w:r>
      <w:r w:rsidRPr="00257006">
        <w:rPr>
          <w:rFonts w:asciiTheme="majorHAnsi" w:hAnsiTheme="majorHAnsi" w:cstheme="majorHAnsi"/>
          <w:sz w:val="22"/>
          <w:szCs w:val="22"/>
          <w:vertAlign w:val="superscript"/>
          <w:lang w:eastAsia="en-US"/>
        </w:rPr>
        <w:t>2</w:t>
      </w:r>
      <w:r w:rsidRPr="00257006">
        <w:rPr>
          <w:rFonts w:asciiTheme="majorHAnsi" w:hAnsiTheme="majorHAnsi" w:cstheme="majorHAnsi"/>
          <w:sz w:val="22"/>
          <w:szCs w:val="22"/>
          <w:lang w:eastAsia="en-US"/>
        </w:rPr>
        <w:t xml:space="preserve">. V pokriti varni kolesarnici je prostora za 10 koles. </w:t>
      </w:r>
    </w:p>
    <w:p w14:paraId="1B13CA5E" w14:textId="51171444" w:rsidR="001A1BA8" w:rsidRDefault="001A1BA8" w:rsidP="001A1BA8">
      <w:pPr>
        <w:spacing w:line="276" w:lineRule="auto"/>
        <w:rPr>
          <w:rFonts w:asciiTheme="majorHAnsi" w:hAnsiTheme="majorHAnsi" w:cstheme="majorHAnsi"/>
          <w:bCs/>
          <w:sz w:val="22"/>
          <w:szCs w:val="22"/>
          <w:lang w:eastAsia="en-US"/>
        </w:rPr>
      </w:pPr>
      <w:bookmarkStart w:id="191" w:name="_Toc210033663"/>
      <w:r w:rsidRPr="00257006">
        <w:rPr>
          <w:rFonts w:asciiTheme="majorHAnsi" w:hAnsiTheme="majorHAnsi" w:cstheme="majorHAnsi"/>
          <w:b/>
          <w:bCs/>
          <w:sz w:val="22"/>
          <w:szCs w:val="22"/>
          <w:lang w:eastAsia="en-US"/>
        </w:rPr>
        <w:t xml:space="preserve">Slika </w:t>
      </w:r>
      <w:r w:rsidRPr="00257006">
        <w:rPr>
          <w:rFonts w:asciiTheme="majorHAnsi" w:hAnsiTheme="majorHAnsi" w:cstheme="majorHAnsi"/>
          <w:b/>
          <w:bCs/>
          <w:sz w:val="22"/>
          <w:szCs w:val="22"/>
          <w:lang w:eastAsia="en-US"/>
        </w:rPr>
        <w:fldChar w:fldCharType="begin"/>
      </w:r>
      <w:r w:rsidRPr="00257006">
        <w:rPr>
          <w:rFonts w:asciiTheme="majorHAnsi" w:hAnsiTheme="majorHAnsi" w:cstheme="majorHAnsi"/>
          <w:b/>
          <w:bCs/>
          <w:sz w:val="22"/>
          <w:szCs w:val="22"/>
          <w:lang w:eastAsia="en-US"/>
        </w:rPr>
        <w:instrText xml:space="preserve"> SEQ Slika \* ARABIC </w:instrText>
      </w:r>
      <w:r w:rsidRPr="00257006">
        <w:rPr>
          <w:rFonts w:asciiTheme="majorHAnsi" w:hAnsiTheme="majorHAnsi" w:cstheme="majorHAnsi"/>
          <w:b/>
          <w:bCs/>
          <w:sz w:val="22"/>
          <w:szCs w:val="22"/>
          <w:lang w:eastAsia="en-US"/>
        </w:rPr>
        <w:fldChar w:fldCharType="separate"/>
      </w:r>
      <w:r w:rsidR="00E74D26">
        <w:rPr>
          <w:rFonts w:asciiTheme="majorHAnsi" w:hAnsiTheme="majorHAnsi" w:cstheme="majorHAnsi"/>
          <w:b/>
          <w:bCs/>
          <w:noProof/>
          <w:sz w:val="22"/>
          <w:szCs w:val="22"/>
          <w:lang w:eastAsia="en-US"/>
        </w:rPr>
        <w:t>15</w:t>
      </w:r>
      <w:r w:rsidRPr="00257006">
        <w:rPr>
          <w:rFonts w:asciiTheme="majorHAnsi" w:hAnsiTheme="majorHAnsi" w:cstheme="majorHAnsi"/>
          <w:b/>
          <w:bCs/>
          <w:sz w:val="22"/>
          <w:szCs w:val="22"/>
          <w:lang w:eastAsia="en-US"/>
        </w:rPr>
        <w:fldChar w:fldCharType="end"/>
      </w:r>
      <w:r w:rsidRPr="00257006">
        <w:rPr>
          <w:rFonts w:asciiTheme="majorHAnsi" w:hAnsiTheme="majorHAnsi" w:cstheme="majorHAnsi"/>
          <w:b/>
          <w:bCs/>
          <w:sz w:val="22"/>
          <w:szCs w:val="22"/>
          <w:lang w:eastAsia="en-US"/>
        </w:rPr>
        <w:t xml:space="preserve">: </w:t>
      </w:r>
      <w:r w:rsidRPr="00257006">
        <w:rPr>
          <w:rFonts w:asciiTheme="majorHAnsi" w:hAnsiTheme="majorHAnsi" w:cstheme="majorHAnsi"/>
          <w:bCs/>
          <w:sz w:val="22"/>
          <w:szCs w:val="22"/>
          <w:lang w:eastAsia="en-US"/>
        </w:rPr>
        <w:t>Prikaz lokacije infrastrukture za javno izposojo e-koles</w:t>
      </w:r>
      <w:bookmarkEnd w:id="191"/>
    </w:p>
    <w:p w14:paraId="61472B79" w14:textId="77777777" w:rsidR="001A1BA8" w:rsidRPr="00990AB7" w:rsidRDefault="001A1BA8" w:rsidP="001A1BA8">
      <w:pPr>
        <w:spacing w:after="200" w:line="276" w:lineRule="auto"/>
        <w:jc w:val="both"/>
        <w:rPr>
          <w:rFonts w:ascii="Arial" w:hAnsi="Arial" w:cs="Arial"/>
          <w:sz w:val="22"/>
          <w:szCs w:val="22"/>
          <w:lang w:eastAsia="en-US"/>
        </w:rPr>
      </w:pPr>
      <w:r w:rsidRPr="00592B3C">
        <w:rPr>
          <w:rFonts w:ascii="Arial" w:hAnsi="Arial" w:cs="Arial"/>
          <w:noProof/>
          <w:sz w:val="22"/>
          <w:szCs w:val="22"/>
          <w:lang w:eastAsia="en-US"/>
        </w:rPr>
        <w:drawing>
          <wp:inline distT="0" distB="0" distL="0" distR="0" wp14:anchorId="025BAB0F" wp14:editId="44ED7552">
            <wp:extent cx="5940425" cy="4281170"/>
            <wp:effectExtent l="0" t="0" r="3175" b="5080"/>
            <wp:docPr id="1567982534" name="Slika 1" descr="A aerial view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82534" name="Slika 1" descr="A aerial view of a town&#10;&#10;AI-generated content may be incorrect."/>
                    <pic:cNvPicPr/>
                  </pic:nvPicPr>
                  <pic:blipFill>
                    <a:blip r:embed="rId77"/>
                    <a:stretch>
                      <a:fillRect/>
                    </a:stretch>
                  </pic:blipFill>
                  <pic:spPr>
                    <a:xfrm>
                      <a:off x="0" y="0"/>
                      <a:ext cx="5940425" cy="4281170"/>
                    </a:xfrm>
                    <a:prstGeom prst="rect">
                      <a:avLst/>
                    </a:prstGeom>
                  </pic:spPr>
                </pic:pic>
              </a:graphicData>
            </a:graphic>
          </wp:inline>
        </w:drawing>
      </w:r>
    </w:p>
    <w:p w14:paraId="3A44FA7D" w14:textId="4F65BBF7" w:rsidR="00990AB7" w:rsidRDefault="00990AB7" w:rsidP="00990AB7">
      <w:pPr>
        <w:spacing w:after="200" w:line="276" w:lineRule="auto"/>
        <w:jc w:val="both"/>
        <w:rPr>
          <w:rFonts w:asciiTheme="majorHAnsi" w:hAnsiTheme="majorHAnsi" w:cstheme="majorHAnsi"/>
          <w:sz w:val="22"/>
          <w:szCs w:val="22"/>
          <w:lang w:eastAsia="en-US"/>
        </w:rPr>
      </w:pPr>
      <w:r w:rsidRPr="00257006">
        <w:rPr>
          <w:rFonts w:asciiTheme="majorHAnsi" w:hAnsiTheme="majorHAnsi" w:cstheme="majorHAnsi"/>
          <w:sz w:val="22"/>
          <w:szCs w:val="22"/>
          <w:lang w:eastAsia="en-US"/>
        </w:rPr>
        <w:t xml:space="preserve">Ob avtobusnem postajališču se predvidi izposoja javnih e-koles z 10 priklopnimi mesti, na parkirišču ob Govekarjevi cesti pri pokopališču pa s 6 priklopnimi mesti. Predviden je nakup 8 e-koles. Med obema kolesarskima postajališčema </w:t>
      </w:r>
      <w:r w:rsidR="00DC3367">
        <w:rPr>
          <w:rFonts w:asciiTheme="majorHAnsi" w:hAnsiTheme="majorHAnsi" w:cstheme="majorHAnsi"/>
          <w:sz w:val="22"/>
          <w:szCs w:val="22"/>
          <w:lang w:eastAsia="en-US"/>
        </w:rPr>
        <w:t xml:space="preserve">je oz. </w:t>
      </w:r>
      <w:r w:rsidRPr="00257006">
        <w:rPr>
          <w:rFonts w:asciiTheme="majorHAnsi" w:hAnsiTheme="majorHAnsi" w:cstheme="majorHAnsi"/>
          <w:sz w:val="22"/>
          <w:szCs w:val="22"/>
          <w:lang w:eastAsia="en-US"/>
        </w:rPr>
        <w:t xml:space="preserve">bo urejena kvalitetna kolesarska </w:t>
      </w:r>
      <w:r w:rsidRPr="00257006">
        <w:rPr>
          <w:rFonts w:asciiTheme="majorHAnsi" w:hAnsiTheme="majorHAnsi" w:cstheme="majorHAnsi"/>
          <w:sz w:val="22"/>
          <w:szCs w:val="22"/>
          <w:lang w:eastAsia="en-US"/>
        </w:rPr>
        <w:lastRenderedPageBreak/>
        <w:t xml:space="preserve">infrastruktura. Del Govekarjeve ceste, ki je predmet projekta, se ureja kot skupni prometni prostor, na delu Govekarjeve ceste, od križišča s Troštovo do pokopališča, pa je zarisan kolesarski pas. </w:t>
      </w:r>
      <w:r w:rsidR="00A8185D" w:rsidRPr="001A3386">
        <w:rPr>
          <w:rFonts w:ascii="Arial" w:hAnsi="Arial" w:cs="Arial"/>
          <w:sz w:val="22"/>
          <w:szCs w:val="22"/>
        </w:rPr>
        <w:t>Na obravnavanem odseku je</w:t>
      </w:r>
      <w:r w:rsidR="00A8185D">
        <w:rPr>
          <w:rFonts w:ascii="Arial" w:hAnsi="Arial" w:cs="Arial"/>
          <w:sz w:val="22"/>
          <w:szCs w:val="22"/>
        </w:rPr>
        <w:t xml:space="preserve"> bilo v obdobju od 1.9.2025 do 11.9.2025, merjeno v eno smer, povprečno 587 prevozov vozil na dan. Ob tej predpostavki</w:t>
      </w:r>
      <w:r w:rsidR="00155EB3">
        <w:rPr>
          <w:rFonts w:ascii="Arial" w:hAnsi="Arial" w:cs="Arial"/>
          <w:sz w:val="22"/>
          <w:szCs w:val="22"/>
        </w:rPr>
        <w:t>,</w:t>
      </w:r>
      <w:r w:rsidR="00A8185D">
        <w:rPr>
          <w:rFonts w:ascii="Arial" w:hAnsi="Arial" w:cs="Arial"/>
          <w:sz w:val="22"/>
          <w:szCs w:val="22"/>
        </w:rPr>
        <w:t xml:space="preserve"> </w:t>
      </w:r>
      <w:r w:rsidR="00155EB3">
        <w:rPr>
          <w:rFonts w:ascii="Arial" w:hAnsi="Arial" w:cs="Arial"/>
          <w:sz w:val="22"/>
          <w:szCs w:val="22"/>
        </w:rPr>
        <w:t xml:space="preserve">da je enako število vozil v nasprotni smeri ocenjujemo, </w:t>
      </w:r>
      <w:r w:rsidR="00A8185D">
        <w:rPr>
          <w:rFonts w:ascii="Arial" w:hAnsi="Arial" w:cs="Arial"/>
          <w:sz w:val="22"/>
          <w:szCs w:val="22"/>
        </w:rPr>
        <w:t>da je skupaj povprečno 1174,18 prevozov vozil v obe smeri</w:t>
      </w:r>
      <w:r w:rsidR="00155EB3">
        <w:rPr>
          <w:rFonts w:asciiTheme="majorHAnsi" w:hAnsiTheme="majorHAnsi" w:cstheme="majorHAnsi"/>
          <w:sz w:val="22"/>
          <w:szCs w:val="22"/>
          <w:lang w:eastAsia="en-US"/>
        </w:rPr>
        <w:t>.</w:t>
      </w:r>
    </w:p>
    <w:p w14:paraId="034A605C"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192" w:name="_Toc257577296"/>
      <w:bookmarkStart w:id="193" w:name="_Toc11853122"/>
      <w:bookmarkStart w:id="194" w:name="_Toc209029151"/>
      <w:bookmarkStart w:id="195" w:name="_Toc209277155"/>
      <w:bookmarkStart w:id="196" w:name="_Toc210033815"/>
      <w:r w:rsidRPr="00990AB7">
        <w:rPr>
          <w:rFonts w:asciiTheme="majorHAnsi" w:eastAsiaTheme="majorEastAsia" w:hAnsiTheme="majorHAnsi" w:cstheme="majorHAnsi"/>
          <w:color w:val="244061" w:themeColor="accent1" w:themeShade="80"/>
          <w:szCs w:val="22"/>
        </w:rPr>
        <w:t>Tehnične značilnosti predvidene gradnje</w:t>
      </w:r>
      <w:bookmarkEnd w:id="192"/>
      <w:bookmarkEnd w:id="193"/>
      <w:bookmarkEnd w:id="194"/>
      <w:bookmarkEnd w:id="195"/>
      <w:bookmarkEnd w:id="196"/>
      <w:r w:rsidRPr="00990AB7">
        <w:rPr>
          <w:rFonts w:asciiTheme="majorHAnsi" w:eastAsiaTheme="majorEastAsia" w:hAnsiTheme="majorHAnsi" w:cstheme="majorHAnsi"/>
          <w:color w:val="244061" w:themeColor="accent1" w:themeShade="80"/>
          <w:szCs w:val="22"/>
        </w:rPr>
        <w:t xml:space="preserve"> </w:t>
      </w:r>
    </w:p>
    <w:p w14:paraId="575F5FD2"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197" w:name="_Toc209277156"/>
      <w:bookmarkStart w:id="198" w:name="_Toc257577297"/>
      <w:bookmarkStart w:id="199" w:name="_Toc210033816"/>
      <w:r w:rsidRPr="00990AB7">
        <w:rPr>
          <w:rFonts w:asciiTheme="majorHAnsi" w:eastAsiaTheme="majorEastAsia" w:hAnsiTheme="majorHAnsi" w:cstheme="majorHAnsi"/>
          <w:color w:val="244061" w:themeColor="accent1" w:themeShade="80"/>
          <w:szCs w:val="22"/>
        </w:rPr>
        <w:t>Ceste/ulice</w:t>
      </w:r>
      <w:bookmarkEnd w:id="197"/>
      <w:bookmarkEnd w:id="199"/>
    </w:p>
    <w:p w14:paraId="719E8432" w14:textId="77777777" w:rsidR="00990AB7" w:rsidRPr="00990AB7" w:rsidRDefault="00990AB7" w:rsidP="00990AB7">
      <w:pPr>
        <w:spacing w:after="200" w:line="276" w:lineRule="auto"/>
        <w:jc w:val="both"/>
        <w:rPr>
          <w:rFonts w:ascii="Arial" w:hAnsi="Arial" w:cs="Arial"/>
          <w:sz w:val="22"/>
          <w:szCs w:val="22"/>
          <w:lang w:val="sk-SK" w:eastAsia="en-US"/>
        </w:rPr>
      </w:pPr>
      <w:r w:rsidRPr="00990AB7">
        <w:rPr>
          <w:rFonts w:ascii="Arial" w:hAnsi="Arial" w:cs="Arial"/>
          <w:sz w:val="22"/>
          <w:szCs w:val="22"/>
          <w:lang w:val="sk-SK" w:eastAsia="en-US"/>
        </w:rPr>
        <w:t>Govekarjeva cesta in Troštova ulica se rekonstruirata po principu trajnostne mobilnosti – zmanjšanje širine cestišča na minimum, stojno mesto šolskih avtobusov na cestišču, višinska poravnana z nivojem pločnikov in tržnih površin. Delitev površin za udeležence v prometu je nakazana s spremembo v tlaku, potopljenimi robniki, točkastimi elementi (kovinske kroglice) in ne s talnimi označbami... Predvidena je skupna prometna površina po vzoru sodobnih urbanističnih načel v centrih naselij.</w:t>
      </w:r>
      <w:r w:rsidRPr="00990AB7">
        <w:rPr>
          <w:rFonts w:ascii="Arial" w:hAnsi="Arial" w:cs="Arial"/>
          <w:sz w:val="22"/>
          <w:szCs w:val="22"/>
          <w:lang w:eastAsia="en-US"/>
        </w:rPr>
        <w:t xml:space="preserve"> V okviru ureditve zelene infrastrukture se, kjer prostor dopušča, ob prometnih površinah predvidijo drevoredi z zelenimi pasovi in otoki. </w:t>
      </w:r>
      <w:r w:rsidRPr="00990AB7">
        <w:rPr>
          <w:rFonts w:ascii="Arial" w:hAnsi="Arial" w:cs="Arial"/>
          <w:sz w:val="22"/>
          <w:szCs w:val="22"/>
          <w:lang w:val="sk-SK" w:eastAsia="en-US"/>
        </w:rPr>
        <w:t xml:space="preserve">Drevesa se v največji meri ohranijo, nekatera se prestavijo na nove pozicije. </w:t>
      </w:r>
    </w:p>
    <w:p w14:paraId="69426C4C" w14:textId="4E295C46" w:rsidR="00990AB7" w:rsidRPr="00990AB7" w:rsidRDefault="00990AB7" w:rsidP="00990AB7">
      <w:pPr>
        <w:spacing w:after="200" w:line="276" w:lineRule="auto"/>
        <w:jc w:val="both"/>
        <w:rPr>
          <w:rFonts w:ascii="Arial" w:hAnsi="Arial" w:cs="Arial"/>
          <w:sz w:val="22"/>
          <w:szCs w:val="22"/>
          <w:lang w:val="sk-SK" w:eastAsia="en-US"/>
        </w:rPr>
      </w:pPr>
      <w:r w:rsidRPr="00990AB7">
        <w:rPr>
          <w:rFonts w:ascii="Arial" w:hAnsi="Arial" w:cs="Arial"/>
          <w:sz w:val="22"/>
          <w:szCs w:val="22"/>
          <w:lang w:val="sk-SK" w:eastAsia="en-US"/>
        </w:rPr>
        <w:t>Govekarjeva cesta je v celoti tlakovana s kamnitimi kockami v tekoči vezavi. Tlakovanje je vzporedno z geometrijo ceste, kar pomeni, da se smer tlakovanja na dveh mestih nekoliko zalomi, tako kot Govekarjeva cesta. Kamnite kocke so položene na tampon – betonsko ploščo – vezni sloj gotove malte. Govekarjeva cesta pada iz severa proti jugu v povprečju z 1,5% naklonom, kar omogoča naravno odvodnjavanje v eni smeri. V drugo smer se odvodnjavanje izvede iz sredine cestišča proti vsaki strani z naklonom 2%. Na vsaki strani ceste je izvedena mulda širine 30 cm, prav tako iz kamnitih kock v tekoči vezavi. V muldi se na vsakih cca. 20 m izvede cestni požiralnik v muldasti izvedbi. Tip in obdelavo kamna in velikost kock določi arhitekt.</w:t>
      </w:r>
    </w:p>
    <w:p w14:paraId="344187D6" w14:textId="77777777" w:rsidR="00990AB7" w:rsidRPr="00990AB7" w:rsidRDefault="00990AB7" w:rsidP="00990AB7">
      <w:pPr>
        <w:spacing w:after="200" w:line="276" w:lineRule="auto"/>
        <w:jc w:val="both"/>
        <w:rPr>
          <w:rFonts w:ascii="Arial" w:hAnsi="Arial" w:cs="Arial"/>
          <w:sz w:val="22"/>
          <w:szCs w:val="22"/>
          <w:lang w:val="sk-SK" w:eastAsia="en-US"/>
        </w:rPr>
      </w:pPr>
      <w:r w:rsidRPr="00990AB7">
        <w:rPr>
          <w:rFonts w:ascii="Arial" w:hAnsi="Arial" w:cs="Arial"/>
          <w:sz w:val="22"/>
          <w:szCs w:val="22"/>
          <w:lang w:val="sk-SK" w:eastAsia="en-US"/>
        </w:rPr>
        <w:t xml:space="preserve">Troštova ulica je asfaltirana, s šestimi hitrostnimi ovirami v tlaku kamnitih kock v obliki minimalne grbine dolžine 50 cm. Višina grbine je 10 cm, vizualno zaznavna kot konveksna oblika mulde. Troštova ulica ima naraven padec od zahoda proti vzhodu v povprečnem naklonu 1,5%. Cesta je dodatno izvedena z naklonom 2% v prečni smeri Troštove ulice. Voda se tako steka v muldo širine 30 cm na južni strani Troštove ulice. Po dolžini ulice je predvidenih šest cestnih požiralnikov v muldasti izvedbi. </w:t>
      </w:r>
    </w:p>
    <w:p w14:paraId="5104E99E" w14:textId="77777777" w:rsidR="00990AB7" w:rsidRPr="00990AB7" w:rsidRDefault="00990AB7" w:rsidP="00990AB7">
      <w:pPr>
        <w:spacing w:after="200" w:line="276" w:lineRule="auto"/>
        <w:jc w:val="both"/>
        <w:rPr>
          <w:rFonts w:ascii="Arial" w:hAnsi="Arial" w:cs="Arial"/>
          <w:sz w:val="22"/>
          <w:szCs w:val="22"/>
          <w:lang w:val="sk-SK" w:eastAsia="en-US"/>
        </w:rPr>
      </w:pPr>
      <w:r w:rsidRPr="00990AB7">
        <w:rPr>
          <w:rFonts w:ascii="Arial" w:hAnsi="Arial" w:cs="Arial"/>
          <w:sz w:val="22"/>
          <w:szCs w:val="22"/>
          <w:lang w:val="sk-SK" w:eastAsia="en-US"/>
        </w:rPr>
        <w:t xml:space="preserve">V območju prehoda v park se tlak izvede v pranem betonu in nakazuje vstop v park. Betonski tlak z dilatacijami nakazuje prehod za pešče. </w:t>
      </w:r>
    </w:p>
    <w:p w14:paraId="44833A2D"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00" w:name="_Toc209277157"/>
      <w:bookmarkStart w:id="201" w:name="_Toc210033817"/>
      <w:r w:rsidRPr="00990AB7">
        <w:rPr>
          <w:rFonts w:asciiTheme="majorHAnsi" w:eastAsiaTheme="majorEastAsia" w:hAnsiTheme="majorHAnsi" w:cstheme="majorHAnsi"/>
          <w:color w:val="244061" w:themeColor="accent1" w:themeShade="80"/>
          <w:szCs w:val="22"/>
        </w:rPr>
        <w:t>Večnamenski objekti – kolesarnica</w:t>
      </w:r>
      <w:bookmarkEnd w:id="200"/>
      <w:bookmarkEnd w:id="201"/>
    </w:p>
    <w:bookmarkEnd w:id="198"/>
    <w:p w14:paraId="4A27416E" w14:textId="3569F6BB"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Konstrukcija stoji na AB plošči na katero so na jeklenih nosilcih postavljeni jekleni stebri okroglega prereza. V primeru kolesarnice in sanitarij</w:t>
      </w:r>
      <w:r w:rsidR="004B6F53">
        <w:rPr>
          <w:rFonts w:ascii="Arial" w:hAnsi="Arial" w:cs="Arial"/>
          <w:sz w:val="22"/>
          <w:szCs w:val="22"/>
          <w:lang w:eastAsia="en-US"/>
        </w:rPr>
        <w:t xml:space="preserve"> (</w:t>
      </w:r>
      <w:r w:rsidRPr="00990AB7">
        <w:rPr>
          <w:rFonts w:ascii="Arial" w:hAnsi="Arial" w:cs="Arial"/>
          <w:sz w:val="22"/>
          <w:szCs w:val="22"/>
          <w:lang w:eastAsia="en-US"/>
        </w:rPr>
        <w:t>ki se ureja</w:t>
      </w:r>
      <w:r w:rsidR="004B6F53">
        <w:rPr>
          <w:rFonts w:ascii="Arial" w:hAnsi="Arial" w:cs="Arial"/>
          <w:sz w:val="22"/>
          <w:szCs w:val="22"/>
          <w:lang w:eastAsia="en-US"/>
        </w:rPr>
        <w:t>jo</w:t>
      </w:r>
      <w:r w:rsidRPr="00990AB7">
        <w:rPr>
          <w:rFonts w:ascii="Arial" w:hAnsi="Arial" w:cs="Arial"/>
          <w:sz w:val="22"/>
          <w:szCs w:val="22"/>
          <w:lang w:eastAsia="en-US"/>
        </w:rPr>
        <w:t xml:space="preserve"> v sklopu projekta ureditve zelene infrastrukture</w:t>
      </w:r>
      <w:r w:rsidR="004B6F53">
        <w:rPr>
          <w:rFonts w:ascii="Arial" w:hAnsi="Arial" w:cs="Arial"/>
          <w:sz w:val="22"/>
          <w:szCs w:val="22"/>
          <w:lang w:eastAsia="en-US"/>
        </w:rPr>
        <w:t>)</w:t>
      </w:r>
      <w:r w:rsidRPr="00990AB7">
        <w:rPr>
          <w:rFonts w:ascii="Arial" w:hAnsi="Arial" w:cs="Arial"/>
          <w:sz w:val="22"/>
          <w:szCs w:val="22"/>
          <w:lang w:eastAsia="en-US"/>
        </w:rPr>
        <w:t xml:space="preserve"> stebre nadomešča montažna lesena stena na AB podstavku. Nad stebri in stenami so položene CLT plošče na katere so </w:t>
      </w:r>
      <w:proofErr w:type="spellStart"/>
      <w:r w:rsidRPr="00990AB7">
        <w:rPr>
          <w:rFonts w:ascii="Arial" w:hAnsi="Arial" w:cs="Arial"/>
          <w:sz w:val="22"/>
          <w:szCs w:val="22"/>
          <w:lang w:eastAsia="en-US"/>
        </w:rPr>
        <w:t>posteljeni</w:t>
      </w:r>
      <w:proofErr w:type="spellEnd"/>
      <w:r w:rsidRPr="00990AB7">
        <w:rPr>
          <w:rFonts w:ascii="Arial" w:hAnsi="Arial" w:cs="Arial"/>
          <w:sz w:val="22"/>
          <w:szCs w:val="22"/>
          <w:lang w:eastAsia="en-US"/>
        </w:rPr>
        <w:t xml:space="preserve"> nosilci iz lepljenega lesa in strešina iz CLT plošče. </w:t>
      </w:r>
    </w:p>
    <w:p w14:paraId="5F060694"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Strehe vseh stavb so dvokapnice s poenotenim naklonom 40,0°. Strešine prekriva pločevinasta kritina v sivih tonih, izvedena s prezračevalnim kanalom. </w:t>
      </w:r>
    </w:p>
    <w:p w14:paraId="05375202"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lastRenderedPageBreak/>
        <w:t xml:space="preserve">Fasade stavb so lesene in se navezuje na obstoječo stavbo </w:t>
      </w:r>
      <w:proofErr w:type="spellStart"/>
      <w:r w:rsidRPr="00990AB7">
        <w:rPr>
          <w:rFonts w:ascii="Arial" w:hAnsi="Arial" w:cs="Arial"/>
          <w:sz w:val="22"/>
          <w:szCs w:val="22"/>
          <w:lang w:eastAsia="en-US"/>
        </w:rPr>
        <w:t>Morostiga</w:t>
      </w:r>
      <w:proofErr w:type="spellEnd"/>
      <w:r w:rsidRPr="00990AB7">
        <w:rPr>
          <w:rFonts w:ascii="Arial" w:hAnsi="Arial" w:cs="Arial"/>
          <w:sz w:val="22"/>
          <w:szCs w:val="22"/>
          <w:lang w:eastAsia="en-US"/>
        </w:rPr>
        <w:t xml:space="preserve">. Lesene letve so termično obdelane in </w:t>
      </w:r>
      <w:proofErr w:type="spellStart"/>
      <w:r w:rsidRPr="00990AB7">
        <w:rPr>
          <w:rFonts w:ascii="Arial" w:hAnsi="Arial" w:cs="Arial"/>
          <w:sz w:val="22"/>
          <w:szCs w:val="22"/>
          <w:lang w:eastAsia="en-US"/>
        </w:rPr>
        <w:t>posivene</w:t>
      </w:r>
      <w:proofErr w:type="spellEnd"/>
      <w:r w:rsidRPr="00990AB7">
        <w:rPr>
          <w:rFonts w:ascii="Arial" w:hAnsi="Arial" w:cs="Arial"/>
          <w:sz w:val="22"/>
          <w:szCs w:val="22"/>
          <w:lang w:eastAsia="en-US"/>
        </w:rPr>
        <w:t xml:space="preserve"> (posnemanje fasade </w:t>
      </w:r>
      <w:proofErr w:type="spellStart"/>
      <w:r w:rsidRPr="00990AB7">
        <w:rPr>
          <w:rFonts w:ascii="Arial" w:hAnsi="Arial" w:cs="Arial"/>
          <w:sz w:val="22"/>
          <w:szCs w:val="22"/>
          <w:lang w:eastAsia="en-US"/>
        </w:rPr>
        <w:t>Morostiga</w:t>
      </w:r>
      <w:proofErr w:type="spellEnd"/>
      <w:r w:rsidRPr="00990AB7">
        <w:rPr>
          <w:rFonts w:ascii="Arial" w:hAnsi="Arial" w:cs="Arial"/>
          <w:sz w:val="22"/>
          <w:szCs w:val="22"/>
          <w:lang w:eastAsia="en-US"/>
        </w:rPr>
        <w:t xml:space="preserve">). Fasada je izvedena s prezračevalnim slojem. </w:t>
      </w:r>
    </w:p>
    <w:p w14:paraId="3651BBF8"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Strop nad večnamenskimi objekti je CLT plošča vidne kvalitete s </w:t>
      </w:r>
      <w:proofErr w:type="spellStart"/>
      <w:r w:rsidRPr="00990AB7">
        <w:rPr>
          <w:rFonts w:ascii="Arial" w:hAnsi="Arial" w:cs="Arial"/>
          <w:sz w:val="22"/>
          <w:szCs w:val="22"/>
          <w:lang w:eastAsia="en-US"/>
        </w:rPr>
        <w:t>predizrezanimi</w:t>
      </w:r>
      <w:proofErr w:type="spellEnd"/>
      <w:r w:rsidRPr="00990AB7">
        <w:rPr>
          <w:rFonts w:ascii="Arial" w:hAnsi="Arial" w:cs="Arial"/>
          <w:sz w:val="22"/>
          <w:szCs w:val="22"/>
          <w:lang w:eastAsia="en-US"/>
        </w:rPr>
        <w:t xml:space="preserve"> odprtinami za svetila. </w:t>
      </w:r>
    </w:p>
    <w:p w14:paraId="78A4D722"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02" w:name="_Toc209277158"/>
      <w:bookmarkStart w:id="203" w:name="_Toc210033818"/>
      <w:r w:rsidRPr="00990AB7">
        <w:rPr>
          <w:rFonts w:asciiTheme="majorHAnsi" w:eastAsiaTheme="majorEastAsia" w:hAnsiTheme="majorHAnsi" w:cstheme="majorHAnsi"/>
          <w:color w:val="244061" w:themeColor="accent1" w:themeShade="80"/>
          <w:szCs w:val="22"/>
        </w:rPr>
        <w:t>Nadstrešnica avtobusnega postajališča</w:t>
      </w:r>
      <w:bookmarkEnd w:id="202"/>
      <w:bookmarkEnd w:id="203"/>
    </w:p>
    <w:p w14:paraId="71F7482A"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Nadstrešnica avtobusnega postajališča je zasnovana kot sodobna, trajna in estetsko skladna konstrukcija, ki združuje jeklo, beton in les v uravnotežen arhitekturni izraz. Temelji konstrukcije predstavljajo armiranobetonske plošče, na katere so postavljeni jekleni stebri okroglega prereza. Ti nosilni elementi so na armiranobetonsko ploščo pritrjeni preko jeklenih podložk, kar zagotavlja stabilnost in trajnost celotne konstrukcije.</w:t>
      </w:r>
    </w:p>
    <w:p w14:paraId="369856EA"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Na jeklene stebre so pritrjene CLT plošče, ki služijo kot podlaga za nosilce iz lepljenega lesa (kapne lege) ter za sleme, izvedeno iz masivnega lesa. Ta kombinacija materialov združuje visoko nosilnost jekla in betona s toplino in naravno estetiko lesa. Strešno konstrukcijo tvorijo CLT plošče, ki hkrati zagotavljajo togost in oblikovno čistost.</w:t>
      </w:r>
    </w:p>
    <w:p w14:paraId="0D4B18F7"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Streha nadstrešnice je oblikovana kot tri zaporedne dvokapnice z naklonom 40 stopinj. Posamezni segmenti so zamaknjeni po dolžini, kar ustvarja dinamično arhitekturno podobo in povečuje prepoznavnost objekta. Streha je prekrita s pločevinasto kritino v sivih tonih, izvedeno s prezračevalnim kanalom, kar zagotavlja trajnost, enostavno vzdrževanje ter skladnost z okolico.</w:t>
      </w:r>
    </w:p>
    <w:p w14:paraId="150979ED"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Fasade stavb so oblikovane v lesu in se navezujejo na arhitekturni izraz sosednje stavbe </w:t>
      </w:r>
      <w:proofErr w:type="spellStart"/>
      <w:r w:rsidRPr="00990AB7">
        <w:rPr>
          <w:rFonts w:ascii="Arial" w:hAnsi="Arial" w:cs="Arial"/>
          <w:sz w:val="22"/>
          <w:szCs w:val="22"/>
          <w:lang w:eastAsia="en-US"/>
        </w:rPr>
        <w:t>Morostig</w:t>
      </w:r>
      <w:proofErr w:type="spellEnd"/>
      <w:r w:rsidRPr="00990AB7">
        <w:rPr>
          <w:rFonts w:ascii="Arial" w:hAnsi="Arial" w:cs="Arial"/>
          <w:sz w:val="22"/>
          <w:szCs w:val="22"/>
          <w:lang w:eastAsia="en-US"/>
        </w:rPr>
        <w:t xml:space="preserve">. Lesene letve so termično obdelane in </w:t>
      </w:r>
      <w:proofErr w:type="spellStart"/>
      <w:r w:rsidRPr="00990AB7">
        <w:rPr>
          <w:rFonts w:ascii="Arial" w:hAnsi="Arial" w:cs="Arial"/>
          <w:sz w:val="22"/>
          <w:szCs w:val="22"/>
          <w:lang w:eastAsia="en-US"/>
        </w:rPr>
        <w:t>posivene</w:t>
      </w:r>
      <w:proofErr w:type="spellEnd"/>
      <w:r w:rsidRPr="00990AB7">
        <w:rPr>
          <w:rFonts w:ascii="Arial" w:hAnsi="Arial" w:cs="Arial"/>
          <w:sz w:val="22"/>
          <w:szCs w:val="22"/>
          <w:lang w:eastAsia="en-US"/>
        </w:rPr>
        <w:t xml:space="preserve">, kar ustvarja videz, ki posnema obstoječo fasado </w:t>
      </w:r>
      <w:proofErr w:type="spellStart"/>
      <w:r w:rsidRPr="00990AB7">
        <w:rPr>
          <w:rFonts w:ascii="Arial" w:hAnsi="Arial" w:cs="Arial"/>
          <w:sz w:val="22"/>
          <w:szCs w:val="22"/>
          <w:lang w:eastAsia="en-US"/>
        </w:rPr>
        <w:t>Morostiga</w:t>
      </w:r>
      <w:proofErr w:type="spellEnd"/>
      <w:r w:rsidRPr="00990AB7">
        <w:rPr>
          <w:rFonts w:ascii="Arial" w:hAnsi="Arial" w:cs="Arial"/>
          <w:sz w:val="22"/>
          <w:szCs w:val="22"/>
          <w:lang w:eastAsia="en-US"/>
        </w:rPr>
        <w:t>, hkrati pa zagotavlja odpornost proti vremenskim vplivom. Fasada je izvedena kot prezračevana, kar dodatno podaljšuje njeno življenjsko dobo in izboljšuje bivalno udobje.</w:t>
      </w:r>
    </w:p>
    <w:p w14:paraId="2797236F"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Strop nad avtobusnim postajališčem je izdelan iz CLT plošč vidne kvalitete, ki dajejo objektu estetsko vrednost in toplino lesa. Plošče imajo vnaprej pripravljene odprtine za vgradnjo svetil, kar omogoča enostavno integracijo razsvetljave in poudarja sodobno funkcionalnost objekta.</w:t>
      </w:r>
    </w:p>
    <w:p w14:paraId="6C3724D9"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04" w:name="_Toc209277159"/>
      <w:bookmarkStart w:id="205" w:name="_Toc210033819"/>
      <w:r w:rsidRPr="00990AB7">
        <w:rPr>
          <w:rFonts w:asciiTheme="majorHAnsi" w:eastAsiaTheme="majorEastAsia" w:hAnsiTheme="majorHAnsi" w:cstheme="majorHAnsi"/>
          <w:color w:val="244061" w:themeColor="accent1" w:themeShade="80"/>
          <w:szCs w:val="22"/>
        </w:rPr>
        <w:t>Parkirišča</w:t>
      </w:r>
      <w:bookmarkEnd w:id="204"/>
      <w:bookmarkEnd w:id="205"/>
    </w:p>
    <w:p w14:paraId="45BEB9CF" w14:textId="2CB68FFC"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Pred OŠ Ig se rekonstruira obstoječe parkirišče. Površine parkirišča so prav tako višinsko poravnane s cesto in tržnimi površinami, kar omogočan drugačno rabo v prihodnosti. Pred glavnim vhodom v OŠ je zasnovana »</w:t>
      </w:r>
      <w:proofErr w:type="spellStart"/>
      <w:r w:rsidRPr="00990AB7">
        <w:rPr>
          <w:rFonts w:ascii="Arial" w:hAnsi="Arial" w:cs="Arial"/>
          <w:sz w:val="22"/>
          <w:szCs w:val="22"/>
          <w:lang w:eastAsia="en-US"/>
        </w:rPr>
        <w:t>drop-off</w:t>
      </w:r>
      <w:proofErr w:type="spellEnd"/>
      <w:r w:rsidRPr="00990AB7">
        <w:rPr>
          <w:rFonts w:ascii="Arial" w:hAnsi="Arial" w:cs="Arial"/>
          <w:sz w:val="22"/>
          <w:szCs w:val="22"/>
          <w:lang w:eastAsia="en-US"/>
        </w:rPr>
        <w:t>« cona za varen prihod šolarjev. Dimenzije parkirnih mest so 2,7 x 5,0 m. Parkirnih mest je 56, od tega 6 za invalide</w:t>
      </w:r>
      <w:r w:rsidR="00C61EE2">
        <w:rPr>
          <w:rFonts w:ascii="Arial" w:hAnsi="Arial" w:cs="Arial"/>
          <w:sz w:val="22"/>
          <w:szCs w:val="22"/>
          <w:lang w:eastAsia="en-US"/>
        </w:rPr>
        <w:t>, ki so locirani na Govekarjevi ulici</w:t>
      </w:r>
      <w:r w:rsidR="00592B3C">
        <w:rPr>
          <w:rFonts w:ascii="Arial" w:hAnsi="Arial" w:cs="Arial"/>
          <w:sz w:val="22"/>
          <w:szCs w:val="22"/>
          <w:lang w:eastAsia="en-US"/>
        </w:rPr>
        <w:t xml:space="preserve"> in del skupnega prometnega prostora</w:t>
      </w:r>
      <w:r w:rsidRPr="00990AB7">
        <w:rPr>
          <w:rFonts w:ascii="Arial" w:hAnsi="Arial" w:cs="Arial"/>
          <w:sz w:val="22"/>
          <w:szCs w:val="22"/>
          <w:lang w:eastAsia="en-US"/>
        </w:rPr>
        <w:t>. Ob parkirnih mestih se predvidijo drevoredi z zelenimi pasovi ali otoki.</w:t>
      </w:r>
    </w:p>
    <w:p w14:paraId="40EB1490"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06" w:name="_Toc209277160"/>
      <w:bookmarkStart w:id="207" w:name="_Toc210033820"/>
      <w:r w:rsidRPr="00990AB7">
        <w:rPr>
          <w:rFonts w:asciiTheme="majorHAnsi" w:eastAsiaTheme="majorEastAsia" w:hAnsiTheme="majorHAnsi" w:cstheme="majorHAnsi"/>
          <w:color w:val="244061" w:themeColor="accent1" w:themeShade="80"/>
          <w:szCs w:val="22"/>
        </w:rPr>
        <w:t>Tlakovanje</w:t>
      </w:r>
      <w:bookmarkEnd w:id="206"/>
      <w:bookmarkEnd w:id="207"/>
    </w:p>
    <w:p w14:paraId="05958FF7"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Pri prenovi prometnih in javnih površin v središču Iga je bila posebna pozornost namenjena izboru materialov, saj ti pomembno vplivajo na kakovost prostora, trajnostno rabo ter dolgoročno vzdrževanje. Uporabljeni bodo različni tipi tlakovanja, ki so prilagojeni funkciji posameznih površin, estetiki naselja in zahtevam trajnostne mobilnosti.</w:t>
      </w:r>
    </w:p>
    <w:p w14:paraId="55C0A137"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b/>
          <w:bCs/>
          <w:sz w:val="22"/>
          <w:szCs w:val="22"/>
          <w:lang w:eastAsia="en-US"/>
        </w:rPr>
        <w:lastRenderedPageBreak/>
        <w:t>Kamnite kocke</w:t>
      </w:r>
      <w:r w:rsidRPr="00990AB7">
        <w:rPr>
          <w:rFonts w:ascii="Arial" w:hAnsi="Arial" w:cs="Arial"/>
          <w:sz w:val="22"/>
          <w:szCs w:val="22"/>
          <w:lang w:eastAsia="en-US"/>
        </w:rPr>
        <w:t xml:space="preserve"> se bodo uporabile v več različicah:</w:t>
      </w:r>
    </w:p>
    <w:p w14:paraId="59F59472" w14:textId="77777777" w:rsidR="00990AB7" w:rsidRPr="00990AB7" w:rsidRDefault="00990AB7" w:rsidP="00990AB7">
      <w:pPr>
        <w:numPr>
          <w:ilvl w:val="0"/>
          <w:numId w:val="144"/>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V pahljačastem vzorcu (T1) bodo zagotavljale estetsko prepoznavnost in tradicionalen videz, ki povezuje prenovljeno območje s kulturno dediščino kraja. Tak vzorec obenem prispeva k vizualnemu umirjanju prometa.</w:t>
      </w:r>
    </w:p>
    <w:p w14:paraId="3D4CAE9C" w14:textId="77777777" w:rsidR="00990AB7" w:rsidRPr="00990AB7" w:rsidRDefault="00990AB7" w:rsidP="00990AB7">
      <w:pPr>
        <w:numPr>
          <w:ilvl w:val="0"/>
          <w:numId w:val="144"/>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V tekoči vezavi (T2) bodo kocke ustvarile enovite, trajne in vizualno urejene površine, primerne za območja z večjo obremenitvijo pešcev.</w:t>
      </w:r>
    </w:p>
    <w:p w14:paraId="41D35E4E" w14:textId="77777777" w:rsidR="00990AB7" w:rsidRPr="00990AB7" w:rsidRDefault="00990AB7" w:rsidP="00990AB7">
      <w:pPr>
        <w:numPr>
          <w:ilvl w:val="0"/>
          <w:numId w:val="144"/>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V obliki </w:t>
      </w:r>
      <w:proofErr w:type="spellStart"/>
      <w:r w:rsidRPr="00990AB7">
        <w:rPr>
          <w:rFonts w:ascii="Arial" w:hAnsi="Arial" w:cs="Arial"/>
          <w:sz w:val="22"/>
          <w:szCs w:val="22"/>
          <w:lang w:eastAsia="en-US"/>
        </w:rPr>
        <w:t>mulde</w:t>
      </w:r>
      <w:proofErr w:type="spellEnd"/>
      <w:r w:rsidRPr="00990AB7">
        <w:rPr>
          <w:rFonts w:ascii="Arial" w:hAnsi="Arial" w:cs="Arial"/>
          <w:sz w:val="22"/>
          <w:szCs w:val="22"/>
          <w:lang w:eastAsia="en-US"/>
        </w:rPr>
        <w:t xml:space="preserve"> (T3) bodo kamnite kocke omogočale odvodnjavanje padavinskih vod ter s tem izboljšale funkcionalnost površin tudi ob večjih nalivih.</w:t>
      </w:r>
    </w:p>
    <w:p w14:paraId="64D5A2B0"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b/>
          <w:bCs/>
          <w:sz w:val="22"/>
          <w:szCs w:val="22"/>
          <w:lang w:eastAsia="en-US"/>
        </w:rPr>
        <w:t>Prani beton z dilatacijami (T4)</w:t>
      </w:r>
      <w:r w:rsidRPr="00990AB7">
        <w:rPr>
          <w:rFonts w:ascii="Arial" w:hAnsi="Arial" w:cs="Arial"/>
          <w:sz w:val="22"/>
          <w:szCs w:val="22"/>
          <w:lang w:eastAsia="en-US"/>
        </w:rPr>
        <w:t xml:space="preserve"> bo uporabljen na površinah, kjer je potrebna večja enotnost, gladkost in trajnost, hkrati pa se z dodanim </w:t>
      </w:r>
      <w:proofErr w:type="spellStart"/>
      <w:r w:rsidRPr="00990AB7">
        <w:rPr>
          <w:rFonts w:ascii="Arial" w:hAnsi="Arial" w:cs="Arial"/>
          <w:sz w:val="22"/>
          <w:szCs w:val="22"/>
          <w:lang w:eastAsia="en-US"/>
        </w:rPr>
        <w:t>teksturnim</w:t>
      </w:r>
      <w:proofErr w:type="spellEnd"/>
      <w:r w:rsidRPr="00990AB7">
        <w:rPr>
          <w:rFonts w:ascii="Arial" w:hAnsi="Arial" w:cs="Arial"/>
          <w:sz w:val="22"/>
          <w:szCs w:val="22"/>
          <w:lang w:eastAsia="en-US"/>
        </w:rPr>
        <w:t xml:space="preserve"> videzom doseže prijetna vizualna podoba, ki je skladna z urbanim okoljem.</w:t>
      </w:r>
    </w:p>
    <w:p w14:paraId="72CF174C"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b/>
          <w:bCs/>
          <w:sz w:val="22"/>
          <w:szCs w:val="22"/>
          <w:lang w:eastAsia="en-US"/>
        </w:rPr>
        <w:t>Asfalt (T5)</w:t>
      </w:r>
      <w:r w:rsidRPr="00990AB7">
        <w:rPr>
          <w:rFonts w:ascii="Arial" w:hAnsi="Arial" w:cs="Arial"/>
          <w:sz w:val="22"/>
          <w:szCs w:val="22"/>
          <w:lang w:eastAsia="en-US"/>
        </w:rPr>
        <w:t xml:space="preserve"> bo v uporabi na tistih delih, kjer je potreben trden in ekonomičen material, predvsem za </w:t>
      </w:r>
      <w:proofErr w:type="spellStart"/>
      <w:r w:rsidRPr="00990AB7">
        <w:rPr>
          <w:rFonts w:ascii="Arial" w:hAnsi="Arial" w:cs="Arial"/>
          <w:sz w:val="22"/>
          <w:szCs w:val="22"/>
          <w:lang w:eastAsia="en-US"/>
        </w:rPr>
        <w:t>povozne</w:t>
      </w:r>
      <w:proofErr w:type="spellEnd"/>
      <w:r w:rsidRPr="00990AB7">
        <w:rPr>
          <w:rFonts w:ascii="Arial" w:hAnsi="Arial" w:cs="Arial"/>
          <w:sz w:val="22"/>
          <w:szCs w:val="22"/>
          <w:lang w:eastAsia="en-US"/>
        </w:rPr>
        <w:t xml:space="preserve"> površine, ki so namenjene motornemu prometu.</w:t>
      </w:r>
    </w:p>
    <w:p w14:paraId="0DBDA4E4"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b/>
          <w:bCs/>
          <w:sz w:val="22"/>
          <w:szCs w:val="22"/>
          <w:lang w:eastAsia="en-US"/>
        </w:rPr>
        <w:t>Netlakovane površine za zelenje (T6)</w:t>
      </w:r>
      <w:r w:rsidRPr="00990AB7">
        <w:rPr>
          <w:rFonts w:ascii="Arial" w:hAnsi="Arial" w:cs="Arial"/>
          <w:sz w:val="22"/>
          <w:szCs w:val="22"/>
          <w:lang w:eastAsia="en-US"/>
        </w:rPr>
        <w:t xml:space="preserve"> pa bodo omogočale zasaditve in ozelenitev. Te površine bodo dopolnjevale sistem zelene infrastrukture, prispevale k večji biotski raznovrstnosti ter zmanjšale učinke toplotnih otokov.</w:t>
      </w:r>
    </w:p>
    <w:p w14:paraId="3F6B700E"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Skupaj izbrani materiali omogočajo oblikovanje prostora, ki je trajnostno naravnan, estetsko usklajen ter funkcionalno raznolik. Poudarek na naravnih materialih, kot sta kamen in beton z dodatnimi obdelavami, prispeva k daljši življenjski dobi površin, zmanjšanju stroškov vzdrževanja ter izboljšanju uporabniške izkušnje.</w:t>
      </w:r>
    </w:p>
    <w:p w14:paraId="17B6AFE4"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08" w:name="_Toc209277161"/>
      <w:bookmarkStart w:id="209" w:name="_Toc210033821"/>
      <w:r w:rsidRPr="00990AB7">
        <w:rPr>
          <w:rFonts w:asciiTheme="majorHAnsi" w:eastAsiaTheme="majorEastAsia" w:hAnsiTheme="majorHAnsi" w:cstheme="majorHAnsi"/>
          <w:color w:val="244061" w:themeColor="accent1" w:themeShade="80"/>
          <w:szCs w:val="22"/>
        </w:rPr>
        <w:t>Urbana oprema</w:t>
      </w:r>
      <w:bookmarkEnd w:id="208"/>
      <w:bookmarkEnd w:id="209"/>
    </w:p>
    <w:p w14:paraId="7FEC0109" w14:textId="77777777" w:rsidR="00990AB7" w:rsidRPr="00990AB7" w:rsidRDefault="00990AB7" w:rsidP="00990AB7">
      <w:pPr>
        <w:spacing w:after="200" w:line="276" w:lineRule="auto"/>
        <w:jc w:val="both"/>
        <w:rPr>
          <w:rFonts w:ascii="Arial" w:hAnsi="Arial" w:cs="Arial"/>
          <w:bCs/>
          <w:sz w:val="22"/>
          <w:szCs w:val="22"/>
          <w:lang w:eastAsia="en-US"/>
        </w:rPr>
      </w:pPr>
      <w:r w:rsidRPr="00990AB7">
        <w:rPr>
          <w:rFonts w:ascii="Arial" w:hAnsi="Arial" w:cs="Arial"/>
          <w:bCs/>
          <w:sz w:val="22"/>
          <w:szCs w:val="22"/>
          <w:lang w:eastAsia="en-US"/>
        </w:rPr>
        <w:t xml:space="preserve">Urbano opremo sestavljajo naslednji elementi: klop, kocke, </w:t>
      </w:r>
      <w:proofErr w:type="spellStart"/>
      <w:r w:rsidRPr="00990AB7">
        <w:rPr>
          <w:rFonts w:ascii="Arial" w:hAnsi="Arial" w:cs="Arial"/>
          <w:bCs/>
          <w:sz w:val="22"/>
          <w:szCs w:val="22"/>
          <w:lang w:eastAsia="en-US"/>
        </w:rPr>
        <w:t>pitnik</w:t>
      </w:r>
      <w:proofErr w:type="spellEnd"/>
      <w:r w:rsidRPr="00990AB7">
        <w:rPr>
          <w:rFonts w:ascii="Arial" w:hAnsi="Arial" w:cs="Arial"/>
          <w:bCs/>
          <w:sz w:val="22"/>
          <w:szCs w:val="22"/>
          <w:lang w:eastAsia="en-US"/>
        </w:rPr>
        <w:t xml:space="preserve">, stojala za kolesa, koši za smeti, </w:t>
      </w:r>
      <w:proofErr w:type="spellStart"/>
      <w:r w:rsidRPr="00990AB7">
        <w:rPr>
          <w:rFonts w:ascii="Arial" w:hAnsi="Arial" w:cs="Arial"/>
          <w:bCs/>
          <w:sz w:val="22"/>
          <w:szCs w:val="22"/>
          <w:lang w:eastAsia="en-US"/>
        </w:rPr>
        <w:t>info</w:t>
      </w:r>
      <w:proofErr w:type="spellEnd"/>
      <w:r w:rsidRPr="00990AB7">
        <w:rPr>
          <w:rFonts w:ascii="Arial" w:hAnsi="Arial" w:cs="Arial"/>
          <w:bCs/>
          <w:sz w:val="22"/>
          <w:szCs w:val="22"/>
          <w:lang w:eastAsia="en-US"/>
        </w:rPr>
        <w:t xml:space="preserve"> tabla, ulične svetilke.</w:t>
      </w:r>
    </w:p>
    <w:p w14:paraId="1BF0C54F" w14:textId="77777777" w:rsidR="00990AB7" w:rsidRPr="00990AB7" w:rsidRDefault="00990AB7" w:rsidP="00990AB7">
      <w:pPr>
        <w:pStyle w:val="Naslov2"/>
        <w:numPr>
          <w:ilvl w:val="2"/>
          <w:numId w:val="1"/>
        </w:numPr>
        <w:spacing w:before="360" w:after="240"/>
        <w:rPr>
          <w:rFonts w:asciiTheme="majorHAnsi" w:eastAsiaTheme="majorEastAsia" w:hAnsiTheme="majorHAnsi" w:cstheme="majorHAnsi"/>
          <w:color w:val="244061" w:themeColor="accent1" w:themeShade="80"/>
          <w:szCs w:val="22"/>
        </w:rPr>
      </w:pPr>
      <w:bookmarkStart w:id="210" w:name="_Toc209277162"/>
      <w:bookmarkStart w:id="211" w:name="_Toc11853124"/>
      <w:bookmarkStart w:id="212" w:name="_Toc58921173"/>
      <w:bookmarkStart w:id="213" w:name="_Toc210033822"/>
      <w:r w:rsidRPr="00990AB7">
        <w:rPr>
          <w:rFonts w:asciiTheme="majorHAnsi" w:eastAsiaTheme="majorEastAsia" w:hAnsiTheme="majorHAnsi" w:cstheme="majorHAnsi"/>
          <w:color w:val="244061" w:themeColor="accent1" w:themeShade="80"/>
          <w:szCs w:val="22"/>
        </w:rPr>
        <w:t>Ostalo</w:t>
      </w:r>
      <w:bookmarkEnd w:id="210"/>
      <w:bookmarkEnd w:id="213"/>
    </w:p>
    <w:p w14:paraId="484AED19"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Celovita ureditev centra Ig upošteva načela univerzalnega oblikovanja. To pomeni, da vse prostore, in objekte lahko kar najbolj učinkovito uporabljajo vsi ljudje, ne glede na to, kakšne so njihove psihofizične sposobnosti.</w:t>
      </w:r>
    </w:p>
    <w:p w14:paraId="7D76C600"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Načrtovane prostore in objekte centra Ig lahko enakovredno uporabljajo ljudje z različnimi sposobnostmi in zmožnostmi. Pri načrtovanju ni predvidenega ločevanja posameznih skupin uporabnikov. Vsem uporabnikom je prav tako zagotovljena enakovredna varnost.</w:t>
      </w:r>
    </w:p>
    <w:p w14:paraId="5096D9BF" w14:textId="3D2B34A2" w:rsidR="00990AB7" w:rsidRPr="00990AB7" w:rsidRDefault="00913C7D" w:rsidP="00990AB7">
      <w:pPr>
        <w:spacing w:after="200" w:line="276" w:lineRule="auto"/>
        <w:jc w:val="both"/>
        <w:rPr>
          <w:rFonts w:ascii="Arial" w:hAnsi="Arial" w:cs="Arial"/>
          <w:sz w:val="22"/>
          <w:szCs w:val="22"/>
          <w:lang w:eastAsia="en-US"/>
        </w:rPr>
      </w:pPr>
      <w:r>
        <w:rPr>
          <w:rFonts w:ascii="Arial" w:hAnsi="Arial" w:cs="Arial"/>
          <w:sz w:val="22"/>
          <w:szCs w:val="22"/>
          <w:lang w:eastAsia="en-US"/>
        </w:rPr>
        <w:t xml:space="preserve"> </w:t>
      </w:r>
    </w:p>
    <w:p w14:paraId="462C5605"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 xml:space="preserve">Ureditev centra Ig upošteva jasno zasnovo prostorov, kjer je omogočena preprosta oriantacija v različnih pogojih. Zasnova ne predvideva vizualnih barrier, ki bi onemogočale preglednost in orientacijo. Zunanji prostori so odprti in jasno povezani v smislu materialnosti in oblike (poenoten tlak Govekarjeve ceste in centra Ig, ki se izteče v Troštovo ulico in park). Prostori, objekti in urbana oprema bodo oblikovani dosledno, ter v skladu z uporabnikovimi pričakovanji in intuicijo. Prostori, objekti in urbana oprema bodo pozicionirani smiselno in opremljeni z jasno in poenoteno usmerjevalno grafično podobo, pozicionirano na značilnih mestih. Tam kjer je smiselno, bodo </w:t>
      </w:r>
      <w:r w:rsidRPr="00990AB7">
        <w:rPr>
          <w:rFonts w:ascii="Arial" w:hAnsi="Arial" w:cs="Arial"/>
          <w:sz w:val="22"/>
          <w:szCs w:val="22"/>
          <w:lang w:val="pl-PL" w:eastAsia="en-US"/>
        </w:rPr>
        <w:lastRenderedPageBreak/>
        <w:t>napise nadomeščali standardni slikovani simboli, ki so razumljivi večini ljudi (npr. javno stranišče). Usmerjevalna znamenja bodo jasno ločena od oglasnih sporočil in drugih znamenj, kar omogoča boljšo zaznavnost.</w:t>
      </w:r>
    </w:p>
    <w:p w14:paraId="2DECCB4B"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 xml:space="preserve">Prostori in objekti centra Ig bodo imeli zagotovljen jasen prikaz pomembnih informacij (naziv stavb, ulic, objektov itn.). Zagotovljen bo dovolj močan vizualni kontrast in berljivost napisov. </w:t>
      </w:r>
    </w:p>
    <w:p w14:paraId="703FCF0A" w14:textId="3D8EF661"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Zasnova zmanjšuje možnosti nevarnost</w:t>
      </w:r>
      <w:r w:rsidR="00913C7D">
        <w:rPr>
          <w:rFonts w:ascii="Arial" w:hAnsi="Arial" w:cs="Arial"/>
          <w:sz w:val="22"/>
          <w:szCs w:val="22"/>
          <w:lang w:val="pl-PL" w:eastAsia="en-US"/>
        </w:rPr>
        <w:t>i</w:t>
      </w:r>
      <w:r w:rsidRPr="00990AB7">
        <w:rPr>
          <w:rFonts w:ascii="Arial" w:hAnsi="Arial" w:cs="Arial"/>
          <w:sz w:val="22"/>
          <w:szCs w:val="22"/>
          <w:lang w:val="pl-PL" w:eastAsia="en-US"/>
        </w:rPr>
        <w:t xml:space="preserve"> in nepravilno uporabo prostora. To se kaže v različni materialnosti prostora, npr. sprememba v </w:t>
      </w:r>
      <w:r w:rsidR="00913C7D" w:rsidRPr="00990AB7">
        <w:rPr>
          <w:rFonts w:ascii="Arial" w:hAnsi="Arial" w:cs="Arial"/>
          <w:sz w:val="22"/>
          <w:szCs w:val="22"/>
          <w:lang w:val="pl-PL" w:eastAsia="en-US"/>
        </w:rPr>
        <w:t>tlak</w:t>
      </w:r>
      <w:r w:rsidR="00913C7D">
        <w:rPr>
          <w:rFonts w:ascii="Arial" w:hAnsi="Arial" w:cs="Arial"/>
          <w:sz w:val="22"/>
          <w:szCs w:val="22"/>
          <w:lang w:val="pl-PL" w:eastAsia="en-US"/>
        </w:rPr>
        <w:t>u</w:t>
      </w:r>
      <w:r w:rsidR="00913C7D" w:rsidRPr="00990AB7">
        <w:rPr>
          <w:rFonts w:ascii="Arial" w:hAnsi="Arial" w:cs="Arial"/>
          <w:sz w:val="22"/>
          <w:szCs w:val="22"/>
          <w:lang w:val="pl-PL" w:eastAsia="en-US"/>
        </w:rPr>
        <w:t xml:space="preserve"> </w:t>
      </w:r>
      <w:r w:rsidRPr="00990AB7">
        <w:rPr>
          <w:rFonts w:ascii="Arial" w:hAnsi="Arial" w:cs="Arial"/>
          <w:sz w:val="22"/>
          <w:szCs w:val="22"/>
          <w:lang w:val="pl-PL" w:eastAsia="en-US"/>
        </w:rPr>
        <w:t>na Govekarjevi cesti, različna orientiranost tlakovanja ceste in pločnikov/tržnih površin in njihova minimalna višinska diferenca. Na Troštovi ulici je tlak povezave za peščce drugačen od cestišča. Med površinami za mirujoči promet in površinami za pešce so predvideni zeleni otoki, ki jasno definirajo prostor. Preko trga pred občino je speljana dostopna cesta za osebna vozila, katera ima jasno označeno vozišče. Pred šolo, kjer je predvidena drop-off cona, je predvidena uporaba betonskih prefabrikatov, ki jasno ločujejo motorni promet in peščce.</w:t>
      </w:r>
    </w:p>
    <w:p w14:paraId="5AF6A7D2" w14:textId="0D284C06"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Objekti so oblikovani na način, da je njihova uporaba lahkotna in uporabnikom ne povzroča napora (uporaba vrat brez pnevmatskega zapiralnika, ustrezna višina kljuke)</w:t>
      </w:r>
      <w:r w:rsidR="00913C7D">
        <w:rPr>
          <w:rFonts w:ascii="Arial" w:hAnsi="Arial" w:cs="Arial"/>
          <w:sz w:val="22"/>
          <w:szCs w:val="22"/>
          <w:lang w:val="pl-PL" w:eastAsia="en-US"/>
        </w:rPr>
        <w:t>.</w:t>
      </w:r>
    </w:p>
    <w:p w14:paraId="4391006D"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val="pl-PL" w:eastAsia="en-US"/>
        </w:rPr>
        <w:t>Pločniki, poti in protori so ustrezno dimenzionirani. Posebna pozornost je namenjena javnemu stranišču za invalide, kjer je zagotovljena ustrezna dostopnost, nadstrešek, širina prehoda in velikost prostora.</w:t>
      </w:r>
    </w:p>
    <w:p w14:paraId="2CCA26F9"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Na obeh objektih je predvidena vgradnja </w:t>
      </w:r>
      <w:proofErr w:type="spellStart"/>
      <w:r w:rsidRPr="00990AB7">
        <w:rPr>
          <w:rFonts w:ascii="Arial" w:hAnsi="Arial" w:cs="Arial"/>
          <w:sz w:val="22"/>
          <w:szCs w:val="22"/>
          <w:lang w:eastAsia="en-US"/>
        </w:rPr>
        <w:t>fotonapetostnih</w:t>
      </w:r>
      <w:proofErr w:type="spellEnd"/>
      <w:r w:rsidRPr="00990AB7">
        <w:rPr>
          <w:rFonts w:ascii="Arial" w:hAnsi="Arial" w:cs="Arial"/>
          <w:sz w:val="22"/>
          <w:szCs w:val="22"/>
          <w:lang w:eastAsia="en-US"/>
        </w:rPr>
        <w:t xml:space="preserve"> (PV) sistemov za proizvodnjo električne energije iz sončnega sevanja. </w:t>
      </w:r>
      <w:proofErr w:type="spellStart"/>
      <w:r w:rsidRPr="00990AB7">
        <w:rPr>
          <w:rFonts w:ascii="Arial" w:hAnsi="Arial" w:cs="Arial"/>
          <w:sz w:val="22"/>
          <w:szCs w:val="22"/>
          <w:lang w:eastAsia="en-US"/>
        </w:rPr>
        <w:t>Fotovoltaični</w:t>
      </w:r>
      <w:proofErr w:type="spellEnd"/>
      <w:r w:rsidRPr="00990AB7">
        <w:rPr>
          <w:rFonts w:ascii="Arial" w:hAnsi="Arial" w:cs="Arial"/>
          <w:sz w:val="22"/>
          <w:szCs w:val="22"/>
          <w:lang w:eastAsia="en-US"/>
        </w:rPr>
        <w:t xml:space="preserve"> moduli bodo nameščeni na južno orientirane strešne površine, kar omogoča optimalno osončenje in maksimalni izkoristek. Električna povezava med PV moduli in razsmerniki bo izvedena preko enosmernega (DC) razvoda, z uporabo ustrezno dimenzioniranih kablov in zaščitnih elementov v skladu z veljavnimi standardi (SIST EN 62548, SIST HD 60364-7-712). Razsmerniki (DC/AC pretvorniki) bodo nameščeni v objektu nadstrešnice pod streho, v večnamenskem objektu pa v tehničnem prostoru za vzdrževalce. Na strani izmeničnega toka (AC) bo predvidena priključitev na interno elektroinštalacijo objekta oziroma na nizkonapetostno omrežje, v skladu z zahtevami operaterja distribucijskega omrežja (SODO). V tem načrtu so zajete cevne povezave med PV moduli in razsmerniki, medtem ko izvedba sončnih elektrarn, dobava opreme ter pridobitev subvencij niso predmet tega projekta in bodo izvedeni s strani pooblaščenega izvajalca.</w:t>
      </w:r>
    </w:p>
    <w:bookmarkEnd w:id="211"/>
    <w:bookmarkEnd w:id="212"/>
    <w:p w14:paraId="6245DBF9"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Kolesarnica in nadstrešnica se priključujeta na električno omrežje, njune meteorne vode pa se odtekajo v meteorno kanalizacijo. </w:t>
      </w:r>
    </w:p>
    <w:p w14:paraId="2D14BE2B"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Ukine se obstoječi nadzemni elektro vod ter trasa se </w:t>
      </w:r>
      <w:proofErr w:type="spellStart"/>
      <w:r w:rsidRPr="00990AB7">
        <w:rPr>
          <w:rFonts w:ascii="Arial" w:hAnsi="Arial" w:cs="Arial"/>
          <w:sz w:val="22"/>
          <w:szCs w:val="22"/>
          <w:lang w:eastAsia="en-US"/>
        </w:rPr>
        <w:t>pokabli</w:t>
      </w:r>
      <w:proofErr w:type="spellEnd"/>
      <w:r w:rsidRPr="00990AB7">
        <w:rPr>
          <w:rFonts w:ascii="Arial" w:hAnsi="Arial" w:cs="Arial"/>
          <w:sz w:val="22"/>
          <w:szCs w:val="22"/>
          <w:lang w:eastAsia="en-US"/>
        </w:rPr>
        <w:t>. Prestavi in dodajo se hidranti ob Govekarjevi cesti ter prestavi omrežje javne razsvetljave in obstoječega plinovoda.</w:t>
      </w:r>
    </w:p>
    <w:p w14:paraId="0FD041E1"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Priključevanje na gasilno vodo je zagotovljena preko hidranta ob Govekarjevi cesti, ki se premakne na zeleni otok na zahodno stran Govekarjeve ceste. Gasilske intervencijske površine so zagotovljene na trgu pred občinsko stavbo, na parkirišču pred OŠ in na Govekarjevi cesti. </w:t>
      </w:r>
    </w:p>
    <w:p w14:paraId="437C0870"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Del projekta je tudi vpis podatkov o infrastrukturi v bazo cestnih podatkov ter zagotovitev merjenja in poročanje hitrosti na ulicah s celovito prenovo z merilnikom, ki bo zagotavljal merjenje in poročanje V85 HITROSTI.</w:t>
      </w:r>
    </w:p>
    <w:p w14:paraId="085C9745"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lastRenderedPageBreak/>
        <w:t>Po zaključeni investiciji in predaji objekta bo infrastruktura predana v upravljanje pristojnim službam Občine Ig. Skladno z Odlokom o ustanovitvi režijskega obrata (Uradni list RS, št. 32/2008) je režijski obrat zadolžen za:</w:t>
      </w:r>
    </w:p>
    <w:p w14:paraId="6323D8BA"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preskrba s pitno vodo,</w:t>
      </w:r>
    </w:p>
    <w:p w14:paraId="713E4D48"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odvajanje in čiščenje komunalnih, odpadnih in padavinskih voda,</w:t>
      </w:r>
    </w:p>
    <w:p w14:paraId="7E27AAB4"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vzdrževanje in upravljanje infrastrukturnih in drugih javnih objektov – tržnic, igrišč, avtobusnih postajališč ,</w:t>
      </w:r>
    </w:p>
    <w:p w14:paraId="52CCBCCA"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urejanje in vzdrževanje lokalnih cest, javnih poti, zelenih površin in površin za pešce,</w:t>
      </w:r>
    </w:p>
    <w:p w14:paraId="137385E6"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upravljanje in vzdrževanje nepremičnin,</w:t>
      </w:r>
    </w:p>
    <w:p w14:paraId="51E48D57"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komunalno opremljanje in gospodarjenje z zemljišči,</w:t>
      </w:r>
    </w:p>
    <w:p w14:paraId="480F12B4"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zimska služba,</w:t>
      </w:r>
    </w:p>
    <w:p w14:paraId="054D63E7"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urejanje in vzdrževanje prometne signalizacije in prometnih režimov,</w:t>
      </w:r>
    </w:p>
    <w:p w14:paraId="04FE4699"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vodenje programa javnih del,</w:t>
      </w:r>
    </w:p>
    <w:p w14:paraId="29E71F78"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plakatiranje in obveščanje,</w:t>
      </w:r>
    </w:p>
    <w:p w14:paraId="22AF07CD"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urejanje pokopališč in pokopališka in pogrebna dejavnost,</w:t>
      </w:r>
    </w:p>
    <w:p w14:paraId="2FCB08B5" w14:textId="77777777" w:rsidR="00990AB7" w:rsidRPr="00990AB7" w:rsidRDefault="00990AB7" w:rsidP="00990AB7">
      <w:pPr>
        <w:numPr>
          <w:ilvl w:val="0"/>
          <w:numId w:val="143"/>
        </w:numPr>
        <w:spacing w:after="200" w:line="276" w:lineRule="auto"/>
        <w:ind w:left="426"/>
        <w:contextualSpacing/>
        <w:jc w:val="both"/>
        <w:rPr>
          <w:rFonts w:ascii="Arial" w:hAnsi="Arial" w:cs="Arial"/>
          <w:sz w:val="22"/>
          <w:szCs w:val="22"/>
          <w:lang w:val="pl-PL" w:eastAsia="en-US"/>
        </w:rPr>
      </w:pPr>
      <w:r w:rsidRPr="00990AB7">
        <w:rPr>
          <w:rFonts w:ascii="Arial" w:hAnsi="Arial" w:cs="Arial"/>
          <w:sz w:val="22"/>
          <w:szCs w:val="22"/>
          <w:lang w:val="pl-PL" w:eastAsia="en-US"/>
        </w:rPr>
        <w:t>oskrba industrijskih porabnikov z vodo in oskrba naselij s požarno vodo v javni rabi.</w:t>
      </w:r>
    </w:p>
    <w:p w14:paraId="1B19DB4D"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Režijski obrat lahko opravlja tudi druge dejavnosti, ki so opredeljene v odloku o gospodarskih javnih službah in zakonu.</w:t>
      </w:r>
    </w:p>
    <w:p w14:paraId="49FEE0C1"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val="pl-PL" w:eastAsia="en-US"/>
        </w:rPr>
        <w:t>Občina Ig se bo tudi med izvajanjem projekta in po zaključku vključila v ETM in seznanila občane o izvajanju operacije.</w:t>
      </w:r>
    </w:p>
    <w:p w14:paraId="52012667" w14:textId="77777777" w:rsidR="00990AB7" w:rsidRPr="00990AB7" w:rsidRDefault="00990AB7" w:rsidP="00990AB7">
      <w:pPr>
        <w:pStyle w:val="Naslov2"/>
        <w:numPr>
          <w:ilvl w:val="1"/>
          <w:numId w:val="1"/>
        </w:numPr>
        <w:spacing w:before="360" w:after="240"/>
        <w:rPr>
          <w:rFonts w:asciiTheme="majorHAnsi" w:eastAsiaTheme="majorEastAsia" w:hAnsiTheme="majorHAnsi" w:cstheme="majorHAnsi"/>
          <w:color w:val="244061" w:themeColor="accent1" w:themeShade="80"/>
          <w:szCs w:val="22"/>
        </w:rPr>
      </w:pPr>
      <w:bookmarkStart w:id="214" w:name="_Toc209029152"/>
      <w:bookmarkStart w:id="215" w:name="_Toc209277163"/>
      <w:bookmarkStart w:id="216" w:name="_Toc210033823"/>
      <w:r w:rsidRPr="00990AB7">
        <w:rPr>
          <w:rFonts w:asciiTheme="majorHAnsi" w:eastAsiaTheme="majorEastAsia" w:hAnsiTheme="majorHAnsi" w:cstheme="majorHAnsi"/>
          <w:color w:val="244061" w:themeColor="accent1" w:themeShade="80"/>
          <w:szCs w:val="22"/>
        </w:rPr>
        <w:t>Skladnost projekta s horizontalnimi načeli</w:t>
      </w:r>
      <w:bookmarkEnd w:id="214"/>
      <w:bookmarkEnd w:id="215"/>
      <w:bookmarkEnd w:id="216"/>
    </w:p>
    <w:p w14:paraId="3C72F8CC"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Projekt CELOVITA UREDITEV CENTRA IG – ukrepi trajnostne mobilnosti je v vseh fazah – od načrtovanja, projektiranja, izvajanja do obratovanja – zasnovan in bo izveden ob spoštovanju horizontalnih načel, kot jih določa 6. člen Uredbe (EU) 2021/1060.</w:t>
      </w:r>
    </w:p>
    <w:p w14:paraId="21BF7A96"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1. Skladnost z načeli spoštovanja temeljnih pravic</w:t>
      </w:r>
    </w:p>
    <w:p w14:paraId="49CE831D" w14:textId="77777777" w:rsidR="00990AB7" w:rsidRPr="00990AB7" w:rsidRDefault="00990AB7" w:rsidP="00990AB7">
      <w:pPr>
        <w:spacing w:line="276" w:lineRule="auto"/>
        <w:jc w:val="both"/>
        <w:rPr>
          <w:rFonts w:ascii="Arial" w:hAnsi="Arial" w:cs="Arial"/>
          <w:sz w:val="22"/>
          <w:szCs w:val="22"/>
          <w:lang w:eastAsia="en-US"/>
        </w:rPr>
      </w:pPr>
      <w:r w:rsidRPr="00990AB7">
        <w:rPr>
          <w:rFonts w:ascii="Arial" w:hAnsi="Arial" w:cs="Arial"/>
          <w:sz w:val="22"/>
          <w:szCs w:val="22"/>
          <w:lang w:eastAsia="en-US"/>
        </w:rPr>
        <w:t>Projekt je pripravljen v skladu z Listino EU o temeljnih pravicah in Konvencijo Združenih narodov o pravicah invalidov.</w:t>
      </w:r>
    </w:p>
    <w:p w14:paraId="1288D956" w14:textId="77777777" w:rsidR="00990AB7" w:rsidRPr="00990AB7" w:rsidRDefault="00990AB7" w:rsidP="00990AB7">
      <w:pPr>
        <w:numPr>
          <w:ilvl w:val="0"/>
          <w:numId w:val="139"/>
        </w:numPr>
        <w:spacing w:line="276" w:lineRule="auto"/>
        <w:jc w:val="both"/>
        <w:rPr>
          <w:rFonts w:ascii="Arial" w:hAnsi="Arial" w:cs="Arial"/>
          <w:sz w:val="22"/>
          <w:szCs w:val="22"/>
          <w:lang w:eastAsia="en-US"/>
        </w:rPr>
      </w:pPr>
      <w:r w:rsidRPr="00990AB7">
        <w:rPr>
          <w:rFonts w:ascii="Arial" w:hAnsi="Arial" w:cs="Arial"/>
          <w:sz w:val="22"/>
          <w:szCs w:val="22"/>
          <w:lang w:eastAsia="en-US"/>
        </w:rPr>
        <w:t>Ureditev varnih šolskih poti, razširjeni pločniki in haptične oznake zagotavljajo varno in samostojno gibanje gibalno oviranih oseb, otrok in starejših.</w:t>
      </w:r>
    </w:p>
    <w:p w14:paraId="27067E01" w14:textId="77777777" w:rsidR="00990AB7" w:rsidRPr="00990AB7" w:rsidRDefault="00990AB7" w:rsidP="00990AB7">
      <w:pPr>
        <w:numPr>
          <w:ilvl w:val="0"/>
          <w:numId w:val="139"/>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Javni prostor bo zasnovan kot vključujoč prostor za vse prebivalce, kar krepi družbeno kohezijo in enakovredno udeležbo v javnem življenju.</w:t>
      </w:r>
    </w:p>
    <w:p w14:paraId="3F1CA3F6"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2. Spodbujanje enakosti moških in žensk</w:t>
      </w:r>
    </w:p>
    <w:p w14:paraId="48CAE5AA" w14:textId="77777777" w:rsidR="00990AB7" w:rsidRPr="00990AB7" w:rsidRDefault="00990AB7" w:rsidP="00990AB7">
      <w:pPr>
        <w:spacing w:line="276" w:lineRule="auto"/>
        <w:jc w:val="both"/>
        <w:rPr>
          <w:rFonts w:ascii="Arial" w:hAnsi="Arial" w:cs="Arial"/>
          <w:sz w:val="22"/>
          <w:szCs w:val="22"/>
          <w:lang w:eastAsia="en-US"/>
        </w:rPr>
      </w:pPr>
      <w:r w:rsidRPr="00990AB7">
        <w:rPr>
          <w:rFonts w:ascii="Arial" w:hAnsi="Arial" w:cs="Arial"/>
          <w:sz w:val="22"/>
          <w:szCs w:val="22"/>
          <w:lang w:eastAsia="en-US"/>
        </w:rPr>
        <w:t>Projekt sledi načelu enakosti spolov in enakih možnosti:</w:t>
      </w:r>
    </w:p>
    <w:p w14:paraId="2AD987AC" w14:textId="77777777" w:rsidR="00990AB7" w:rsidRPr="00990AB7" w:rsidRDefault="00990AB7" w:rsidP="00990AB7">
      <w:pPr>
        <w:numPr>
          <w:ilvl w:val="0"/>
          <w:numId w:val="140"/>
        </w:numPr>
        <w:spacing w:line="276" w:lineRule="auto"/>
        <w:jc w:val="both"/>
        <w:rPr>
          <w:rFonts w:ascii="Arial" w:hAnsi="Arial" w:cs="Arial"/>
          <w:sz w:val="22"/>
          <w:szCs w:val="22"/>
          <w:lang w:eastAsia="en-US"/>
        </w:rPr>
      </w:pPr>
      <w:r w:rsidRPr="00990AB7">
        <w:rPr>
          <w:rFonts w:ascii="Arial" w:hAnsi="Arial" w:cs="Arial"/>
          <w:sz w:val="22"/>
          <w:szCs w:val="22"/>
          <w:lang w:eastAsia="en-US"/>
        </w:rPr>
        <w:t>Prometne ureditve in nova infrastruktura za hojo, kolesarjenje in javni potniški promet bodo dostopne in varne za vse, ne glede na spol.</w:t>
      </w:r>
    </w:p>
    <w:p w14:paraId="76368DF3" w14:textId="77777777" w:rsidR="00990AB7" w:rsidRPr="00990AB7" w:rsidRDefault="00990AB7" w:rsidP="00990AB7">
      <w:pPr>
        <w:numPr>
          <w:ilvl w:val="0"/>
          <w:numId w:val="140"/>
        </w:numPr>
        <w:spacing w:line="276" w:lineRule="auto"/>
        <w:jc w:val="both"/>
        <w:rPr>
          <w:rFonts w:ascii="Arial" w:hAnsi="Arial" w:cs="Arial"/>
          <w:sz w:val="22"/>
          <w:szCs w:val="22"/>
          <w:lang w:eastAsia="en-US"/>
        </w:rPr>
      </w:pPr>
      <w:r w:rsidRPr="00990AB7">
        <w:rPr>
          <w:rFonts w:ascii="Arial" w:hAnsi="Arial" w:cs="Arial"/>
          <w:sz w:val="22"/>
          <w:szCs w:val="22"/>
          <w:lang w:eastAsia="en-US"/>
        </w:rPr>
        <w:t>Posebna pozornost je namenjena povečanju varnosti otrok in staršev pri dostopu do šole, kar razbremenjuje zlasti ženske kot pogoste nosilke skrbi za družino.</w:t>
      </w:r>
    </w:p>
    <w:p w14:paraId="25F09386" w14:textId="77777777" w:rsidR="00990AB7" w:rsidRPr="00990AB7" w:rsidRDefault="00990AB7" w:rsidP="00990AB7">
      <w:pPr>
        <w:numPr>
          <w:ilvl w:val="0"/>
          <w:numId w:val="140"/>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V postopkih načrtovanja in izvedbe se zagotavlja enakopravna udeležba žensk in moških pri odločanju in izvajanju projekta.</w:t>
      </w:r>
    </w:p>
    <w:p w14:paraId="1958330E"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3. Preprečevanje diskriminacije</w:t>
      </w:r>
    </w:p>
    <w:p w14:paraId="67AB5C7A" w14:textId="77777777" w:rsidR="00990AB7" w:rsidRPr="00990AB7" w:rsidRDefault="00990AB7" w:rsidP="00990AB7">
      <w:pPr>
        <w:spacing w:line="276" w:lineRule="auto"/>
        <w:jc w:val="both"/>
        <w:rPr>
          <w:rFonts w:ascii="Arial" w:hAnsi="Arial" w:cs="Arial"/>
          <w:sz w:val="22"/>
          <w:szCs w:val="22"/>
          <w:lang w:eastAsia="en-US"/>
        </w:rPr>
      </w:pPr>
      <w:r w:rsidRPr="00990AB7">
        <w:rPr>
          <w:rFonts w:ascii="Arial" w:hAnsi="Arial" w:cs="Arial"/>
          <w:sz w:val="22"/>
          <w:szCs w:val="22"/>
          <w:lang w:eastAsia="en-US"/>
        </w:rPr>
        <w:lastRenderedPageBreak/>
        <w:t>Projekt aktivno preprečuje diskriminacijo na podlagi spola, starosti, invalidnosti, etnične pripadnosti, vere ali spolne usmerjenosti:</w:t>
      </w:r>
    </w:p>
    <w:p w14:paraId="34079D98" w14:textId="77777777" w:rsidR="00990AB7" w:rsidRPr="00990AB7" w:rsidRDefault="00990AB7" w:rsidP="00990AB7">
      <w:pPr>
        <w:numPr>
          <w:ilvl w:val="0"/>
          <w:numId w:val="141"/>
        </w:numPr>
        <w:spacing w:line="276" w:lineRule="auto"/>
        <w:jc w:val="both"/>
        <w:rPr>
          <w:rFonts w:ascii="Arial" w:hAnsi="Arial" w:cs="Arial"/>
          <w:sz w:val="22"/>
          <w:szCs w:val="22"/>
          <w:lang w:eastAsia="en-US"/>
        </w:rPr>
      </w:pPr>
      <w:r w:rsidRPr="00990AB7">
        <w:rPr>
          <w:rFonts w:ascii="Arial" w:hAnsi="Arial" w:cs="Arial"/>
          <w:sz w:val="22"/>
          <w:szCs w:val="22"/>
          <w:lang w:eastAsia="en-US"/>
        </w:rPr>
        <w:t>Vsi prostori in površine bodo dostopni invalidom (ureditev parkirnih mest za invalide, dostopne poti, haptične oznake).</w:t>
      </w:r>
    </w:p>
    <w:p w14:paraId="2335B1ED" w14:textId="77777777" w:rsidR="00990AB7" w:rsidRPr="00990AB7" w:rsidRDefault="00990AB7" w:rsidP="00990AB7">
      <w:pPr>
        <w:numPr>
          <w:ilvl w:val="0"/>
          <w:numId w:val="141"/>
        </w:numPr>
        <w:spacing w:line="276" w:lineRule="auto"/>
        <w:jc w:val="both"/>
        <w:rPr>
          <w:rFonts w:ascii="Arial" w:hAnsi="Arial" w:cs="Arial"/>
          <w:sz w:val="22"/>
          <w:szCs w:val="22"/>
          <w:lang w:eastAsia="en-US"/>
        </w:rPr>
      </w:pPr>
      <w:r w:rsidRPr="00990AB7">
        <w:rPr>
          <w:rFonts w:ascii="Arial" w:hAnsi="Arial" w:cs="Arial"/>
          <w:sz w:val="22"/>
          <w:szCs w:val="22"/>
          <w:lang w:eastAsia="en-US"/>
        </w:rPr>
        <w:t>Skupni prometni prostori in zelene površine omogočajo enakovreden dostop ranljivim skupinam (otroci, starejši, gibalno ovirani).</w:t>
      </w:r>
    </w:p>
    <w:p w14:paraId="5DF7A58A" w14:textId="77777777" w:rsidR="00990AB7" w:rsidRPr="00990AB7" w:rsidRDefault="00990AB7" w:rsidP="00990AB7">
      <w:pPr>
        <w:numPr>
          <w:ilvl w:val="0"/>
          <w:numId w:val="141"/>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Načrtovanje temelji na </w:t>
      </w:r>
      <w:proofErr w:type="spellStart"/>
      <w:r w:rsidRPr="00990AB7">
        <w:rPr>
          <w:rFonts w:ascii="Arial" w:hAnsi="Arial" w:cs="Arial"/>
          <w:sz w:val="22"/>
          <w:szCs w:val="22"/>
          <w:lang w:eastAsia="en-US"/>
        </w:rPr>
        <w:t>nediskriminatornem</w:t>
      </w:r>
      <w:proofErr w:type="spellEnd"/>
      <w:r w:rsidRPr="00990AB7">
        <w:rPr>
          <w:rFonts w:ascii="Arial" w:hAnsi="Arial" w:cs="Arial"/>
          <w:sz w:val="22"/>
          <w:szCs w:val="22"/>
          <w:lang w:eastAsia="en-US"/>
        </w:rPr>
        <w:t xml:space="preserve"> pristopu, ki zagotavlja vključevanje vseh prebivalcev in obiskovalcev.</w:t>
      </w:r>
    </w:p>
    <w:p w14:paraId="0096942D" w14:textId="77777777" w:rsidR="00990AB7" w:rsidRPr="00990AB7" w:rsidRDefault="00990AB7" w:rsidP="00990AB7">
      <w:pPr>
        <w:spacing w:after="200" w:line="276" w:lineRule="auto"/>
        <w:jc w:val="both"/>
        <w:rPr>
          <w:rFonts w:ascii="Arial" w:hAnsi="Arial" w:cs="Arial"/>
          <w:sz w:val="22"/>
          <w:szCs w:val="22"/>
          <w:u w:val="single"/>
          <w:lang w:eastAsia="en-US"/>
        </w:rPr>
      </w:pPr>
      <w:r w:rsidRPr="00990AB7">
        <w:rPr>
          <w:rFonts w:ascii="Arial" w:hAnsi="Arial" w:cs="Arial"/>
          <w:sz w:val="22"/>
          <w:szCs w:val="22"/>
          <w:u w:val="single"/>
          <w:lang w:eastAsia="en-US"/>
        </w:rPr>
        <w:t>4. Spodbujanje trajnostnega razvoja</w:t>
      </w:r>
    </w:p>
    <w:p w14:paraId="2BBF2B2F" w14:textId="77777777" w:rsidR="00990AB7" w:rsidRPr="00990AB7" w:rsidRDefault="00990AB7" w:rsidP="00990AB7">
      <w:pPr>
        <w:spacing w:line="276" w:lineRule="auto"/>
        <w:jc w:val="both"/>
        <w:rPr>
          <w:rFonts w:ascii="Arial" w:hAnsi="Arial" w:cs="Arial"/>
          <w:sz w:val="22"/>
          <w:szCs w:val="22"/>
          <w:lang w:eastAsia="en-US"/>
        </w:rPr>
      </w:pPr>
      <w:r w:rsidRPr="00990AB7">
        <w:rPr>
          <w:rFonts w:ascii="Arial" w:hAnsi="Arial" w:cs="Arial"/>
          <w:sz w:val="22"/>
          <w:szCs w:val="22"/>
          <w:lang w:eastAsia="en-US"/>
        </w:rPr>
        <w:t>Projekt pomembno prispeva k ciljem trajnostnega razvoja, Pariškega sporazuma in načelu »ne škoduj bistveno«:</w:t>
      </w:r>
    </w:p>
    <w:p w14:paraId="5FE883B0" w14:textId="77777777" w:rsidR="00990AB7" w:rsidRPr="00990AB7" w:rsidRDefault="00990AB7" w:rsidP="00990AB7">
      <w:pPr>
        <w:numPr>
          <w:ilvl w:val="0"/>
          <w:numId w:val="142"/>
        </w:numPr>
        <w:spacing w:line="276" w:lineRule="auto"/>
        <w:jc w:val="both"/>
        <w:rPr>
          <w:rFonts w:ascii="Arial" w:hAnsi="Arial" w:cs="Arial"/>
          <w:sz w:val="22"/>
          <w:szCs w:val="22"/>
          <w:lang w:eastAsia="en-US"/>
        </w:rPr>
      </w:pPr>
      <w:r w:rsidRPr="00990AB7">
        <w:rPr>
          <w:rFonts w:ascii="Arial" w:hAnsi="Arial" w:cs="Arial"/>
          <w:sz w:val="22"/>
          <w:szCs w:val="22"/>
          <w:lang w:eastAsia="en-US"/>
        </w:rPr>
        <w:t>zmanjšanje emisij toplogrednih plinov in hrupa z zmanjšanjem motornega prometa,</w:t>
      </w:r>
    </w:p>
    <w:p w14:paraId="7610E591" w14:textId="77777777" w:rsidR="00990AB7" w:rsidRPr="00990AB7" w:rsidRDefault="00990AB7" w:rsidP="00990AB7">
      <w:pPr>
        <w:numPr>
          <w:ilvl w:val="0"/>
          <w:numId w:val="142"/>
        </w:numPr>
        <w:spacing w:line="276" w:lineRule="auto"/>
        <w:jc w:val="both"/>
        <w:rPr>
          <w:rFonts w:ascii="Arial" w:hAnsi="Arial" w:cs="Arial"/>
          <w:sz w:val="22"/>
          <w:szCs w:val="22"/>
          <w:lang w:eastAsia="en-US"/>
        </w:rPr>
      </w:pPr>
      <w:r w:rsidRPr="00990AB7">
        <w:rPr>
          <w:rFonts w:ascii="Arial" w:hAnsi="Arial" w:cs="Arial"/>
          <w:sz w:val="22"/>
          <w:szCs w:val="22"/>
          <w:lang w:eastAsia="en-US"/>
        </w:rPr>
        <w:t>izboljšanje kakovosti zraka in vode,</w:t>
      </w:r>
    </w:p>
    <w:p w14:paraId="0143E01E" w14:textId="77777777" w:rsidR="00990AB7" w:rsidRPr="00990AB7" w:rsidRDefault="00990AB7" w:rsidP="00990AB7">
      <w:pPr>
        <w:numPr>
          <w:ilvl w:val="0"/>
          <w:numId w:val="142"/>
        </w:numPr>
        <w:spacing w:line="276" w:lineRule="auto"/>
        <w:jc w:val="both"/>
        <w:rPr>
          <w:rFonts w:ascii="Arial" w:hAnsi="Arial" w:cs="Arial"/>
          <w:sz w:val="22"/>
          <w:szCs w:val="22"/>
          <w:lang w:eastAsia="en-US"/>
        </w:rPr>
      </w:pPr>
      <w:r w:rsidRPr="00990AB7">
        <w:rPr>
          <w:rFonts w:ascii="Arial" w:hAnsi="Arial" w:cs="Arial"/>
          <w:sz w:val="22"/>
          <w:szCs w:val="22"/>
          <w:lang w:eastAsia="en-US"/>
        </w:rPr>
        <w:t>blaženje učinkov toplotnih otokov z zasaditvami in prepustnimi površinami,</w:t>
      </w:r>
    </w:p>
    <w:p w14:paraId="23F99CDE" w14:textId="77777777" w:rsidR="00990AB7" w:rsidRPr="00990AB7" w:rsidRDefault="00990AB7" w:rsidP="00990AB7">
      <w:pPr>
        <w:numPr>
          <w:ilvl w:val="0"/>
          <w:numId w:val="142"/>
        </w:numPr>
        <w:spacing w:after="200" w:line="276" w:lineRule="auto"/>
        <w:jc w:val="both"/>
        <w:rPr>
          <w:rFonts w:ascii="Arial" w:hAnsi="Arial" w:cs="Arial"/>
          <w:sz w:val="22"/>
          <w:szCs w:val="22"/>
          <w:lang w:eastAsia="en-US"/>
        </w:rPr>
      </w:pPr>
      <w:r w:rsidRPr="00990AB7">
        <w:rPr>
          <w:rFonts w:ascii="Arial" w:hAnsi="Arial" w:cs="Arial"/>
          <w:sz w:val="22"/>
          <w:szCs w:val="22"/>
          <w:lang w:eastAsia="en-US"/>
        </w:rPr>
        <w:t>ponovna uporaba padavinskih voda in krepitev zelene infrastrukture.</w:t>
      </w:r>
    </w:p>
    <w:p w14:paraId="3A03AC71" w14:textId="77777777" w:rsidR="00990AB7" w:rsidRPr="00990AB7" w:rsidRDefault="00990AB7" w:rsidP="00990AB7">
      <w:pPr>
        <w:spacing w:after="200" w:line="276" w:lineRule="auto"/>
        <w:jc w:val="both"/>
        <w:rPr>
          <w:rFonts w:ascii="Arial" w:hAnsi="Arial" w:cs="Arial"/>
          <w:sz w:val="22"/>
          <w:szCs w:val="22"/>
          <w:lang w:eastAsia="en-US"/>
        </w:rPr>
      </w:pPr>
      <w:r w:rsidRPr="00990AB7">
        <w:rPr>
          <w:rFonts w:ascii="Arial" w:hAnsi="Arial" w:cs="Arial"/>
          <w:sz w:val="22"/>
          <w:szCs w:val="22"/>
          <w:lang w:eastAsia="en-US"/>
        </w:rPr>
        <w:t xml:space="preserve">Projekt je usklajen s cilji Agende ZN 2030 in z nacionalnimi ter evropskimi strateškimi dokumenti, ki spodbujajo </w:t>
      </w:r>
      <w:proofErr w:type="spellStart"/>
      <w:r w:rsidRPr="00990AB7">
        <w:rPr>
          <w:rFonts w:ascii="Arial" w:hAnsi="Arial" w:cs="Arial"/>
          <w:sz w:val="22"/>
          <w:szCs w:val="22"/>
          <w:lang w:eastAsia="en-US"/>
        </w:rPr>
        <w:t>nizkoogljično</w:t>
      </w:r>
      <w:proofErr w:type="spellEnd"/>
      <w:r w:rsidRPr="00990AB7">
        <w:rPr>
          <w:rFonts w:ascii="Arial" w:hAnsi="Arial" w:cs="Arial"/>
          <w:sz w:val="22"/>
          <w:szCs w:val="22"/>
          <w:lang w:eastAsia="en-US"/>
        </w:rPr>
        <w:t xml:space="preserve"> družbo, odpornost na podnebne spremembe in trajnostno mobilnost.</w:t>
      </w:r>
    </w:p>
    <w:p w14:paraId="39FB4E72" w14:textId="77777777" w:rsidR="00990AB7" w:rsidRPr="00990AB7" w:rsidRDefault="00990AB7" w:rsidP="00990AB7">
      <w:pPr>
        <w:spacing w:after="200" w:line="276" w:lineRule="auto"/>
        <w:jc w:val="both"/>
        <w:rPr>
          <w:rFonts w:ascii="Arial" w:hAnsi="Arial" w:cs="Arial"/>
          <w:sz w:val="22"/>
          <w:szCs w:val="22"/>
          <w:lang w:val="pl-PL" w:eastAsia="en-US"/>
        </w:rPr>
      </w:pPr>
      <w:r w:rsidRPr="00990AB7">
        <w:rPr>
          <w:rFonts w:ascii="Arial" w:hAnsi="Arial" w:cs="Arial"/>
          <w:sz w:val="22"/>
          <w:szCs w:val="22"/>
          <w:lang w:eastAsia="en-US"/>
        </w:rPr>
        <w:t>Z izvedbo ukrepov projekt v celoti izpolnjuje zahteve glede zagotavljanja skladnosti s horizontalnimi načeli iz 6. člena Uredbe (EU) 2021/1060. To bo potrjeno tudi s podpisano Izjavo o strinjanju in sprejemanju pogojev javnega razpisa.</w:t>
      </w:r>
    </w:p>
    <w:p w14:paraId="6072DC2D" w14:textId="77777777" w:rsidR="00397A23" w:rsidRDefault="00397A23">
      <w:pPr>
        <w:spacing w:after="200" w:line="276" w:lineRule="auto"/>
        <w:rPr>
          <w:rFonts w:ascii="Arial" w:hAnsi="Arial" w:cs="Arial"/>
          <w:b/>
          <w:bCs/>
          <w:lang w:eastAsia="en-US"/>
        </w:rPr>
      </w:pPr>
      <w:bookmarkStart w:id="217" w:name="_Toc1955835"/>
      <w:bookmarkStart w:id="218" w:name="_Toc209029194"/>
      <w:bookmarkStart w:id="219" w:name="_Toc209277209"/>
      <w:r>
        <w:rPr>
          <w:rFonts w:ascii="Arial" w:hAnsi="Arial" w:cs="Arial"/>
          <w:b/>
          <w:bCs/>
          <w:lang w:eastAsia="en-US"/>
        </w:rPr>
        <w:br w:type="page"/>
      </w:r>
    </w:p>
    <w:p w14:paraId="242924E3" w14:textId="2A2BBD0E" w:rsidR="00990AB7" w:rsidRPr="00990AB7" w:rsidRDefault="00990AB7" w:rsidP="00990AB7">
      <w:pPr>
        <w:spacing w:line="276" w:lineRule="auto"/>
        <w:rPr>
          <w:rFonts w:ascii="Arial" w:hAnsi="Arial" w:cs="Arial"/>
          <w:bCs/>
          <w:lang w:eastAsia="en-US"/>
        </w:rPr>
      </w:pPr>
      <w:bookmarkStart w:id="220" w:name="_Toc210033664"/>
      <w:r w:rsidRPr="00990AB7">
        <w:rPr>
          <w:rFonts w:ascii="Arial" w:hAnsi="Arial" w:cs="Arial"/>
          <w:b/>
          <w:bCs/>
          <w:lang w:eastAsia="en-US"/>
        </w:rPr>
        <w:lastRenderedPageBreak/>
        <w:t xml:space="preserve">Slika </w:t>
      </w:r>
      <w:r w:rsidRPr="00990AB7">
        <w:rPr>
          <w:rFonts w:ascii="Arial" w:hAnsi="Arial" w:cs="Arial"/>
          <w:b/>
          <w:bCs/>
          <w:lang w:eastAsia="en-US"/>
        </w:rPr>
        <w:fldChar w:fldCharType="begin"/>
      </w:r>
      <w:r w:rsidRPr="00990AB7">
        <w:rPr>
          <w:rFonts w:ascii="Arial" w:hAnsi="Arial" w:cs="Arial"/>
          <w:b/>
          <w:bCs/>
          <w:lang w:eastAsia="en-US"/>
        </w:rPr>
        <w:instrText xml:space="preserve"> SEQ Slika \* ARABIC </w:instrText>
      </w:r>
      <w:r w:rsidRPr="00990AB7">
        <w:rPr>
          <w:rFonts w:ascii="Arial" w:hAnsi="Arial" w:cs="Arial"/>
          <w:b/>
          <w:bCs/>
          <w:lang w:eastAsia="en-US"/>
        </w:rPr>
        <w:fldChar w:fldCharType="separate"/>
      </w:r>
      <w:r w:rsidR="00E74D26">
        <w:rPr>
          <w:rFonts w:ascii="Arial" w:hAnsi="Arial" w:cs="Arial"/>
          <w:b/>
          <w:bCs/>
          <w:noProof/>
          <w:lang w:eastAsia="en-US"/>
        </w:rPr>
        <w:t>16</w:t>
      </w:r>
      <w:r w:rsidRPr="00990AB7">
        <w:rPr>
          <w:rFonts w:ascii="Arial" w:hAnsi="Arial" w:cs="Arial"/>
          <w:b/>
          <w:bCs/>
          <w:lang w:eastAsia="en-US"/>
        </w:rPr>
        <w:fldChar w:fldCharType="end"/>
      </w:r>
      <w:r w:rsidRPr="00990AB7">
        <w:rPr>
          <w:rFonts w:ascii="Arial" w:hAnsi="Arial" w:cs="Arial"/>
          <w:b/>
          <w:bCs/>
          <w:lang w:eastAsia="en-US"/>
        </w:rPr>
        <w:t xml:space="preserve">: </w:t>
      </w:r>
      <w:r w:rsidRPr="00990AB7">
        <w:rPr>
          <w:rFonts w:ascii="Arial" w:hAnsi="Arial" w:cs="Arial"/>
          <w:bCs/>
          <w:lang w:eastAsia="en-US"/>
        </w:rPr>
        <w:t>Prikaz lokacije nameravane investicije</w:t>
      </w:r>
      <w:bookmarkEnd w:id="217"/>
      <w:bookmarkEnd w:id="218"/>
      <w:bookmarkEnd w:id="219"/>
      <w:bookmarkEnd w:id="220"/>
    </w:p>
    <w:p w14:paraId="5978DAED" w14:textId="77777777" w:rsidR="00990AB7" w:rsidRPr="00990AB7" w:rsidRDefault="00990AB7" w:rsidP="00990AB7">
      <w:pPr>
        <w:spacing w:line="276" w:lineRule="auto"/>
        <w:rPr>
          <w:rFonts w:ascii="Arial" w:hAnsi="Arial" w:cs="Arial"/>
          <w:noProof/>
        </w:rPr>
      </w:pPr>
    </w:p>
    <w:p w14:paraId="0C73945C" w14:textId="45366948" w:rsidR="00990AB7" w:rsidRPr="00990AB7" w:rsidRDefault="00715B9C" w:rsidP="00990AB7">
      <w:pPr>
        <w:spacing w:line="276" w:lineRule="auto"/>
        <w:ind w:left="-567"/>
        <w:rPr>
          <w:rFonts w:ascii="Arial" w:hAnsi="Arial" w:cs="Arial"/>
          <w:b/>
          <w:bCs/>
          <w:lang w:eastAsia="en-US"/>
        </w:rPr>
      </w:pPr>
      <w:r>
        <w:rPr>
          <w:rFonts w:ascii="Arial" w:hAnsi="Arial" w:cs="Arial"/>
          <w:noProof/>
        </w:rPr>
        <w:drawing>
          <wp:inline distT="0" distB="0" distL="0" distR="0" wp14:anchorId="5371CC24" wp14:editId="1D75A4A0">
            <wp:extent cx="5940425" cy="5638800"/>
            <wp:effectExtent l="0" t="0" r="3175" b="0"/>
            <wp:docPr id="507700320"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00320" name="Picture 33" descr="A map of a city&#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0425" cy="5638800"/>
                    </a:xfrm>
                    <a:prstGeom prst="rect">
                      <a:avLst/>
                    </a:prstGeom>
                  </pic:spPr>
                </pic:pic>
              </a:graphicData>
            </a:graphic>
          </wp:inline>
        </w:drawing>
      </w:r>
    </w:p>
    <w:p w14:paraId="490F543B" w14:textId="77777777" w:rsidR="00990AB7" w:rsidRPr="00990AB7" w:rsidRDefault="00990AB7" w:rsidP="00990AB7">
      <w:pPr>
        <w:spacing w:line="276" w:lineRule="auto"/>
        <w:rPr>
          <w:rFonts w:ascii="Arial" w:hAnsi="Arial" w:cs="Arial"/>
          <w:b/>
          <w:bCs/>
          <w:lang w:eastAsia="en-US"/>
        </w:rPr>
      </w:pPr>
    </w:p>
    <w:p w14:paraId="117E4B1D" w14:textId="582A64B2" w:rsidR="0097393F" w:rsidRPr="00F11127" w:rsidRDefault="0097393F" w:rsidP="00B31475">
      <w:pPr>
        <w:spacing w:after="200" w:line="276" w:lineRule="auto"/>
        <w:jc w:val="both"/>
        <w:rPr>
          <w:rFonts w:asciiTheme="majorHAnsi" w:eastAsia="Arial" w:hAnsiTheme="majorHAnsi" w:cstheme="majorHAnsi"/>
          <w:b/>
          <w:sz w:val="22"/>
          <w:szCs w:val="22"/>
        </w:rPr>
      </w:pPr>
      <w:bookmarkStart w:id="221" w:name="_Toc131231626"/>
    </w:p>
    <w:bookmarkEnd w:id="221"/>
    <w:p w14:paraId="7870AD8A" w14:textId="77777777" w:rsidR="00715B9C" w:rsidRDefault="00715B9C">
      <w:pPr>
        <w:spacing w:after="200" w:line="276" w:lineRule="auto"/>
        <w:rPr>
          <w:rFonts w:asciiTheme="majorHAnsi" w:eastAsiaTheme="majorEastAsia" w:hAnsiTheme="majorHAnsi" w:cstheme="majorHAnsi"/>
          <w:b/>
          <w:bCs/>
          <w:color w:val="365F91" w:themeColor="accent1" w:themeShade="BF"/>
          <w:sz w:val="28"/>
          <w:szCs w:val="28"/>
        </w:rPr>
      </w:pPr>
      <w:r>
        <w:rPr>
          <w:rFonts w:cstheme="majorHAnsi"/>
        </w:rPr>
        <w:br w:type="page"/>
      </w:r>
    </w:p>
    <w:p w14:paraId="35144997" w14:textId="6D65E0DF" w:rsidR="00D1347D" w:rsidRPr="00F11127" w:rsidRDefault="00D1347D" w:rsidP="00BD1D20">
      <w:pPr>
        <w:pStyle w:val="Naslov1"/>
        <w:numPr>
          <w:ilvl w:val="0"/>
          <w:numId w:val="3"/>
        </w:numPr>
        <w:rPr>
          <w:rFonts w:cstheme="majorHAnsi"/>
        </w:rPr>
      </w:pPr>
      <w:bookmarkStart w:id="222" w:name="_Toc210033824"/>
      <w:r w:rsidRPr="00F11127">
        <w:rPr>
          <w:rFonts w:cstheme="majorHAnsi"/>
        </w:rPr>
        <w:lastRenderedPageBreak/>
        <w:t>ANALIZA ZAPOSLENIH</w:t>
      </w:r>
      <w:bookmarkEnd w:id="222"/>
      <w:r w:rsidRPr="00F11127">
        <w:rPr>
          <w:rFonts w:cstheme="majorHAnsi"/>
        </w:rPr>
        <w:t xml:space="preserve"> </w:t>
      </w:r>
    </w:p>
    <w:p w14:paraId="6657E638" w14:textId="77777777" w:rsidR="00D1347D" w:rsidRPr="00F11127" w:rsidRDefault="00D1347D" w:rsidP="00BD1D20">
      <w:pPr>
        <w:spacing w:after="120" w:line="276" w:lineRule="auto"/>
        <w:jc w:val="both"/>
        <w:rPr>
          <w:rFonts w:asciiTheme="majorHAnsi" w:hAnsiTheme="majorHAnsi" w:cstheme="majorHAnsi"/>
        </w:rPr>
      </w:pPr>
    </w:p>
    <w:p w14:paraId="3F32C042" w14:textId="7D3CB6F0" w:rsidR="00A223F5" w:rsidRPr="00BC0DCF" w:rsidRDefault="00A223F5" w:rsidP="00A223F5">
      <w:pPr>
        <w:spacing w:line="276" w:lineRule="auto"/>
        <w:jc w:val="both"/>
        <w:rPr>
          <w:rFonts w:ascii="Arial" w:eastAsia="Arial" w:hAnsi="Arial" w:cs="Arial"/>
          <w:sz w:val="22"/>
          <w:szCs w:val="22"/>
        </w:rPr>
      </w:pPr>
      <w:r w:rsidRPr="00F06076">
        <w:rPr>
          <w:rFonts w:ascii="Arial" w:eastAsia="Arial" w:hAnsi="Arial" w:cs="Arial"/>
          <w:sz w:val="22"/>
          <w:szCs w:val="22"/>
        </w:rPr>
        <w:t xml:space="preserve">Analiza vpliva na zaposlenost kaže, da projekt neposredno ne bo ustvarjal novih delovnih mest v občinski upravi ali javnih službah. </w:t>
      </w:r>
      <w:r>
        <w:rPr>
          <w:rFonts w:ascii="Arial" w:eastAsia="Arial" w:hAnsi="Arial" w:cs="Arial"/>
          <w:sz w:val="22"/>
          <w:szCs w:val="22"/>
        </w:rPr>
        <w:t>O</w:t>
      </w:r>
      <w:r w:rsidRPr="00F06076">
        <w:rPr>
          <w:rFonts w:ascii="Arial" w:eastAsia="Arial" w:hAnsi="Arial" w:cs="Arial"/>
          <w:sz w:val="22"/>
          <w:szCs w:val="22"/>
        </w:rPr>
        <w:t>bčina zaradi izvedbe investicije ne načrtuje dodatnih zaposlitev.</w:t>
      </w:r>
    </w:p>
    <w:p w14:paraId="19067640" w14:textId="77777777" w:rsidR="00A223F5" w:rsidRPr="00F06076" w:rsidRDefault="00A223F5" w:rsidP="00A223F5">
      <w:pPr>
        <w:spacing w:line="276" w:lineRule="auto"/>
        <w:jc w:val="both"/>
        <w:rPr>
          <w:rFonts w:ascii="Arial" w:eastAsia="Arial" w:hAnsi="Arial" w:cs="Arial"/>
          <w:sz w:val="22"/>
          <w:szCs w:val="22"/>
        </w:rPr>
      </w:pPr>
    </w:p>
    <w:p w14:paraId="27F339A9" w14:textId="77777777" w:rsidR="00A223F5" w:rsidRPr="00BC0DCF" w:rsidRDefault="00A223F5" w:rsidP="00A223F5">
      <w:pPr>
        <w:spacing w:line="276" w:lineRule="auto"/>
        <w:jc w:val="both"/>
        <w:rPr>
          <w:rFonts w:ascii="Arial" w:eastAsia="Arial" w:hAnsi="Arial" w:cs="Arial"/>
          <w:sz w:val="22"/>
          <w:szCs w:val="22"/>
        </w:rPr>
      </w:pPr>
      <w:r w:rsidRPr="00F06076">
        <w:rPr>
          <w:rFonts w:ascii="Arial" w:eastAsia="Arial" w:hAnsi="Arial" w:cs="Arial"/>
          <w:sz w:val="22"/>
          <w:szCs w:val="22"/>
        </w:rPr>
        <w:t>Posredni vplivi na zaposlenost se lahko pokažejo v času izvajanja gradbenih del, ko bodo izvajalci za potrebe projekta vključili določeno število delavcev. Gre za začasna delovna mesta, ki bodo omejena na obdobje gradnje. Po zaključku del se nova stalna delovna mesta ne predvidevajo, razen v okviru obstoječih struktur javnih služb, ki bodo zagotavljale obratovanje in vzdrževanje infrastrukture.</w:t>
      </w:r>
    </w:p>
    <w:p w14:paraId="38F7DC04" w14:textId="77777777" w:rsidR="00A223F5" w:rsidRPr="00F06076" w:rsidRDefault="00A223F5" w:rsidP="00A223F5">
      <w:pPr>
        <w:spacing w:line="276" w:lineRule="auto"/>
        <w:jc w:val="both"/>
        <w:rPr>
          <w:rFonts w:ascii="Arial" w:eastAsia="Arial" w:hAnsi="Arial" w:cs="Arial"/>
          <w:sz w:val="22"/>
          <w:szCs w:val="22"/>
        </w:rPr>
      </w:pPr>
    </w:p>
    <w:p w14:paraId="17C05435" w14:textId="77777777" w:rsidR="00A223F5" w:rsidRPr="00F06076" w:rsidRDefault="00A223F5" w:rsidP="00A223F5">
      <w:pPr>
        <w:spacing w:line="276" w:lineRule="auto"/>
        <w:jc w:val="both"/>
        <w:rPr>
          <w:rFonts w:ascii="Arial" w:eastAsia="Arial" w:hAnsi="Arial" w:cs="Arial"/>
          <w:sz w:val="22"/>
          <w:szCs w:val="22"/>
        </w:rPr>
      </w:pPr>
      <w:r w:rsidRPr="00F06076">
        <w:rPr>
          <w:rFonts w:ascii="Arial" w:eastAsia="Arial" w:hAnsi="Arial" w:cs="Arial"/>
          <w:sz w:val="22"/>
          <w:szCs w:val="22"/>
        </w:rPr>
        <w:t>Projekt pa ima lahko dolgoročne posredne učinke na zaposlenost in ekonomsko strukturo družbe, zlasti preko izboljšane prometne dostopnosti, večje privlačnosti kraja ter povečane kakovosti bivanja, kar lahko posredno spodbuja lokalno gospodarsko dejavnost in s tem ustvarja priložnosti za nova delovna mesta v zasebnem sektorju (storitve, trgovina, turizem).</w:t>
      </w:r>
    </w:p>
    <w:p w14:paraId="72FC16CE" w14:textId="77777777" w:rsidR="00D1347D" w:rsidRPr="00F11127" w:rsidRDefault="00D1347D" w:rsidP="00BD1D20">
      <w:pPr>
        <w:spacing w:after="120" w:line="276" w:lineRule="auto"/>
        <w:rPr>
          <w:rFonts w:asciiTheme="majorHAnsi" w:hAnsiTheme="majorHAnsi" w:cstheme="majorHAnsi"/>
        </w:rPr>
      </w:pPr>
      <w:r w:rsidRPr="00F11127">
        <w:rPr>
          <w:rFonts w:asciiTheme="majorHAnsi" w:hAnsiTheme="majorHAnsi" w:cstheme="majorHAnsi"/>
        </w:rPr>
        <w:br w:type="page"/>
      </w:r>
    </w:p>
    <w:p w14:paraId="4C03C523" w14:textId="77777777" w:rsidR="00D1347D" w:rsidRPr="00F11127" w:rsidRDefault="00D1347D" w:rsidP="00BD1D20">
      <w:pPr>
        <w:pStyle w:val="Naslov1"/>
        <w:numPr>
          <w:ilvl w:val="0"/>
          <w:numId w:val="3"/>
        </w:numPr>
        <w:jc w:val="both"/>
        <w:rPr>
          <w:rFonts w:cstheme="majorHAnsi"/>
        </w:rPr>
      </w:pPr>
      <w:bookmarkStart w:id="223" w:name="_Toc3698272"/>
      <w:bookmarkStart w:id="224" w:name="_Toc210033825"/>
      <w:r w:rsidRPr="00F11127">
        <w:rPr>
          <w:rFonts w:cstheme="majorHAnsi"/>
        </w:rPr>
        <w:lastRenderedPageBreak/>
        <w:t>OCENA VREDNOSTI PROJEKTA PO STALNIH IN TEKOČIH CENAH</w:t>
      </w:r>
      <w:bookmarkEnd w:id="223"/>
      <w:bookmarkEnd w:id="224"/>
    </w:p>
    <w:p w14:paraId="47AEA38F" w14:textId="77777777" w:rsidR="00D1347D" w:rsidRPr="00F11127" w:rsidRDefault="00D1347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25" w:name="_Toc3698273"/>
      <w:bookmarkStart w:id="226" w:name="_Toc210033826"/>
      <w:r w:rsidRPr="00F11127">
        <w:rPr>
          <w:rFonts w:asciiTheme="majorHAnsi" w:eastAsiaTheme="majorEastAsia" w:hAnsiTheme="majorHAnsi" w:cstheme="majorHAnsi"/>
          <w:color w:val="244061" w:themeColor="accent1" w:themeShade="80"/>
        </w:rPr>
        <w:t>Vrednost investicije po stalnih cenah</w:t>
      </w:r>
      <w:bookmarkEnd w:id="225"/>
      <w:bookmarkEnd w:id="226"/>
    </w:p>
    <w:p w14:paraId="1B7873FE" w14:textId="77777777" w:rsidR="00DB2AE0" w:rsidRDefault="00DB2AE0" w:rsidP="00BD1D20">
      <w:pPr>
        <w:spacing w:after="120" w:line="276" w:lineRule="auto"/>
        <w:jc w:val="both"/>
        <w:rPr>
          <w:rFonts w:ascii="Arial" w:hAnsi="Arial" w:cs="Arial"/>
          <w:sz w:val="22"/>
          <w:szCs w:val="22"/>
        </w:rPr>
      </w:pPr>
      <w:r w:rsidRPr="008252A9">
        <w:rPr>
          <w:rFonts w:ascii="Arial" w:hAnsi="Arial" w:cs="Arial"/>
          <w:sz w:val="22"/>
          <w:szCs w:val="22"/>
        </w:rPr>
        <w:t>Celotna vrednost projekta je ocenjena na 2.920.552,53 EUR brez DDV oziroma 3.501.235,12 EUR po stalnih cenah ter 3.051.761,81 EUR brez DDV oziroma 3.661.310,43 EUR z DDV v tekočih cenah.</w:t>
      </w:r>
    </w:p>
    <w:p w14:paraId="23E7FEE0" w14:textId="746C1D39" w:rsidR="007B5687" w:rsidRDefault="00C1622D" w:rsidP="00BD1D20">
      <w:pPr>
        <w:spacing w:after="120" w:line="276" w:lineRule="auto"/>
        <w:jc w:val="both"/>
        <w:rPr>
          <w:rFonts w:asciiTheme="majorHAnsi" w:hAnsiTheme="majorHAnsi" w:cstheme="majorHAnsi"/>
          <w:sz w:val="22"/>
          <w:szCs w:val="22"/>
        </w:rPr>
      </w:pPr>
      <w:r>
        <w:rPr>
          <w:rFonts w:asciiTheme="majorHAnsi" w:hAnsiTheme="majorHAnsi" w:cstheme="majorHAnsi"/>
          <w:sz w:val="22"/>
          <w:szCs w:val="22"/>
        </w:rPr>
        <w:t xml:space="preserve">Investicija v vrednosti </w:t>
      </w:r>
      <w:r w:rsidR="00DB2AE0" w:rsidRPr="00DB2AE0">
        <w:rPr>
          <w:rFonts w:asciiTheme="majorHAnsi" w:hAnsiTheme="majorHAnsi" w:cstheme="majorHAnsi"/>
          <w:sz w:val="22"/>
          <w:szCs w:val="22"/>
        </w:rPr>
        <w:t>114</w:t>
      </w:r>
      <w:r w:rsidR="00DB2AE0">
        <w:rPr>
          <w:rFonts w:asciiTheme="majorHAnsi" w:hAnsiTheme="majorHAnsi" w:cstheme="majorHAnsi"/>
          <w:sz w:val="22"/>
          <w:szCs w:val="22"/>
        </w:rPr>
        <w:t>.</w:t>
      </w:r>
      <w:r w:rsidR="00DB2AE0" w:rsidRPr="00DB2AE0">
        <w:rPr>
          <w:rFonts w:asciiTheme="majorHAnsi" w:hAnsiTheme="majorHAnsi" w:cstheme="majorHAnsi"/>
          <w:sz w:val="22"/>
          <w:szCs w:val="22"/>
        </w:rPr>
        <w:t>884,78</w:t>
      </w:r>
      <w:r w:rsidR="00DB2AE0">
        <w:rPr>
          <w:rFonts w:asciiTheme="majorHAnsi" w:hAnsiTheme="majorHAnsi" w:cstheme="majorHAnsi"/>
          <w:sz w:val="22"/>
          <w:szCs w:val="22"/>
        </w:rPr>
        <w:t xml:space="preserve"> </w:t>
      </w:r>
      <w:r>
        <w:rPr>
          <w:rFonts w:asciiTheme="majorHAnsi" w:hAnsiTheme="majorHAnsi" w:cstheme="majorHAnsi"/>
          <w:sz w:val="22"/>
          <w:szCs w:val="22"/>
        </w:rPr>
        <w:t xml:space="preserve">EUR brez DDV </w:t>
      </w:r>
      <w:r w:rsidR="00600DB6">
        <w:rPr>
          <w:rFonts w:asciiTheme="majorHAnsi" w:hAnsiTheme="majorHAnsi" w:cstheme="majorHAnsi"/>
          <w:sz w:val="22"/>
          <w:szCs w:val="22"/>
        </w:rPr>
        <w:t xml:space="preserve">oziroma </w:t>
      </w:r>
      <w:r w:rsidR="00600DB6" w:rsidRPr="00600DB6">
        <w:rPr>
          <w:rFonts w:asciiTheme="majorHAnsi" w:hAnsiTheme="majorHAnsi" w:cstheme="majorHAnsi"/>
          <w:sz w:val="22"/>
          <w:szCs w:val="22"/>
        </w:rPr>
        <w:t>1</w:t>
      </w:r>
      <w:r w:rsidR="00DB2AE0">
        <w:rPr>
          <w:rFonts w:asciiTheme="majorHAnsi" w:hAnsiTheme="majorHAnsi" w:cstheme="majorHAnsi"/>
          <w:sz w:val="22"/>
          <w:szCs w:val="22"/>
        </w:rPr>
        <w:t>40</w:t>
      </w:r>
      <w:r w:rsidR="00600DB6" w:rsidRPr="00600DB6">
        <w:rPr>
          <w:rFonts w:asciiTheme="majorHAnsi" w:hAnsiTheme="majorHAnsi" w:cstheme="majorHAnsi"/>
          <w:sz w:val="22"/>
          <w:szCs w:val="22"/>
        </w:rPr>
        <w:t>.</w:t>
      </w:r>
      <w:r w:rsidR="00DB2AE0">
        <w:rPr>
          <w:rFonts w:asciiTheme="majorHAnsi" w:hAnsiTheme="majorHAnsi" w:cstheme="majorHAnsi"/>
          <w:sz w:val="22"/>
          <w:szCs w:val="22"/>
        </w:rPr>
        <w:t>159</w:t>
      </w:r>
      <w:r w:rsidR="00600DB6">
        <w:rPr>
          <w:rFonts w:asciiTheme="majorHAnsi" w:hAnsiTheme="majorHAnsi" w:cstheme="majorHAnsi"/>
          <w:sz w:val="22"/>
          <w:szCs w:val="22"/>
        </w:rPr>
        <w:t>,</w:t>
      </w:r>
      <w:r w:rsidR="00DB2AE0">
        <w:rPr>
          <w:rFonts w:asciiTheme="majorHAnsi" w:hAnsiTheme="majorHAnsi" w:cstheme="majorHAnsi"/>
          <w:sz w:val="22"/>
          <w:szCs w:val="22"/>
        </w:rPr>
        <w:t>43</w:t>
      </w:r>
      <w:r w:rsidR="00600DB6">
        <w:rPr>
          <w:rFonts w:asciiTheme="majorHAnsi" w:hAnsiTheme="majorHAnsi" w:cstheme="majorHAnsi"/>
          <w:sz w:val="22"/>
          <w:szCs w:val="22"/>
        </w:rPr>
        <w:t xml:space="preserve"> EUR</w:t>
      </w:r>
      <w:r w:rsidR="00DB2AE0">
        <w:rPr>
          <w:rFonts w:asciiTheme="majorHAnsi" w:hAnsiTheme="majorHAnsi" w:cstheme="majorHAnsi"/>
          <w:sz w:val="22"/>
          <w:szCs w:val="22"/>
        </w:rPr>
        <w:t xml:space="preserve"> z DDV</w:t>
      </w:r>
      <w:r w:rsidR="00600DB6">
        <w:rPr>
          <w:rFonts w:asciiTheme="majorHAnsi" w:hAnsiTheme="majorHAnsi" w:cstheme="majorHAnsi"/>
          <w:sz w:val="22"/>
          <w:szCs w:val="22"/>
        </w:rPr>
        <w:t xml:space="preserve"> </w:t>
      </w:r>
      <w:r>
        <w:rPr>
          <w:rFonts w:asciiTheme="majorHAnsi" w:hAnsiTheme="majorHAnsi" w:cstheme="majorHAnsi"/>
          <w:sz w:val="22"/>
          <w:szCs w:val="22"/>
        </w:rPr>
        <w:t>v stal</w:t>
      </w:r>
      <w:r w:rsidR="00600DB6">
        <w:rPr>
          <w:rFonts w:asciiTheme="majorHAnsi" w:hAnsiTheme="majorHAnsi" w:cstheme="majorHAnsi"/>
          <w:sz w:val="22"/>
          <w:szCs w:val="22"/>
        </w:rPr>
        <w:t xml:space="preserve">nih cenah predstavlja komunalno opremljanje, kjer gre za povračljiv davek na dodano vrednost v višini </w:t>
      </w:r>
      <w:r w:rsidR="00240C29" w:rsidRPr="00240C29">
        <w:rPr>
          <w:rFonts w:asciiTheme="majorHAnsi" w:hAnsiTheme="majorHAnsi" w:cstheme="majorHAnsi"/>
          <w:sz w:val="22"/>
          <w:szCs w:val="22"/>
        </w:rPr>
        <w:t>2</w:t>
      </w:r>
      <w:r w:rsidR="00DB2AE0">
        <w:rPr>
          <w:rFonts w:asciiTheme="majorHAnsi" w:hAnsiTheme="majorHAnsi" w:cstheme="majorHAnsi"/>
          <w:sz w:val="22"/>
          <w:szCs w:val="22"/>
        </w:rPr>
        <w:t>5</w:t>
      </w:r>
      <w:r w:rsidR="00240C29" w:rsidRPr="00240C29">
        <w:rPr>
          <w:rFonts w:asciiTheme="majorHAnsi" w:hAnsiTheme="majorHAnsi" w:cstheme="majorHAnsi"/>
          <w:sz w:val="22"/>
          <w:szCs w:val="22"/>
        </w:rPr>
        <w:t>.</w:t>
      </w:r>
      <w:r w:rsidR="00DB2AE0">
        <w:rPr>
          <w:rFonts w:asciiTheme="majorHAnsi" w:hAnsiTheme="majorHAnsi" w:cstheme="majorHAnsi"/>
          <w:sz w:val="22"/>
          <w:szCs w:val="22"/>
        </w:rPr>
        <w:t>274,65</w:t>
      </w:r>
      <w:r w:rsidR="00240C29">
        <w:rPr>
          <w:rFonts w:asciiTheme="majorHAnsi" w:hAnsiTheme="majorHAnsi" w:cstheme="majorHAnsi"/>
          <w:sz w:val="22"/>
          <w:szCs w:val="22"/>
        </w:rPr>
        <w:t xml:space="preserve"> EUR.</w:t>
      </w:r>
    </w:p>
    <w:p w14:paraId="2775F73F" w14:textId="77777777" w:rsidR="00354FAC" w:rsidRPr="00F11127" w:rsidRDefault="00354FAC" w:rsidP="00BD1D20">
      <w:pPr>
        <w:spacing w:line="276" w:lineRule="auto"/>
        <w:rPr>
          <w:rFonts w:asciiTheme="majorHAnsi" w:eastAsia="Arial" w:hAnsiTheme="majorHAnsi" w:cstheme="majorHAnsi"/>
          <w:sz w:val="22"/>
          <w:szCs w:val="22"/>
        </w:rPr>
      </w:pPr>
      <w:r w:rsidRPr="00F11127">
        <w:rPr>
          <w:rFonts w:asciiTheme="majorHAnsi" w:eastAsia="Arial" w:hAnsiTheme="majorHAnsi" w:cstheme="majorHAnsi"/>
          <w:b/>
          <w:sz w:val="22"/>
          <w:szCs w:val="22"/>
        </w:rPr>
        <w:t>Ocena vrednosti</w:t>
      </w:r>
      <w:r w:rsidRPr="00F11127">
        <w:rPr>
          <w:rFonts w:asciiTheme="majorHAnsi" w:eastAsia="Arial" w:hAnsiTheme="majorHAnsi" w:cstheme="majorHAnsi"/>
          <w:sz w:val="22"/>
          <w:szCs w:val="22"/>
        </w:rPr>
        <w:t xml:space="preserve"> investicijskega projekta temelji na sledečih predpostavkah:</w:t>
      </w:r>
    </w:p>
    <w:p w14:paraId="739AE44E" w14:textId="1B58BE62" w:rsidR="00354FAC" w:rsidRPr="00211578" w:rsidRDefault="00713679" w:rsidP="00BD1D20">
      <w:pPr>
        <w:numPr>
          <w:ilvl w:val="0"/>
          <w:numId w:val="85"/>
        </w:numPr>
        <w:spacing w:after="120" w:line="276" w:lineRule="auto"/>
        <w:contextualSpacing/>
        <w:jc w:val="both"/>
        <w:rPr>
          <w:rFonts w:ascii="Arial" w:eastAsia="Arial" w:hAnsi="Arial" w:cs="Arial"/>
          <w:bCs/>
          <w:sz w:val="22"/>
          <w:szCs w:val="22"/>
        </w:rPr>
      </w:pPr>
      <w:r w:rsidRPr="00211578">
        <w:rPr>
          <w:rFonts w:ascii="Arial" w:eastAsia="Arial" w:hAnsi="Arial" w:cs="Arial"/>
          <w:bCs/>
          <w:sz w:val="22"/>
          <w:szCs w:val="22"/>
          <w:lang w:eastAsia="en-US"/>
        </w:rPr>
        <w:t xml:space="preserve">Stroški </w:t>
      </w:r>
      <w:r w:rsidR="00FF6AF0">
        <w:rPr>
          <w:rFonts w:ascii="Arial" w:eastAsia="Arial" w:hAnsi="Arial" w:cs="Arial"/>
          <w:bCs/>
          <w:sz w:val="22"/>
          <w:szCs w:val="22"/>
        </w:rPr>
        <w:t>gradbeno obrtniških in inš</w:t>
      </w:r>
      <w:r w:rsidR="00354FAC" w:rsidRPr="00211578">
        <w:rPr>
          <w:rFonts w:ascii="Arial" w:eastAsia="Arial" w:hAnsi="Arial" w:cs="Arial"/>
          <w:bCs/>
          <w:sz w:val="22"/>
          <w:szCs w:val="22"/>
        </w:rPr>
        <w:t>talacijskih del so dobljeni na podlagi okvirne projektantske ocene ter analize primerljivih projektov</w:t>
      </w:r>
      <w:r>
        <w:rPr>
          <w:rFonts w:ascii="Arial" w:eastAsia="Arial" w:hAnsi="Arial" w:cs="Arial"/>
          <w:bCs/>
          <w:sz w:val="22"/>
          <w:szCs w:val="22"/>
        </w:rPr>
        <w:t>.</w:t>
      </w:r>
    </w:p>
    <w:p w14:paraId="18357BED" w14:textId="0A4145B2" w:rsidR="00354FAC" w:rsidRPr="00211578" w:rsidRDefault="00713679" w:rsidP="00BD1D20">
      <w:pPr>
        <w:numPr>
          <w:ilvl w:val="0"/>
          <w:numId w:val="85"/>
        </w:numPr>
        <w:spacing w:after="120" w:line="276" w:lineRule="auto"/>
        <w:contextualSpacing/>
        <w:jc w:val="both"/>
        <w:rPr>
          <w:rFonts w:ascii="Arial" w:eastAsia="Arial" w:hAnsi="Arial" w:cs="Arial"/>
          <w:bCs/>
          <w:sz w:val="22"/>
          <w:szCs w:val="22"/>
        </w:rPr>
      </w:pPr>
      <w:r w:rsidRPr="00211578">
        <w:rPr>
          <w:rFonts w:ascii="Arial" w:eastAsia="Arial" w:hAnsi="Arial" w:cs="Arial"/>
          <w:bCs/>
          <w:sz w:val="22"/>
          <w:szCs w:val="22"/>
        </w:rPr>
        <w:t xml:space="preserve">Stroški </w:t>
      </w:r>
      <w:r w:rsidR="00354FAC" w:rsidRPr="00211578">
        <w:rPr>
          <w:rFonts w:ascii="Arial" w:eastAsia="Arial" w:hAnsi="Arial" w:cs="Arial"/>
          <w:bCs/>
          <w:sz w:val="22"/>
          <w:szCs w:val="22"/>
        </w:rPr>
        <w:t>nabave, dobave in montaže opreme so dobljeni na podlagi okvirne projektantske ocene</w:t>
      </w:r>
      <w:r>
        <w:rPr>
          <w:rFonts w:ascii="Arial" w:eastAsia="Arial" w:hAnsi="Arial" w:cs="Arial"/>
          <w:bCs/>
          <w:sz w:val="22"/>
          <w:szCs w:val="22"/>
        </w:rPr>
        <w:t>.</w:t>
      </w:r>
    </w:p>
    <w:p w14:paraId="56DFE2AD" w14:textId="1C14B957" w:rsidR="00354FAC" w:rsidRPr="00211578" w:rsidRDefault="00713679" w:rsidP="00BD1D20">
      <w:pPr>
        <w:numPr>
          <w:ilvl w:val="0"/>
          <w:numId w:val="85"/>
        </w:numPr>
        <w:spacing w:after="120" w:line="276" w:lineRule="auto"/>
        <w:contextualSpacing/>
        <w:jc w:val="both"/>
        <w:rPr>
          <w:rFonts w:ascii="Arial" w:eastAsia="Arial" w:hAnsi="Arial" w:cs="Arial"/>
          <w:bCs/>
          <w:sz w:val="22"/>
          <w:szCs w:val="22"/>
        </w:rPr>
      </w:pPr>
      <w:bookmarkStart w:id="227" w:name="_heading=h.4iylrwe" w:colFirst="0" w:colLast="0"/>
      <w:bookmarkEnd w:id="227"/>
      <w:r w:rsidRPr="00211578">
        <w:rPr>
          <w:rFonts w:ascii="Arial" w:eastAsia="Arial" w:hAnsi="Arial" w:cs="Arial"/>
          <w:bCs/>
          <w:sz w:val="22"/>
          <w:szCs w:val="22"/>
        </w:rPr>
        <w:t xml:space="preserve">Stroški </w:t>
      </w:r>
      <w:r w:rsidR="00354FAC" w:rsidRPr="00211578">
        <w:rPr>
          <w:rFonts w:ascii="Arial" w:eastAsia="Arial" w:hAnsi="Arial" w:cs="Arial"/>
          <w:bCs/>
          <w:sz w:val="22"/>
          <w:szCs w:val="22"/>
        </w:rPr>
        <w:t>strokovnega nadzora gradnje so ocenjeni izkustveno</w:t>
      </w:r>
      <w:r>
        <w:rPr>
          <w:rFonts w:ascii="Arial" w:eastAsia="Arial" w:hAnsi="Arial" w:cs="Arial"/>
          <w:bCs/>
          <w:sz w:val="22"/>
          <w:szCs w:val="22"/>
        </w:rPr>
        <w:t>.</w:t>
      </w:r>
    </w:p>
    <w:p w14:paraId="6607EDCC" w14:textId="3415624F" w:rsidR="00354FAC" w:rsidRPr="00211578" w:rsidRDefault="0044190F" w:rsidP="00BD1D20">
      <w:pPr>
        <w:numPr>
          <w:ilvl w:val="0"/>
          <w:numId w:val="85"/>
        </w:numPr>
        <w:spacing w:after="120" w:line="276" w:lineRule="auto"/>
        <w:contextualSpacing/>
        <w:jc w:val="both"/>
        <w:rPr>
          <w:rFonts w:ascii="Arial" w:eastAsia="Arial" w:hAnsi="Arial" w:cs="Arial"/>
          <w:bCs/>
          <w:sz w:val="22"/>
          <w:szCs w:val="22"/>
        </w:rPr>
      </w:pPr>
      <w:r>
        <w:rPr>
          <w:rFonts w:ascii="Arial" w:eastAsia="Arial" w:hAnsi="Arial" w:cs="Arial"/>
          <w:bCs/>
          <w:sz w:val="22"/>
          <w:szCs w:val="22"/>
        </w:rPr>
        <w:t>V</w:t>
      </w:r>
      <w:r w:rsidR="00354FAC" w:rsidRPr="00211578">
        <w:rPr>
          <w:rFonts w:ascii="Arial" w:eastAsia="Arial" w:hAnsi="Arial" w:cs="Arial"/>
          <w:bCs/>
          <w:sz w:val="22"/>
          <w:szCs w:val="22"/>
        </w:rPr>
        <w:t xml:space="preserve"> izračunu je upoštevan in posebej prikazan 22,0% DDV za vsa ostala dela v okviru projekta, ki so predmet obdavčitve v skladu z Zakonom o davku na dodano vrednost (ZDDV-1) (Uradni list RS, št. 13/2011-UPB, 18/2011, 78/2011, 38/2012, 86/2014, 90/2015, 77/2018, 59/2019 in 72/2019)</w:t>
      </w:r>
      <w:r w:rsidR="00713679">
        <w:rPr>
          <w:rFonts w:ascii="Arial" w:eastAsia="Arial" w:hAnsi="Arial" w:cs="Arial"/>
          <w:bCs/>
          <w:sz w:val="22"/>
          <w:szCs w:val="22"/>
        </w:rPr>
        <w:t>.</w:t>
      </w:r>
    </w:p>
    <w:p w14:paraId="593A9AFA" w14:textId="6AAAD2CD" w:rsidR="00354FAC" w:rsidRPr="00211578" w:rsidRDefault="0044190F" w:rsidP="00BD1D20">
      <w:pPr>
        <w:numPr>
          <w:ilvl w:val="0"/>
          <w:numId w:val="85"/>
        </w:numPr>
        <w:spacing w:after="120" w:line="276" w:lineRule="auto"/>
        <w:contextualSpacing/>
        <w:jc w:val="both"/>
        <w:rPr>
          <w:rFonts w:ascii="Arial" w:eastAsia="Arial" w:hAnsi="Arial" w:cs="Arial"/>
          <w:bCs/>
          <w:sz w:val="22"/>
          <w:szCs w:val="22"/>
        </w:rPr>
      </w:pPr>
      <w:r w:rsidRPr="00211578">
        <w:rPr>
          <w:rFonts w:ascii="Arial" w:eastAsia="Arial" w:hAnsi="Arial" w:cs="Arial"/>
          <w:bCs/>
          <w:sz w:val="22"/>
          <w:szCs w:val="22"/>
        </w:rPr>
        <w:t xml:space="preserve">Dinamika </w:t>
      </w:r>
      <w:r w:rsidR="00354FAC" w:rsidRPr="00211578">
        <w:rPr>
          <w:rFonts w:ascii="Arial" w:eastAsia="Arial" w:hAnsi="Arial" w:cs="Arial"/>
          <w:bCs/>
          <w:sz w:val="22"/>
          <w:szCs w:val="22"/>
        </w:rPr>
        <w:t>investicijskih vlaganj oziroma nastajanja investicijskih stroškov je oblikovana na osnovi časovnega načrta izvedbe investicijskega projekta</w:t>
      </w:r>
      <w:r w:rsidR="00713679">
        <w:rPr>
          <w:rFonts w:ascii="Arial" w:eastAsia="Arial" w:hAnsi="Arial" w:cs="Arial"/>
          <w:bCs/>
          <w:sz w:val="22"/>
          <w:szCs w:val="22"/>
        </w:rPr>
        <w:t>.</w:t>
      </w:r>
    </w:p>
    <w:p w14:paraId="62E96A6A" w14:textId="77777777" w:rsidR="00727EAD" w:rsidRDefault="00727EAD" w:rsidP="00BD1D20">
      <w:pPr>
        <w:spacing w:line="276" w:lineRule="auto"/>
        <w:jc w:val="both"/>
        <w:rPr>
          <w:rFonts w:asciiTheme="majorHAnsi" w:hAnsiTheme="majorHAnsi" w:cstheme="majorHAnsi"/>
          <w:sz w:val="22"/>
          <w:szCs w:val="22"/>
        </w:rPr>
      </w:pPr>
    </w:p>
    <w:p w14:paraId="012FF493" w14:textId="3BB67D15" w:rsidR="00354FAC" w:rsidRPr="00F11127" w:rsidRDefault="00354FAC" w:rsidP="00BD1D20">
      <w:pPr>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Vse ocenjene vrednosti so izračunane in podane v EUR in so prikazane brez DDV in z DDV (22 %). </w:t>
      </w:r>
    </w:p>
    <w:p w14:paraId="73CB212A" w14:textId="77777777" w:rsidR="00354FAC" w:rsidRPr="00F11127" w:rsidRDefault="00354FAC" w:rsidP="00BD1D20">
      <w:pPr>
        <w:spacing w:line="276" w:lineRule="auto"/>
        <w:jc w:val="both"/>
        <w:rPr>
          <w:rFonts w:asciiTheme="majorHAnsi" w:hAnsiTheme="majorHAnsi" w:cstheme="majorHAnsi"/>
          <w:sz w:val="22"/>
          <w:szCs w:val="22"/>
        </w:rPr>
      </w:pPr>
    </w:p>
    <w:p w14:paraId="5B34957E" w14:textId="1F9C8ACD" w:rsidR="00D1347D" w:rsidRDefault="00D1347D" w:rsidP="00BD1D20">
      <w:pPr>
        <w:pStyle w:val="Napis"/>
        <w:keepNext/>
        <w:spacing w:after="120" w:line="276" w:lineRule="auto"/>
        <w:ind w:left="1410" w:hanging="1410"/>
        <w:jc w:val="both"/>
        <w:rPr>
          <w:rFonts w:asciiTheme="majorHAnsi" w:hAnsiTheme="majorHAnsi" w:cstheme="majorHAnsi"/>
          <w:b w:val="0"/>
          <w:color w:val="auto"/>
          <w:sz w:val="22"/>
          <w:szCs w:val="22"/>
        </w:rPr>
      </w:pPr>
      <w:bookmarkStart w:id="228" w:name="_Toc209528294"/>
      <w:r w:rsidRPr="00F11127">
        <w:rPr>
          <w:rFonts w:asciiTheme="majorHAnsi" w:hAnsiTheme="majorHAnsi" w:cstheme="majorHAnsi"/>
          <w:color w:val="auto"/>
          <w:sz w:val="22"/>
          <w:szCs w:val="22"/>
        </w:rPr>
        <w:t xml:space="preserve">Tabela </w:t>
      </w:r>
      <w:r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8</w:t>
      </w:r>
      <w:r w:rsidRPr="00F11127">
        <w:rPr>
          <w:rFonts w:asciiTheme="majorHAnsi" w:hAnsiTheme="majorHAnsi" w:cstheme="majorHAnsi"/>
          <w:color w:val="auto"/>
          <w:sz w:val="22"/>
          <w:szCs w:val="22"/>
        </w:rPr>
        <w:fldChar w:fldCharType="end"/>
      </w:r>
      <w:r w:rsidRPr="00F11127">
        <w:rPr>
          <w:rFonts w:asciiTheme="majorHAnsi" w:hAnsiTheme="majorHAnsi" w:cstheme="majorHAnsi"/>
          <w:color w:val="auto"/>
          <w:sz w:val="22"/>
          <w:szCs w:val="22"/>
        </w:rPr>
        <w:t>:</w:t>
      </w:r>
      <w:r w:rsidRPr="00F11127">
        <w:rPr>
          <w:rFonts w:asciiTheme="majorHAnsi" w:hAnsiTheme="majorHAnsi" w:cstheme="majorHAnsi"/>
          <w:b w:val="0"/>
          <w:color w:val="auto"/>
          <w:sz w:val="22"/>
          <w:szCs w:val="22"/>
        </w:rPr>
        <w:t xml:space="preserve"> Prikaz stroškov projekta v stalnih cenah brez in z DDV (v EUR)</w:t>
      </w:r>
      <w:bookmarkEnd w:id="228"/>
    </w:p>
    <w:tbl>
      <w:tblPr>
        <w:tblW w:w="5155" w:type="pct"/>
        <w:tblLayout w:type="fixed"/>
        <w:tblCellMar>
          <w:left w:w="70" w:type="dxa"/>
          <w:right w:w="70" w:type="dxa"/>
        </w:tblCellMar>
        <w:tblLook w:val="04A0" w:firstRow="1" w:lastRow="0" w:firstColumn="1" w:lastColumn="0" w:noHBand="0" w:noVBand="1"/>
      </w:tblPr>
      <w:tblGrid>
        <w:gridCol w:w="4248"/>
        <w:gridCol w:w="1278"/>
        <w:gridCol w:w="848"/>
        <w:gridCol w:w="1133"/>
        <w:gridCol w:w="1278"/>
        <w:gridCol w:w="850"/>
      </w:tblGrid>
      <w:tr w:rsidR="00E748ED" w:rsidRPr="008252A9" w14:paraId="4F4E4751" w14:textId="77777777" w:rsidTr="00472C0E">
        <w:trPr>
          <w:trHeight w:val="300"/>
          <w:tblHeader/>
        </w:trPr>
        <w:tc>
          <w:tcPr>
            <w:tcW w:w="2204" w:type="pct"/>
            <w:tcBorders>
              <w:top w:val="single" w:sz="4" w:space="0" w:color="auto"/>
              <w:left w:val="single" w:sz="4" w:space="0" w:color="auto"/>
              <w:bottom w:val="single" w:sz="4" w:space="0" w:color="auto"/>
              <w:right w:val="single" w:sz="4" w:space="0" w:color="auto"/>
            </w:tcBorders>
            <w:shd w:val="clear" w:color="000000" w:fill="153D64"/>
            <w:noWrap/>
            <w:tcMar>
              <w:left w:w="28" w:type="dxa"/>
              <w:right w:w="28" w:type="dxa"/>
            </w:tcMar>
            <w:vAlign w:val="bottom"/>
            <w:hideMark/>
          </w:tcPr>
          <w:p w14:paraId="3C8B21D8"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Postavka</w:t>
            </w:r>
          </w:p>
        </w:tc>
        <w:tc>
          <w:tcPr>
            <w:tcW w:w="663"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409E335C"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Vrednost</w:t>
            </w:r>
          </w:p>
        </w:tc>
        <w:tc>
          <w:tcPr>
            <w:tcW w:w="440"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10252CBD"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Delež</w:t>
            </w:r>
          </w:p>
        </w:tc>
        <w:tc>
          <w:tcPr>
            <w:tcW w:w="588"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7D31F9BE"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DDV</w:t>
            </w:r>
          </w:p>
        </w:tc>
        <w:tc>
          <w:tcPr>
            <w:tcW w:w="663"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0146D8E0"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Vrednost z DDV</w:t>
            </w:r>
          </w:p>
        </w:tc>
        <w:tc>
          <w:tcPr>
            <w:tcW w:w="441"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15FABDC1" w14:textId="77777777" w:rsidR="00E748ED" w:rsidRPr="008252A9" w:rsidRDefault="00E748ED" w:rsidP="00472C0E">
            <w:pPr>
              <w:rPr>
                <w:rFonts w:ascii="Arial" w:hAnsi="Arial" w:cs="Arial"/>
                <w:b/>
                <w:bCs/>
                <w:color w:val="FFFFFF"/>
                <w:sz w:val="20"/>
                <w:szCs w:val="20"/>
              </w:rPr>
            </w:pPr>
            <w:r w:rsidRPr="008252A9">
              <w:rPr>
                <w:rFonts w:ascii="Arial" w:hAnsi="Arial" w:cs="Arial"/>
                <w:b/>
                <w:bCs/>
                <w:color w:val="FFFFFF"/>
                <w:sz w:val="20"/>
                <w:szCs w:val="20"/>
              </w:rPr>
              <w:t>Delež</w:t>
            </w:r>
          </w:p>
        </w:tc>
      </w:tr>
      <w:tr w:rsidR="00E748ED" w:rsidRPr="008252A9" w14:paraId="735C9842"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912C83B"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Govekarjeva cesta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0983A7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671.438,32</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B08394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19,18%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58951C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147.716,43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012E6A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819.154,75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026963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23,40%</w:t>
            </w:r>
          </w:p>
        </w:tc>
      </w:tr>
      <w:tr w:rsidR="00E748ED" w:rsidRPr="008252A9" w14:paraId="04B6618F"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24A209A"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Troštova ulica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0D17AE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159.251,45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F64CA4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4,55%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8B1083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35.035,32</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A96158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194.286,77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3AC3CDAE"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5,55%</w:t>
            </w:r>
          </w:p>
        </w:tc>
      </w:tr>
      <w:tr w:rsidR="00E748ED" w:rsidRPr="008252A9" w14:paraId="0A380817"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3C95A27"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Križišče Govekarjeva-Troštova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E9474A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154.956,84</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604B95B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4,43%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EBA602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34.090,50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F084CA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189.047,34</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C71863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5,40%</w:t>
            </w:r>
          </w:p>
        </w:tc>
      </w:tr>
      <w:tr w:rsidR="00E748ED" w:rsidRPr="008252A9" w14:paraId="38D673E7"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29B0EBC"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Javni sistem izposoje koles</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190F48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54.892,00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100A0C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1,57%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025AB3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12.076,24</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025650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66.968,24</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5A1521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1,91%</w:t>
            </w:r>
          </w:p>
        </w:tc>
      </w:tr>
      <w:tr w:rsidR="00E748ED" w:rsidRPr="008252A9" w14:paraId="67CD5610"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62925F5"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Parkirišča za kolesa - Govekarjeva cesta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3A1F4F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73F236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C3D524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78A21F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945049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0,22%</w:t>
            </w:r>
          </w:p>
        </w:tc>
      </w:tr>
      <w:tr w:rsidR="00E748ED" w:rsidRPr="008252A9" w14:paraId="697EF60C"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B6B9BEC"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Parkirišča za kolesa - staro župnišče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A498D1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72B69BD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284B9D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8DAD60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E52CC9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0,22%</w:t>
            </w:r>
          </w:p>
        </w:tc>
      </w:tr>
      <w:tr w:rsidR="00E748ED" w:rsidRPr="008252A9" w14:paraId="1A5AE8F6"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6B2119C"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Parkirišča za kolesa - trg (kolesarnica)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85A730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60.946,04</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0FC8A5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1,74%</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3543CE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13.408,13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1B0D86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74.354,17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86A200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2,12%</w:t>
            </w:r>
          </w:p>
        </w:tc>
      </w:tr>
      <w:tr w:rsidR="00E748ED" w:rsidRPr="008252A9" w14:paraId="323B7194"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CA7F611"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Parkirišča za kolesa - telovadnica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297B5B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12297D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72766E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DA358F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E98427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0,22%</w:t>
            </w:r>
          </w:p>
        </w:tc>
      </w:tr>
      <w:tr w:rsidR="00E748ED" w:rsidRPr="008252A9" w14:paraId="18DCF044"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D810F36"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Parkirišča za kolesa - park</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B31594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6.250,00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F3B617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4162C0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1.375,00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1A3EBA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7.625,00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8950B3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0,22%</w:t>
            </w:r>
          </w:p>
        </w:tc>
      </w:tr>
      <w:tr w:rsidR="00E748ED" w:rsidRPr="008252A9" w14:paraId="445BF0D9"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EFA10A8"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Merilniki, prikazovalniki in števci</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A5DE07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47.399,00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E78EA3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1,35%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FBDB6D8"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10.427,78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C1C29C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57.826,78</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F7C733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1,65%</w:t>
            </w:r>
          </w:p>
        </w:tc>
      </w:tr>
      <w:tr w:rsidR="00E748ED" w:rsidRPr="008252A9" w14:paraId="6ED7EEEE"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6338AB4"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Avtobusno postajališče - nivo ceste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25CD50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303.506,81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E64A1B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8,67%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59CCA3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66.771,50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B06669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370.278,31</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F99803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10,58%</w:t>
            </w:r>
          </w:p>
        </w:tc>
      </w:tr>
      <w:tr w:rsidR="00E748ED" w:rsidRPr="008252A9" w14:paraId="39A8A142"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CF60889"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Avtobusno postajališče - nadstrešnica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5B2552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249.783,11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579638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7,13%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CEB176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54.952,28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1ED34C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304.735,39</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40E0A2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8,70%</w:t>
            </w:r>
          </w:p>
        </w:tc>
      </w:tr>
      <w:tr w:rsidR="00E748ED" w:rsidRPr="008252A9" w14:paraId="25CD1B4B"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53F3D11"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Parkirišče z vhodom v šolo</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61671B8"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666.582,43</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61570B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19,04%</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F910FC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146.648,13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B16A76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813.230,56</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F20BBA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23,23%</w:t>
            </w:r>
          </w:p>
        </w:tc>
      </w:tr>
      <w:tr w:rsidR="00E748ED" w:rsidRPr="008252A9" w14:paraId="39E918BA" w14:textId="77777777" w:rsidTr="00472C0E">
        <w:trPr>
          <w:trHeight w:val="285"/>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89CC351" w14:textId="77777777" w:rsidR="00E748ED" w:rsidRPr="008252A9" w:rsidRDefault="00E748ED" w:rsidP="00472C0E">
            <w:pPr>
              <w:rPr>
                <w:rFonts w:ascii="Arial" w:hAnsi="Arial" w:cs="Arial"/>
                <w:i/>
                <w:iCs/>
                <w:color w:val="000000"/>
                <w:sz w:val="20"/>
                <w:szCs w:val="20"/>
              </w:rPr>
            </w:pPr>
            <w:r w:rsidRPr="008252A9">
              <w:rPr>
                <w:rFonts w:ascii="Arial" w:hAnsi="Arial" w:cs="Arial"/>
                <w:i/>
                <w:iCs/>
                <w:color w:val="000000"/>
                <w:sz w:val="20"/>
                <w:szCs w:val="20"/>
              </w:rPr>
              <w:t>Skupaj GOI dela</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0FDE7AC" w14:textId="77777777" w:rsidR="00E748ED" w:rsidRPr="008252A9" w:rsidRDefault="00E748ED" w:rsidP="00472C0E">
            <w:pPr>
              <w:jc w:val="right"/>
              <w:rPr>
                <w:rFonts w:ascii="Arial" w:hAnsi="Arial" w:cs="Arial"/>
                <w:i/>
                <w:iCs/>
                <w:color w:val="000000"/>
                <w:sz w:val="20"/>
                <w:szCs w:val="20"/>
              </w:rPr>
            </w:pPr>
            <w:r w:rsidRPr="008252A9">
              <w:rPr>
                <w:rFonts w:ascii="Arial" w:hAnsi="Arial" w:cs="Arial"/>
                <w:i/>
                <w:iCs/>
                <w:color w:val="000000"/>
                <w:sz w:val="20"/>
                <w:szCs w:val="20"/>
              </w:rPr>
              <w:t>2.393.756,00</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7AD84E1" w14:textId="77777777" w:rsidR="00E748ED" w:rsidRPr="008252A9" w:rsidRDefault="00E748ED" w:rsidP="00472C0E">
            <w:pPr>
              <w:jc w:val="right"/>
              <w:rPr>
                <w:rFonts w:ascii="Arial" w:hAnsi="Arial" w:cs="Arial"/>
                <w:i/>
                <w:iCs/>
                <w:color w:val="000000"/>
                <w:sz w:val="20"/>
                <w:szCs w:val="20"/>
              </w:rPr>
            </w:pPr>
            <w:r w:rsidRPr="008252A9">
              <w:rPr>
                <w:rFonts w:ascii="Arial" w:hAnsi="Arial" w:cs="Arial"/>
                <w:i/>
                <w:iCs/>
                <w:color w:val="000000"/>
                <w:sz w:val="20"/>
                <w:szCs w:val="20"/>
              </w:rPr>
              <w:t>68,37%</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6CF8BF3" w14:textId="77777777" w:rsidR="00E748ED" w:rsidRPr="008252A9" w:rsidRDefault="00E748ED" w:rsidP="00472C0E">
            <w:pPr>
              <w:jc w:val="right"/>
              <w:rPr>
                <w:rFonts w:ascii="Arial" w:hAnsi="Arial" w:cs="Arial"/>
                <w:i/>
                <w:iCs/>
                <w:color w:val="000000"/>
                <w:sz w:val="20"/>
                <w:szCs w:val="20"/>
              </w:rPr>
            </w:pPr>
            <w:r w:rsidRPr="008252A9">
              <w:rPr>
                <w:rFonts w:ascii="Arial" w:hAnsi="Arial" w:cs="Arial"/>
                <w:i/>
                <w:iCs/>
                <w:color w:val="000000"/>
                <w:sz w:val="20"/>
                <w:szCs w:val="20"/>
              </w:rPr>
              <w:t>526.626,31</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338A571" w14:textId="77777777" w:rsidR="00E748ED" w:rsidRPr="008252A9" w:rsidRDefault="00E748ED" w:rsidP="00472C0E">
            <w:pPr>
              <w:jc w:val="right"/>
              <w:rPr>
                <w:rFonts w:ascii="Arial" w:hAnsi="Arial" w:cs="Arial"/>
                <w:i/>
                <w:iCs/>
                <w:color w:val="000000"/>
                <w:sz w:val="20"/>
                <w:szCs w:val="20"/>
              </w:rPr>
            </w:pPr>
            <w:r w:rsidRPr="008252A9">
              <w:rPr>
                <w:rFonts w:ascii="Arial" w:hAnsi="Arial" w:cs="Arial"/>
                <w:i/>
                <w:iCs/>
                <w:color w:val="000000"/>
                <w:sz w:val="20"/>
                <w:szCs w:val="20"/>
              </w:rPr>
              <w:t>2.920.382,31</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F2FDAC9" w14:textId="77777777" w:rsidR="00E748ED" w:rsidRPr="008252A9" w:rsidRDefault="00E748ED" w:rsidP="00472C0E">
            <w:pPr>
              <w:jc w:val="right"/>
              <w:rPr>
                <w:rFonts w:ascii="Arial" w:hAnsi="Arial" w:cs="Arial"/>
                <w:i/>
                <w:iCs/>
                <w:color w:val="000000"/>
                <w:sz w:val="20"/>
                <w:szCs w:val="20"/>
              </w:rPr>
            </w:pPr>
            <w:r w:rsidRPr="008252A9">
              <w:rPr>
                <w:rFonts w:ascii="Arial" w:hAnsi="Arial" w:cs="Arial"/>
                <w:i/>
                <w:iCs/>
                <w:color w:val="000000"/>
                <w:sz w:val="20"/>
                <w:szCs w:val="20"/>
              </w:rPr>
              <w:t>83,41%</w:t>
            </w:r>
          </w:p>
        </w:tc>
      </w:tr>
      <w:tr w:rsidR="00E748ED" w:rsidRPr="008252A9" w14:paraId="4A11BE78"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E666AE4"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Strokovni nadzor</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A1F861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71.812,68</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66720D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2,05%</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D63392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15.798,79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294B30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87.611,47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DA6262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2,50%</w:t>
            </w:r>
          </w:p>
        </w:tc>
      </w:tr>
      <w:tr w:rsidR="00E748ED" w:rsidRPr="008252A9" w14:paraId="1ACB8732"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5C4CC73"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Projektna dokumentacija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9E41CD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97.145,33</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F340FE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2,77%</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B52943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21.371,97</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A0CDB8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118.517,30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A4E597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3,39%</w:t>
            </w:r>
          </w:p>
        </w:tc>
      </w:tr>
      <w:tr w:rsidR="00E748ED" w:rsidRPr="008252A9" w14:paraId="4199C8B8"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D0E55E5"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Inženiring</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A01E5A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23.937,56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5D4A2C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0,68%</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39761F4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5.266,26</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39B0FA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29.203,82</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6EB5701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0,83%</w:t>
            </w:r>
          </w:p>
        </w:tc>
      </w:tr>
      <w:tr w:rsidR="00E748ED" w:rsidRPr="008252A9" w14:paraId="6C543D7C"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3B614AF"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Obveščanje javnosti</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B444F3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4.098,36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6A0FD4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29215B0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901,64</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FAD9A9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20F9F0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0,14%</w:t>
            </w:r>
          </w:p>
        </w:tc>
      </w:tr>
      <w:tr w:rsidR="00E748ED" w:rsidRPr="008252A9" w14:paraId="1F67FC5C"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6C7A080"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lastRenderedPageBreak/>
              <w:t>Investicijska in ostala dokumentacija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365426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14.265,88</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EB1B65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0,41%</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2AD460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3.138,49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C636DC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17.404,37</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D76535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0,50%</w:t>
            </w:r>
          </w:p>
        </w:tc>
      </w:tr>
      <w:tr w:rsidR="00E748ED" w:rsidRPr="008252A9" w14:paraId="6AD2F074"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3492165"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Stroški varnosti pri delu</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79326F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6.694,90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34999C8"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799D6A4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1.472,88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702A00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8.167,78</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AC1E09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0,23%</w:t>
            </w:r>
          </w:p>
        </w:tc>
      </w:tr>
      <w:tr w:rsidR="00E748ED" w:rsidRPr="008252A9" w14:paraId="6F0750DB"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95F70ED"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Arheologija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D7C056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15.011,81</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9E7D09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0,43%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D3A86C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3.302,60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9514A2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18.314,41</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5E97579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0,52%</w:t>
            </w:r>
          </w:p>
        </w:tc>
      </w:tr>
      <w:tr w:rsidR="00E748ED" w:rsidRPr="008252A9" w14:paraId="55D6A8EC"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6B5D314"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Čiščenje in pregled kanalizacije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86F60F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3.280,00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3E69348"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2FACFE8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721,60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AAE7FC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4.001,60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3368C83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0,11%</w:t>
            </w:r>
          </w:p>
        </w:tc>
      </w:tr>
      <w:tr w:rsidR="00E748ED" w:rsidRPr="008252A9" w14:paraId="11292369"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71B3AA1"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Nakup nepremičnine</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AA5049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280.000,00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7AEB18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8,00%</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53DCA41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28FD45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280.000,00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2D2844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8,00%</w:t>
            </w:r>
          </w:p>
        </w:tc>
      </w:tr>
      <w:tr w:rsidR="00E748ED" w:rsidRPr="008252A9" w14:paraId="3BD0C45F"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2402C9D"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Druga dela ob rušenju objekta (neobdavčeno)</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2FC691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776,00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48585A1E"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08604A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06DF0C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776,00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4BC032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0,02%</w:t>
            </w:r>
          </w:p>
        </w:tc>
      </w:tr>
      <w:tr w:rsidR="00E748ED" w:rsidRPr="008252A9" w14:paraId="017AFE41"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530A3542"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Druga dela ob rušenju objekta (9,5% DDV)</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9AA04B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545,96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A847F6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817995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51,87</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C623DB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597,83</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FE5E47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0,02%</w:t>
            </w:r>
          </w:p>
        </w:tc>
      </w:tr>
      <w:tr w:rsidR="00E748ED" w:rsidRPr="008252A9" w14:paraId="313AB0EC" w14:textId="77777777" w:rsidTr="00472C0E">
        <w:trPr>
          <w:trHeight w:val="300"/>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678C699"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Druga dela ob rušenju objekta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267C44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5.483,07</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21E0F3C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0,16%</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4DF46D3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1.206,28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50F782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6.689,35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2D8061F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0,19%</w:t>
            </w:r>
          </w:p>
        </w:tc>
      </w:tr>
      <w:tr w:rsidR="00E748ED" w:rsidRPr="008252A9" w14:paraId="663E9C36"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3A21B10"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Vpis v kataster</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CF4F9A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892,65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D1B128E"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0,03%</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2A387C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196,38</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69C03D4"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1.089,03</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A4BBA8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0,03%</w:t>
            </w:r>
          </w:p>
        </w:tc>
      </w:tr>
      <w:tr w:rsidR="00E748ED" w:rsidRPr="008252A9" w14:paraId="0107E2D4"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AFBAA0C"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Notar, zemljiška knjiga</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73B74D72"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5A230C5E"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0D9E5907"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0ECA2415"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7BD6F87E"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0,00%</w:t>
            </w:r>
          </w:p>
        </w:tc>
      </w:tr>
      <w:tr w:rsidR="00E748ED" w:rsidRPr="008252A9" w14:paraId="0410E73B"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695859B"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Geodetski načrt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13353B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2.032,66</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391E7E1D"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0,06%</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1D8E15F"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447,19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84AD440"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2.479,85</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49BD73D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0,07%</w:t>
            </w:r>
          </w:p>
        </w:tc>
      </w:tr>
      <w:tr w:rsidR="00E748ED" w:rsidRPr="008252A9" w14:paraId="7716F737"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7836ECB"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Baza cestnih podatkov</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283E299B"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819,67</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73CEDA3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195CDE3"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180,33</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4B0864F1"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1.000,00</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C15457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0,03%</w:t>
            </w:r>
          </w:p>
        </w:tc>
      </w:tr>
      <w:tr w:rsidR="00E748ED" w:rsidRPr="008252A9" w14:paraId="6CF12A19" w14:textId="77777777" w:rsidTr="00472C0E">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716E507" w14:textId="77777777" w:rsidR="00E748ED" w:rsidRPr="008252A9" w:rsidRDefault="00E748ED" w:rsidP="00472C0E">
            <w:pPr>
              <w:rPr>
                <w:rFonts w:ascii="Arial" w:hAnsi="Arial" w:cs="Arial"/>
                <w:b/>
                <w:bCs/>
                <w:color w:val="000000"/>
                <w:sz w:val="20"/>
                <w:szCs w:val="20"/>
              </w:rPr>
            </w:pPr>
            <w:r w:rsidRPr="008252A9">
              <w:rPr>
                <w:rFonts w:ascii="Arial" w:hAnsi="Arial" w:cs="Arial"/>
                <w:b/>
                <w:bCs/>
                <w:color w:val="000000"/>
                <w:sz w:val="20"/>
                <w:szCs w:val="20"/>
              </w:rPr>
              <w:t>Skupaj brez DDV</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45D14AF"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2.920.552,53</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1EF60EF"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83,41%</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7665EC2"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580.682,59</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D4DF938"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35E8A6C"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100,00%</w:t>
            </w:r>
          </w:p>
        </w:tc>
      </w:tr>
      <w:tr w:rsidR="00E748ED" w:rsidRPr="008252A9" w14:paraId="49BEE53D"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AE8EB41"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Davek na dodano vrednost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5496054A"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580.682,59</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1A55B84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16,59%</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658B782C"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580.682,59</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328E1DE8"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 </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111E12AB"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 </w:t>
            </w:r>
          </w:p>
        </w:tc>
      </w:tr>
      <w:tr w:rsidR="00E748ED" w:rsidRPr="008252A9" w14:paraId="02B9781E" w14:textId="77777777" w:rsidTr="00472C0E">
        <w:trPr>
          <w:trHeight w:val="285"/>
        </w:trPr>
        <w:tc>
          <w:tcPr>
            <w:tcW w:w="2204"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B6D3B10"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Povračljiv davek na dodano vrednost</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687FAFD9"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25.274,65</w:t>
            </w:r>
          </w:p>
        </w:tc>
        <w:tc>
          <w:tcPr>
            <w:tcW w:w="440" w:type="pct"/>
            <w:tcBorders>
              <w:top w:val="nil"/>
              <w:left w:val="nil"/>
              <w:bottom w:val="single" w:sz="4" w:space="0" w:color="auto"/>
              <w:right w:val="single" w:sz="4" w:space="0" w:color="auto"/>
            </w:tcBorders>
            <w:noWrap/>
            <w:tcMar>
              <w:left w:w="28" w:type="dxa"/>
              <w:right w:w="28" w:type="dxa"/>
            </w:tcMar>
            <w:vAlign w:val="bottom"/>
            <w:hideMark/>
          </w:tcPr>
          <w:p w14:paraId="058A0C46" w14:textId="77777777" w:rsidR="00E748ED" w:rsidRPr="008252A9" w:rsidRDefault="00E748ED" w:rsidP="00472C0E">
            <w:pPr>
              <w:jc w:val="right"/>
              <w:rPr>
                <w:rFonts w:ascii="Arial" w:hAnsi="Arial" w:cs="Arial"/>
                <w:color w:val="000000"/>
                <w:sz w:val="20"/>
                <w:szCs w:val="20"/>
              </w:rPr>
            </w:pPr>
            <w:r w:rsidRPr="008252A9">
              <w:rPr>
                <w:rFonts w:ascii="Arial" w:hAnsi="Arial" w:cs="Arial"/>
                <w:color w:val="000000"/>
                <w:sz w:val="20"/>
                <w:szCs w:val="20"/>
              </w:rPr>
              <w:t>0,72%</w:t>
            </w:r>
          </w:p>
        </w:tc>
        <w:tc>
          <w:tcPr>
            <w:tcW w:w="588" w:type="pct"/>
            <w:tcBorders>
              <w:top w:val="nil"/>
              <w:left w:val="nil"/>
              <w:bottom w:val="single" w:sz="4" w:space="0" w:color="auto"/>
              <w:right w:val="single" w:sz="4" w:space="0" w:color="auto"/>
            </w:tcBorders>
            <w:noWrap/>
            <w:tcMar>
              <w:left w:w="28" w:type="dxa"/>
              <w:right w:w="28" w:type="dxa"/>
            </w:tcMar>
            <w:vAlign w:val="bottom"/>
            <w:hideMark/>
          </w:tcPr>
          <w:p w14:paraId="1C059740"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 </w:t>
            </w:r>
          </w:p>
        </w:tc>
        <w:tc>
          <w:tcPr>
            <w:tcW w:w="663" w:type="pct"/>
            <w:tcBorders>
              <w:top w:val="nil"/>
              <w:left w:val="nil"/>
              <w:bottom w:val="single" w:sz="4" w:space="0" w:color="auto"/>
              <w:right w:val="single" w:sz="4" w:space="0" w:color="auto"/>
            </w:tcBorders>
            <w:noWrap/>
            <w:tcMar>
              <w:left w:w="28" w:type="dxa"/>
              <w:right w:w="28" w:type="dxa"/>
            </w:tcMar>
            <w:vAlign w:val="bottom"/>
            <w:hideMark/>
          </w:tcPr>
          <w:p w14:paraId="1D88201C"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 </w:t>
            </w:r>
          </w:p>
        </w:tc>
        <w:tc>
          <w:tcPr>
            <w:tcW w:w="441" w:type="pct"/>
            <w:tcBorders>
              <w:top w:val="nil"/>
              <w:left w:val="nil"/>
              <w:bottom w:val="single" w:sz="4" w:space="0" w:color="auto"/>
              <w:right w:val="single" w:sz="4" w:space="0" w:color="auto"/>
            </w:tcBorders>
            <w:noWrap/>
            <w:tcMar>
              <w:left w:w="28" w:type="dxa"/>
              <w:right w:w="28" w:type="dxa"/>
            </w:tcMar>
            <w:vAlign w:val="bottom"/>
            <w:hideMark/>
          </w:tcPr>
          <w:p w14:paraId="0A448BF2" w14:textId="77777777" w:rsidR="00E748ED" w:rsidRPr="008252A9" w:rsidRDefault="00E748ED" w:rsidP="00472C0E">
            <w:pPr>
              <w:rPr>
                <w:rFonts w:ascii="Arial" w:hAnsi="Arial" w:cs="Arial"/>
                <w:color w:val="000000"/>
                <w:sz w:val="20"/>
                <w:szCs w:val="20"/>
              </w:rPr>
            </w:pPr>
            <w:r w:rsidRPr="008252A9">
              <w:rPr>
                <w:rFonts w:ascii="Arial" w:hAnsi="Arial" w:cs="Arial"/>
                <w:color w:val="000000"/>
                <w:sz w:val="20"/>
                <w:szCs w:val="20"/>
              </w:rPr>
              <w:t> </w:t>
            </w:r>
          </w:p>
        </w:tc>
      </w:tr>
      <w:tr w:rsidR="00E748ED" w:rsidRPr="008252A9" w14:paraId="35FA8F1F" w14:textId="77777777" w:rsidTr="00472C0E">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2041C907" w14:textId="77777777" w:rsidR="00E748ED" w:rsidRPr="008252A9" w:rsidRDefault="00E748ED" w:rsidP="00472C0E">
            <w:pPr>
              <w:rPr>
                <w:rFonts w:ascii="Arial" w:hAnsi="Arial" w:cs="Arial"/>
                <w:b/>
                <w:bCs/>
                <w:color w:val="000000"/>
                <w:sz w:val="20"/>
                <w:szCs w:val="20"/>
              </w:rPr>
            </w:pPr>
            <w:r w:rsidRPr="008252A9">
              <w:rPr>
                <w:rFonts w:ascii="Arial" w:hAnsi="Arial" w:cs="Arial"/>
                <w:b/>
                <w:bCs/>
                <w:color w:val="000000"/>
                <w:sz w:val="20"/>
                <w:szCs w:val="20"/>
              </w:rPr>
              <w:t>Skupaj z davkom na dodano vrednost</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6C9D8E1"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891F738"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100,00%</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2C6041F"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580.682,59</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198FEDE"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3.501.235,12</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57649D0"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100,00%</w:t>
            </w:r>
          </w:p>
        </w:tc>
      </w:tr>
      <w:tr w:rsidR="00E748ED" w:rsidRPr="008252A9" w14:paraId="438EDF03" w14:textId="77777777" w:rsidTr="00472C0E">
        <w:trPr>
          <w:trHeight w:val="300"/>
        </w:trPr>
        <w:tc>
          <w:tcPr>
            <w:tcW w:w="2204"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68517AF1" w14:textId="77777777" w:rsidR="00E748ED" w:rsidRPr="008252A9" w:rsidRDefault="00E748ED" w:rsidP="00472C0E">
            <w:pPr>
              <w:rPr>
                <w:rFonts w:ascii="Arial" w:hAnsi="Arial" w:cs="Arial"/>
                <w:b/>
                <w:bCs/>
                <w:color w:val="000000"/>
                <w:sz w:val="20"/>
                <w:szCs w:val="20"/>
              </w:rPr>
            </w:pPr>
            <w:r w:rsidRPr="008252A9">
              <w:rPr>
                <w:rFonts w:ascii="Arial" w:hAnsi="Arial" w:cs="Arial"/>
                <w:b/>
                <w:bCs/>
                <w:color w:val="000000"/>
                <w:sz w:val="20"/>
                <w:szCs w:val="20"/>
              </w:rPr>
              <w:t xml:space="preserve">Skupaj z </w:t>
            </w:r>
            <w:proofErr w:type="spellStart"/>
            <w:r w:rsidRPr="008252A9">
              <w:rPr>
                <w:rFonts w:ascii="Arial" w:hAnsi="Arial" w:cs="Arial"/>
                <w:b/>
                <w:bCs/>
                <w:color w:val="000000"/>
                <w:sz w:val="20"/>
                <w:szCs w:val="20"/>
              </w:rPr>
              <w:t>nepovračljivim</w:t>
            </w:r>
            <w:proofErr w:type="spellEnd"/>
            <w:r w:rsidRPr="008252A9">
              <w:rPr>
                <w:rFonts w:ascii="Arial" w:hAnsi="Arial" w:cs="Arial"/>
                <w:b/>
                <w:bCs/>
                <w:color w:val="000000"/>
                <w:sz w:val="20"/>
                <w:szCs w:val="20"/>
              </w:rPr>
              <w:t xml:space="preserve"> davkom na dodano vrednost</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8E651DC"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3.475.960,46</w:t>
            </w:r>
          </w:p>
        </w:tc>
        <w:tc>
          <w:tcPr>
            <w:tcW w:w="44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6DF2463"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99,28%</w:t>
            </w:r>
          </w:p>
        </w:tc>
        <w:tc>
          <w:tcPr>
            <w:tcW w:w="588"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983BE09"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0,00</w:t>
            </w:r>
          </w:p>
        </w:tc>
        <w:tc>
          <w:tcPr>
            <w:tcW w:w="663"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E1E3177"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3.475.960,46</w:t>
            </w:r>
          </w:p>
        </w:tc>
        <w:tc>
          <w:tcPr>
            <w:tcW w:w="441"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75C8609" w14:textId="77777777" w:rsidR="00E748ED" w:rsidRPr="008252A9" w:rsidRDefault="00E748ED" w:rsidP="00472C0E">
            <w:pPr>
              <w:jc w:val="right"/>
              <w:rPr>
                <w:rFonts w:ascii="Arial" w:hAnsi="Arial" w:cs="Arial"/>
                <w:b/>
                <w:bCs/>
                <w:color w:val="000000"/>
                <w:sz w:val="20"/>
                <w:szCs w:val="20"/>
              </w:rPr>
            </w:pPr>
            <w:r w:rsidRPr="008252A9">
              <w:rPr>
                <w:rFonts w:ascii="Arial" w:hAnsi="Arial" w:cs="Arial"/>
                <w:b/>
                <w:bCs/>
                <w:color w:val="000000"/>
                <w:sz w:val="20"/>
                <w:szCs w:val="20"/>
              </w:rPr>
              <w:t>99,28%</w:t>
            </w:r>
          </w:p>
        </w:tc>
      </w:tr>
    </w:tbl>
    <w:p w14:paraId="3B35831E" w14:textId="77777777" w:rsidR="00D1347D" w:rsidRDefault="00D1347D" w:rsidP="00BD1D20">
      <w:pPr>
        <w:spacing w:after="120" w:line="276" w:lineRule="auto"/>
        <w:jc w:val="both"/>
        <w:rPr>
          <w:rFonts w:asciiTheme="majorHAnsi" w:hAnsiTheme="majorHAnsi" w:cstheme="majorHAnsi"/>
          <w:sz w:val="22"/>
          <w:szCs w:val="22"/>
        </w:rPr>
      </w:pPr>
    </w:p>
    <w:p w14:paraId="5C36221C" w14:textId="2625DA51" w:rsidR="00421286" w:rsidRPr="00F11127" w:rsidRDefault="00421286" w:rsidP="00421286">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29" w:name="_Toc210033827"/>
      <w:r w:rsidRPr="00F11127">
        <w:rPr>
          <w:rFonts w:asciiTheme="majorHAnsi" w:eastAsiaTheme="majorEastAsia" w:hAnsiTheme="majorHAnsi" w:cstheme="majorHAnsi"/>
          <w:color w:val="244061" w:themeColor="accent1" w:themeShade="80"/>
        </w:rPr>
        <w:t xml:space="preserve">Vrednost investicije po </w:t>
      </w:r>
      <w:r>
        <w:rPr>
          <w:rFonts w:asciiTheme="majorHAnsi" w:eastAsiaTheme="majorEastAsia" w:hAnsiTheme="majorHAnsi" w:cstheme="majorHAnsi"/>
          <w:color w:val="244061" w:themeColor="accent1" w:themeShade="80"/>
        </w:rPr>
        <w:t>tekočih</w:t>
      </w:r>
      <w:r w:rsidRPr="00F11127">
        <w:rPr>
          <w:rFonts w:asciiTheme="majorHAnsi" w:eastAsiaTheme="majorEastAsia" w:hAnsiTheme="majorHAnsi" w:cstheme="majorHAnsi"/>
          <w:color w:val="244061" w:themeColor="accent1" w:themeShade="80"/>
        </w:rPr>
        <w:t xml:space="preserve"> cenah</w:t>
      </w:r>
      <w:bookmarkEnd w:id="229"/>
    </w:p>
    <w:p w14:paraId="7195FAD5" w14:textId="54ED2CE6" w:rsidR="00421286" w:rsidRPr="00C13301" w:rsidRDefault="00421286" w:rsidP="00421286">
      <w:pPr>
        <w:spacing w:line="276" w:lineRule="auto"/>
        <w:jc w:val="both"/>
        <w:rPr>
          <w:rFonts w:ascii="Arial" w:hAnsi="Arial" w:cs="Arial"/>
          <w:sz w:val="22"/>
          <w:szCs w:val="22"/>
        </w:rPr>
      </w:pPr>
      <w:r>
        <w:rPr>
          <w:rFonts w:ascii="Arial" w:hAnsi="Arial" w:cs="Arial"/>
          <w:sz w:val="22"/>
          <w:szCs w:val="22"/>
        </w:rPr>
        <w:t>K</w:t>
      </w:r>
      <w:r w:rsidRPr="00C13301">
        <w:rPr>
          <w:rFonts w:ascii="Arial" w:hAnsi="Arial" w:cs="Arial"/>
          <w:sz w:val="22"/>
          <w:szCs w:val="22"/>
        </w:rPr>
        <w:t>er se planira izvedba investicije v roku daljšem od enega leta je izveden preračun iz stalnih v tekoče cene ob upoštevanju povprečne napovedi inflacije povzete po Pomladanski napovedi UMAR</w:t>
      </w:r>
      <w:r>
        <w:rPr>
          <w:rFonts w:ascii="Arial" w:hAnsi="Arial" w:cs="Arial"/>
          <w:sz w:val="22"/>
          <w:szCs w:val="22"/>
        </w:rPr>
        <w:t>-</w:t>
      </w:r>
      <w:r w:rsidRPr="00C13301">
        <w:rPr>
          <w:rFonts w:ascii="Arial" w:hAnsi="Arial" w:cs="Arial"/>
          <w:sz w:val="22"/>
          <w:szCs w:val="22"/>
        </w:rPr>
        <w:t>ja, ki znaša za:</w:t>
      </w:r>
    </w:p>
    <w:p w14:paraId="21C4AE5F" w14:textId="77777777" w:rsidR="00421286" w:rsidRPr="00C13301" w:rsidRDefault="00421286" w:rsidP="00421286">
      <w:pPr>
        <w:numPr>
          <w:ilvl w:val="1"/>
          <w:numId w:val="85"/>
        </w:numPr>
        <w:spacing w:line="276" w:lineRule="auto"/>
        <w:ind w:left="567"/>
        <w:jc w:val="both"/>
        <w:rPr>
          <w:rFonts w:ascii="Arial" w:hAnsi="Arial" w:cs="Arial"/>
          <w:sz w:val="22"/>
          <w:szCs w:val="22"/>
        </w:rPr>
      </w:pPr>
      <w:r w:rsidRPr="00C13301">
        <w:rPr>
          <w:rFonts w:ascii="Arial" w:hAnsi="Arial" w:cs="Arial"/>
          <w:sz w:val="22"/>
          <w:szCs w:val="22"/>
        </w:rPr>
        <w:t xml:space="preserve">leto </w:t>
      </w:r>
      <w:r>
        <w:rPr>
          <w:rFonts w:ascii="Arial" w:hAnsi="Arial" w:cs="Arial"/>
          <w:sz w:val="22"/>
          <w:szCs w:val="22"/>
        </w:rPr>
        <w:t>2026</w:t>
      </w:r>
      <w:r w:rsidRPr="00C13301">
        <w:rPr>
          <w:rFonts w:ascii="Arial" w:hAnsi="Arial" w:cs="Arial"/>
          <w:sz w:val="22"/>
          <w:szCs w:val="22"/>
        </w:rPr>
        <w:t xml:space="preserve"> </w:t>
      </w:r>
      <w:r>
        <w:rPr>
          <w:rFonts w:ascii="Arial" w:hAnsi="Arial" w:cs="Arial"/>
          <w:sz w:val="22"/>
          <w:szCs w:val="22"/>
        </w:rPr>
        <w:t>2,3</w:t>
      </w:r>
      <w:r w:rsidRPr="00C13301">
        <w:rPr>
          <w:rFonts w:ascii="Arial" w:hAnsi="Arial" w:cs="Arial"/>
          <w:sz w:val="22"/>
          <w:szCs w:val="22"/>
        </w:rPr>
        <w:t xml:space="preserve"> %</w:t>
      </w:r>
    </w:p>
    <w:p w14:paraId="1162490F" w14:textId="77777777" w:rsidR="00421286" w:rsidRPr="00C13301" w:rsidRDefault="00421286" w:rsidP="00421286">
      <w:pPr>
        <w:numPr>
          <w:ilvl w:val="1"/>
          <w:numId w:val="85"/>
        </w:numPr>
        <w:spacing w:line="276" w:lineRule="auto"/>
        <w:ind w:left="567"/>
        <w:jc w:val="both"/>
        <w:rPr>
          <w:rFonts w:ascii="Arial" w:hAnsi="Arial" w:cs="Arial"/>
          <w:sz w:val="22"/>
          <w:szCs w:val="22"/>
        </w:rPr>
      </w:pPr>
      <w:r w:rsidRPr="00C13301">
        <w:rPr>
          <w:rFonts w:ascii="Arial" w:hAnsi="Arial" w:cs="Arial"/>
          <w:sz w:val="22"/>
          <w:szCs w:val="22"/>
        </w:rPr>
        <w:t>leto 202</w:t>
      </w:r>
      <w:r>
        <w:rPr>
          <w:rFonts w:ascii="Arial" w:hAnsi="Arial" w:cs="Arial"/>
          <w:sz w:val="22"/>
          <w:szCs w:val="22"/>
        </w:rPr>
        <w:t>7</w:t>
      </w:r>
      <w:r w:rsidRPr="00C13301">
        <w:rPr>
          <w:rFonts w:ascii="Arial" w:hAnsi="Arial" w:cs="Arial"/>
          <w:sz w:val="22"/>
          <w:szCs w:val="22"/>
        </w:rPr>
        <w:t xml:space="preserve"> 2,</w:t>
      </w:r>
      <w:r>
        <w:rPr>
          <w:rFonts w:ascii="Arial" w:hAnsi="Arial" w:cs="Arial"/>
          <w:sz w:val="22"/>
          <w:szCs w:val="22"/>
        </w:rPr>
        <w:t>1</w:t>
      </w:r>
      <w:r w:rsidRPr="00C13301">
        <w:rPr>
          <w:rFonts w:ascii="Arial" w:hAnsi="Arial" w:cs="Arial"/>
          <w:sz w:val="22"/>
          <w:szCs w:val="22"/>
        </w:rPr>
        <w:t xml:space="preserve"> %</w:t>
      </w:r>
    </w:p>
    <w:p w14:paraId="02997010" w14:textId="77777777" w:rsidR="00421286" w:rsidRPr="00C13301" w:rsidRDefault="00421286" w:rsidP="00421286">
      <w:pPr>
        <w:numPr>
          <w:ilvl w:val="1"/>
          <w:numId w:val="85"/>
        </w:numPr>
        <w:spacing w:line="276" w:lineRule="auto"/>
        <w:ind w:left="567"/>
        <w:jc w:val="both"/>
        <w:rPr>
          <w:rFonts w:ascii="Arial" w:hAnsi="Arial" w:cs="Arial"/>
          <w:sz w:val="22"/>
          <w:szCs w:val="22"/>
        </w:rPr>
      </w:pPr>
      <w:r w:rsidRPr="00C13301">
        <w:rPr>
          <w:rFonts w:ascii="Arial" w:hAnsi="Arial" w:cs="Arial"/>
          <w:sz w:val="22"/>
          <w:szCs w:val="22"/>
        </w:rPr>
        <w:t xml:space="preserve">ker za leta </w:t>
      </w:r>
      <w:r>
        <w:rPr>
          <w:rFonts w:ascii="Arial" w:hAnsi="Arial" w:cs="Arial"/>
          <w:sz w:val="22"/>
          <w:szCs w:val="22"/>
        </w:rPr>
        <w:t xml:space="preserve">2028 </w:t>
      </w:r>
      <w:r w:rsidRPr="00C13301">
        <w:rPr>
          <w:rFonts w:ascii="Arial" w:hAnsi="Arial" w:cs="Arial"/>
          <w:sz w:val="22"/>
          <w:szCs w:val="22"/>
        </w:rPr>
        <w:t>in 2029 še ni podane ocene povprečne letne inflacije, smo pri preračunu upoštevali napoved za leto 202</w:t>
      </w:r>
      <w:r>
        <w:rPr>
          <w:rFonts w:ascii="Arial" w:hAnsi="Arial" w:cs="Arial"/>
          <w:sz w:val="22"/>
          <w:szCs w:val="22"/>
        </w:rPr>
        <w:t>7</w:t>
      </w:r>
      <w:r w:rsidRPr="00C13301">
        <w:rPr>
          <w:rFonts w:ascii="Arial" w:hAnsi="Arial" w:cs="Arial"/>
          <w:sz w:val="22"/>
          <w:szCs w:val="22"/>
        </w:rPr>
        <w:t>, tj. 2,</w:t>
      </w:r>
      <w:r>
        <w:rPr>
          <w:rFonts w:ascii="Arial" w:hAnsi="Arial" w:cs="Arial"/>
          <w:sz w:val="22"/>
          <w:szCs w:val="22"/>
        </w:rPr>
        <w:t>1</w:t>
      </w:r>
      <w:r w:rsidRPr="00C13301">
        <w:rPr>
          <w:rFonts w:ascii="Arial" w:hAnsi="Arial" w:cs="Arial"/>
          <w:sz w:val="22"/>
          <w:szCs w:val="22"/>
        </w:rPr>
        <w:t xml:space="preserve"> %.</w:t>
      </w:r>
    </w:p>
    <w:p w14:paraId="1025282F" w14:textId="77777777" w:rsidR="00B63D68" w:rsidRPr="00B63D68" w:rsidRDefault="00B63D68" w:rsidP="00B63D68">
      <w:pPr>
        <w:spacing w:line="276" w:lineRule="auto"/>
        <w:jc w:val="both"/>
        <w:rPr>
          <w:rFonts w:ascii="Arial" w:hAnsi="Arial" w:cs="Arial"/>
          <w:sz w:val="22"/>
          <w:szCs w:val="22"/>
        </w:rPr>
      </w:pPr>
    </w:p>
    <w:p w14:paraId="0EF3FBCE" w14:textId="5BB27EC9" w:rsidR="009C0F06" w:rsidRDefault="009C0F06" w:rsidP="00BD1D20">
      <w:pPr>
        <w:pStyle w:val="Napis"/>
        <w:keepNext/>
        <w:spacing w:after="120" w:line="276" w:lineRule="auto"/>
        <w:ind w:left="1410" w:hanging="1410"/>
        <w:jc w:val="both"/>
        <w:rPr>
          <w:rFonts w:asciiTheme="majorHAnsi" w:hAnsiTheme="majorHAnsi" w:cstheme="majorHAnsi"/>
          <w:b w:val="0"/>
          <w:color w:val="auto"/>
          <w:sz w:val="22"/>
          <w:szCs w:val="22"/>
        </w:rPr>
      </w:pPr>
      <w:bookmarkStart w:id="230" w:name="_Toc209528295"/>
      <w:r w:rsidRPr="00F11127">
        <w:rPr>
          <w:rFonts w:asciiTheme="majorHAnsi" w:hAnsiTheme="majorHAnsi" w:cstheme="majorHAnsi"/>
          <w:color w:val="auto"/>
          <w:sz w:val="22"/>
          <w:szCs w:val="22"/>
        </w:rPr>
        <w:t xml:space="preserve">Tabela </w:t>
      </w:r>
      <w:r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9</w:t>
      </w:r>
      <w:r w:rsidRPr="00F11127">
        <w:rPr>
          <w:rFonts w:asciiTheme="majorHAnsi" w:hAnsiTheme="majorHAnsi" w:cstheme="majorHAnsi"/>
          <w:color w:val="auto"/>
          <w:sz w:val="22"/>
          <w:szCs w:val="22"/>
        </w:rPr>
        <w:fldChar w:fldCharType="end"/>
      </w:r>
      <w:r w:rsidRPr="00F11127">
        <w:rPr>
          <w:rFonts w:asciiTheme="majorHAnsi" w:hAnsiTheme="majorHAnsi" w:cstheme="majorHAnsi"/>
          <w:color w:val="auto"/>
          <w:sz w:val="22"/>
          <w:szCs w:val="22"/>
        </w:rPr>
        <w:t>:</w:t>
      </w:r>
      <w:r w:rsidRPr="00F11127">
        <w:rPr>
          <w:rFonts w:asciiTheme="majorHAnsi" w:hAnsiTheme="majorHAnsi" w:cstheme="majorHAnsi"/>
          <w:b w:val="0"/>
          <w:color w:val="auto"/>
          <w:sz w:val="22"/>
          <w:szCs w:val="22"/>
        </w:rPr>
        <w:t xml:space="preserve"> Prikaz stroškov projekta v </w:t>
      </w:r>
      <w:r w:rsidR="00056C33" w:rsidRPr="00F11127">
        <w:rPr>
          <w:rFonts w:asciiTheme="majorHAnsi" w:hAnsiTheme="majorHAnsi" w:cstheme="majorHAnsi"/>
          <w:b w:val="0"/>
          <w:color w:val="auto"/>
          <w:sz w:val="22"/>
          <w:szCs w:val="22"/>
        </w:rPr>
        <w:t>tekočih</w:t>
      </w:r>
      <w:r w:rsidRPr="00F11127">
        <w:rPr>
          <w:rFonts w:asciiTheme="majorHAnsi" w:hAnsiTheme="majorHAnsi" w:cstheme="majorHAnsi"/>
          <w:b w:val="0"/>
          <w:color w:val="auto"/>
          <w:sz w:val="22"/>
          <w:szCs w:val="22"/>
        </w:rPr>
        <w:t xml:space="preserve"> cenah brez in z DDV (v EUR)</w:t>
      </w:r>
      <w:bookmarkEnd w:id="230"/>
    </w:p>
    <w:tbl>
      <w:tblPr>
        <w:tblW w:w="9776" w:type="dxa"/>
        <w:tblLayout w:type="fixed"/>
        <w:tblCellMar>
          <w:left w:w="70" w:type="dxa"/>
          <w:right w:w="70" w:type="dxa"/>
        </w:tblCellMar>
        <w:tblLook w:val="04A0" w:firstRow="1" w:lastRow="0" w:firstColumn="1" w:lastColumn="0" w:noHBand="0" w:noVBand="1"/>
      </w:tblPr>
      <w:tblGrid>
        <w:gridCol w:w="4390"/>
        <w:gridCol w:w="1275"/>
        <w:gridCol w:w="851"/>
        <w:gridCol w:w="1134"/>
        <w:gridCol w:w="1276"/>
        <w:gridCol w:w="850"/>
      </w:tblGrid>
      <w:tr w:rsidR="00E748ED" w:rsidRPr="00F2788B" w14:paraId="48F7C0E0" w14:textId="77777777" w:rsidTr="00472C0E">
        <w:trPr>
          <w:trHeight w:val="300"/>
          <w:tblHeader/>
        </w:trPr>
        <w:tc>
          <w:tcPr>
            <w:tcW w:w="4390" w:type="dxa"/>
            <w:tcBorders>
              <w:top w:val="single" w:sz="4" w:space="0" w:color="auto"/>
              <w:left w:val="single" w:sz="4" w:space="0" w:color="auto"/>
              <w:bottom w:val="single" w:sz="4" w:space="0" w:color="auto"/>
              <w:right w:val="single" w:sz="4" w:space="0" w:color="auto"/>
            </w:tcBorders>
            <w:shd w:val="clear" w:color="000000" w:fill="153D64"/>
            <w:noWrap/>
            <w:tcMar>
              <w:left w:w="28" w:type="dxa"/>
              <w:right w:w="28" w:type="dxa"/>
            </w:tcMar>
            <w:vAlign w:val="bottom"/>
            <w:hideMark/>
          </w:tcPr>
          <w:p w14:paraId="51EBBB30"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Postavka</w:t>
            </w:r>
          </w:p>
        </w:tc>
        <w:tc>
          <w:tcPr>
            <w:tcW w:w="1275"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B790092"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Vrednost</w:t>
            </w:r>
          </w:p>
        </w:tc>
        <w:tc>
          <w:tcPr>
            <w:tcW w:w="851"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4C17BC9A"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Delež</w:t>
            </w:r>
          </w:p>
        </w:tc>
        <w:tc>
          <w:tcPr>
            <w:tcW w:w="1134"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45AB3870"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DDV</w:t>
            </w:r>
          </w:p>
        </w:tc>
        <w:tc>
          <w:tcPr>
            <w:tcW w:w="1276"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4A0E805"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Vrednost z DDV</w:t>
            </w:r>
          </w:p>
        </w:tc>
        <w:tc>
          <w:tcPr>
            <w:tcW w:w="850" w:type="dxa"/>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3BF1DEA9" w14:textId="77777777" w:rsidR="00E748ED" w:rsidRPr="00F2788B" w:rsidRDefault="00E748ED" w:rsidP="00472C0E">
            <w:pPr>
              <w:rPr>
                <w:rFonts w:ascii="Arial" w:hAnsi="Arial" w:cs="Arial"/>
                <w:b/>
                <w:bCs/>
                <w:color w:val="FFFFFF"/>
                <w:sz w:val="20"/>
                <w:szCs w:val="20"/>
              </w:rPr>
            </w:pPr>
            <w:r w:rsidRPr="00F2788B">
              <w:rPr>
                <w:rFonts w:ascii="Arial" w:hAnsi="Arial" w:cs="Arial"/>
                <w:b/>
                <w:bCs/>
                <w:color w:val="FFFFFF"/>
                <w:sz w:val="20"/>
                <w:szCs w:val="20"/>
              </w:rPr>
              <w:t>Delež</w:t>
            </w:r>
          </w:p>
        </w:tc>
      </w:tr>
      <w:tr w:rsidR="00E748ED" w:rsidRPr="00F2788B" w14:paraId="3473872B"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3AF3627"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Govekarjeva cesta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3BD5BC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710.549,80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2767A1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19,41%</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636C94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156.320,96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ED48B7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866.870,76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AF7834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23,68%</w:t>
            </w:r>
          </w:p>
        </w:tc>
      </w:tr>
      <w:tr w:rsidR="00E748ED" w:rsidRPr="00F2788B" w14:paraId="27999E3C"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F1550C4"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Troštova ulica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FC8485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166.335,43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18D1DD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4,54%</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DBE4C9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36.593,79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88C4ED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202.929,22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9BA353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5,54%</w:t>
            </w:r>
          </w:p>
        </w:tc>
      </w:tr>
      <w:tr w:rsidR="00E748ED" w:rsidRPr="00F2788B" w14:paraId="0EC6E1AC"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B58304C"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Križišče Govekarjeva-Troštova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141BEE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161.849,79</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245A85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4,42%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55703B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35.606,95</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5635761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197.456,74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C00338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5,39%</w:t>
            </w:r>
          </w:p>
        </w:tc>
      </w:tr>
      <w:tr w:rsidR="00E748ED" w:rsidRPr="00F2788B" w14:paraId="166ADA2C"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7ECC4C76"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Javni sistem izposoje koles</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E9E47E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57.333,76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93A08B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1,57%</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26D488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12.613,43</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584E43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69.947,19</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6333AF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1,91%</w:t>
            </w:r>
          </w:p>
        </w:tc>
      </w:tr>
      <w:tr w:rsidR="00E748ED" w:rsidRPr="00F2788B" w14:paraId="189320D3"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1C4090CB"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Parkirišča za kolesa - Govekarjeva cesta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3FF882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D17E45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89EB34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B51231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2BC9B0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0,22%</w:t>
            </w:r>
          </w:p>
        </w:tc>
      </w:tr>
      <w:tr w:rsidR="00E748ED" w:rsidRPr="00F2788B" w14:paraId="1531D58D"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F5EFF9E"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Parkirišča za kolesa - staro župnišče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A812D6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6.665,11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8B6F26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D7E1F2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1.466,32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A7EDF4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8.131,43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049AAF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0,22%</w:t>
            </w:r>
          </w:p>
        </w:tc>
      </w:tr>
      <w:tr w:rsidR="00E748ED" w:rsidRPr="00F2788B" w14:paraId="437CC943"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3DA3EB1"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Parkirišča za kolesa - trg (kolesarnica)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6A3D62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64.993,90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65C804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1,78%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5B2B86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14.298,66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45A1F1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79.292,56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0687C7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2,17%</w:t>
            </w:r>
          </w:p>
        </w:tc>
      </w:tr>
      <w:tr w:rsidR="00E748ED" w:rsidRPr="00F2788B" w14:paraId="1EE9AB0A"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541E0DE"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Parkirišča za kolesa - telovadnica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B5C581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50AD954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E455E26"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639B3F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EB9F49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0,22%</w:t>
            </w:r>
          </w:p>
        </w:tc>
      </w:tr>
      <w:tr w:rsidR="00E748ED" w:rsidRPr="00F2788B" w14:paraId="5C38CD21"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553521D"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Parkirišča za kolesa - park</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881CDD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6.528,02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56C2B0D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607B62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1.436,16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0E39B8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7.964,18</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6D388E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0,22%</w:t>
            </w:r>
          </w:p>
        </w:tc>
      </w:tr>
      <w:tr w:rsidR="00E748ED" w:rsidRPr="00F2788B" w14:paraId="7D941273"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A224D73"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Merilniki, prikazovalniki in števci</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101DBD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50.547,11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F5AACC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1,38%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4A23B0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11.120,36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0EC08B3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61.667,47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BA96BA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1,68%</w:t>
            </w:r>
          </w:p>
        </w:tc>
      </w:tr>
      <w:tr w:rsidR="00E748ED" w:rsidRPr="00F2788B" w14:paraId="1D9D6FBF"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494C0BC"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Avtobusno postajališče - nivo ceste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9B2C8F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310.487,47</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AD5397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8,48%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110AAD34"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68.307,24</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1A35A1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378.794,71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2C2FE2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10,35%</w:t>
            </w:r>
          </w:p>
        </w:tc>
      </w:tr>
      <w:tr w:rsidR="00E748ED" w:rsidRPr="00F2788B" w14:paraId="17328EB1"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BD4A7BC"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Avtobusno postajališče - nadstrešnica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833BDB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255.528,12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40247A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6,98%</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683F5F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56.216,19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0F80AB5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311.744,31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63A574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8,51%</w:t>
            </w:r>
          </w:p>
        </w:tc>
      </w:tr>
      <w:tr w:rsidR="00E748ED" w:rsidRPr="00F2788B" w14:paraId="7D00A142"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998DE9E"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Parkirišče z vhodom v šolo</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48A0FD5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713.840,52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6324817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19,50%</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0A87CAA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157.044,91</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675943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870.885,43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7C433B6"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23,79%</w:t>
            </w:r>
          </w:p>
        </w:tc>
      </w:tr>
      <w:tr w:rsidR="00E748ED" w:rsidRPr="00F2788B" w14:paraId="4E28AA29" w14:textId="77777777" w:rsidTr="00472C0E">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1C376082" w14:textId="77777777" w:rsidR="00E748ED" w:rsidRPr="00F2788B" w:rsidRDefault="00E748ED" w:rsidP="00472C0E">
            <w:pPr>
              <w:rPr>
                <w:rFonts w:ascii="Arial" w:hAnsi="Arial" w:cs="Arial"/>
                <w:i/>
                <w:iCs/>
                <w:color w:val="000000"/>
                <w:sz w:val="20"/>
                <w:szCs w:val="20"/>
              </w:rPr>
            </w:pPr>
            <w:r w:rsidRPr="00F2788B">
              <w:rPr>
                <w:rFonts w:ascii="Arial" w:hAnsi="Arial" w:cs="Arial"/>
                <w:i/>
                <w:iCs/>
                <w:color w:val="000000"/>
                <w:sz w:val="20"/>
                <w:szCs w:val="20"/>
              </w:rPr>
              <w:t>Skupaj GOI dela</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37E14B3" w14:textId="77777777" w:rsidR="00E748ED" w:rsidRPr="00F2788B" w:rsidRDefault="00E748ED" w:rsidP="00472C0E">
            <w:pPr>
              <w:jc w:val="right"/>
              <w:rPr>
                <w:rFonts w:ascii="Arial" w:hAnsi="Arial" w:cs="Arial"/>
                <w:i/>
                <w:iCs/>
                <w:color w:val="000000"/>
                <w:sz w:val="20"/>
                <w:szCs w:val="20"/>
              </w:rPr>
            </w:pPr>
            <w:r w:rsidRPr="00F2788B">
              <w:rPr>
                <w:rFonts w:ascii="Arial" w:hAnsi="Arial" w:cs="Arial"/>
                <w:i/>
                <w:iCs/>
                <w:color w:val="000000"/>
                <w:sz w:val="20"/>
                <w:szCs w:val="20"/>
              </w:rPr>
              <w:t>2.517.715,06</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6ECD6B7" w14:textId="77777777" w:rsidR="00E748ED" w:rsidRPr="00F2788B" w:rsidRDefault="00E748ED" w:rsidP="00472C0E">
            <w:pPr>
              <w:jc w:val="right"/>
              <w:rPr>
                <w:rFonts w:ascii="Arial" w:hAnsi="Arial" w:cs="Arial"/>
                <w:i/>
                <w:iCs/>
                <w:color w:val="000000"/>
                <w:sz w:val="20"/>
                <w:szCs w:val="20"/>
              </w:rPr>
            </w:pPr>
            <w:r w:rsidRPr="00F2788B">
              <w:rPr>
                <w:rFonts w:ascii="Arial" w:hAnsi="Arial" w:cs="Arial"/>
                <w:i/>
                <w:iCs/>
                <w:color w:val="000000"/>
                <w:sz w:val="20"/>
                <w:szCs w:val="20"/>
              </w:rPr>
              <w:t>68,77%</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6F61375" w14:textId="77777777" w:rsidR="00E748ED" w:rsidRPr="00F2788B" w:rsidRDefault="00E748ED" w:rsidP="00472C0E">
            <w:pPr>
              <w:jc w:val="right"/>
              <w:rPr>
                <w:rFonts w:ascii="Arial" w:hAnsi="Arial" w:cs="Arial"/>
                <w:i/>
                <w:iCs/>
                <w:color w:val="000000"/>
                <w:sz w:val="20"/>
                <w:szCs w:val="20"/>
              </w:rPr>
            </w:pPr>
            <w:r w:rsidRPr="00F2788B">
              <w:rPr>
                <w:rFonts w:ascii="Arial" w:hAnsi="Arial" w:cs="Arial"/>
                <w:i/>
                <w:iCs/>
                <w:color w:val="000000"/>
                <w:sz w:val="20"/>
                <w:szCs w:val="20"/>
              </w:rPr>
              <w:t>553.897,29</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9553556" w14:textId="77777777" w:rsidR="00E748ED" w:rsidRPr="00F2788B" w:rsidRDefault="00E748ED" w:rsidP="00472C0E">
            <w:pPr>
              <w:jc w:val="right"/>
              <w:rPr>
                <w:rFonts w:ascii="Arial" w:hAnsi="Arial" w:cs="Arial"/>
                <w:i/>
                <w:iCs/>
                <w:color w:val="000000"/>
                <w:sz w:val="20"/>
                <w:szCs w:val="20"/>
              </w:rPr>
            </w:pPr>
            <w:r w:rsidRPr="00F2788B">
              <w:rPr>
                <w:rFonts w:ascii="Arial" w:hAnsi="Arial" w:cs="Arial"/>
                <w:i/>
                <w:iCs/>
                <w:color w:val="000000"/>
                <w:sz w:val="20"/>
                <w:szCs w:val="20"/>
              </w:rPr>
              <w:t>3.071.612,35</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4EC092B" w14:textId="77777777" w:rsidR="00E748ED" w:rsidRPr="00F2788B" w:rsidRDefault="00E748ED" w:rsidP="00472C0E">
            <w:pPr>
              <w:jc w:val="right"/>
              <w:rPr>
                <w:rFonts w:ascii="Arial" w:hAnsi="Arial" w:cs="Arial"/>
                <w:i/>
                <w:iCs/>
                <w:color w:val="000000"/>
                <w:sz w:val="20"/>
                <w:szCs w:val="20"/>
              </w:rPr>
            </w:pPr>
            <w:r w:rsidRPr="00F2788B">
              <w:rPr>
                <w:rFonts w:ascii="Arial" w:hAnsi="Arial" w:cs="Arial"/>
                <w:i/>
                <w:iCs/>
                <w:color w:val="000000"/>
                <w:sz w:val="20"/>
                <w:szCs w:val="20"/>
              </w:rPr>
              <w:t>83,89%</w:t>
            </w:r>
          </w:p>
        </w:tc>
      </w:tr>
      <w:tr w:rsidR="00E748ED" w:rsidRPr="00F2788B" w14:paraId="7E2B31A7"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0914C42F"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lastRenderedPageBreak/>
              <w:t>Strokovni nadzor</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CB6F804"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75.531,45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255B37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2,06%</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CD248A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16.616,92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2A3ADF0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92.148,37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2F8AE2C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2,52%</w:t>
            </w:r>
          </w:p>
        </w:tc>
      </w:tr>
      <w:tr w:rsidR="00E748ED" w:rsidRPr="00F2788B" w14:paraId="72E13F7E"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A1CBE71"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Projektna dokumentacija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BC2C8C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97.869,62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A9C1D1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2,67%</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21566D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21.531,32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A17B56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119.400,94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A97F6B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3,26%</w:t>
            </w:r>
          </w:p>
        </w:tc>
      </w:tr>
      <w:tr w:rsidR="00E748ED" w:rsidRPr="00F2788B" w14:paraId="684924C9"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64DC3A1"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Inženiring</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056BEE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25.177,15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AE6350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0,69%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C8C2AB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5.538,97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84FE05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30.716,12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B5F0B8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0,84%</w:t>
            </w:r>
          </w:p>
        </w:tc>
      </w:tr>
      <w:tr w:rsidR="00E748ED" w:rsidRPr="00F2788B" w14:paraId="46C21752"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9151373"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Obveščanje javnosti</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8981A3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4.327,11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E3277F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1131EDB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951,96</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37A5AC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5.279,07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7F96C7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0,14%</w:t>
            </w:r>
          </w:p>
        </w:tc>
      </w:tr>
      <w:tr w:rsidR="00E748ED" w:rsidRPr="00F2788B" w14:paraId="1E6D1B32"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1F0590B0"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Investicijska in ostala dokumentacija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38C78F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14.265,88</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F0A85E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0,39%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41C0FD9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3.138,49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23CE371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17.404,37</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923688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0,48%</w:t>
            </w:r>
          </w:p>
        </w:tc>
      </w:tr>
      <w:tr w:rsidR="00E748ED" w:rsidRPr="00F2788B" w14:paraId="71D6CB97"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AB90A14"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Stroški varnosti pri delu</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7C494F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7.055,62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B933FD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B05D85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1.552,24</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2A49D11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8.607,86</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CE6EB1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0,24%</w:t>
            </w:r>
          </w:p>
        </w:tc>
      </w:tr>
      <w:tr w:rsidR="00E748ED" w:rsidRPr="00F2788B" w14:paraId="1260D671"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84D5D0F"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Arheologija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2AF7F65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15.780,75</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05B35FE6"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0,43%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4D72B5A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3.471,77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4B06D6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19.252,52</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F614A0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0,53%</w:t>
            </w:r>
          </w:p>
        </w:tc>
      </w:tr>
      <w:tr w:rsidR="00E748ED" w:rsidRPr="00F2788B" w14:paraId="2A600AF3"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80F6ADE"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Čiščenje in pregled kanalizacije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2839AD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3.355,44</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DD916C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0,09%</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4C4BD24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738,20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3CF66B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4.093,64</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16A3F0F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0,11%</w:t>
            </w:r>
          </w:p>
        </w:tc>
      </w:tr>
      <w:tr w:rsidR="00E748ED" w:rsidRPr="00F2788B" w14:paraId="63290446"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190D03D"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Nakup nepremičnine</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B91845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280.000,00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88E985B"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7,65%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2177AF0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0783775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280.000,00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9851FF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7,65%</w:t>
            </w:r>
          </w:p>
        </w:tc>
      </w:tr>
      <w:tr w:rsidR="00E748ED" w:rsidRPr="00F2788B" w14:paraId="74ED6458"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3795E9B1"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Druga dela ob rušenju objekta (neobdavčeno)</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D32F33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776,00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76AA06A8"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3CE4E4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C9D94F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776,00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469ABB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0,02%</w:t>
            </w:r>
          </w:p>
        </w:tc>
      </w:tr>
      <w:tr w:rsidR="00E748ED" w:rsidRPr="00F2788B" w14:paraId="5F5D8F75"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22F6E24"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Druga dela ob rušenju objekta (9,5% DDV)</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0A143C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545,96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5B1137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0,01%</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5437EB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51,87</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7961EFC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597,83</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3D396ED4"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0,02%</w:t>
            </w:r>
          </w:p>
        </w:tc>
      </w:tr>
      <w:tr w:rsidR="00E748ED" w:rsidRPr="00F2788B" w14:paraId="71A455E8" w14:textId="77777777" w:rsidTr="00472C0E">
        <w:trPr>
          <w:trHeight w:val="300"/>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355708B"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Druga dela ob rušenju objekta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1FCB53B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5.483,07</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5656AD4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56425FE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1.206,28</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B66C67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6.689,35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0D9768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0,18%</w:t>
            </w:r>
          </w:p>
        </w:tc>
      </w:tr>
      <w:tr w:rsidR="00E748ED" w:rsidRPr="00F2788B" w14:paraId="3989F8F3"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488088B6"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Vpis v kataster</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06098975"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971,93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6EB111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2FB730C"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213,82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33798F71"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1.185,75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980B419"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0,03%</w:t>
            </w:r>
          </w:p>
        </w:tc>
      </w:tr>
      <w:tr w:rsidR="00E748ED" w:rsidRPr="00F2788B" w14:paraId="5F12D3B6"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7D206242"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Notar, zemljiška knjiga</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5E6671F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B2EF17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72F228C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4F149172"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631CB32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0,00%</w:t>
            </w:r>
          </w:p>
        </w:tc>
      </w:tr>
      <w:tr w:rsidR="00E748ED" w:rsidRPr="00F2788B" w14:paraId="44C53E2D"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7050CB73"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Geodetski načrt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699EEE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2.032,66</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3A6F75D4"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0,06%</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6108124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447,19</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0DB29DA4"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2.479,85</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1856609E"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0,07%</w:t>
            </w:r>
          </w:p>
        </w:tc>
      </w:tr>
      <w:tr w:rsidR="00E748ED" w:rsidRPr="00F2788B" w14:paraId="1EEF4E8D"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5DEF27B3"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Baza cestnih podatkov</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3AD2F8B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874,11</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4A9B38AD"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0,02%</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3FDA1C4A"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192,30</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2D7C1BC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1.066,41</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0D41589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0,03%</w:t>
            </w:r>
          </w:p>
        </w:tc>
      </w:tr>
      <w:tr w:rsidR="00E748ED" w:rsidRPr="00F2788B" w14:paraId="3A4FD0D4" w14:textId="77777777" w:rsidTr="00472C0E">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5DA54093" w14:textId="77777777" w:rsidR="00E748ED" w:rsidRPr="00F2788B" w:rsidRDefault="00E748ED" w:rsidP="00472C0E">
            <w:pPr>
              <w:rPr>
                <w:rFonts w:ascii="Arial" w:hAnsi="Arial" w:cs="Arial"/>
                <w:b/>
                <w:bCs/>
                <w:color w:val="000000"/>
                <w:sz w:val="20"/>
                <w:szCs w:val="20"/>
              </w:rPr>
            </w:pPr>
            <w:r w:rsidRPr="00F2788B">
              <w:rPr>
                <w:rFonts w:ascii="Arial" w:hAnsi="Arial" w:cs="Arial"/>
                <w:b/>
                <w:bCs/>
                <w:color w:val="000000"/>
                <w:sz w:val="20"/>
                <w:szCs w:val="20"/>
              </w:rPr>
              <w:t>Skupaj brez DDV</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7AB40F0"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3.051.761,81</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FE7027D"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83,35%</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C57644F"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609.548,62</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FAFD796"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7EE4166"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100,00%</w:t>
            </w:r>
          </w:p>
        </w:tc>
      </w:tr>
      <w:tr w:rsidR="00E748ED" w:rsidRPr="00F2788B" w14:paraId="28A1DF38"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230B28A3"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Davek na dodano vrednost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7E22C3F6"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609.548,62</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16C4B0E7"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16,65%</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12C33D33"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609.548,62</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670F989A"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 </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5C5E4C4C"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 </w:t>
            </w:r>
          </w:p>
        </w:tc>
      </w:tr>
      <w:tr w:rsidR="00E748ED" w:rsidRPr="00F2788B" w14:paraId="598883EB" w14:textId="77777777" w:rsidTr="00472C0E">
        <w:trPr>
          <w:trHeight w:val="285"/>
        </w:trPr>
        <w:tc>
          <w:tcPr>
            <w:tcW w:w="4390" w:type="dxa"/>
            <w:tcBorders>
              <w:top w:val="nil"/>
              <w:left w:val="single" w:sz="4" w:space="0" w:color="auto"/>
              <w:bottom w:val="single" w:sz="4" w:space="0" w:color="auto"/>
              <w:right w:val="single" w:sz="4" w:space="0" w:color="auto"/>
            </w:tcBorders>
            <w:noWrap/>
            <w:tcMar>
              <w:left w:w="28" w:type="dxa"/>
              <w:right w:w="28" w:type="dxa"/>
            </w:tcMar>
            <w:vAlign w:val="bottom"/>
            <w:hideMark/>
          </w:tcPr>
          <w:p w14:paraId="64FD387D"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Povračljiv davek na dodano vrednost</w:t>
            </w:r>
          </w:p>
        </w:tc>
        <w:tc>
          <w:tcPr>
            <w:tcW w:w="1275" w:type="dxa"/>
            <w:tcBorders>
              <w:top w:val="nil"/>
              <w:left w:val="nil"/>
              <w:bottom w:val="single" w:sz="4" w:space="0" w:color="auto"/>
              <w:right w:val="single" w:sz="4" w:space="0" w:color="auto"/>
            </w:tcBorders>
            <w:noWrap/>
            <w:tcMar>
              <w:left w:w="28" w:type="dxa"/>
              <w:right w:w="28" w:type="dxa"/>
            </w:tcMar>
            <w:vAlign w:val="bottom"/>
            <w:hideMark/>
          </w:tcPr>
          <w:p w14:paraId="616D08BF"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26.676,13</w:t>
            </w:r>
          </w:p>
        </w:tc>
        <w:tc>
          <w:tcPr>
            <w:tcW w:w="851" w:type="dxa"/>
            <w:tcBorders>
              <w:top w:val="nil"/>
              <w:left w:val="nil"/>
              <w:bottom w:val="single" w:sz="4" w:space="0" w:color="auto"/>
              <w:right w:val="single" w:sz="4" w:space="0" w:color="auto"/>
            </w:tcBorders>
            <w:noWrap/>
            <w:tcMar>
              <w:left w:w="28" w:type="dxa"/>
              <w:right w:w="28" w:type="dxa"/>
            </w:tcMar>
            <w:vAlign w:val="bottom"/>
            <w:hideMark/>
          </w:tcPr>
          <w:p w14:paraId="2EF57276"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0,73%</w:t>
            </w:r>
          </w:p>
        </w:tc>
        <w:tc>
          <w:tcPr>
            <w:tcW w:w="1134" w:type="dxa"/>
            <w:tcBorders>
              <w:top w:val="nil"/>
              <w:left w:val="nil"/>
              <w:bottom w:val="single" w:sz="4" w:space="0" w:color="auto"/>
              <w:right w:val="single" w:sz="4" w:space="0" w:color="auto"/>
            </w:tcBorders>
            <w:noWrap/>
            <w:tcMar>
              <w:left w:w="28" w:type="dxa"/>
              <w:right w:w="28" w:type="dxa"/>
            </w:tcMar>
            <w:vAlign w:val="bottom"/>
            <w:hideMark/>
          </w:tcPr>
          <w:p w14:paraId="1934E200" w14:textId="77777777" w:rsidR="00E748ED" w:rsidRPr="00F2788B" w:rsidRDefault="00E748ED" w:rsidP="00472C0E">
            <w:pPr>
              <w:jc w:val="right"/>
              <w:rPr>
                <w:rFonts w:ascii="Arial" w:hAnsi="Arial" w:cs="Arial"/>
                <w:color w:val="000000"/>
                <w:sz w:val="20"/>
                <w:szCs w:val="20"/>
              </w:rPr>
            </w:pPr>
            <w:r w:rsidRPr="00F2788B">
              <w:rPr>
                <w:rFonts w:ascii="Arial" w:hAnsi="Arial" w:cs="Arial"/>
                <w:color w:val="000000"/>
                <w:sz w:val="20"/>
                <w:szCs w:val="20"/>
              </w:rPr>
              <w:t>26.676,13</w:t>
            </w:r>
          </w:p>
        </w:tc>
        <w:tc>
          <w:tcPr>
            <w:tcW w:w="1276" w:type="dxa"/>
            <w:tcBorders>
              <w:top w:val="nil"/>
              <w:left w:val="nil"/>
              <w:bottom w:val="single" w:sz="4" w:space="0" w:color="auto"/>
              <w:right w:val="single" w:sz="4" w:space="0" w:color="auto"/>
            </w:tcBorders>
            <w:noWrap/>
            <w:tcMar>
              <w:left w:w="28" w:type="dxa"/>
              <w:right w:w="28" w:type="dxa"/>
            </w:tcMar>
            <w:vAlign w:val="bottom"/>
            <w:hideMark/>
          </w:tcPr>
          <w:p w14:paraId="1CCED845"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 </w:t>
            </w:r>
          </w:p>
        </w:tc>
        <w:tc>
          <w:tcPr>
            <w:tcW w:w="850" w:type="dxa"/>
            <w:tcBorders>
              <w:top w:val="nil"/>
              <w:left w:val="nil"/>
              <w:bottom w:val="single" w:sz="4" w:space="0" w:color="auto"/>
              <w:right w:val="single" w:sz="4" w:space="0" w:color="auto"/>
            </w:tcBorders>
            <w:noWrap/>
            <w:tcMar>
              <w:left w:w="28" w:type="dxa"/>
              <w:right w:w="28" w:type="dxa"/>
            </w:tcMar>
            <w:vAlign w:val="bottom"/>
            <w:hideMark/>
          </w:tcPr>
          <w:p w14:paraId="464B805F" w14:textId="77777777" w:rsidR="00E748ED" w:rsidRPr="00F2788B" w:rsidRDefault="00E748ED" w:rsidP="00472C0E">
            <w:pPr>
              <w:rPr>
                <w:rFonts w:ascii="Arial" w:hAnsi="Arial" w:cs="Arial"/>
                <w:color w:val="000000"/>
                <w:sz w:val="20"/>
                <w:szCs w:val="20"/>
              </w:rPr>
            </w:pPr>
            <w:r w:rsidRPr="00F2788B">
              <w:rPr>
                <w:rFonts w:ascii="Arial" w:hAnsi="Arial" w:cs="Arial"/>
                <w:color w:val="000000"/>
                <w:sz w:val="20"/>
                <w:szCs w:val="20"/>
              </w:rPr>
              <w:t> </w:t>
            </w:r>
          </w:p>
        </w:tc>
      </w:tr>
      <w:tr w:rsidR="00E748ED" w:rsidRPr="00F2788B" w14:paraId="5512BE1C" w14:textId="77777777" w:rsidTr="00472C0E">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6539AC2E" w14:textId="77777777" w:rsidR="00E748ED" w:rsidRPr="00F2788B" w:rsidRDefault="00E748ED" w:rsidP="00472C0E">
            <w:pPr>
              <w:rPr>
                <w:rFonts w:ascii="Arial" w:hAnsi="Arial" w:cs="Arial"/>
                <w:b/>
                <w:bCs/>
                <w:color w:val="000000"/>
                <w:sz w:val="20"/>
                <w:szCs w:val="20"/>
              </w:rPr>
            </w:pPr>
            <w:r w:rsidRPr="00F2788B">
              <w:rPr>
                <w:rFonts w:ascii="Arial" w:hAnsi="Arial" w:cs="Arial"/>
                <w:b/>
                <w:bCs/>
                <w:color w:val="000000"/>
                <w:sz w:val="20"/>
                <w:szCs w:val="20"/>
              </w:rPr>
              <w:t>Skupaj z davkom na dodano vrednost</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08F4A6F"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427697A"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100,00%</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7064F8D"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609.548,62</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826B316"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3.661.310,43</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FB104D2"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100,00%</w:t>
            </w:r>
          </w:p>
        </w:tc>
      </w:tr>
      <w:tr w:rsidR="00E748ED" w:rsidRPr="00F2788B" w14:paraId="19915658" w14:textId="77777777" w:rsidTr="00472C0E">
        <w:trPr>
          <w:trHeight w:val="300"/>
        </w:trPr>
        <w:tc>
          <w:tcPr>
            <w:tcW w:w="4390" w:type="dxa"/>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4B141F7F" w14:textId="77777777" w:rsidR="00E748ED" w:rsidRPr="00F2788B" w:rsidRDefault="00E748ED" w:rsidP="00472C0E">
            <w:pPr>
              <w:rPr>
                <w:rFonts w:ascii="Arial" w:hAnsi="Arial" w:cs="Arial"/>
                <w:b/>
                <w:bCs/>
                <w:color w:val="000000"/>
                <w:sz w:val="20"/>
                <w:szCs w:val="20"/>
              </w:rPr>
            </w:pPr>
            <w:r w:rsidRPr="00F2788B">
              <w:rPr>
                <w:rFonts w:ascii="Arial" w:hAnsi="Arial" w:cs="Arial"/>
                <w:b/>
                <w:bCs/>
                <w:color w:val="000000"/>
                <w:sz w:val="20"/>
                <w:szCs w:val="20"/>
              </w:rPr>
              <w:t xml:space="preserve">Skupaj z </w:t>
            </w:r>
            <w:proofErr w:type="spellStart"/>
            <w:r w:rsidRPr="00F2788B">
              <w:rPr>
                <w:rFonts w:ascii="Arial" w:hAnsi="Arial" w:cs="Arial"/>
                <w:b/>
                <w:bCs/>
                <w:color w:val="000000"/>
                <w:sz w:val="20"/>
                <w:szCs w:val="20"/>
              </w:rPr>
              <w:t>nepovračljivim</w:t>
            </w:r>
            <w:proofErr w:type="spellEnd"/>
            <w:r w:rsidRPr="00F2788B">
              <w:rPr>
                <w:rFonts w:ascii="Arial" w:hAnsi="Arial" w:cs="Arial"/>
                <w:b/>
                <w:bCs/>
                <w:color w:val="000000"/>
                <w:sz w:val="20"/>
                <w:szCs w:val="20"/>
              </w:rPr>
              <w:t xml:space="preserve"> davkom na dodano vrednost</w:t>
            </w:r>
          </w:p>
        </w:tc>
        <w:tc>
          <w:tcPr>
            <w:tcW w:w="1275"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E09377B"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3.634.634,30</w:t>
            </w:r>
          </w:p>
        </w:tc>
        <w:tc>
          <w:tcPr>
            <w:tcW w:w="851"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2A25C8D"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99,27%</w:t>
            </w:r>
          </w:p>
        </w:tc>
        <w:tc>
          <w:tcPr>
            <w:tcW w:w="1134"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9C55228"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 </w:t>
            </w:r>
          </w:p>
        </w:tc>
        <w:tc>
          <w:tcPr>
            <w:tcW w:w="1276"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1EDA691"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3.634.634,30</w:t>
            </w:r>
          </w:p>
        </w:tc>
        <w:tc>
          <w:tcPr>
            <w:tcW w:w="850" w:type="dxa"/>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51BE0F2" w14:textId="77777777" w:rsidR="00E748ED" w:rsidRPr="00F2788B" w:rsidRDefault="00E748ED" w:rsidP="00472C0E">
            <w:pPr>
              <w:jc w:val="right"/>
              <w:rPr>
                <w:rFonts w:ascii="Arial" w:hAnsi="Arial" w:cs="Arial"/>
                <w:b/>
                <w:bCs/>
                <w:color w:val="000000"/>
                <w:sz w:val="20"/>
                <w:szCs w:val="20"/>
              </w:rPr>
            </w:pPr>
            <w:r w:rsidRPr="00F2788B">
              <w:rPr>
                <w:rFonts w:ascii="Arial" w:hAnsi="Arial" w:cs="Arial"/>
                <w:b/>
                <w:bCs/>
                <w:color w:val="000000"/>
                <w:sz w:val="20"/>
                <w:szCs w:val="20"/>
              </w:rPr>
              <w:t>99,27%</w:t>
            </w:r>
          </w:p>
        </w:tc>
      </w:tr>
    </w:tbl>
    <w:p w14:paraId="0B53F3AC" w14:textId="77777777" w:rsidR="00E748ED" w:rsidRDefault="00E748ED" w:rsidP="00E748ED"/>
    <w:p w14:paraId="3A93534D" w14:textId="77777777" w:rsidR="00E748ED" w:rsidRDefault="00E748ED" w:rsidP="00E748ED"/>
    <w:p w14:paraId="05C97FF8" w14:textId="5F1EAAAA" w:rsidR="00B63D68" w:rsidRPr="00F11127" w:rsidRDefault="00B63D68" w:rsidP="00B63D68">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31" w:name="_Toc210033828"/>
      <w:r w:rsidRPr="00F11127">
        <w:rPr>
          <w:rFonts w:asciiTheme="majorHAnsi" w:eastAsiaTheme="majorEastAsia" w:hAnsiTheme="majorHAnsi" w:cstheme="majorHAnsi"/>
          <w:color w:val="244061" w:themeColor="accent1" w:themeShade="80"/>
        </w:rPr>
        <w:t xml:space="preserve">Vrednost investicije </w:t>
      </w:r>
      <w:r>
        <w:rPr>
          <w:rFonts w:asciiTheme="majorHAnsi" w:eastAsiaTheme="majorEastAsia" w:hAnsiTheme="majorHAnsi" w:cstheme="majorHAnsi"/>
          <w:color w:val="244061" w:themeColor="accent1" w:themeShade="80"/>
        </w:rPr>
        <w:t>glede na upravičenost</w:t>
      </w:r>
      <w:bookmarkEnd w:id="231"/>
    </w:p>
    <w:p w14:paraId="39CB156F" w14:textId="77777777" w:rsidR="006E25B1" w:rsidRPr="00C13301" w:rsidRDefault="00CE3FD6" w:rsidP="006E25B1">
      <w:pPr>
        <w:spacing w:before="120" w:line="276" w:lineRule="auto"/>
        <w:jc w:val="both"/>
        <w:rPr>
          <w:rFonts w:asciiTheme="majorHAnsi" w:eastAsia="ArialNarrow" w:hAnsiTheme="majorHAnsi" w:cstheme="majorHAnsi"/>
          <w:sz w:val="22"/>
          <w:szCs w:val="22"/>
        </w:rPr>
      </w:pPr>
      <w:r w:rsidRPr="00C13301">
        <w:rPr>
          <w:rFonts w:asciiTheme="majorHAnsi" w:eastAsia="ArialNarrow" w:hAnsiTheme="majorHAnsi" w:cstheme="majorHAnsi"/>
          <w:sz w:val="22"/>
          <w:szCs w:val="22"/>
        </w:rPr>
        <w:t xml:space="preserve">Z delom projekta, ki se nanaša na trajnostno mobilnost, bo investitor kandidiral za pridobitev nepovratnih sredstev z naslova Javnega razpisa </w:t>
      </w:r>
      <w:r w:rsidRPr="003E65BF">
        <w:rPr>
          <w:rFonts w:asciiTheme="majorHAnsi" w:eastAsia="ArialNarrow" w:hAnsiTheme="majorHAnsi" w:cstheme="majorHAnsi"/>
          <w:sz w:val="22"/>
          <w:szCs w:val="22"/>
        </w:rPr>
        <w:t>za sofinanciranje ukrepov trajnostne mobilnosti v obdobju 2023–2029</w:t>
      </w:r>
      <w:r w:rsidRPr="00C13301">
        <w:rPr>
          <w:rFonts w:asciiTheme="majorHAnsi" w:eastAsia="ArialNarrow" w:hAnsiTheme="majorHAnsi" w:cstheme="majorHAnsi"/>
          <w:sz w:val="22"/>
          <w:szCs w:val="22"/>
        </w:rPr>
        <w:t xml:space="preserve"> (</w:t>
      </w:r>
      <w:r>
        <w:rPr>
          <w:rFonts w:asciiTheme="majorHAnsi" w:eastAsia="ArialNarrow" w:hAnsiTheme="majorHAnsi" w:cstheme="majorHAnsi"/>
          <w:sz w:val="22"/>
          <w:szCs w:val="22"/>
        </w:rPr>
        <w:t>EKP</w:t>
      </w:r>
      <w:r w:rsidRPr="00C13301">
        <w:rPr>
          <w:rFonts w:asciiTheme="majorHAnsi" w:eastAsia="ArialNarrow" w:hAnsiTheme="majorHAnsi" w:cstheme="majorHAnsi"/>
          <w:sz w:val="22"/>
          <w:szCs w:val="22"/>
        </w:rPr>
        <w:t xml:space="preserve"> UTM 202</w:t>
      </w:r>
      <w:r>
        <w:rPr>
          <w:rFonts w:asciiTheme="majorHAnsi" w:eastAsia="ArialNarrow" w:hAnsiTheme="majorHAnsi" w:cstheme="majorHAnsi"/>
          <w:sz w:val="22"/>
          <w:szCs w:val="22"/>
        </w:rPr>
        <w:t>5</w:t>
      </w:r>
      <w:r w:rsidRPr="00C13301">
        <w:rPr>
          <w:rFonts w:asciiTheme="majorHAnsi" w:eastAsia="ArialNarrow" w:hAnsiTheme="majorHAnsi" w:cstheme="majorHAnsi"/>
          <w:sz w:val="22"/>
          <w:szCs w:val="22"/>
        </w:rPr>
        <w:t xml:space="preserve">). </w:t>
      </w:r>
      <w:r>
        <w:rPr>
          <w:rFonts w:asciiTheme="majorHAnsi" w:eastAsia="ArialNarrow" w:hAnsiTheme="majorHAnsi" w:cstheme="majorHAnsi"/>
          <w:sz w:val="22"/>
          <w:szCs w:val="22"/>
        </w:rPr>
        <w:t xml:space="preserve">Vzporedno bo Občina Ig izvajala projekt ureditve zelene infrastrukture, za katerega je že uvrščena v Dogovor za razvoj regij. Oba projekta predstavljata </w:t>
      </w:r>
      <w:proofErr w:type="spellStart"/>
      <w:r>
        <w:rPr>
          <w:rFonts w:asciiTheme="majorHAnsi" w:eastAsia="ArialNarrow" w:hAnsiTheme="majorHAnsi" w:cstheme="majorHAnsi"/>
          <w:sz w:val="22"/>
          <w:szCs w:val="22"/>
        </w:rPr>
        <w:t>sinergijsko</w:t>
      </w:r>
      <w:proofErr w:type="spellEnd"/>
      <w:r>
        <w:rPr>
          <w:rFonts w:asciiTheme="majorHAnsi" w:eastAsia="ArialNarrow" w:hAnsiTheme="majorHAnsi" w:cstheme="majorHAnsi"/>
          <w:sz w:val="22"/>
          <w:szCs w:val="22"/>
        </w:rPr>
        <w:t xml:space="preserve"> ureditev centra Iga in se pomembno dopolnjujeta, čeprav je vsak od projektov funkcionalno zaključena celota.</w:t>
      </w:r>
      <w:r w:rsidR="006E25B1">
        <w:rPr>
          <w:rFonts w:asciiTheme="majorHAnsi" w:eastAsia="ArialNarrow" w:hAnsiTheme="majorHAnsi" w:cstheme="majorHAnsi"/>
          <w:sz w:val="22"/>
          <w:szCs w:val="22"/>
        </w:rPr>
        <w:t xml:space="preserve"> V vrednostih so vključeni le ukrepi, ki nanašajo na trajnostno mobilnost.</w:t>
      </w:r>
    </w:p>
    <w:p w14:paraId="3F021B5E" w14:textId="77777777" w:rsidR="006E25B1" w:rsidRDefault="006E25B1" w:rsidP="006E25B1">
      <w:pPr>
        <w:spacing w:before="120" w:line="276" w:lineRule="auto"/>
        <w:jc w:val="both"/>
        <w:rPr>
          <w:rFonts w:asciiTheme="majorHAnsi" w:eastAsia="ArialNarrow" w:hAnsiTheme="majorHAnsi" w:cstheme="majorHAnsi"/>
          <w:sz w:val="22"/>
          <w:szCs w:val="22"/>
        </w:rPr>
      </w:pPr>
      <w:r w:rsidRPr="006B74ED">
        <w:rPr>
          <w:rFonts w:asciiTheme="majorHAnsi" w:eastAsia="ArialNarrow" w:hAnsiTheme="majorHAnsi" w:cstheme="majorHAnsi"/>
          <w:sz w:val="22"/>
          <w:szCs w:val="22"/>
        </w:rPr>
        <w:t>V okviru javnega razpisa</w:t>
      </w:r>
      <w:r>
        <w:rPr>
          <w:rFonts w:asciiTheme="majorHAnsi" w:eastAsia="ArialNarrow" w:hAnsiTheme="majorHAnsi" w:cstheme="majorHAnsi"/>
          <w:sz w:val="22"/>
          <w:szCs w:val="22"/>
        </w:rPr>
        <w:t xml:space="preserve"> JR EKP UTM 2025</w:t>
      </w:r>
      <w:r w:rsidRPr="006B74ED">
        <w:rPr>
          <w:rFonts w:asciiTheme="majorHAnsi" w:eastAsia="ArialNarrow" w:hAnsiTheme="majorHAnsi" w:cstheme="majorHAnsi"/>
          <w:sz w:val="22"/>
          <w:szCs w:val="22"/>
        </w:rPr>
        <w:t xml:space="preserve"> so predmet sofinanciranja lahko naložbe v okviru naslednjih upravičenih namenov: </w:t>
      </w:r>
    </w:p>
    <w:p w14:paraId="7A66A821" w14:textId="77777777" w:rsidR="00CE3FD6" w:rsidRPr="0093659F" w:rsidRDefault="00CE3FD6" w:rsidP="00CE3FD6">
      <w:pPr>
        <w:spacing w:before="120" w:line="276" w:lineRule="auto"/>
        <w:jc w:val="both"/>
        <w:rPr>
          <w:rFonts w:asciiTheme="majorHAnsi" w:eastAsia="ArialNarrow" w:hAnsiTheme="majorHAnsi" w:cstheme="majorHAnsi"/>
          <w:b/>
          <w:bCs/>
          <w:sz w:val="22"/>
          <w:szCs w:val="22"/>
        </w:rPr>
      </w:pPr>
      <w:r w:rsidRPr="0093659F">
        <w:rPr>
          <w:rFonts w:asciiTheme="majorHAnsi" w:eastAsia="ArialNarrow" w:hAnsiTheme="majorHAnsi" w:cstheme="majorHAnsi"/>
          <w:b/>
          <w:bCs/>
          <w:sz w:val="22"/>
          <w:szCs w:val="22"/>
        </w:rPr>
        <w:t xml:space="preserve">Ukrep 1: Celovita preureditev ulic in cest skladno z načeli trajnostne mobilnosti </w:t>
      </w:r>
    </w:p>
    <w:p w14:paraId="4F4CF40C" w14:textId="77777777" w:rsidR="00CE3FD6" w:rsidRDefault="00CE3FD6" w:rsidP="00CE3FD6">
      <w:pPr>
        <w:spacing w:before="120" w:line="276" w:lineRule="auto"/>
        <w:jc w:val="both"/>
        <w:rPr>
          <w:rFonts w:asciiTheme="majorHAnsi" w:eastAsia="ArialNarrow" w:hAnsiTheme="majorHAnsi" w:cstheme="majorHAnsi"/>
          <w:sz w:val="22"/>
          <w:szCs w:val="22"/>
        </w:rPr>
      </w:pPr>
      <w:r w:rsidRPr="006B74ED">
        <w:rPr>
          <w:rFonts w:asciiTheme="majorHAnsi" w:eastAsia="ArialNarrow" w:hAnsiTheme="majorHAnsi" w:cstheme="majorHAnsi"/>
          <w:sz w:val="22"/>
          <w:szCs w:val="22"/>
        </w:rPr>
        <w:t xml:space="preserve">V okviru naložb v celovito preureditev ulic in cest skladno z načeli trajnostne mobilnosti (ukrep 1) predstavlja upravičen namen celovita (prometna in urbanistično-oblikovalska) rekonstrukcija ulic in cest z vzpostavitvijo novih površin oz. bistvenim izboljšanjem obstoječih površin za pešce in/ali kolesarje, vključno z izvedbo ukrepov za varnost, udobnost in privlačnost infrastrukture za pešce (kot npr. ozelenitev/zasaditev površin, vodni elementi), brez zožitev profila za pešce (ali kolesarje, če so vodeni po ločeni površini) ter sočasna izvedba ukrepov za bistveno zmanjšanje količine motoriziranega prometa in njegovo umiritev. </w:t>
      </w:r>
    </w:p>
    <w:p w14:paraId="23FC0E50" w14:textId="77777777" w:rsidR="00E748ED" w:rsidRDefault="00E748ED" w:rsidP="00CE3FD6">
      <w:pPr>
        <w:spacing w:before="120" w:line="276" w:lineRule="auto"/>
        <w:jc w:val="both"/>
        <w:rPr>
          <w:rFonts w:asciiTheme="majorHAnsi" w:eastAsia="ArialNarrow" w:hAnsiTheme="majorHAnsi" w:cstheme="majorHAnsi"/>
          <w:sz w:val="22"/>
          <w:szCs w:val="22"/>
        </w:rPr>
      </w:pPr>
    </w:p>
    <w:p w14:paraId="563B4627" w14:textId="77777777" w:rsidR="00CE3FD6" w:rsidRDefault="00CE3FD6" w:rsidP="00CE3FD6">
      <w:pPr>
        <w:spacing w:before="120" w:line="276" w:lineRule="auto"/>
        <w:jc w:val="both"/>
        <w:rPr>
          <w:rFonts w:asciiTheme="majorHAnsi" w:eastAsia="ArialNarrow" w:hAnsiTheme="majorHAnsi" w:cstheme="majorHAnsi"/>
          <w:sz w:val="22"/>
          <w:szCs w:val="22"/>
        </w:rPr>
      </w:pPr>
      <w:r w:rsidRPr="006B74ED">
        <w:rPr>
          <w:rFonts w:asciiTheme="majorHAnsi" w:eastAsia="ArialNarrow" w:hAnsiTheme="majorHAnsi" w:cstheme="majorHAnsi"/>
          <w:sz w:val="22"/>
          <w:szCs w:val="22"/>
        </w:rPr>
        <w:lastRenderedPageBreak/>
        <w:t xml:space="preserve">V okviru upravičenega namena za ukrep 1 so možne vrste naložb naslednje: </w:t>
      </w:r>
    </w:p>
    <w:p w14:paraId="3AFF1F2F"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rekonstrukcija večpasovne ceste (zmanjšanje števila voznih pasov za motoriziran promet in zoženje širine vozišča na minimum, obvezna uvedba rumenih pasov za JPP in največ enega pasu v vsako smer za ostala motorna vozila, brez ločenih razvrstilnih pasov v križiščih); </w:t>
      </w:r>
    </w:p>
    <w:p w14:paraId="685C1FD2"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rekonstrukcija dvopasovne dvosmerne ceste z zoženjem širine vozišča na minimum; </w:t>
      </w:r>
    </w:p>
    <w:p w14:paraId="313D9BA6"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rekonstrukcija dvosmerne ceste v enosmerno, enopasovno; </w:t>
      </w:r>
    </w:p>
    <w:p w14:paraId="2388F969"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rekonstrukcija ulic/cest v okolici šol in vrtcev z ureditvijo varnih površin za pešce in/ali kolesarje; </w:t>
      </w:r>
    </w:p>
    <w:p w14:paraId="58D4FD45"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vzpostavitev območja umirjenega prometa; </w:t>
      </w:r>
    </w:p>
    <w:p w14:paraId="7E052EE2"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 xml:space="preserve">vzpostavitev kolesarske ulice/ceste; </w:t>
      </w:r>
    </w:p>
    <w:p w14:paraId="27E486BE" w14:textId="77777777" w:rsidR="00CE3FD6" w:rsidRPr="006B74ED"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6B74ED">
        <w:rPr>
          <w:rFonts w:asciiTheme="majorHAnsi" w:eastAsia="ArialNarrow" w:hAnsiTheme="majorHAnsi" w:cstheme="majorHAnsi"/>
        </w:rPr>
        <w:t>uvedba skupnega prometnega prostora.</w:t>
      </w:r>
    </w:p>
    <w:p w14:paraId="0511FD92" w14:textId="77777777" w:rsidR="00CE3FD6" w:rsidRPr="00B06D4E" w:rsidRDefault="00CE3FD6" w:rsidP="00CE3FD6">
      <w:pPr>
        <w:spacing w:before="120" w:line="276" w:lineRule="auto"/>
        <w:jc w:val="both"/>
        <w:rPr>
          <w:rFonts w:asciiTheme="majorHAnsi" w:eastAsia="ArialNarrow" w:hAnsiTheme="majorHAnsi" w:cstheme="majorHAnsi"/>
          <w:b/>
          <w:bCs/>
          <w:sz w:val="22"/>
          <w:szCs w:val="22"/>
        </w:rPr>
      </w:pPr>
      <w:r w:rsidRPr="00B06D4E">
        <w:rPr>
          <w:rFonts w:asciiTheme="majorHAnsi" w:eastAsia="ArialNarrow" w:hAnsiTheme="majorHAnsi" w:cstheme="majorHAnsi"/>
          <w:b/>
          <w:bCs/>
          <w:sz w:val="22"/>
          <w:szCs w:val="22"/>
        </w:rPr>
        <w:t>Ukrep 2: Ureditev namenskih površin za javni potniški promet (JPP)</w:t>
      </w:r>
    </w:p>
    <w:p w14:paraId="1E3975A6" w14:textId="77777777" w:rsidR="00CE3FD6" w:rsidRPr="00B06D4E" w:rsidRDefault="00CE3FD6" w:rsidP="00CE3FD6">
      <w:pPr>
        <w:spacing w:before="120" w:line="276" w:lineRule="auto"/>
        <w:jc w:val="both"/>
        <w:rPr>
          <w:rFonts w:asciiTheme="majorHAnsi" w:eastAsia="ArialNarrow" w:hAnsiTheme="majorHAnsi" w:cstheme="majorHAnsi"/>
          <w:sz w:val="22"/>
          <w:szCs w:val="22"/>
        </w:rPr>
      </w:pPr>
      <w:r w:rsidRPr="00B06D4E">
        <w:rPr>
          <w:rFonts w:asciiTheme="majorHAnsi" w:eastAsia="ArialNarrow" w:hAnsiTheme="majorHAnsi" w:cstheme="majorHAnsi"/>
          <w:sz w:val="22"/>
          <w:szCs w:val="22"/>
        </w:rPr>
        <w:t>V okviru naložb v ureditev namenskih površin za JPP (ukrep 2) predstavlja upravičen namen gradnja in/ali rekonstrukcija avtobusnih postajališč ter avtobusnih postaj skladno z drugim odstavkom 45. člena Zakona o cestah (ZCes-2). Namen ukrepa je zagotoviti varne, udobne in dostopne površine za uporabnike javnega potniškega prometa ter s tem spodbuditi večjo uporabo trajnostnih oblik mobilnosti in zmanjšanje odvisnosti od osebnega motornega prometa.</w:t>
      </w:r>
    </w:p>
    <w:p w14:paraId="1D633035" w14:textId="77777777" w:rsidR="00CE3FD6" w:rsidRDefault="00CE3FD6" w:rsidP="00CE3FD6">
      <w:pPr>
        <w:spacing w:before="120" w:line="276" w:lineRule="auto"/>
        <w:jc w:val="both"/>
        <w:rPr>
          <w:rFonts w:asciiTheme="majorHAnsi" w:eastAsia="ArialNarrow" w:hAnsiTheme="majorHAnsi" w:cstheme="majorHAnsi"/>
          <w:sz w:val="22"/>
          <w:szCs w:val="22"/>
        </w:rPr>
      </w:pPr>
      <w:r w:rsidRPr="00B06D4E">
        <w:rPr>
          <w:rFonts w:asciiTheme="majorHAnsi" w:eastAsia="ArialNarrow" w:hAnsiTheme="majorHAnsi" w:cstheme="majorHAnsi"/>
          <w:sz w:val="22"/>
          <w:szCs w:val="22"/>
        </w:rPr>
        <w:t>V okviru upravičenega namena za ukrep 2 so možne vrste naložb naslednje:</w:t>
      </w:r>
    </w:p>
    <w:p w14:paraId="013D1F00" w14:textId="77777777" w:rsidR="00CE3FD6"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B06D4E">
        <w:rPr>
          <w:rFonts w:asciiTheme="majorHAnsi" w:eastAsia="ArialNarrow" w:hAnsiTheme="majorHAnsi" w:cstheme="majorHAnsi"/>
        </w:rPr>
        <w:t>gradnja novih avtobusnih postajališč,</w:t>
      </w:r>
    </w:p>
    <w:p w14:paraId="20DAE9E4" w14:textId="77777777" w:rsidR="00CE3FD6"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B06D4E">
        <w:rPr>
          <w:rFonts w:asciiTheme="majorHAnsi" w:eastAsia="ArialNarrow" w:hAnsiTheme="majorHAnsi" w:cstheme="majorHAnsi"/>
        </w:rPr>
        <w:t>rekonstrukcija obstoječih avtobusnih postajališč z izboljšanjem varnosti, dostopnosti in udobja,</w:t>
      </w:r>
    </w:p>
    <w:p w14:paraId="094B8DB9" w14:textId="77777777" w:rsidR="00CE3FD6"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B06D4E">
        <w:rPr>
          <w:rFonts w:asciiTheme="majorHAnsi" w:eastAsia="ArialNarrow" w:hAnsiTheme="majorHAnsi" w:cstheme="majorHAnsi"/>
        </w:rPr>
        <w:t>gradnja novih avtobusnih postaj,</w:t>
      </w:r>
    </w:p>
    <w:p w14:paraId="3288B289" w14:textId="77777777" w:rsidR="00CE3FD6"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B06D4E">
        <w:rPr>
          <w:rFonts w:asciiTheme="majorHAnsi" w:eastAsia="ArialNarrow" w:hAnsiTheme="majorHAnsi" w:cstheme="majorHAnsi"/>
        </w:rPr>
        <w:t>rekonstrukcija obstoječih avtobusnih postaj z vključevanjem sodobnih standardov za potnike, vključno z dostopnostjo za gibalno ovirane osebe,</w:t>
      </w:r>
    </w:p>
    <w:p w14:paraId="4135F611" w14:textId="77777777" w:rsidR="00CE3FD6" w:rsidRPr="00B06D4E" w:rsidRDefault="00CE3FD6" w:rsidP="00CE3FD6">
      <w:pPr>
        <w:pStyle w:val="Odstavekseznama"/>
        <w:numPr>
          <w:ilvl w:val="2"/>
          <w:numId w:val="145"/>
        </w:numPr>
        <w:spacing w:before="120" w:after="0"/>
        <w:ind w:left="284" w:hanging="218"/>
        <w:jc w:val="both"/>
        <w:rPr>
          <w:rFonts w:asciiTheme="majorHAnsi" w:eastAsia="ArialNarrow" w:hAnsiTheme="majorHAnsi" w:cstheme="majorHAnsi"/>
        </w:rPr>
      </w:pPr>
      <w:r w:rsidRPr="00B06D4E">
        <w:rPr>
          <w:rFonts w:asciiTheme="majorHAnsi" w:eastAsia="ArialNarrow" w:hAnsiTheme="majorHAnsi" w:cstheme="majorHAnsi"/>
        </w:rPr>
        <w:t>ureditev spremljajoče infrastrukture, ki omogoča lažji dostop do postajališč in postaj (pločniki, kolesarnice, razsvetljava, informacijski sistemi).</w:t>
      </w:r>
    </w:p>
    <w:p w14:paraId="4E2DC686" w14:textId="77777777" w:rsidR="00CE3FD6" w:rsidRPr="0093659F" w:rsidRDefault="00CE3FD6" w:rsidP="00CE3FD6">
      <w:pPr>
        <w:spacing w:before="120" w:line="276" w:lineRule="auto"/>
        <w:jc w:val="both"/>
        <w:rPr>
          <w:rFonts w:asciiTheme="majorHAnsi" w:eastAsia="ArialNarrow" w:hAnsiTheme="majorHAnsi" w:cstheme="majorHAnsi"/>
          <w:b/>
          <w:bCs/>
          <w:sz w:val="22"/>
          <w:szCs w:val="22"/>
        </w:rPr>
      </w:pPr>
      <w:r w:rsidRPr="0093659F">
        <w:rPr>
          <w:rFonts w:asciiTheme="majorHAnsi" w:eastAsia="ArialNarrow" w:hAnsiTheme="majorHAnsi" w:cstheme="majorHAnsi"/>
          <w:b/>
          <w:bCs/>
          <w:sz w:val="22"/>
          <w:szCs w:val="22"/>
        </w:rPr>
        <w:t xml:space="preserve">Ukrep 4: Infrastruktura za kolesarje </w:t>
      </w:r>
    </w:p>
    <w:p w14:paraId="4D25EAD4" w14:textId="77777777" w:rsidR="00CE3FD6" w:rsidRDefault="00CE3FD6" w:rsidP="00CE3FD6">
      <w:pPr>
        <w:spacing w:before="120" w:line="276" w:lineRule="auto"/>
        <w:jc w:val="both"/>
        <w:rPr>
          <w:rFonts w:asciiTheme="majorHAnsi" w:eastAsia="ArialNarrow" w:hAnsiTheme="majorHAnsi" w:cstheme="majorHAnsi"/>
          <w:sz w:val="22"/>
          <w:szCs w:val="22"/>
        </w:rPr>
      </w:pPr>
      <w:r w:rsidRPr="00C67E1D">
        <w:rPr>
          <w:rFonts w:asciiTheme="majorHAnsi" w:eastAsia="ArialNarrow" w:hAnsiTheme="majorHAnsi" w:cstheme="majorHAnsi"/>
          <w:sz w:val="22"/>
          <w:szCs w:val="22"/>
        </w:rPr>
        <w:t xml:space="preserve">V okviru naložb v infrastrukturo za kolesarje (ukrep 4) predstavljajo upravičen namen naslednje aktivnosti: </w:t>
      </w:r>
    </w:p>
    <w:p w14:paraId="42AEB34A" w14:textId="77777777" w:rsidR="00CE3FD6" w:rsidRPr="00C67E1D"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C67E1D">
        <w:rPr>
          <w:rFonts w:asciiTheme="majorHAnsi" w:eastAsia="ArialNarrow" w:hAnsiTheme="majorHAnsi" w:cstheme="majorHAnsi"/>
        </w:rPr>
        <w:t xml:space="preserve">gradnja/rekonstrukcija kolesarskih povezav; </w:t>
      </w:r>
    </w:p>
    <w:p w14:paraId="4320E36B" w14:textId="77777777" w:rsidR="00CE3FD6" w:rsidRPr="00C67E1D"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C67E1D">
        <w:rPr>
          <w:rFonts w:asciiTheme="majorHAnsi" w:eastAsia="ArialNarrow" w:hAnsiTheme="majorHAnsi" w:cstheme="majorHAnsi"/>
        </w:rPr>
        <w:t xml:space="preserve">postavitev varnih kolesarnic, nadstrešnic in stojal za parkiranje koles; </w:t>
      </w:r>
    </w:p>
    <w:p w14:paraId="5FC148ED" w14:textId="77777777" w:rsidR="00CE3FD6" w:rsidRPr="00C67E1D"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C67E1D">
        <w:rPr>
          <w:rFonts w:asciiTheme="majorHAnsi" w:eastAsia="ArialNarrow" w:hAnsiTheme="majorHAnsi" w:cstheme="majorHAnsi"/>
        </w:rPr>
        <w:t>postavitev/nadgradnja postaj sistema izposoje javnih koles.</w:t>
      </w:r>
    </w:p>
    <w:p w14:paraId="151789C3" w14:textId="77777777" w:rsidR="00CE3FD6" w:rsidRPr="00470457" w:rsidRDefault="00CE3FD6" w:rsidP="00CE3FD6">
      <w:pPr>
        <w:spacing w:before="120" w:line="276" w:lineRule="auto"/>
        <w:jc w:val="both"/>
        <w:rPr>
          <w:rFonts w:asciiTheme="majorHAnsi" w:eastAsia="ArialNarrow" w:hAnsiTheme="majorHAnsi" w:cstheme="majorHAnsi"/>
          <w:sz w:val="22"/>
          <w:szCs w:val="22"/>
        </w:rPr>
      </w:pPr>
      <w:r w:rsidRPr="00F16BA0">
        <w:rPr>
          <w:rFonts w:asciiTheme="majorHAnsi" w:eastAsia="ArialNarrow" w:hAnsiTheme="majorHAnsi" w:cstheme="majorHAnsi"/>
          <w:sz w:val="22"/>
          <w:szCs w:val="22"/>
        </w:rPr>
        <w:t>V okviru zgoraj navedenih ukrepov lahko vlagatelj kot podporni ukrep vključi tudi naložbo v digitalizacijo na področju prometa, s katero spodbuja oz. podpira namen naložbe v okviru ukrepa ali ukrepov, pri čemer priznani upravičeni stroški za digitalizacijo ne smejo preseči 20 % priznanih upravičenih stroškov</w:t>
      </w:r>
      <w:r>
        <w:rPr>
          <w:rFonts w:asciiTheme="majorHAnsi" w:eastAsia="ArialNarrow" w:hAnsiTheme="majorHAnsi" w:cstheme="majorHAnsi"/>
          <w:sz w:val="22"/>
          <w:szCs w:val="22"/>
        </w:rPr>
        <w:t xml:space="preserve"> </w:t>
      </w:r>
      <w:r w:rsidRPr="00470457">
        <w:rPr>
          <w:rFonts w:asciiTheme="majorHAnsi" w:eastAsia="ArialNarrow" w:hAnsiTheme="majorHAnsi" w:cstheme="majorHAnsi"/>
          <w:sz w:val="22"/>
          <w:szCs w:val="22"/>
        </w:rPr>
        <w:t xml:space="preserve">operacije in ne smejo znašati več kot 50.000,00 EUR. Podporni ukrep digitalizacije se lahko izvaja tudi na drugem območju/območjih v občini izven lokacije naložbe, vendar mora biti vsebinsko povezan z osnovno naložbo. V okviru podpornega ukrepa digitalizacije so možne vrste naložb naslednje: </w:t>
      </w:r>
    </w:p>
    <w:p w14:paraId="430CB344" w14:textId="77777777" w:rsidR="00CE3FD6" w:rsidRPr="00470457"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470457">
        <w:rPr>
          <w:rFonts w:asciiTheme="majorHAnsi" w:eastAsia="ArialNarrow" w:hAnsiTheme="majorHAnsi" w:cstheme="majorHAnsi"/>
        </w:rPr>
        <w:t xml:space="preserve">digitalizacija prometne infrastrukture, ki je potrebna za učinkovito upravljanje prometa (izdelava evidence parkirnih mest na ozemlju občine in vpis v nacionalno parkirno platformo </w:t>
      </w:r>
      <w:proofErr w:type="spellStart"/>
      <w:r w:rsidRPr="00470457">
        <w:rPr>
          <w:rFonts w:asciiTheme="majorHAnsi" w:eastAsia="ArialNarrow" w:hAnsiTheme="majorHAnsi" w:cstheme="majorHAnsi"/>
        </w:rPr>
        <w:t>SiPark</w:t>
      </w:r>
      <w:proofErr w:type="spellEnd"/>
      <w:r w:rsidRPr="00470457">
        <w:rPr>
          <w:rFonts w:asciiTheme="majorHAnsi" w:eastAsia="ArialNarrow" w:hAnsiTheme="majorHAnsi" w:cstheme="majorHAnsi"/>
        </w:rPr>
        <w:t xml:space="preserve">, popis in vpis kolesarske in peš infrastrukture v Banko cestnih podatkov (v nadaljnjem besedilu: BCP));    </w:t>
      </w:r>
    </w:p>
    <w:p w14:paraId="5945FEBC" w14:textId="77777777" w:rsidR="00CE3FD6" w:rsidRPr="00470457"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470457">
        <w:rPr>
          <w:rFonts w:asciiTheme="majorHAnsi" w:eastAsia="ArialNarrow" w:hAnsiTheme="majorHAnsi" w:cstheme="majorHAnsi"/>
        </w:rPr>
        <w:t xml:space="preserve">digitalizacija upravljanja, optimizacije in vodenja prometa ali statističnega spremljanja prometa na lokalni ravni (npr. odštevalniki časa čakanja na zeleno luč za trajnostne oblike mobilnosti, semaforizacija prehodov in krmiljenje semaforjev, ki daje prednost JPP, kolesarjem in/ali pešcem, (npr. na podlagi senzorjev, GPS sledenja), števci prometa, ki </w:t>
      </w:r>
      <w:r w:rsidRPr="00470457">
        <w:rPr>
          <w:rFonts w:asciiTheme="majorHAnsi" w:eastAsia="ArialNarrow" w:hAnsiTheme="majorHAnsi" w:cstheme="majorHAnsi"/>
        </w:rPr>
        <w:lastRenderedPageBreak/>
        <w:t xml:space="preserve">razločujejo posamezne trajnostne oblike mobilnosti za spremljanje strukture prometnih načinov, števci kolesarjev, ipd.); </w:t>
      </w:r>
    </w:p>
    <w:p w14:paraId="6D4A53A0" w14:textId="77777777" w:rsidR="00CE3FD6" w:rsidRPr="00470457" w:rsidRDefault="00CE3FD6" w:rsidP="00CE3FD6">
      <w:pPr>
        <w:pStyle w:val="Odstavekseznama"/>
        <w:numPr>
          <w:ilvl w:val="2"/>
          <w:numId w:val="145"/>
        </w:numPr>
        <w:spacing w:before="120" w:after="0"/>
        <w:ind w:left="426"/>
        <w:jc w:val="both"/>
        <w:rPr>
          <w:rFonts w:asciiTheme="majorHAnsi" w:eastAsia="ArialNarrow" w:hAnsiTheme="majorHAnsi" w:cstheme="majorHAnsi"/>
        </w:rPr>
      </w:pPr>
      <w:r w:rsidRPr="00470457">
        <w:rPr>
          <w:rFonts w:asciiTheme="majorHAnsi" w:eastAsia="ArialNarrow" w:hAnsiTheme="majorHAnsi" w:cstheme="majorHAnsi"/>
        </w:rPr>
        <w:t xml:space="preserve">uvedba aplikacij za prometne storitve za končne uporabnike.  </w:t>
      </w:r>
    </w:p>
    <w:p w14:paraId="57771F74" w14:textId="77777777" w:rsidR="00CE3FD6" w:rsidRDefault="00CE3FD6" w:rsidP="00CE3FD6">
      <w:pPr>
        <w:spacing w:before="120" w:line="276" w:lineRule="auto"/>
        <w:jc w:val="both"/>
        <w:rPr>
          <w:rFonts w:asciiTheme="majorHAnsi" w:eastAsia="ArialNarrow" w:hAnsiTheme="majorHAnsi" w:cstheme="majorHAnsi"/>
          <w:sz w:val="22"/>
          <w:szCs w:val="22"/>
        </w:rPr>
      </w:pPr>
      <w:r w:rsidRPr="00762F81">
        <w:rPr>
          <w:rFonts w:asciiTheme="majorHAnsi" w:eastAsia="ArialNarrow" w:hAnsiTheme="majorHAnsi" w:cstheme="majorHAnsi"/>
          <w:sz w:val="22"/>
          <w:szCs w:val="22"/>
        </w:rPr>
        <w:t>Posamezna vloga lahko vključuje enega ali več istih ali različnih zgoraj navedenih ukrepov (ukrepi od 1 do 4). V okviru javnega razpisa se spodbujajo čim bolj celovite operacije, ki vključujejo več kot eno vrsto ukrepov.</w:t>
      </w:r>
    </w:p>
    <w:p w14:paraId="0FFE8893" w14:textId="77777777" w:rsidR="00CE3FD6" w:rsidRDefault="00CE3FD6" w:rsidP="00CE3FD6">
      <w:pPr>
        <w:spacing w:before="120" w:line="276" w:lineRule="auto"/>
        <w:jc w:val="both"/>
        <w:rPr>
          <w:rFonts w:asciiTheme="majorHAnsi" w:eastAsia="ArialNarrow" w:hAnsiTheme="majorHAnsi" w:cstheme="majorHAnsi"/>
          <w:sz w:val="22"/>
          <w:szCs w:val="22"/>
        </w:rPr>
      </w:pPr>
      <w:r w:rsidRPr="00471D2C">
        <w:rPr>
          <w:rFonts w:asciiTheme="majorHAnsi" w:eastAsia="ArialNarrow" w:hAnsiTheme="majorHAnsi" w:cstheme="majorHAnsi"/>
          <w:sz w:val="22"/>
          <w:szCs w:val="22"/>
        </w:rPr>
        <w:t xml:space="preserve">Sofinanciranje operacij se zagotavlja s sredstvi evropske kohezijske politike iz Kohezijskega sklada, načrtovanih v okviru Programa evropske kohezijske politike v obdobju 2021–2027 v Sloveniji, prednostne naloge 5 »Trajnostna (čez)regionalna mobilnost in povezljivost«, specifičnega cilja RSO 3.2 »Razvoj in krepitev trajnostne, pametne in </w:t>
      </w:r>
      <w:proofErr w:type="spellStart"/>
      <w:r w:rsidRPr="00471D2C">
        <w:rPr>
          <w:rFonts w:asciiTheme="majorHAnsi" w:eastAsia="ArialNarrow" w:hAnsiTheme="majorHAnsi" w:cstheme="majorHAnsi"/>
          <w:sz w:val="22"/>
          <w:szCs w:val="22"/>
        </w:rPr>
        <w:t>intermodalne</w:t>
      </w:r>
      <w:proofErr w:type="spellEnd"/>
      <w:r w:rsidRPr="00471D2C">
        <w:rPr>
          <w:rFonts w:asciiTheme="majorHAnsi" w:eastAsia="ArialNarrow" w:hAnsiTheme="majorHAnsi" w:cstheme="majorHAnsi"/>
          <w:sz w:val="22"/>
          <w:szCs w:val="22"/>
        </w:rPr>
        <w:t xml:space="preserve"> nacionalne, regionalne in lokalne mobilnosti, odporne proti podnebnim spremembam, vključno z boljšim dostopom do omrežja TEN-T in čezmejno mobilnostjo«.</w:t>
      </w:r>
    </w:p>
    <w:p w14:paraId="32CA244E" w14:textId="77777777" w:rsidR="00CE3FD6" w:rsidRPr="00E7314A" w:rsidRDefault="00CE3FD6" w:rsidP="00CE3FD6">
      <w:pPr>
        <w:spacing w:before="120" w:line="276" w:lineRule="auto"/>
        <w:jc w:val="both"/>
        <w:rPr>
          <w:rFonts w:asciiTheme="majorHAnsi" w:eastAsia="ArialNarrow" w:hAnsiTheme="majorHAnsi" w:cstheme="majorHAnsi"/>
          <w:sz w:val="22"/>
          <w:szCs w:val="22"/>
        </w:rPr>
      </w:pPr>
      <w:r w:rsidRPr="00E7314A">
        <w:rPr>
          <w:rFonts w:asciiTheme="majorHAnsi" w:eastAsia="ArialNarrow" w:hAnsiTheme="majorHAnsi" w:cstheme="majorHAnsi"/>
          <w:sz w:val="22"/>
          <w:szCs w:val="22"/>
        </w:rPr>
        <w:t xml:space="preserve">Sredstva evropske kohezijske politike se po tem javnem razpisu dodeljujejo kot nepovratna sredstva, pri čemer se uveljavljanje upravičenih stroškov izvaja po dejanskih stroških. </w:t>
      </w:r>
    </w:p>
    <w:p w14:paraId="0FDF80F5" w14:textId="77777777" w:rsidR="00CE3FD6" w:rsidRPr="00E7314A" w:rsidRDefault="00CE3FD6" w:rsidP="00CE3FD6">
      <w:pPr>
        <w:spacing w:before="120" w:line="276" w:lineRule="auto"/>
        <w:jc w:val="both"/>
        <w:rPr>
          <w:rFonts w:asciiTheme="majorHAnsi" w:eastAsia="ArialNarrow" w:hAnsiTheme="majorHAnsi" w:cstheme="majorHAnsi"/>
          <w:sz w:val="22"/>
          <w:szCs w:val="22"/>
        </w:rPr>
      </w:pPr>
      <w:r w:rsidRPr="00E7314A">
        <w:rPr>
          <w:rFonts w:asciiTheme="majorHAnsi" w:eastAsia="ArialNarrow" w:hAnsiTheme="majorHAnsi" w:cstheme="majorHAnsi"/>
          <w:sz w:val="22"/>
          <w:szCs w:val="22"/>
        </w:rPr>
        <w:t xml:space="preserve">Predmet sofinanciranja so operacije, katerih skupni priznani upravičeni stroški znašajo najmanj 125.000 EUR in največ 2.500.000 EUR. </w:t>
      </w:r>
    </w:p>
    <w:p w14:paraId="0C62E876" w14:textId="77777777" w:rsidR="00CE3FD6" w:rsidRDefault="00CE3FD6" w:rsidP="00CE3FD6">
      <w:pPr>
        <w:spacing w:before="120" w:line="276" w:lineRule="auto"/>
        <w:jc w:val="both"/>
        <w:rPr>
          <w:rFonts w:asciiTheme="majorHAnsi" w:eastAsia="ArialNarrow" w:hAnsiTheme="majorHAnsi" w:cstheme="majorHAnsi"/>
          <w:sz w:val="22"/>
          <w:szCs w:val="22"/>
        </w:rPr>
      </w:pPr>
      <w:r w:rsidRPr="00E7314A">
        <w:rPr>
          <w:rFonts w:asciiTheme="majorHAnsi" w:eastAsia="ArialNarrow" w:hAnsiTheme="majorHAnsi" w:cstheme="majorHAnsi"/>
          <w:sz w:val="22"/>
          <w:szCs w:val="22"/>
        </w:rPr>
        <w:t xml:space="preserve">S sredstvi Kohezijskega sklada se priznani upravičeni stroški operacije sofinancirajo v višini največ do 80 % priznanih upravičenih stroškov operacije glede na omejitve tega javnega razpisa (od tega 85 % iz EU dela in 15 % slovenske udeležbe).  </w:t>
      </w:r>
    </w:p>
    <w:p w14:paraId="497CA5D9" w14:textId="77777777" w:rsidR="00CE3FD6" w:rsidRDefault="00CE3FD6" w:rsidP="00CE3FD6">
      <w:pPr>
        <w:spacing w:before="120" w:line="276" w:lineRule="auto"/>
        <w:jc w:val="both"/>
        <w:rPr>
          <w:rFonts w:asciiTheme="majorHAnsi" w:eastAsia="ArialNarrow" w:hAnsiTheme="majorHAnsi" w:cstheme="majorHAnsi"/>
          <w:sz w:val="22"/>
          <w:szCs w:val="22"/>
        </w:rPr>
      </w:pPr>
      <w:r w:rsidRPr="00192A55">
        <w:rPr>
          <w:rFonts w:asciiTheme="majorHAnsi" w:eastAsia="ArialNarrow" w:hAnsiTheme="majorHAnsi" w:cstheme="majorHAnsi"/>
          <w:sz w:val="22"/>
          <w:szCs w:val="22"/>
        </w:rPr>
        <w:t xml:space="preserve">V primeru, da se na ravni operacije po njenem zaključku pričakuje ustvarjanje prihodkov in jih je mogoče objektivno oceniti, je treba izračunati stopnjo finančne vrzeli operacije. Operacija, ki ustvarja prihodek, je vsaka operacija, ki ustvarja »neto prihodek« po njenem zaključku. Za izračun finančne vrzeli in določitev najvišjega zneska sofinanciranja so relevantni neto prihodki, ki se določijo, kot razlika med prihodki in stroški, pri čemer se upošteva referenčno obdobje, ustrezno za sektor ali </w:t>
      </w:r>
      <w:proofErr w:type="spellStart"/>
      <w:r w:rsidRPr="00192A55">
        <w:rPr>
          <w:rFonts w:asciiTheme="majorHAnsi" w:eastAsia="ArialNarrow" w:hAnsiTheme="majorHAnsi" w:cstheme="majorHAnsi"/>
          <w:sz w:val="22"/>
          <w:szCs w:val="22"/>
        </w:rPr>
        <w:t>podsektor</w:t>
      </w:r>
      <w:proofErr w:type="spellEnd"/>
      <w:r w:rsidRPr="00192A55">
        <w:rPr>
          <w:rFonts w:asciiTheme="majorHAnsi" w:eastAsia="ArialNarrow" w:hAnsiTheme="majorHAnsi" w:cstheme="majorHAnsi"/>
          <w:sz w:val="22"/>
          <w:szCs w:val="22"/>
        </w:rPr>
        <w:t xml:space="preserve">, ki se nanaša na operacijo. V primeru, da finančna vrzel izkazuje upravičenost do nižje ravni pomoči EU, kot to določa javni razpis, se za določitev zneska sofinanciranja upošteva stopnja sofinanciranja iz izračuna finančne vrzeli. </w:t>
      </w:r>
    </w:p>
    <w:p w14:paraId="4DF34B66" w14:textId="77777777" w:rsidR="00CE3FD6" w:rsidRDefault="00CE3FD6" w:rsidP="00CE3FD6">
      <w:pPr>
        <w:spacing w:before="120" w:line="276" w:lineRule="auto"/>
        <w:jc w:val="both"/>
        <w:rPr>
          <w:rFonts w:asciiTheme="majorHAnsi" w:eastAsia="ArialNarrow" w:hAnsiTheme="majorHAnsi" w:cstheme="majorHAnsi"/>
          <w:sz w:val="22"/>
          <w:szCs w:val="22"/>
        </w:rPr>
      </w:pPr>
      <w:r w:rsidRPr="00192A55">
        <w:rPr>
          <w:rFonts w:asciiTheme="majorHAnsi" w:eastAsia="ArialNarrow" w:hAnsiTheme="majorHAnsi" w:cstheme="majorHAnsi"/>
          <w:sz w:val="22"/>
          <w:szCs w:val="22"/>
        </w:rPr>
        <w:t xml:space="preserve">S sklepom o dodelitvi sredstev se dodeli maksimalna višina sredstev sofinanciranja na podlagi dokumentacije, predložene v vlogi in preliminarnega pregleda upravičenosti stroškov. Dokončna višina dodeljenih sredstev sofinanciranja se določi v okviru administrativnega preverjanja upravičenosti stroškov glede na izkazane in dokazane upravičene stroške v zahtevkih za izplačilo. </w:t>
      </w:r>
    </w:p>
    <w:p w14:paraId="09A07288" w14:textId="77777777" w:rsidR="00CE3FD6" w:rsidRDefault="00CE3FD6" w:rsidP="00715B9C">
      <w:pPr>
        <w:spacing w:before="120" w:line="276" w:lineRule="auto"/>
        <w:jc w:val="both"/>
        <w:rPr>
          <w:rFonts w:asciiTheme="majorHAnsi" w:eastAsia="ArialNarrow" w:hAnsiTheme="majorHAnsi" w:cstheme="majorHAnsi"/>
          <w:sz w:val="22"/>
          <w:szCs w:val="22"/>
        </w:rPr>
      </w:pPr>
      <w:r w:rsidRPr="00192A55">
        <w:rPr>
          <w:rFonts w:asciiTheme="majorHAnsi" w:eastAsia="ArialNarrow" w:hAnsiTheme="majorHAnsi" w:cstheme="majorHAnsi"/>
          <w:sz w:val="22"/>
          <w:szCs w:val="22"/>
        </w:rPr>
        <w:t>Sredstva za vse neupravičene stroške in upravičene stroške, ki niso sofinancirani s sredstvi evropske kohezijske politike, mora v celoti zagotoviti upravičenec z lastnimi in/ali drugimi viri.</w:t>
      </w:r>
    </w:p>
    <w:p w14:paraId="6B568327" w14:textId="77777777" w:rsidR="00CE3FD6" w:rsidRDefault="00CE3FD6" w:rsidP="00715B9C">
      <w:pPr>
        <w:spacing w:before="120" w:line="276" w:lineRule="auto"/>
        <w:jc w:val="both"/>
        <w:rPr>
          <w:rFonts w:asciiTheme="majorHAnsi" w:eastAsia="ArialNarrow" w:hAnsiTheme="majorHAnsi" w:cstheme="majorHAnsi"/>
          <w:sz w:val="22"/>
          <w:szCs w:val="22"/>
        </w:rPr>
      </w:pPr>
      <w:r w:rsidRPr="00192A55">
        <w:rPr>
          <w:rFonts w:asciiTheme="majorHAnsi" w:eastAsia="ArialNarrow" w:hAnsiTheme="majorHAnsi" w:cstheme="majorHAnsi"/>
          <w:sz w:val="22"/>
          <w:szCs w:val="22"/>
        </w:rPr>
        <w:t>Dvojno uveljavljanje stroškov in izdatkov, ki so že bili povrnjeni iz katerega koli drugega javnega vira, ni dovoljeno. V tem primeru bo zahtevano vračilo že izplačanega zneska sofinanciranja.</w:t>
      </w:r>
    </w:p>
    <w:p w14:paraId="252FB75B" w14:textId="77777777" w:rsidR="002C0380" w:rsidRDefault="002C0380" w:rsidP="00715B9C">
      <w:pPr>
        <w:spacing w:before="120" w:line="276" w:lineRule="auto"/>
        <w:jc w:val="both"/>
        <w:rPr>
          <w:rFonts w:asciiTheme="majorHAnsi" w:eastAsia="ArialNarrow" w:hAnsiTheme="majorHAnsi" w:cstheme="majorHAnsi"/>
          <w:sz w:val="22"/>
          <w:szCs w:val="22"/>
        </w:rPr>
      </w:pPr>
    </w:p>
    <w:p w14:paraId="70F24E66" w14:textId="77777777" w:rsidR="00CE3FD6" w:rsidRPr="002C0380" w:rsidRDefault="00CE3FD6" w:rsidP="002C0380">
      <w:pPr>
        <w:rPr>
          <w:rFonts w:ascii="Arial" w:hAnsi="Arial" w:cs="Arial"/>
        </w:rPr>
      </w:pPr>
      <w:bookmarkStart w:id="232" w:name="_Toc209026580"/>
      <w:bookmarkStart w:id="233" w:name="_Toc209029164"/>
      <w:bookmarkStart w:id="234" w:name="_Toc210033829"/>
      <w:r w:rsidRPr="002C0380">
        <w:rPr>
          <w:rFonts w:ascii="Arial" w:hAnsi="Arial" w:cs="Arial"/>
        </w:rPr>
        <w:t>Upravičeni stroški so:</w:t>
      </w:r>
      <w:bookmarkEnd w:id="232"/>
      <w:bookmarkEnd w:id="233"/>
      <w:bookmarkEnd w:id="234"/>
    </w:p>
    <w:p w14:paraId="1AB69A2A" w14:textId="77777777" w:rsidR="00CE3FD6" w:rsidRPr="00384563" w:rsidRDefault="00CE3FD6" w:rsidP="00715B9C">
      <w:pPr>
        <w:numPr>
          <w:ilvl w:val="0"/>
          <w:numId w:val="169"/>
        </w:numPr>
        <w:tabs>
          <w:tab w:val="clear" w:pos="720"/>
        </w:tabs>
        <w:spacing w:after="100" w:afterAutospacing="1" w:line="276" w:lineRule="auto"/>
        <w:ind w:left="426" w:hanging="357"/>
        <w:rPr>
          <w:rFonts w:asciiTheme="majorHAnsi" w:hAnsiTheme="majorHAnsi" w:cstheme="majorHAnsi"/>
          <w:sz w:val="22"/>
          <w:szCs w:val="22"/>
          <w:u w:val="single"/>
        </w:rPr>
      </w:pPr>
      <w:r w:rsidRPr="00384563">
        <w:rPr>
          <w:rFonts w:asciiTheme="majorHAnsi" w:hAnsiTheme="majorHAnsi" w:cstheme="majorHAnsi"/>
          <w:sz w:val="22"/>
          <w:szCs w:val="22"/>
          <w:u w:val="single"/>
        </w:rPr>
        <w:t>Gradnja in infrastrukturni posegi</w:t>
      </w:r>
    </w:p>
    <w:p w14:paraId="6A450184" w14:textId="77777777" w:rsidR="00CE3FD6" w:rsidRPr="00D42368"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 xml:space="preserve">stroški izvedbe gradenj, adaptacij, rekonstrukcij ulic in pripadajoče opreme (npr. urban inženiring, tlakovanje, zeleni elementi, redna oprema, nadstreški) </w:t>
      </w:r>
    </w:p>
    <w:p w14:paraId="745810FF" w14:textId="77777777" w:rsidR="00CE3FD6" w:rsidRPr="00384563" w:rsidRDefault="00CE3FD6" w:rsidP="00715B9C">
      <w:pPr>
        <w:numPr>
          <w:ilvl w:val="0"/>
          <w:numId w:val="169"/>
        </w:numPr>
        <w:tabs>
          <w:tab w:val="clear" w:pos="720"/>
        </w:tabs>
        <w:spacing w:after="100" w:afterAutospacing="1" w:line="276" w:lineRule="auto"/>
        <w:ind w:left="426" w:hanging="357"/>
        <w:rPr>
          <w:rFonts w:asciiTheme="majorHAnsi" w:hAnsiTheme="majorHAnsi" w:cstheme="majorHAnsi"/>
          <w:sz w:val="22"/>
          <w:szCs w:val="22"/>
          <w:u w:val="single"/>
        </w:rPr>
      </w:pPr>
      <w:r w:rsidRPr="00384563">
        <w:rPr>
          <w:rFonts w:asciiTheme="majorHAnsi" w:hAnsiTheme="majorHAnsi" w:cstheme="majorHAnsi"/>
          <w:sz w:val="22"/>
          <w:szCs w:val="22"/>
          <w:u w:val="single"/>
        </w:rPr>
        <w:t>Nabava in montaža opreme</w:t>
      </w:r>
    </w:p>
    <w:p w14:paraId="719103FD" w14:textId="77777777" w:rsidR="00CE3FD6" w:rsidRPr="00D42368"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 xml:space="preserve">vključno z merilci hitrosti, števci kolesarjev, urbano opremo, elementi za JPP, kolesarnice ipd. </w:t>
      </w:r>
    </w:p>
    <w:p w14:paraId="6352FCC4" w14:textId="77777777" w:rsidR="00CE3FD6" w:rsidRPr="00384563" w:rsidRDefault="00CE3FD6" w:rsidP="00715B9C">
      <w:pPr>
        <w:numPr>
          <w:ilvl w:val="0"/>
          <w:numId w:val="169"/>
        </w:numPr>
        <w:tabs>
          <w:tab w:val="clear" w:pos="720"/>
        </w:tabs>
        <w:spacing w:after="100" w:afterAutospacing="1" w:line="276" w:lineRule="auto"/>
        <w:ind w:left="426" w:hanging="357"/>
        <w:rPr>
          <w:rFonts w:asciiTheme="majorHAnsi" w:hAnsiTheme="majorHAnsi" w:cstheme="majorHAnsi"/>
          <w:sz w:val="22"/>
          <w:szCs w:val="22"/>
          <w:u w:val="single"/>
        </w:rPr>
      </w:pPr>
      <w:r w:rsidRPr="00384563">
        <w:rPr>
          <w:rFonts w:asciiTheme="majorHAnsi" w:hAnsiTheme="majorHAnsi" w:cstheme="majorHAnsi"/>
          <w:sz w:val="22"/>
          <w:szCs w:val="22"/>
          <w:u w:val="single"/>
        </w:rPr>
        <w:t>Projektna in investicijska dokumentacija</w:t>
      </w:r>
    </w:p>
    <w:p w14:paraId="01B7CEC9" w14:textId="77777777" w:rsidR="00CE3FD6" w:rsidRPr="00D42368"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 xml:space="preserve">ob izdelavi skladno z UEM (DIIP, PZI, IP) </w:t>
      </w:r>
    </w:p>
    <w:p w14:paraId="0384B7DC" w14:textId="77777777" w:rsidR="00CE3FD6" w:rsidRPr="00384563" w:rsidRDefault="00CE3FD6" w:rsidP="00715B9C">
      <w:pPr>
        <w:numPr>
          <w:ilvl w:val="0"/>
          <w:numId w:val="169"/>
        </w:numPr>
        <w:tabs>
          <w:tab w:val="clear" w:pos="720"/>
        </w:tabs>
        <w:spacing w:after="100" w:afterAutospacing="1" w:line="276" w:lineRule="auto"/>
        <w:ind w:left="426" w:hanging="357"/>
        <w:rPr>
          <w:rFonts w:asciiTheme="majorHAnsi" w:hAnsiTheme="majorHAnsi" w:cstheme="majorHAnsi"/>
          <w:sz w:val="22"/>
          <w:szCs w:val="22"/>
          <w:u w:val="single"/>
        </w:rPr>
      </w:pPr>
      <w:r w:rsidRPr="00384563">
        <w:rPr>
          <w:rFonts w:asciiTheme="majorHAnsi" w:hAnsiTheme="majorHAnsi" w:cstheme="majorHAnsi"/>
          <w:sz w:val="22"/>
          <w:szCs w:val="22"/>
          <w:u w:val="single"/>
        </w:rPr>
        <w:lastRenderedPageBreak/>
        <w:t>Stroški nadzora in investicijskega inženiringa</w:t>
      </w:r>
    </w:p>
    <w:p w14:paraId="158E274D" w14:textId="77777777" w:rsidR="00CE3FD6" w:rsidRPr="00D42368"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 xml:space="preserve">vključujejo strokovni nadzor projekta </w:t>
      </w:r>
    </w:p>
    <w:p w14:paraId="09867E2C" w14:textId="77777777" w:rsidR="00CE3FD6" w:rsidRPr="00384563" w:rsidRDefault="00CE3FD6" w:rsidP="00715B9C">
      <w:pPr>
        <w:numPr>
          <w:ilvl w:val="0"/>
          <w:numId w:val="169"/>
        </w:numPr>
        <w:tabs>
          <w:tab w:val="clear" w:pos="720"/>
        </w:tabs>
        <w:spacing w:after="100" w:afterAutospacing="1" w:line="276" w:lineRule="auto"/>
        <w:ind w:left="426" w:hanging="357"/>
        <w:rPr>
          <w:rFonts w:asciiTheme="majorHAnsi" w:hAnsiTheme="majorHAnsi" w:cstheme="majorHAnsi"/>
          <w:sz w:val="22"/>
          <w:szCs w:val="22"/>
          <w:u w:val="single"/>
        </w:rPr>
      </w:pPr>
      <w:r w:rsidRPr="00384563">
        <w:rPr>
          <w:rFonts w:asciiTheme="majorHAnsi" w:hAnsiTheme="majorHAnsi" w:cstheme="majorHAnsi"/>
          <w:sz w:val="22"/>
          <w:szCs w:val="22"/>
          <w:u w:val="single"/>
        </w:rPr>
        <w:t>Stroški rekonstrukcije komunalne infrastrukture</w:t>
      </w:r>
    </w:p>
    <w:p w14:paraId="07A313F9" w14:textId="77777777" w:rsidR="00CE3FD6" w:rsidRPr="00D42368"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 xml:space="preserve">npr. javna razsvetljava, odvodnjavanje ipd., vendar največ do 50  % priznanih upravičenih stroškov znotraj projekta (brez komunalne infrastrukture) </w:t>
      </w:r>
    </w:p>
    <w:p w14:paraId="1641F936" w14:textId="77777777" w:rsidR="00CE3FD6" w:rsidRPr="00384563" w:rsidRDefault="00CE3FD6" w:rsidP="00715B9C">
      <w:pPr>
        <w:numPr>
          <w:ilvl w:val="0"/>
          <w:numId w:val="169"/>
        </w:numPr>
        <w:tabs>
          <w:tab w:val="clear" w:pos="720"/>
        </w:tabs>
        <w:spacing w:line="276" w:lineRule="auto"/>
        <w:ind w:left="425" w:hanging="357"/>
        <w:rPr>
          <w:rFonts w:asciiTheme="majorHAnsi" w:hAnsiTheme="majorHAnsi" w:cstheme="majorHAnsi"/>
          <w:sz w:val="22"/>
          <w:szCs w:val="22"/>
          <w:u w:val="single"/>
        </w:rPr>
      </w:pPr>
      <w:r w:rsidRPr="00384563">
        <w:rPr>
          <w:rFonts w:asciiTheme="majorHAnsi" w:hAnsiTheme="majorHAnsi" w:cstheme="majorHAnsi"/>
          <w:sz w:val="22"/>
          <w:szCs w:val="22"/>
          <w:u w:val="single"/>
        </w:rPr>
        <w:t>Digitalizacija in upravljanje mobilnosti</w:t>
      </w:r>
    </w:p>
    <w:p w14:paraId="62FB972D" w14:textId="7C023BDB" w:rsidR="00CE3FD6" w:rsidRDefault="00CE3FD6" w:rsidP="00715B9C">
      <w:pPr>
        <w:numPr>
          <w:ilvl w:val="1"/>
          <w:numId w:val="169"/>
        </w:numPr>
        <w:tabs>
          <w:tab w:val="clear" w:pos="1440"/>
        </w:tabs>
        <w:spacing w:before="100" w:beforeAutospacing="1" w:after="100" w:afterAutospacing="1" w:line="276" w:lineRule="auto"/>
        <w:ind w:left="851"/>
        <w:rPr>
          <w:rFonts w:asciiTheme="majorHAnsi" w:hAnsiTheme="majorHAnsi" w:cstheme="majorHAnsi"/>
          <w:sz w:val="22"/>
          <w:szCs w:val="22"/>
        </w:rPr>
      </w:pPr>
      <w:r w:rsidRPr="00D42368">
        <w:rPr>
          <w:rFonts w:asciiTheme="majorHAnsi" w:hAnsiTheme="majorHAnsi" w:cstheme="majorHAnsi"/>
          <w:sz w:val="22"/>
          <w:szCs w:val="22"/>
        </w:rPr>
        <w:t>rešitve za upravljanje parkiranja motornih vozil – le kot del celovite trajnostne strategije, do največ 20 % priznanih stroškov operacije in ne več kot 50.000 EUR</w:t>
      </w:r>
    </w:p>
    <w:p w14:paraId="0B25AEC3" w14:textId="77777777" w:rsidR="006945A7" w:rsidRDefault="006945A7" w:rsidP="006945A7">
      <w:pPr>
        <w:pStyle w:val="Napis"/>
        <w:numPr>
          <w:ilvl w:val="0"/>
          <w:numId w:val="169"/>
        </w:numPr>
        <w:spacing w:line="276" w:lineRule="auto"/>
        <w:rPr>
          <w:rFonts w:asciiTheme="majorHAnsi" w:hAnsiTheme="majorHAnsi" w:cstheme="majorHAnsi"/>
          <w:color w:val="auto"/>
          <w:sz w:val="22"/>
          <w:szCs w:val="22"/>
        </w:rPr>
        <w:sectPr w:rsidR="006945A7" w:rsidSect="006945A7">
          <w:headerReference w:type="default" r:id="rId79"/>
          <w:headerReference w:type="first" r:id="rId80"/>
          <w:pgSz w:w="11906" w:h="16838" w:code="9"/>
          <w:pgMar w:top="1134" w:right="1417" w:bottom="1417" w:left="1134" w:header="708" w:footer="708" w:gutter="0"/>
          <w:cols w:space="708"/>
          <w:titlePg/>
          <w:docGrid w:linePitch="360"/>
        </w:sectPr>
      </w:pPr>
    </w:p>
    <w:p w14:paraId="3FAE1D98" w14:textId="14FA3108" w:rsidR="006945A7" w:rsidRDefault="006945A7" w:rsidP="00D2136F">
      <w:pPr>
        <w:pStyle w:val="Napis"/>
        <w:spacing w:line="276" w:lineRule="auto"/>
        <w:rPr>
          <w:rFonts w:asciiTheme="majorHAnsi" w:hAnsiTheme="majorHAnsi" w:cstheme="majorHAnsi"/>
          <w:b w:val="0"/>
          <w:bCs w:val="0"/>
          <w:color w:val="auto"/>
          <w:sz w:val="22"/>
          <w:szCs w:val="22"/>
        </w:rPr>
      </w:pPr>
      <w:bookmarkStart w:id="235" w:name="_Toc209029182"/>
      <w:bookmarkStart w:id="236" w:name="_Toc209528296"/>
      <w:r w:rsidRPr="00C13301">
        <w:rPr>
          <w:rFonts w:asciiTheme="majorHAnsi" w:hAnsiTheme="majorHAnsi" w:cstheme="majorHAnsi"/>
          <w:color w:val="auto"/>
          <w:sz w:val="22"/>
          <w:szCs w:val="22"/>
        </w:rPr>
        <w:lastRenderedPageBreak/>
        <w:t xml:space="preserve">Tabela </w:t>
      </w:r>
      <w:r w:rsidRPr="00C13301">
        <w:rPr>
          <w:rFonts w:asciiTheme="majorHAnsi" w:hAnsiTheme="majorHAnsi" w:cstheme="majorHAnsi"/>
          <w:color w:val="auto"/>
          <w:sz w:val="22"/>
          <w:szCs w:val="22"/>
        </w:rPr>
        <w:fldChar w:fldCharType="begin"/>
      </w:r>
      <w:r w:rsidRPr="00C13301">
        <w:rPr>
          <w:rFonts w:asciiTheme="majorHAnsi" w:hAnsiTheme="majorHAnsi" w:cstheme="majorHAnsi"/>
          <w:color w:val="auto"/>
          <w:sz w:val="22"/>
          <w:szCs w:val="22"/>
        </w:rPr>
        <w:instrText xml:space="preserve"> SEQ Tabela \* ARABIC </w:instrText>
      </w:r>
      <w:r w:rsidRPr="00C13301">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10</w:t>
      </w:r>
      <w:r w:rsidRPr="00C13301">
        <w:rPr>
          <w:rFonts w:asciiTheme="majorHAnsi" w:hAnsiTheme="majorHAnsi" w:cstheme="majorHAnsi"/>
          <w:color w:val="auto"/>
          <w:sz w:val="22"/>
          <w:szCs w:val="22"/>
        </w:rPr>
        <w:fldChar w:fldCharType="end"/>
      </w:r>
      <w:r w:rsidRPr="00C13301">
        <w:rPr>
          <w:rFonts w:asciiTheme="majorHAnsi" w:hAnsiTheme="majorHAnsi" w:cstheme="majorHAnsi"/>
          <w:color w:val="auto"/>
          <w:sz w:val="22"/>
          <w:szCs w:val="22"/>
        </w:rPr>
        <w:t xml:space="preserve">: </w:t>
      </w:r>
      <w:r w:rsidRPr="00C13301">
        <w:rPr>
          <w:rFonts w:asciiTheme="majorHAnsi" w:hAnsiTheme="majorHAnsi" w:cstheme="majorHAnsi"/>
          <w:b w:val="0"/>
          <w:bCs w:val="0"/>
          <w:color w:val="auto"/>
          <w:sz w:val="22"/>
          <w:szCs w:val="22"/>
        </w:rPr>
        <w:t>Ocena vrednosti investicije glede na upravičenost v stalnih cenah</w:t>
      </w:r>
      <w:r>
        <w:rPr>
          <w:rFonts w:asciiTheme="majorHAnsi" w:hAnsiTheme="majorHAnsi" w:cstheme="majorHAnsi"/>
          <w:b w:val="0"/>
          <w:bCs w:val="0"/>
          <w:color w:val="auto"/>
          <w:sz w:val="22"/>
          <w:szCs w:val="22"/>
        </w:rPr>
        <w:t>, v EUR</w:t>
      </w:r>
      <w:bookmarkEnd w:id="235"/>
      <w:bookmarkEnd w:id="236"/>
      <w:r>
        <w:rPr>
          <w:rFonts w:asciiTheme="majorHAnsi" w:hAnsiTheme="majorHAnsi" w:cstheme="majorHAnsi"/>
          <w:b w:val="0"/>
          <w:bCs w:val="0"/>
          <w:color w:val="auto"/>
          <w:sz w:val="22"/>
          <w:szCs w:val="22"/>
        </w:rPr>
        <w:t xml:space="preserve"> </w:t>
      </w:r>
    </w:p>
    <w:tbl>
      <w:tblPr>
        <w:tblW w:w="5000" w:type="pct"/>
        <w:tblLayout w:type="fixed"/>
        <w:tblCellMar>
          <w:left w:w="70" w:type="dxa"/>
          <w:right w:w="70" w:type="dxa"/>
        </w:tblCellMar>
        <w:tblLook w:val="04A0" w:firstRow="1" w:lastRow="0" w:firstColumn="1" w:lastColumn="0" w:noHBand="0" w:noVBand="1"/>
      </w:tblPr>
      <w:tblGrid>
        <w:gridCol w:w="1840"/>
        <w:gridCol w:w="1286"/>
        <w:gridCol w:w="848"/>
        <w:gridCol w:w="1276"/>
        <w:gridCol w:w="1559"/>
        <w:gridCol w:w="1419"/>
        <w:gridCol w:w="1276"/>
        <w:gridCol w:w="1276"/>
        <w:gridCol w:w="1333"/>
        <w:gridCol w:w="1076"/>
        <w:gridCol w:w="1088"/>
      </w:tblGrid>
      <w:tr w:rsidR="00E748ED" w:rsidRPr="00E748ED" w14:paraId="771980F6" w14:textId="77777777" w:rsidTr="006D51C0">
        <w:trPr>
          <w:trHeight w:val="300"/>
          <w:tblHeader/>
        </w:trPr>
        <w:tc>
          <w:tcPr>
            <w:tcW w:w="644" w:type="pct"/>
            <w:tcBorders>
              <w:top w:val="single" w:sz="4" w:space="0" w:color="auto"/>
              <w:left w:val="single" w:sz="4" w:space="0" w:color="auto"/>
              <w:bottom w:val="single" w:sz="4" w:space="0" w:color="auto"/>
              <w:right w:val="single" w:sz="4" w:space="0" w:color="auto"/>
            </w:tcBorders>
            <w:shd w:val="clear" w:color="000000" w:fill="153D64"/>
            <w:tcMar>
              <w:left w:w="28" w:type="dxa"/>
              <w:right w:w="28" w:type="dxa"/>
            </w:tcMar>
            <w:vAlign w:val="bottom"/>
            <w:hideMark/>
          </w:tcPr>
          <w:p w14:paraId="2ECB5B63"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450"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4A7DB750"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297"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3EE4371"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447"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769E158C"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546"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29AD9159"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497"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02ADD5FB"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SKUPAJ</w:t>
            </w:r>
          </w:p>
        </w:tc>
        <w:tc>
          <w:tcPr>
            <w:tcW w:w="447"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61F6BF12"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447" w:type="pct"/>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520CFAEB"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 </w:t>
            </w:r>
          </w:p>
        </w:tc>
        <w:tc>
          <w:tcPr>
            <w:tcW w:w="1226" w:type="pct"/>
            <w:gridSpan w:val="3"/>
            <w:tcBorders>
              <w:top w:val="single" w:sz="4" w:space="0" w:color="auto"/>
              <w:left w:val="nil"/>
              <w:bottom w:val="single" w:sz="4" w:space="0" w:color="auto"/>
              <w:right w:val="single" w:sz="4" w:space="0" w:color="auto"/>
            </w:tcBorders>
            <w:shd w:val="clear" w:color="000000" w:fill="153D64"/>
            <w:noWrap/>
            <w:tcMar>
              <w:left w:w="28" w:type="dxa"/>
              <w:right w:w="28" w:type="dxa"/>
            </w:tcMar>
            <w:vAlign w:val="bottom"/>
            <w:hideMark/>
          </w:tcPr>
          <w:p w14:paraId="1EBDEC28" w14:textId="5C9ED1A2"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UPRAVIČENI STROŠKI</w:t>
            </w:r>
          </w:p>
        </w:tc>
      </w:tr>
      <w:tr w:rsidR="00E748ED" w:rsidRPr="00E748ED" w14:paraId="39027ABB" w14:textId="77777777" w:rsidTr="006D51C0">
        <w:trPr>
          <w:trHeight w:val="454"/>
          <w:tblHeader/>
        </w:trPr>
        <w:tc>
          <w:tcPr>
            <w:tcW w:w="644" w:type="pct"/>
            <w:tcBorders>
              <w:top w:val="nil"/>
              <w:left w:val="single" w:sz="4" w:space="0" w:color="auto"/>
              <w:bottom w:val="single" w:sz="4" w:space="0" w:color="auto"/>
              <w:right w:val="single" w:sz="4" w:space="0" w:color="auto"/>
            </w:tcBorders>
            <w:shd w:val="clear" w:color="000000" w:fill="153D64"/>
            <w:tcMar>
              <w:left w:w="28" w:type="dxa"/>
              <w:right w:w="28" w:type="dxa"/>
            </w:tcMar>
            <w:vAlign w:val="bottom"/>
            <w:hideMark/>
          </w:tcPr>
          <w:p w14:paraId="287553AE"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Postavka</w:t>
            </w:r>
          </w:p>
        </w:tc>
        <w:tc>
          <w:tcPr>
            <w:tcW w:w="450"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38180CDC"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Vrednost</w:t>
            </w:r>
          </w:p>
        </w:tc>
        <w:tc>
          <w:tcPr>
            <w:tcW w:w="297"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0DB214D0"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Delež</w:t>
            </w:r>
          </w:p>
        </w:tc>
        <w:tc>
          <w:tcPr>
            <w:tcW w:w="447" w:type="pct"/>
            <w:tcBorders>
              <w:top w:val="nil"/>
              <w:left w:val="nil"/>
              <w:bottom w:val="single" w:sz="4" w:space="0" w:color="auto"/>
              <w:right w:val="single" w:sz="4" w:space="0" w:color="auto"/>
            </w:tcBorders>
            <w:shd w:val="clear" w:color="000000" w:fill="153D64"/>
            <w:tcMar>
              <w:left w:w="28" w:type="dxa"/>
              <w:right w:w="28" w:type="dxa"/>
            </w:tcMar>
            <w:vAlign w:val="bottom"/>
            <w:hideMark/>
          </w:tcPr>
          <w:p w14:paraId="03D52E95"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UPRAVIČENI STROŠKI</w:t>
            </w:r>
          </w:p>
        </w:tc>
        <w:tc>
          <w:tcPr>
            <w:tcW w:w="546" w:type="pct"/>
            <w:tcBorders>
              <w:top w:val="nil"/>
              <w:left w:val="nil"/>
              <w:bottom w:val="single" w:sz="4" w:space="0" w:color="auto"/>
              <w:right w:val="single" w:sz="4" w:space="0" w:color="auto"/>
            </w:tcBorders>
            <w:shd w:val="clear" w:color="000000" w:fill="153D64"/>
            <w:tcMar>
              <w:left w:w="28" w:type="dxa"/>
              <w:right w:w="28" w:type="dxa"/>
            </w:tcMar>
            <w:vAlign w:val="bottom"/>
            <w:hideMark/>
          </w:tcPr>
          <w:p w14:paraId="2468B464"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NEUPRAVIČENI STROŠKI</w:t>
            </w:r>
          </w:p>
        </w:tc>
        <w:tc>
          <w:tcPr>
            <w:tcW w:w="497" w:type="pct"/>
            <w:tcBorders>
              <w:top w:val="nil"/>
              <w:left w:val="single" w:sz="4" w:space="0" w:color="auto"/>
              <w:bottom w:val="single" w:sz="4" w:space="0" w:color="auto"/>
              <w:right w:val="single" w:sz="4" w:space="0" w:color="auto"/>
            </w:tcBorders>
            <w:shd w:val="clear" w:color="000000" w:fill="153D64"/>
            <w:noWrap/>
            <w:tcMar>
              <w:left w:w="28" w:type="dxa"/>
              <w:right w:w="28" w:type="dxa"/>
            </w:tcMar>
            <w:vAlign w:val="bottom"/>
            <w:hideMark/>
          </w:tcPr>
          <w:p w14:paraId="5FDD24E3"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1</w:t>
            </w:r>
          </w:p>
        </w:tc>
        <w:tc>
          <w:tcPr>
            <w:tcW w:w="447"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41DCFA06"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2</w:t>
            </w:r>
          </w:p>
        </w:tc>
        <w:tc>
          <w:tcPr>
            <w:tcW w:w="447"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55707EB0"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4</w:t>
            </w:r>
          </w:p>
        </w:tc>
        <w:tc>
          <w:tcPr>
            <w:tcW w:w="467"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57B8FCDA"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1</w:t>
            </w:r>
          </w:p>
        </w:tc>
        <w:tc>
          <w:tcPr>
            <w:tcW w:w="377"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6EC92C02"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2</w:t>
            </w:r>
          </w:p>
        </w:tc>
        <w:tc>
          <w:tcPr>
            <w:tcW w:w="382" w:type="pct"/>
            <w:tcBorders>
              <w:top w:val="nil"/>
              <w:left w:val="nil"/>
              <w:bottom w:val="single" w:sz="4" w:space="0" w:color="auto"/>
              <w:right w:val="single" w:sz="4" w:space="0" w:color="auto"/>
            </w:tcBorders>
            <w:shd w:val="clear" w:color="000000" w:fill="153D64"/>
            <w:noWrap/>
            <w:tcMar>
              <w:left w:w="28" w:type="dxa"/>
              <w:right w:w="28" w:type="dxa"/>
            </w:tcMar>
            <w:vAlign w:val="bottom"/>
            <w:hideMark/>
          </w:tcPr>
          <w:p w14:paraId="36AA2963" w14:textId="77777777" w:rsidR="00E748ED" w:rsidRPr="00E748ED" w:rsidRDefault="00E748ED">
            <w:pPr>
              <w:rPr>
                <w:rFonts w:ascii="Arial" w:hAnsi="Arial" w:cs="Arial"/>
                <w:b/>
                <w:bCs/>
                <w:color w:val="FFFFFF"/>
                <w:sz w:val="18"/>
                <w:szCs w:val="18"/>
              </w:rPr>
            </w:pPr>
            <w:r w:rsidRPr="00E748ED">
              <w:rPr>
                <w:rFonts w:ascii="Arial" w:hAnsi="Arial" w:cs="Arial"/>
                <w:b/>
                <w:bCs/>
                <w:color w:val="FFFFFF"/>
                <w:sz w:val="18"/>
                <w:szCs w:val="18"/>
              </w:rPr>
              <w:t>UKREP 4</w:t>
            </w:r>
          </w:p>
        </w:tc>
      </w:tr>
      <w:tr w:rsidR="00E748ED" w:rsidRPr="00E748ED" w14:paraId="1A2A2920"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2F2B2184"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Govekarjeva cesta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4B186A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671.438,32</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49880D1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19,18%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369E87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671.438,32</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11080C4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CCBBA9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671.438,32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EC2E31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58DC85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B4B57D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671.438,32</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0474DF3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12A334B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6555F8C1"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E785F87"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Troštova ulica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4AF5B30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159.251,45</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4EE11BF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4,55%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CFA63B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159.251,45</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1CD12C6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FA1C7C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159.251,45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C7A255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4F8353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111EE71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159.251,45</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994EC5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113CD22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4B255203"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2E34E9DE"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Križišče Govekarjeva-Troštova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3EFCB6C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154.956,84</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7FFBBA1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4,43%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71E019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154.956,84</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553072A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EAB0DF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154.956,84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343976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313CF4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7A041C4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154.956,84</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0ABEAEB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50403B0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2A0EF2D3"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71C80817"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Javni sistem izposoje koles</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1EB53B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54.892,00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5BF85D6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223961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54.892,00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A4235F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91C37D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A9806E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54DC22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54.892,00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431E442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7B28B0D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314A51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54.892,00</w:t>
            </w:r>
          </w:p>
        </w:tc>
      </w:tr>
      <w:tr w:rsidR="00E748ED" w:rsidRPr="00E748ED" w14:paraId="75BF4FC3" w14:textId="77777777" w:rsidTr="006D51C0">
        <w:trPr>
          <w:trHeight w:val="57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1A863F5A"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Parkirišča za kolesa - Govekarjeva cesta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B392A1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4B10E91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2CAA8F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13C0D98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865188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96AFE1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8A356C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D46067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273A13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08FD3AA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r>
      <w:tr w:rsidR="00E748ED" w:rsidRPr="00E748ED" w14:paraId="5978DD9E" w14:textId="77777777" w:rsidTr="006D51C0">
        <w:trPr>
          <w:trHeight w:val="57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4763CFCB"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Parkirišča za kolesa - staro župnišče</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5B27849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615CF7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DC5272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6F7BE6F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F58B63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95290F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F90A78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B78B92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5164848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183C398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r>
      <w:tr w:rsidR="00E748ED" w:rsidRPr="00E748ED" w14:paraId="1165C11F" w14:textId="77777777" w:rsidTr="006D51C0">
        <w:trPr>
          <w:trHeight w:val="57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CDAD8DC"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Parkirišča za kolesa - trg (kolesarnica)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42BE16F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60.946,04</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183A73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1,74%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2B1FC1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60.946,04</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1219AF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14197B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C6656F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D23026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60.946,04</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131EF53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25B21EB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D5217B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60.946,04</w:t>
            </w:r>
          </w:p>
        </w:tc>
      </w:tr>
      <w:tr w:rsidR="00E748ED" w:rsidRPr="00E748ED" w14:paraId="68D6222E" w14:textId="77777777" w:rsidTr="006D51C0">
        <w:trPr>
          <w:trHeight w:val="57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7AE87B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Parkirišča za kolesa - telovadnica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4D99864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5C1CD0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6E360F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1C0B618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BAA7A8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62B3CC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3C7468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1EE997A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026B25F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39BBE0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r>
      <w:tr w:rsidR="00E748ED" w:rsidRPr="00E748ED" w14:paraId="7FDD5E20"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79EA376B"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Parkirišča za kolesa - park</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95CF59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6E4757A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1FBB1A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6FDA84C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D24492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416C05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7DCE64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07A04A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74109D7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C756CD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6.250,00</w:t>
            </w:r>
          </w:p>
        </w:tc>
      </w:tr>
      <w:tr w:rsidR="00E748ED" w:rsidRPr="00E748ED" w14:paraId="1DF7337F"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6A70F2A6"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Merilniki, prikazovalniki in števci</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0A19C26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47.399,00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9443CD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1,35%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9DFDAC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47.399,00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BD7EA3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54214F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47.399,00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32BAD7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DAA5E4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0BEEF46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47.399,00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921DE0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534F22C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7C4472EF" w14:textId="77777777" w:rsidTr="006D51C0">
        <w:trPr>
          <w:trHeight w:val="6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2F7F4FE0"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Avtobusno postajališče - nivo ceste</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42281BD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303.506,81</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7BFF9C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8,67%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ADEA48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303.506,81</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A5BC43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D822EC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649F4E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303.506,81</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E45A6D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311DC31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5DD3474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303.506,81</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0D61CEB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2147B5E5" w14:textId="77777777" w:rsidTr="006D51C0">
        <w:trPr>
          <w:trHeight w:val="6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68FA31F5"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Avtobusno postajališče - nadstrešnica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615B7D0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249.783,11</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0DD7C35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7,13%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96DC5F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249.783,11</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7351252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B0BCD8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ED92F2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249.783,11</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CF1D27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7423F20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2208C55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249.783,11</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4588844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570793A2" w14:textId="77777777" w:rsidTr="006D51C0">
        <w:trPr>
          <w:trHeight w:val="3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719CFB5"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Parkirišče z vhodom v šolo</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1442317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666.582,43</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4A706C7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19,04%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5FEAB1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25F737C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666.582,43</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8228DC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666.582,43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0A5DAA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5C1AD2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21BA5E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19B7747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2DFCD1C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5E9D7850" w14:textId="77777777" w:rsidTr="006D51C0">
        <w:trPr>
          <w:trHeight w:val="285"/>
        </w:trPr>
        <w:tc>
          <w:tcPr>
            <w:tcW w:w="6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bottom"/>
            <w:hideMark/>
          </w:tcPr>
          <w:p w14:paraId="58B7825F" w14:textId="77777777" w:rsidR="00E748ED" w:rsidRPr="00E748ED" w:rsidRDefault="00E748ED">
            <w:pPr>
              <w:rPr>
                <w:rFonts w:ascii="Arial" w:hAnsi="Arial" w:cs="Arial"/>
                <w:i/>
                <w:iCs/>
                <w:color w:val="000000"/>
                <w:sz w:val="18"/>
                <w:szCs w:val="18"/>
              </w:rPr>
            </w:pPr>
            <w:r w:rsidRPr="00E748ED">
              <w:rPr>
                <w:rFonts w:ascii="Arial" w:hAnsi="Arial" w:cs="Arial"/>
                <w:i/>
                <w:iCs/>
                <w:color w:val="000000"/>
                <w:sz w:val="18"/>
                <w:szCs w:val="18"/>
              </w:rPr>
              <w:t>Skupaj GOI dela</w:t>
            </w:r>
          </w:p>
        </w:tc>
        <w:tc>
          <w:tcPr>
            <w:tcW w:w="45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3114C28"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2.393.756,00</w:t>
            </w:r>
          </w:p>
        </w:tc>
        <w:tc>
          <w:tcPr>
            <w:tcW w:w="29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9A3659D"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68,37%</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C7DEBAA"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1.727.173,57</w:t>
            </w:r>
          </w:p>
        </w:tc>
        <w:tc>
          <w:tcPr>
            <w:tcW w:w="546"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5C69200"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666.582,43</w:t>
            </w:r>
          </w:p>
        </w:tc>
        <w:tc>
          <w:tcPr>
            <w:tcW w:w="497"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5DDC0182"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1.699.628,04</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C32CDA3"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553.289,92</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407D842"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140.838,04</w:t>
            </w:r>
          </w:p>
        </w:tc>
        <w:tc>
          <w:tcPr>
            <w:tcW w:w="46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C0020FC"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1.033.045,61</w:t>
            </w:r>
          </w:p>
        </w:tc>
        <w:tc>
          <w:tcPr>
            <w:tcW w:w="37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BFE488E"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553.289,92</w:t>
            </w:r>
          </w:p>
        </w:tc>
        <w:tc>
          <w:tcPr>
            <w:tcW w:w="382"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5321D5E" w14:textId="77777777" w:rsidR="00E748ED" w:rsidRPr="00E748ED" w:rsidRDefault="00E748ED">
            <w:pPr>
              <w:jc w:val="right"/>
              <w:rPr>
                <w:rFonts w:ascii="Arial" w:hAnsi="Arial" w:cs="Arial"/>
                <w:i/>
                <w:iCs/>
                <w:color w:val="000000"/>
                <w:sz w:val="18"/>
                <w:szCs w:val="18"/>
              </w:rPr>
            </w:pPr>
            <w:r w:rsidRPr="00E748ED">
              <w:rPr>
                <w:rFonts w:ascii="Arial" w:hAnsi="Arial" w:cs="Arial"/>
                <w:i/>
                <w:iCs/>
                <w:color w:val="000000"/>
                <w:sz w:val="18"/>
                <w:szCs w:val="18"/>
              </w:rPr>
              <w:t>140.838,04</w:t>
            </w:r>
          </w:p>
        </w:tc>
      </w:tr>
      <w:tr w:rsidR="00E748ED" w:rsidRPr="00E748ED" w14:paraId="56C9ADDA"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A1D74BF"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Strokovni nadzor</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37149B8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71.812,68</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2C9E6EB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2,05%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50A4DE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71.812,68</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75C691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F37A78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50.988,84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52418D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16.598,70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4DA3F6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4.225,14</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63C04FC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50.988,84</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3C25A7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16.598,70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2147B4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4.225,14</w:t>
            </w:r>
          </w:p>
        </w:tc>
      </w:tr>
      <w:tr w:rsidR="00E748ED" w:rsidRPr="00E748ED" w14:paraId="404DA5F1"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121F6F5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Projektna dokumentacija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5AFF531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97.145,33</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02293B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2,77%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988789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97.145,33</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2388094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34D8FEB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68.975,67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3B0EAC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22.454,06</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52CB46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5.715,60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0F10DB6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68.975,67</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14BD18E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22.454,06</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570B7F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5.715,60</w:t>
            </w:r>
          </w:p>
        </w:tc>
      </w:tr>
      <w:tr w:rsidR="00E748ED" w:rsidRPr="00E748ED" w14:paraId="14B97DFB"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7DE3DF05"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Inženiring</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9EFC62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23.937,56</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6E92232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0,68%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75A9C1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23.937,56</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6A22851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49592E8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16.996,28</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D5BDDF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5.532,90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85E570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1.408,38</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663D270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16.996,28</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530EBA3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5.532,90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770BA4A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1.408,38</w:t>
            </w:r>
          </w:p>
        </w:tc>
      </w:tr>
      <w:tr w:rsidR="00E748ED" w:rsidRPr="00E748ED" w14:paraId="4CEF1E56" w14:textId="77777777" w:rsidTr="006D51C0">
        <w:trPr>
          <w:trHeight w:val="3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2B22C6D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Obveščanje javnosti</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7033434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4.098,36</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79A9E45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5A907A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4.098,36</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097D18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B4F3BC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2.909,94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9B44F0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947,29</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548994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241,13</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6D2E366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2.909,94</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20E9EAE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947,29</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48E67A5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241,13</w:t>
            </w:r>
          </w:p>
        </w:tc>
      </w:tr>
      <w:tr w:rsidR="00E748ED" w:rsidRPr="00E748ED" w14:paraId="7671BAF0" w14:textId="77777777" w:rsidTr="006D51C0">
        <w:trPr>
          <w:trHeight w:val="57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C6BA9D4"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lastRenderedPageBreak/>
              <w:t>Investicijska in ostala dokumentacija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195EE2A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14.265,88</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682A538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0,41%</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AD3054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14.265,88</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C7D9D0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9FEE10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10.129,14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20B933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3.297,40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11AD43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839,34</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D4BD66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10.129,14</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416E50B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3.297,40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401B680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839,34</w:t>
            </w:r>
          </w:p>
        </w:tc>
      </w:tr>
      <w:tr w:rsidR="00E748ED" w:rsidRPr="00E748ED" w14:paraId="77916F4F"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41D7B75"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Stroški varnosti pri delu</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7A15EB2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6.694,90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35EA309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0,19%</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4572EB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6.694,90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FA88AE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FE5D18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4.753,55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EA318E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1.547,45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2003ED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393,90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6E77E35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4.753,55</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0858AE7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1.547,45</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4D2AA1E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393,90</w:t>
            </w:r>
          </w:p>
        </w:tc>
      </w:tr>
      <w:tr w:rsidR="00E748ED" w:rsidRPr="00E748ED" w14:paraId="1E7D5CAC"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21680E7B"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Arheologija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3000440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15.011,81</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153D7A2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0,43%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28344C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15.011,81</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30F2DC7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FFF939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10.658,77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ACF19E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3.469,81</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622409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883,23</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B1489C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10.658,77</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3DF604C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3.469,81</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2222720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883,23</w:t>
            </w:r>
          </w:p>
        </w:tc>
      </w:tr>
      <w:tr w:rsidR="00E748ED" w:rsidRPr="00E748ED" w14:paraId="38B0C22B"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4A58FC10"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Čiščenje in pregled kanalizacije</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52CAD9E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3.280,00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4B15BEC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0,09%</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C44553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3.280,00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486346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B949B2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3.280,00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F10CAD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24238E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018DC29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3.280,00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366E2DE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BE4197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791F0184"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7015B55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Nakup nepremičnine</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0BDB0D5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280.000,00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6D9BC61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C0BCB2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3B7E87B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280.000,00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002A4A4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280.000,00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1717AB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97D72E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4CAF026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70FB2EF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F465B0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3265C43E" w14:textId="77777777" w:rsidTr="006D51C0">
        <w:trPr>
          <w:trHeight w:val="6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358A2D66"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Druga dela ob rušenju objekta (neobdavčeno)</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10FC730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776,00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3FD6A12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7F0159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078972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776,00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D4B521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776,00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D99FD0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178D9F6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F284D5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382BDB2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0583F54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6A14171D" w14:textId="77777777" w:rsidTr="006D51C0">
        <w:trPr>
          <w:trHeight w:val="6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5264662"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Druga dela ob rušenju objekta (9,5% DDV)</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2866D87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545,96</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0C8C512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E116CC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7D85F51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545,96</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71755A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545,96</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53CF43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E714C4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1B8719A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28F0E74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CE64C9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2833B07E" w14:textId="77777777" w:rsidTr="006D51C0">
        <w:trPr>
          <w:trHeight w:val="300"/>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1FC79578"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Druga dela ob rušenju objekta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46BDDF9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5.483,07</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7D37197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0,16%</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5D7D46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3FB35E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5.483,07</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575090C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5.483,07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8CEE74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48C59F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7649FF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4A599FE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B57F3D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1925C81C"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62069CA0"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Vpis v kataster</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32B3919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892,65</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2DE47A0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129951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234A531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892,65</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561DC1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633,80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6443BB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206,33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2B29BB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52,52</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90D827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7653032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9AC7C3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3EAAA3E7"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97A9F41"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Notar, zemljiška knjiga</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503C6C9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391E868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631B4F7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29C570F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68A6AB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72C21C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317C2F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519EDC5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5676C27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250EAA5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17892B7B"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335EA0E5"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Geodetski načrt</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504F521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2.032,66</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0E0C776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0,06%</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F4E3FE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7F565D1"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2.032,66</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2C4FDCE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1.443,24</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EDADC9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469,83</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7D4E6A8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119,59</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445A4BD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571C159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B758C0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44B1D8EF"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0455BFD1"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Baza cestnih podatkov</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68AC55E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819,67</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3668090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02F65C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819,67</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455F5B8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76472FA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819,67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23FBB279"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09FA843B"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6AAF8EB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819,67</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C03070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4B317DBF"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r>
      <w:tr w:rsidR="00E748ED" w:rsidRPr="00E748ED" w14:paraId="27006873" w14:textId="77777777" w:rsidTr="006D51C0">
        <w:trPr>
          <w:trHeight w:val="300"/>
        </w:trPr>
        <w:tc>
          <w:tcPr>
            <w:tcW w:w="6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bottom"/>
            <w:hideMark/>
          </w:tcPr>
          <w:p w14:paraId="75DC2CC7" w14:textId="77777777" w:rsidR="00E748ED" w:rsidRPr="00E748ED" w:rsidRDefault="00E748ED">
            <w:pPr>
              <w:rPr>
                <w:rFonts w:ascii="Arial" w:hAnsi="Arial" w:cs="Arial"/>
                <w:b/>
                <w:bCs/>
                <w:color w:val="000000"/>
                <w:sz w:val="18"/>
                <w:szCs w:val="18"/>
              </w:rPr>
            </w:pPr>
            <w:r w:rsidRPr="00E748ED">
              <w:rPr>
                <w:rFonts w:ascii="Arial" w:hAnsi="Arial" w:cs="Arial"/>
                <w:b/>
                <w:bCs/>
                <w:color w:val="000000"/>
                <w:sz w:val="18"/>
                <w:szCs w:val="18"/>
              </w:rPr>
              <w:t>Skupaj brez DDV</w:t>
            </w:r>
          </w:p>
        </w:tc>
        <w:tc>
          <w:tcPr>
            <w:tcW w:w="45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AAEB3F9"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2.920.552,53</w:t>
            </w:r>
          </w:p>
        </w:tc>
        <w:tc>
          <w:tcPr>
            <w:tcW w:w="29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B3B1DAA"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83,41%</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5EDE42A"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1.964.239,76</w:t>
            </w:r>
          </w:p>
        </w:tc>
        <w:tc>
          <w:tcPr>
            <w:tcW w:w="546"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256FE30"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956.312,77</w:t>
            </w:r>
          </w:p>
        </w:tc>
        <w:tc>
          <w:tcPr>
            <w:tcW w:w="497"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0E627CF7"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2.158.021,97</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360B737"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607.813,68</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061AE9E"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154.716,87</w:t>
            </w:r>
          </w:p>
        </w:tc>
        <w:tc>
          <w:tcPr>
            <w:tcW w:w="46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E74C422"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1.202.557,47</w:t>
            </w:r>
          </w:p>
        </w:tc>
        <w:tc>
          <w:tcPr>
            <w:tcW w:w="37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09512F0"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607.137,52</w:t>
            </w:r>
          </w:p>
        </w:tc>
        <w:tc>
          <w:tcPr>
            <w:tcW w:w="382"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720438B5"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154.544,76</w:t>
            </w:r>
          </w:p>
        </w:tc>
      </w:tr>
      <w:tr w:rsidR="00E748ED" w:rsidRPr="00E748ED" w14:paraId="58B9463D" w14:textId="77777777" w:rsidTr="006D51C0">
        <w:trPr>
          <w:trHeight w:val="285"/>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5B3C9FC"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Davek na dodano vrednost</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6D58A9F4"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580.682,59</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7D7CD49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16,59%</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8F3EAA3"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406.858,10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007D43F7"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173.824,49</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60A4F88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412.925,87</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3E01E4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133.719,01</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37F7568D"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34.037,71</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6C02C4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239.287,99</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356E629A"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133.570,26</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66C96F2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33.999,85</w:t>
            </w:r>
          </w:p>
        </w:tc>
      </w:tr>
      <w:tr w:rsidR="00E748ED" w:rsidRPr="00E748ED" w14:paraId="1261A0E1" w14:textId="77777777" w:rsidTr="006D51C0">
        <w:trPr>
          <w:trHeight w:val="309"/>
        </w:trPr>
        <w:tc>
          <w:tcPr>
            <w:tcW w:w="644" w:type="pct"/>
            <w:tcBorders>
              <w:top w:val="nil"/>
              <w:left w:val="single" w:sz="4" w:space="0" w:color="auto"/>
              <w:bottom w:val="single" w:sz="4" w:space="0" w:color="auto"/>
              <w:right w:val="single" w:sz="4" w:space="0" w:color="auto"/>
            </w:tcBorders>
            <w:tcMar>
              <w:left w:w="28" w:type="dxa"/>
              <w:right w:w="28" w:type="dxa"/>
            </w:tcMar>
            <w:vAlign w:val="bottom"/>
            <w:hideMark/>
          </w:tcPr>
          <w:p w14:paraId="56C878A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Povračljiv davek na dodano vrednost</w:t>
            </w:r>
          </w:p>
        </w:tc>
        <w:tc>
          <w:tcPr>
            <w:tcW w:w="450" w:type="pct"/>
            <w:tcBorders>
              <w:top w:val="nil"/>
              <w:left w:val="nil"/>
              <w:bottom w:val="single" w:sz="4" w:space="0" w:color="auto"/>
              <w:right w:val="single" w:sz="4" w:space="0" w:color="auto"/>
            </w:tcBorders>
            <w:noWrap/>
            <w:tcMar>
              <w:left w:w="28" w:type="dxa"/>
              <w:right w:w="28" w:type="dxa"/>
            </w:tcMar>
            <w:vAlign w:val="bottom"/>
            <w:hideMark/>
          </w:tcPr>
          <w:p w14:paraId="63C9D7D0"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25.274,65</w:t>
            </w:r>
          </w:p>
        </w:tc>
        <w:tc>
          <w:tcPr>
            <w:tcW w:w="297" w:type="pct"/>
            <w:tcBorders>
              <w:top w:val="nil"/>
              <w:left w:val="nil"/>
              <w:bottom w:val="single" w:sz="4" w:space="0" w:color="auto"/>
              <w:right w:val="single" w:sz="4" w:space="0" w:color="auto"/>
            </w:tcBorders>
            <w:noWrap/>
            <w:tcMar>
              <w:left w:w="28" w:type="dxa"/>
              <w:right w:w="28" w:type="dxa"/>
            </w:tcMar>
            <w:vAlign w:val="bottom"/>
            <w:hideMark/>
          </w:tcPr>
          <w:p w14:paraId="51694065"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0,72%</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4DD849D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546" w:type="pct"/>
            <w:tcBorders>
              <w:top w:val="nil"/>
              <w:left w:val="nil"/>
              <w:bottom w:val="single" w:sz="4" w:space="0" w:color="auto"/>
              <w:right w:val="single" w:sz="4" w:space="0" w:color="auto"/>
            </w:tcBorders>
            <w:noWrap/>
            <w:tcMar>
              <w:left w:w="28" w:type="dxa"/>
              <w:right w:w="28" w:type="dxa"/>
            </w:tcMar>
            <w:vAlign w:val="bottom"/>
            <w:hideMark/>
          </w:tcPr>
          <w:p w14:paraId="7D96A80E"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25.274,65</w:t>
            </w:r>
          </w:p>
        </w:tc>
        <w:tc>
          <w:tcPr>
            <w:tcW w:w="497" w:type="pct"/>
            <w:tcBorders>
              <w:top w:val="nil"/>
              <w:left w:val="single" w:sz="4" w:space="0" w:color="auto"/>
              <w:bottom w:val="single" w:sz="4" w:space="0" w:color="auto"/>
              <w:right w:val="single" w:sz="4" w:space="0" w:color="auto"/>
            </w:tcBorders>
            <w:noWrap/>
            <w:tcMar>
              <w:left w:w="28" w:type="dxa"/>
              <w:right w:w="28" w:type="dxa"/>
            </w:tcMar>
            <w:vAlign w:val="bottom"/>
            <w:hideMark/>
          </w:tcPr>
          <w:p w14:paraId="17BA1C32"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25.274,65</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9D86E6C"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47" w:type="pct"/>
            <w:tcBorders>
              <w:top w:val="nil"/>
              <w:left w:val="nil"/>
              <w:bottom w:val="single" w:sz="4" w:space="0" w:color="auto"/>
              <w:right w:val="single" w:sz="4" w:space="0" w:color="auto"/>
            </w:tcBorders>
            <w:noWrap/>
            <w:tcMar>
              <w:left w:w="28" w:type="dxa"/>
              <w:right w:w="28" w:type="dxa"/>
            </w:tcMar>
            <w:vAlign w:val="bottom"/>
            <w:hideMark/>
          </w:tcPr>
          <w:p w14:paraId="5F111148"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467" w:type="pct"/>
            <w:tcBorders>
              <w:top w:val="nil"/>
              <w:left w:val="nil"/>
              <w:bottom w:val="single" w:sz="4" w:space="0" w:color="auto"/>
              <w:right w:val="single" w:sz="4" w:space="0" w:color="auto"/>
            </w:tcBorders>
            <w:noWrap/>
            <w:tcMar>
              <w:left w:w="28" w:type="dxa"/>
              <w:right w:w="28" w:type="dxa"/>
            </w:tcMar>
            <w:vAlign w:val="bottom"/>
            <w:hideMark/>
          </w:tcPr>
          <w:p w14:paraId="2CD0CE26" w14:textId="77777777" w:rsidR="00E748ED" w:rsidRPr="00E748ED" w:rsidRDefault="00E748ED">
            <w:pPr>
              <w:jc w:val="right"/>
              <w:rPr>
                <w:rFonts w:ascii="Arial" w:hAnsi="Arial" w:cs="Arial"/>
                <w:color w:val="000000"/>
                <w:sz w:val="18"/>
                <w:szCs w:val="18"/>
              </w:rPr>
            </w:pPr>
            <w:r w:rsidRPr="00E748ED">
              <w:rPr>
                <w:rFonts w:ascii="Arial" w:hAnsi="Arial" w:cs="Arial"/>
                <w:color w:val="000000"/>
                <w:sz w:val="18"/>
                <w:szCs w:val="18"/>
              </w:rPr>
              <w:t>0,00</w:t>
            </w:r>
          </w:p>
        </w:tc>
        <w:tc>
          <w:tcPr>
            <w:tcW w:w="377" w:type="pct"/>
            <w:tcBorders>
              <w:top w:val="nil"/>
              <w:left w:val="nil"/>
              <w:bottom w:val="single" w:sz="4" w:space="0" w:color="auto"/>
              <w:right w:val="single" w:sz="4" w:space="0" w:color="auto"/>
            </w:tcBorders>
            <w:noWrap/>
            <w:tcMar>
              <w:left w:w="28" w:type="dxa"/>
              <w:right w:w="28" w:type="dxa"/>
            </w:tcMar>
            <w:vAlign w:val="bottom"/>
            <w:hideMark/>
          </w:tcPr>
          <w:p w14:paraId="61815D39"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 </w:t>
            </w:r>
          </w:p>
        </w:tc>
        <w:tc>
          <w:tcPr>
            <w:tcW w:w="382" w:type="pct"/>
            <w:tcBorders>
              <w:top w:val="nil"/>
              <w:left w:val="nil"/>
              <w:bottom w:val="single" w:sz="4" w:space="0" w:color="auto"/>
              <w:right w:val="single" w:sz="4" w:space="0" w:color="auto"/>
            </w:tcBorders>
            <w:noWrap/>
            <w:tcMar>
              <w:left w:w="28" w:type="dxa"/>
              <w:right w:w="28" w:type="dxa"/>
            </w:tcMar>
            <w:vAlign w:val="bottom"/>
            <w:hideMark/>
          </w:tcPr>
          <w:p w14:paraId="3AE2303E" w14:textId="77777777" w:rsidR="00E748ED" w:rsidRPr="00E748ED" w:rsidRDefault="00E748ED">
            <w:pPr>
              <w:rPr>
                <w:rFonts w:ascii="Arial" w:hAnsi="Arial" w:cs="Arial"/>
                <w:color w:val="000000"/>
                <w:sz w:val="18"/>
                <w:szCs w:val="18"/>
              </w:rPr>
            </w:pPr>
            <w:r w:rsidRPr="00E748ED">
              <w:rPr>
                <w:rFonts w:ascii="Arial" w:hAnsi="Arial" w:cs="Arial"/>
                <w:color w:val="000000"/>
                <w:sz w:val="18"/>
                <w:szCs w:val="18"/>
              </w:rPr>
              <w:t> </w:t>
            </w:r>
          </w:p>
        </w:tc>
      </w:tr>
      <w:tr w:rsidR="00E748ED" w:rsidRPr="00E748ED" w14:paraId="10B0C8F9" w14:textId="77777777" w:rsidTr="006D51C0">
        <w:trPr>
          <w:trHeight w:val="600"/>
        </w:trPr>
        <w:tc>
          <w:tcPr>
            <w:tcW w:w="6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bottom"/>
            <w:hideMark/>
          </w:tcPr>
          <w:p w14:paraId="46658FDC" w14:textId="77777777" w:rsidR="00E748ED" w:rsidRPr="00E748ED" w:rsidRDefault="00E748ED">
            <w:pPr>
              <w:rPr>
                <w:rFonts w:ascii="Arial" w:hAnsi="Arial" w:cs="Arial"/>
                <w:b/>
                <w:bCs/>
                <w:color w:val="000000"/>
                <w:sz w:val="18"/>
                <w:szCs w:val="18"/>
              </w:rPr>
            </w:pPr>
            <w:r w:rsidRPr="00E748ED">
              <w:rPr>
                <w:rFonts w:ascii="Arial" w:hAnsi="Arial" w:cs="Arial"/>
                <w:b/>
                <w:bCs/>
                <w:color w:val="000000"/>
                <w:sz w:val="18"/>
                <w:szCs w:val="18"/>
              </w:rPr>
              <w:t>Skupaj z davkom na dodano vrednost</w:t>
            </w:r>
          </w:p>
        </w:tc>
        <w:tc>
          <w:tcPr>
            <w:tcW w:w="45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14CC6A2"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3.501.235,12</w:t>
            </w:r>
          </w:p>
        </w:tc>
        <w:tc>
          <w:tcPr>
            <w:tcW w:w="29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96D1B47"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100,00%</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9BC583F"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2.371.097,85</w:t>
            </w:r>
          </w:p>
        </w:tc>
        <w:tc>
          <w:tcPr>
            <w:tcW w:w="546"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3992407B"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1.130.137,26</w:t>
            </w:r>
          </w:p>
        </w:tc>
        <w:tc>
          <w:tcPr>
            <w:tcW w:w="497"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3AC06F1F"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2.570.947,84</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373DA32"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741.532,69</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E867327"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188.754,58</w:t>
            </w:r>
          </w:p>
        </w:tc>
        <w:tc>
          <w:tcPr>
            <w:tcW w:w="46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56FC617A"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1.441.845,46</w:t>
            </w:r>
          </w:p>
        </w:tc>
        <w:tc>
          <w:tcPr>
            <w:tcW w:w="37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B347C02"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740.707,78</w:t>
            </w:r>
          </w:p>
        </w:tc>
        <w:tc>
          <w:tcPr>
            <w:tcW w:w="382"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78627C7"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188.544,61</w:t>
            </w:r>
          </w:p>
        </w:tc>
      </w:tr>
      <w:tr w:rsidR="00E748ED" w:rsidRPr="00E748ED" w14:paraId="2FAF2581" w14:textId="77777777" w:rsidTr="006D51C0">
        <w:trPr>
          <w:trHeight w:val="600"/>
        </w:trPr>
        <w:tc>
          <w:tcPr>
            <w:tcW w:w="644" w:type="pct"/>
            <w:tcBorders>
              <w:top w:val="nil"/>
              <w:left w:val="single" w:sz="4" w:space="0" w:color="auto"/>
              <w:bottom w:val="single" w:sz="4" w:space="0" w:color="auto"/>
              <w:right w:val="single" w:sz="4" w:space="0" w:color="auto"/>
            </w:tcBorders>
            <w:shd w:val="clear" w:color="000000" w:fill="D9D9D9"/>
            <w:tcMar>
              <w:left w:w="28" w:type="dxa"/>
              <w:right w:w="28" w:type="dxa"/>
            </w:tcMar>
            <w:vAlign w:val="bottom"/>
            <w:hideMark/>
          </w:tcPr>
          <w:p w14:paraId="691ABD77" w14:textId="77777777" w:rsidR="00E748ED" w:rsidRPr="00E748ED" w:rsidRDefault="00E748ED">
            <w:pPr>
              <w:rPr>
                <w:rFonts w:ascii="Arial" w:hAnsi="Arial" w:cs="Arial"/>
                <w:b/>
                <w:bCs/>
                <w:color w:val="000000"/>
                <w:sz w:val="18"/>
                <w:szCs w:val="18"/>
              </w:rPr>
            </w:pPr>
            <w:r w:rsidRPr="00E748ED">
              <w:rPr>
                <w:rFonts w:ascii="Arial" w:hAnsi="Arial" w:cs="Arial"/>
                <w:b/>
                <w:bCs/>
                <w:color w:val="000000"/>
                <w:sz w:val="18"/>
                <w:szCs w:val="18"/>
              </w:rPr>
              <w:t xml:space="preserve">Skupaj z </w:t>
            </w:r>
            <w:proofErr w:type="spellStart"/>
            <w:r w:rsidRPr="00E748ED">
              <w:rPr>
                <w:rFonts w:ascii="Arial" w:hAnsi="Arial" w:cs="Arial"/>
                <w:b/>
                <w:bCs/>
                <w:color w:val="000000"/>
                <w:sz w:val="18"/>
                <w:szCs w:val="18"/>
              </w:rPr>
              <w:t>nepovračljivim</w:t>
            </w:r>
            <w:proofErr w:type="spellEnd"/>
            <w:r w:rsidRPr="00E748ED">
              <w:rPr>
                <w:rFonts w:ascii="Arial" w:hAnsi="Arial" w:cs="Arial"/>
                <w:b/>
                <w:bCs/>
                <w:color w:val="000000"/>
                <w:sz w:val="18"/>
                <w:szCs w:val="18"/>
              </w:rPr>
              <w:t xml:space="preserve"> davkom na dodano vrednost</w:t>
            </w:r>
          </w:p>
        </w:tc>
        <w:tc>
          <w:tcPr>
            <w:tcW w:w="450"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1E3633C"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3.475.960,46</w:t>
            </w:r>
          </w:p>
        </w:tc>
        <w:tc>
          <w:tcPr>
            <w:tcW w:w="29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4B62C8F1"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99,28%</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27C39EB8"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2.371.097,85</w:t>
            </w:r>
          </w:p>
        </w:tc>
        <w:tc>
          <w:tcPr>
            <w:tcW w:w="546"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6ACB22B"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1.104.862,61</w:t>
            </w:r>
          </w:p>
        </w:tc>
        <w:tc>
          <w:tcPr>
            <w:tcW w:w="497" w:type="pct"/>
            <w:tcBorders>
              <w:top w:val="nil"/>
              <w:left w:val="single" w:sz="4" w:space="0" w:color="auto"/>
              <w:bottom w:val="single" w:sz="4" w:space="0" w:color="auto"/>
              <w:right w:val="single" w:sz="4" w:space="0" w:color="auto"/>
            </w:tcBorders>
            <w:shd w:val="clear" w:color="000000" w:fill="D9D9D9"/>
            <w:noWrap/>
            <w:tcMar>
              <w:left w:w="28" w:type="dxa"/>
              <w:right w:w="28" w:type="dxa"/>
            </w:tcMar>
            <w:vAlign w:val="bottom"/>
            <w:hideMark/>
          </w:tcPr>
          <w:p w14:paraId="7A3BCD5F"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2.545.673,19</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6342A6BA"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741.532,69</w:t>
            </w:r>
          </w:p>
        </w:tc>
        <w:tc>
          <w:tcPr>
            <w:tcW w:w="44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F031919"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188.754,58</w:t>
            </w:r>
          </w:p>
        </w:tc>
        <w:tc>
          <w:tcPr>
            <w:tcW w:w="46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04E67A4D"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1.441.845,46</w:t>
            </w:r>
          </w:p>
        </w:tc>
        <w:tc>
          <w:tcPr>
            <w:tcW w:w="377"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8EE8184"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740.707,78</w:t>
            </w:r>
          </w:p>
        </w:tc>
        <w:tc>
          <w:tcPr>
            <w:tcW w:w="382" w:type="pct"/>
            <w:tcBorders>
              <w:top w:val="nil"/>
              <w:left w:val="nil"/>
              <w:bottom w:val="single" w:sz="4" w:space="0" w:color="auto"/>
              <w:right w:val="single" w:sz="4" w:space="0" w:color="auto"/>
            </w:tcBorders>
            <w:shd w:val="clear" w:color="000000" w:fill="D9D9D9"/>
            <w:noWrap/>
            <w:tcMar>
              <w:left w:w="28" w:type="dxa"/>
              <w:right w:w="28" w:type="dxa"/>
            </w:tcMar>
            <w:vAlign w:val="bottom"/>
            <w:hideMark/>
          </w:tcPr>
          <w:p w14:paraId="10EB5882" w14:textId="77777777" w:rsidR="00E748ED" w:rsidRPr="00E748ED" w:rsidRDefault="00E748ED">
            <w:pPr>
              <w:jc w:val="right"/>
              <w:rPr>
                <w:rFonts w:ascii="Arial" w:hAnsi="Arial" w:cs="Arial"/>
                <w:b/>
                <w:bCs/>
                <w:color w:val="000000"/>
                <w:sz w:val="18"/>
                <w:szCs w:val="18"/>
              </w:rPr>
            </w:pPr>
            <w:r w:rsidRPr="00E748ED">
              <w:rPr>
                <w:rFonts w:ascii="Arial" w:hAnsi="Arial" w:cs="Arial"/>
                <w:b/>
                <w:bCs/>
                <w:color w:val="000000"/>
                <w:sz w:val="18"/>
                <w:szCs w:val="18"/>
              </w:rPr>
              <w:t>188.544,61</w:t>
            </w:r>
          </w:p>
        </w:tc>
      </w:tr>
    </w:tbl>
    <w:p w14:paraId="362EC86C" w14:textId="77777777" w:rsidR="00E748ED" w:rsidRDefault="00E748ED" w:rsidP="00E748ED"/>
    <w:p w14:paraId="0FFEBB75" w14:textId="77777777" w:rsidR="00E748ED" w:rsidRDefault="00E748ED" w:rsidP="00E748ED"/>
    <w:p w14:paraId="693A7E15" w14:textId="77777777" w:rsidR="006D51C0" w:rsidRDefault="006D51C0" w:rsidP="00E748ED"/>
    <w:p w14:paraId="2F86F8D2" w14:textId="3FDEB6DF" w:rsidR="006945A7" w:rsidRDefault="006945A7" w:rsidP="00A12A00">
      <w:pPr>
        <w:pStyle w:val="Napis"/>
        <w:spacing w:line="276" w:lineRule="auto"/>
        <w:rPr>
          <w:rFonts w:asciiTheme="majorHAnsi" w:hAnsiTheme="majorHAnsi" w:cstheme="majorHAnsi"/>
          <w:b w:val="0"/>
          <w:bCs w:val="0"/>
          <w:color w:val="auto"/>
          <w:sz w:val="22"/>
          <w:szCs w:val="22"/>
        </w:rPr>
      </w:pPr>
      <w:bookmarkStart w:id="237" w:name="_Toc209029183"/>
      <w:bookmarkStart w:id="238" w:name="_Toc209528297"/>
      <w:r w:rsidRPr="00C13301">
        <w:rPr>
          <w:rFonts w:asciiTheme="majorHAnsi" w:hAnsiTheme="majorHAnsi" w:cstheme="majorHAnsi"/>
          <w:color w:val="auto"/>
          <w:sz w:val="22"/>
          <w:szCs w:val="22"/>
        </w:rPr>
        <w:lastRenderedPageBreak/>
        <w:t xml:space="preserve">Tabela </w:t>
      </w:r>
      <w:r w:rsidRPr="00C13301">
        <w:rPr>
          <w:rFonts w:asciiTheme="majorHAnsi" w:hAnsiTheme="majorHAnsi" w:cstheme="majorHAnsi"/>
          <w:color w:val="auto"/>
          <w:sz w:val="22"/>
          <w:szCs w:val="22"/>
        </w:rPr>
        <w:fldChar w:fldCharType="begin"/>
      </w:r>
      <w:r w:rsidRPr="00C13301">
        <w:rPr>
          <w:rFonts w:asciiTheme="majorHAnsi" w:hAnsiTheme="majorHAnsi" w:cstheme="majorHAnsi"/>
          <w:color w:val="auto"/>
          <w:sz w:val="22"/>
          <w:szCs w:val="22"/>
        </w:rPr>
        <w:instrText xml:space="preserve"> SEQ Tabela \* ARABIC </w:instrText>
      </w:r>
      <w:r w:rsidRPr="00C13301">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11</w:t>
      </w:r>
      <w:r w:rsidRPr="00C13301">
        <w:rPr>
          <w:rFonts w:asciiTheme="majorHAnsi" w:hAnsiTheme="majorHAnsi" w:cstheme="majorHAnsi"/>
          <w:color w:val="auto"/>
          <w:sz w:val="22"/>
          <w:szCs w:val="22"/>
        </w:rPr>
        <w:fldChar w:fldCharType="end"/>
      </w:r>
      <w:r w:rsidRPr="00C13301">
        <w:rPr>
          <w:rFonts w:asciiTheme="majorHAnsi" w:hAnsiTheme="majorHAnsi" w:cstheme="majorHAnsi"/>
          <w:color w:val="auto"/>
          <w:sz w:val="22"/>
          <w:szCs w:val="22"/>
        </w:rPr>
        <w:t xml:space="preserve">: </w:t>
      </w:r>
      <w:r w:rsidRPr="00C13301">
        <w:rPr>
          <w:rFonts w:asciiTheme="majorHAnsi" w:hAnsiTheme="majorHAnsi" w:cstheme="majorHAnsi"/>
          <w:b w:val="0"/>
          <w:bCs w:val="0"/>
          <w:color w:val="auto"/>
          <w:sz w:val="22"/>
          <w:szCs w:val="22"/>
        </w:rPr>
        <w:t>Ocena vrednosti investicije glede na upravičenost v tekočih cenah</w:t>
      </w:r>
      <w:r>
        <w:rPr>
          <w:rFonts w:asciiTheme="majorHAnsi" w:hAnsiTheme="majorHAnsi" w:cstheme="majorHAnsi"/>
          <w:b w:val="0"/>
          <w:bCs w:val="0"/>
          <w:color w:val="auto"/>
          <w:sz w:val="22"/>
          <w:szCs w:val="22"/>
        </w:rPr>
        <w:t>, v EUR</w:t>
      </w:r>
      <w:bookmarkEnd w:id="237"/>
      <w:bookmarkEnd w:id="238"/>
    </w:p>
    <w:tbl>
      <w:tblPr>
        <w:tblW w:w="5000" w:type="pct"/>
        <w:tblCellMar>
          <w:left w:w="70" w:type="dxa"/>
          <w:right w:w="70" w:type="dxa"/>
        </w:tblCellMar>
        <w:tblLook w:val="04A0" w:firstRow="1" w:lastRow="0" w:firstColumn="1" w:lastColumn="0" w:noHBand="0" w:noVBand="1"/>
      </w:tblPr>
      <w:tblGrid>
        <w:gridCol w:w="2176"/>
        <w:gridCol w:w="1191"/>
        <w:gridCol w:w="891"/>
        <w:gridCol w:w="1251"/>
        <w:gridCol w:w="1501"/>
        <w:gridCol w:w="1331"/>
        <w:gridCol w:w="1331"/>
        <w:gridCol w:w="1332"/>
        <w:gridCol w:w="1191"/>
        <w:gridCol w:w="1041"/>
        <w:gridCol w:w="1041"/>
      </w:tblGrid>
      <w:tr w:rsidR="006D51C0" w:rsidRPr="006D51C0" w14:paraId="112E0EA6" w14:textId="77777777" w:rsidTr="006D51C0">
        <w:trPr>
          <w:trHeight w:val="300"/>
          <w:tblHeader/>
        </w:trPr>
        <w:tc>
          <w:tcPr>
            <w:tcW w:w="797"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45D3B4DC"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384" w:type="pct"/>
            <w:tcBorders>
              <w:top w:val="single" w:sz="4" w:space="0" w:color="auto"/>
              <w:left w:val="nil"/>
              <w:bottom w:val="single" w:sz="4" w:space="0" w:color="auto"/>
              <w:right w:val="single" w:sz="4" w:space="0" w:color="auto"/>
            </w:tcBorders>
            <w:shd w:val="clear" w:color="000000" w:fill="153D64"/>
            <w:noWrap/>
            <w:vAlign w:val="bottom"/>
            <w:hideMark/>
          </w:tcPr>
          <w:p w14:paraId="65CE468B"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347" w:type="pct"/>
            <w:tcBorders>
              <w:top w:val="single" w:sz="4" w:space="0" w:color="auto"/>
              <w:left w:val="nil"/>
              <w:bottom w:val="single" w:sz="4" w:space="0" w:color="auto"/>
              <w:right w:val="single" w:sz="4" w:space="0" w:color="auto"/>
            </w:tcBorders>
            <w:shd w:val="clear" w:color="000000" w:fill="153D64"/>
            <w:noWrap/>
            <w:vAlign w:val="bottom"/>
            <w:hideMark/>
          </w:tcPr>
          <w:p w14:paraId="35752E8B"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426" w:type="pct"/>
            <w:tcBorders>
              <w:top w:val="single" w:sz="4" w:space="0" w:color="auto"/>
              <w:left w:val="nil"/>
              <w:bottom w:val="single" w:sz="4" w:space="0" w:color="auto"/>
              <w:right w:val="single" w:sz="4" w:space="0" w:color="auto"/>
            </w:tcBorders>
            <w:shd w:val="clear" w:color="000000" w:fill="153D64"/>
            <w:noWrap/>
            <w:vAlign w:val="bottom"/>
            <w:hideMark/>
          </w:tcPr>
          <w:p w14:paraId="6B87617C"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459" w:type="pct"/>
            <w:tcBorders>
              <w:top w:val="single" w:sz="4" w:space="0" w:color="auto"/>
              <w:left w:val="nil"/>
              <w:bottom w:val="single" w:sz="4" w:space="0" w:color="auto"/>
              <w:right w:val="single" w:sz="4" w:space="0" w:color="auto"/>
            </w:tcBorders>
            <w:shd w:val="clear" w:color="000000" w:fill="153D64"/>
            <w:noWrap/>
            <w:vAlign w:val="bottom"/>
            <w:hideMark/>
          </w:tcPr>
          <w:p w14:paraId="43B3CDD4"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501" w:type="pct"/>
            <w:tcBorders>
              <w:top w:val="single" w:sz="4" w:space="0" w:color="auto"/>
              <w:left w:val="nil"/>
              <w:bottom w:val="single" w:sz="4" w:space="0" w:color="auto"/>
              <w:right w:val="single" w:sz="4" w:space="0" w:color="auto"/>
            </w:tcBorders>
            <w:shd w:val="clear" w:color="000000" w:fill="153D64"/>
            <w:noWrap/>
            <w:vAlign w:val="bottom"/>
            <w:hideMark/>
          </w:tcPr>
          <w:p w14:paraId="63EC1A8D"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SKUPAJ</w:t>
            </w:r>
          </w:p>
        </w:tc>
        <w:tc>
          <w:tcPr>
            <w:tcW w:w="501" w:type="pct"/>
            <w:tcBorders>
              <w:top w:val="single" w:sz="4" w:space="0" w:color="auto"/>
              <w:left w:val="nil"/>
              <w:bottom w:val="single" w:sz="4" w:space="0" w:color="auto"/>
              <w:right w:val="single" w:sz="4" w:space="0" w:color="auto"/>
            </w:tcBorders>
            <w:shd w:val="clear" w:color="000000" w:fill="153D64"/>
            <w:noWrap/>
            <w:vAlign w:val="bottom"/>
            <w:hideMark/>
          </w:tcPr>
          <w:p w14:paraId="73C37992"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501" w:type="pct"/>
            <w:tcBorders>
              <w:top w:val="single" w:sz="4" w:space="0" w:color="auto"/>
              <w:left w:val="nil"/>
              <w:bottom w:val="single" w:sz="4" w:space="0" w:color="auto"/>
              <w:right w:val="single" w:sz="4" w:space="0" w:color="auto"/>
            </w:tcBorders>
            <w:shd w:val="clear" w:color="000000" w:fill="153D64"/>
            <w:noWrap/>
            <w:vAlign w:val="bottom"/>
            <w:hideMark/>
          </w:tcPr>
          <w:p w14:paraId="2D1BDAE3"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 </w:t>
            </w:r>
          </w:p>
        </w:tc>
        <w:tc>
          <w:tcPr>
            <w:tcW w:w="1082" w:type="pct"/>
            <w:gridSpan w:val="3"/>
            <w:tcBorders>
              <w:top w:val="single" w:sz="4" w:space="0" w:color="auto"/>
              <w:left w:val="nil"/>
              <w:bottom w:val="single" w:sz="4" w:space="0" w:color="auto"/>
              <w:right w:val="single" w:sz="4" w:space="0" w:color="000000"/>
            </w:tcBorders>
            <w:shd w:val="clear" w:color="000000" w:fill="153D64"/>
            <w:noWrap/>
            <w:vAlign w:val="bottom"/>
            <w:hideMark/>
          </w:tcPr>
          <w:p w14:paraId="20A91241" w14:textId="77777777" w:rsidR="006D51C0" w:rsidRPr="006D51C0" w:rsidRDefault="006D51C0">
            <w:pPr>
              <w:jc w:val="center"/>
              <w:rPr>
                <w:rFonts w:ascii="Arial" w:hAnsi="Arial" w:cs="Arial"/>
                <w:b/>
                <w:bCs/>
                <w:color w:val="FFFFFF"/>
                <w:sz w:val="18"/>
                <w:szCs w:val="18"/>
              </w:rPr>
            </w:pPr>
            <w:r w:rsidRPr="006D51C0">
              <w:rPr>
                <w:rFonts w:ascii="Arial" w:hAnsi="Arial" w:cs="Arial"/>
                <w:b/>
                <w:bCs/>
                <w:color w:val="FFFFFF"/>
                <w:sz w:val="18"/>
                <w:szCs w:val="18"/>
              </w:rPr>
              <w:t>UPRAVIČENI STROŠKI</w:t>
            </w:r>
          </w:p>
        </w:tc>
      </w:tr>
      <w:tr w:rsidR="006D51C0" w:rsidRPr="006D51C0" w14:paraId="08F5ABBC" w14:textId="77777777" w:rsidTr="006D51C0">
        <w:trPr>
          <w:trHeight w:val="312"/>
          <w:tblHeader/>
        </w:trPr>
        <w:tc>
          <w:tcPr>
            <w:tcW w:w="797" w:type="pct"/>
            <w:tcBorders>
              <w:top w:val="nil"/>
              <w:left w:val="single" w:sz="4" w:space="0" w:color="auto"/>
              <w:bottom w:val="single" w:sz="4" w:space="0" w:color="auto"/>
              <w:right w:val="single" w:sz="4" w:space="0" w:color="auto"/>
            </w:tcBorders>
            <w:shd w:val="clear" w:color="000000" w:fill="153D64"/>
            <w:vAlign w:val="bottom"/>
            <w:hideMark/>
          </w:tcPr>
          <w:p w14:paraId="2EF4B146"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Postavka</w:t>
            </w:r>
          </w:p>
        </w:tc>
        <w:tc>
          <w:tcPr>
            <w:tcW w:w="384" w:type="pct"/>
            <w:tcBorders>
              <w:top w:val="nil"/>
              <w:left w:val="nil"/>
              <w:bottom w:val="single" w:sz="4" w:space="0" w:color="auto"/>
              <w:right w:val="single" w:sz="4" w:space="0" w:color="auto"/>
            </w:tcBorders>
            <w:shd w:val="clear" w:color="000000" w:fill="153D64"/>
            <w:noWrap/>
            <w:vAlign w:val="bottom"/>
            <w:hideMark/>
          </w:tcPr>
          <w:p w14:paraId="7C41A264"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Vrednost</w:t>
            </w:r>
          </w:p>
        </w:tc>
        <w:tc>
          <w:tcPr>
            <w:tcW w:w="347" w:type="pct"/>
            <w:tcBorders>
              <w:top w:val="nil"/>
              <w:left w:val="nil"/>
              <w:bottom w:val="single" w:sz="4" w:space="0" w:color="auto"/>
              <w:right w:val="single" w:sz="4" w:space="0" w:color="auto"/>
            </w:tcBorders>
            <w:shd w:val="clear" w:color="000000" w:fill="153D64"/>
            <w:noWrap/>
            <w:vAlign w:val="bottom"/>
            <w:hideMark/>
          </w:tcPr>
          <w:p w14:paraId="7CFFDFF8"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Delež</w:t>
            </w:r>
          </w:p>
        </w:tc>
        <w:tc>
          <w:tcPr>
            <w:tcW w:w="426" w:type="pct"/>
            <w:tcBorders>
              <w:top w:val="nil"/>
              <w:left w:val="nil"/>
              <w:bottom w:val="single" w:sz="4" w:space="0" w:color="auto"/>
              <w:right w:val="single" w:sz="4" w:space="0" w:color="auto"/>
            </w:tcBorders>
            <w:shd w:val="clear" w:color="000000" w:fill="153D64"/>
            <w:vAlign w:val="bottom"/>
            <w:hideMark/>
          </w:tcPr>
          <w:p w14:paraId="7F4020DB"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UPRAVIČENI STROŠKI</w:t>
            </w:r>
          </w:p>
        </w:tc>
        <w:tc>
          <w:tcPr>
            <w:tcW w:w="459" w:type="pct"/>
            <w:tcBorders>
              <w:top w:val="nil"/>
              <w:left w:val="nil"/>
              <w:bottom w:val="single" w:sz="4" w:space="0" w:color="auto"/>
              <w:right w:val="single" w:sz="4" w:space="0" w:color="auto"/>
            </w:tcBorders>
            <w:shd w:val="clear" w:color="000000" w:fill="153D64"/>
            <w:vAlign w:val="bottom"/>
            <w:hideMark/>
          </w:tcPr>
          <w:p w14:paraId="5A3963D3"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NEUPRAVIČENI STROŠKI</w:t>
            </w:r>
          </w:p>
        </w:tc>
        <w:tc>
          <w:tcPr>
            <w:tcW w:w="501" w:type="pct"/>
            <w:tcBorders>
              <w:top w:val="nil"/>
              <w:left w:val="single" w:sz="4" w:space="0" w:color="auto"/>
              <w:bottom w:val="single" w:sz="4" w:space="0" w:color="auto"/>
              <w:right w:val="single" w:sz="4" w:space="0" w:color="auto"/>
            </w:tcBorders>
            <w:shd w:val="clear" w:color="000000" w:fill="153D64"/>
            <w:noWrap/>
            <w:vAlign w:val="bottom"/>
            <w:hideMark/>
          </w:tcPr>
          <w:p w14:paraId="66B76FA4"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1</w:t>
            </w:r>
          </w:p>
        </w:tc>
        <w:tc>
          <w:tcPr>
            <w:tcW w:w="501" w:type="pct"/>
            <w:tcBorders>
              <w:top w:val="nil"/>
              <w:left w:val="nil"/>
              <w:bottom w:val="single" w:sz="4" w:space="0" w:color="auto"/>
              <w:right w:val="single" w:sz="4" w:space="0" w:color="auto"/>
            </w:tcBorders>
            <w:shd w:val="clear" w:color="000000" w:fill="153D64"/>
            <w:noWrap/>
            <w:vAlign w:val="bottom"/>
            <w:hideMark/>
          </w:tcPr>
          <w:p w14:paraId="2642C630"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2</w:t>
            </w:r>
          </w:p>
        </w:tc>
        <w:tc>
          <w:tcPr>
            <w:tcW w:w="501" w:type="pct"/>
            <w:tcBorders>
              <w:top w:val="nil"/>
              <w:left w:val="nil"/>
              <w:bottom w:val="single" w:sz="4" w:space="0" w:color="auto"/>
              <w:right w:val="single" w:sz="4" w:space="0" w:color="auto"/>
            </w:tcBorders>
            <w:shd w:val="clear" w:color="000000" w:fill="153D64"/>
            <w:noWrap/>
            <w:vAlign w:val="bottom"/>
            <w:hideMark/>
          </w:tcPr>
          <w:p w14:paraId="6AB9F095"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4</w:t>
            </w:r>
          </w:p>
        </w:tc>
        <w:tc>
          <w:tcPr>
            <w:tcW w:w="398" w:type="pct"/>
            <w:tcBorders>
              <w:top w:val="nil"/>
              <w:left w:val="nil"/>
              <w:bottom w:val="single" w:sz="4" w:space="0" w:color="auto"/>
              <w:right w:val="single" w:sz="4" w:space="0" w:color="auto"/>
            </w:tcBorders>
            <w:shd w:val="clear" w:color="000000" w:fill="153D64"/>
            <w:noWrap/>
            <w:vAlign w:val="bottom"/>
            <w:hideMark/>
          </w:tcPr>
          <w:p w14:paraId="7A4F7977"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1</w:t>
            </w:r>
          </w:p>
        </w:tc>
        <w:tc>
          <w:tcPr>
            <w:tcW w:w="342" w:type="pct"/>
            <w:tcBorders>
              <w:top w:val="nil"/>
              <w:left w:val="nil"/>
              <w:bottom w:val="single" w:sz="4" w:space="0" w:color="auto"/>
              <w:right w:val="single" w:sz="4" w:space="0" w:color="auto"/>
            </w:tcBorders>
            <w:shd w:val="clear" w:color="000000" w:fill="153D64"/>
            <w:noWrap/>
            <w:vAlign w:val="bottom"/>
            <w:hideMark/>
          </w:tcPr>
          <w:p w14:paraId="55F3B54D"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2</w:t>
            </w:r>
          </w:p>
        </w:tc>
        <w:tc>
          <w:tcPr>
            <w:tcW w:w="342" w:type="pct"/>
            <w:tcBorders>
              <w:top w:val="nil"/>
              <w:left w:val="nil"/>
              <w:bottom w:val="single" w:sz="4" w:space="0" w:color="auto"/>
              <w:right w:val="single" w:sz="4" w:space="0" w:color="auto"/>
            </w:tcBorders>
            <w:shd w:val="clear" w:color="000000" w:fill="153D64"/>
            <w:noWrap/>
            <w:vAlign w:val="bottom"/>
            <w:hideMark/>
          </w:tcPr>
          <w:p w14:paraId="017F3A8C" w14:textId="77777777" w:rsidR="006D51C0" w:rsidRPr="006D51C0" w:rsidRDefault="006D51C0">
            <w:pPr>
              <w:rPr>
                <w:rFonts w:ascii="Arial" w:hAnsi="Arial" w:cs="Arial"/>
                <w:b/>
                <w:bCs/>
                <w:color w:val="FFFFFF"/>
                <w:sz w:val="18"/>
                <w:szCs w:val="18"/>
              </w:rPr>
            </w:pPr>
            <w:r w:rsidRPr="006D51C0">
              <w:rPr>
                <w:rFonts w:ascii="Arial" w:hAnsi="Arial" w:cs="Arial"/>
                <w:b/>
                <w:bCs/>
                <w:color w:val="FFFFFF"/>
                <w:sz w:val="18"/>
                <w:szCs w:val="18"/>
              </w:rPr>
              <w:t>UKREP 4</w:t>
            </w:r>
          </w:p>
        </w:tc>
      </w:tr>
      <w:tr w:rsidR="006D51C0" w:rsidRPr="006D51C0" w14:paraId="0263846F"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53C9F87B"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Govekarjeva cesta</w:t>
            </w:r>
          </w:p>
        </w:tc>
        <w:tc>
          <w:tcPr>
            <w:tcW w:w="384" w:type="pct"/>
            <w:tcBorders>
              <w:top w:val="nil"/>
              <w:left w:val="nil"/>
              <w:bottom w:val="single" w:sz="4" w:space="0" w:color="auto"/>
              <w:right w:val="single" w:sz="4" w:space="0" w:color="auto"/>
            </w:tcBorders>
            <w:noWrap/>
            <w:vAlign w:val="bottom"/>
            <w:hideMark/>
          </w:tcPr>
          <w:p w14:paraId="064E59F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710.549,80</w:t>
            </w:r>
          </w:p>
        </w:tc>
        <w:tc>
          <w:tcPr>
            <w:tcW w:w="347" w:type="pct"/>
            <w:tcBorders>
              <w:top w:val="nil"/>
              <w:left w:val="nil"/>
              <w:bottom w:val="single" w:sz="4" w:space="0" w:color="auto"/>
              <w:right w:val="single" w:sz="4" w:space="0" w:color="auto"/>
            </w:tcBorders>
            <w:noWrap/>
            <w:vAlign w:val="bottom"/>
            <w:hideMark/>
          </w:tcPr>
          <w:p w14:paraId="06DE41A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19,41%</w:t>
            </w:r>
          </w:p>
        </w:tc>
        <w:tc>
          <w:tcPr>
            <w:tcW w:w="426" w:type="pct"/>
            <w:tcBorders>
              <w:top w:val="nil"/>
              <w:left w:val="nil"/>
              <w:bottom w:val="single" w:sz="4" w:space="0" w:color="auto"/>
              <w:right w:val="single" w:sz="4" w:space="0" w:color="auto"/>
            </w:tcBorders>
            <w:noWrap/>
            <w:vAlign w:val="bottom"/>
            <w:hideMark/>
          </w:tcPr>
          <w:p w14:paraId="1788A2B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710.549,80</w:t>
            </w:r>
          </w:p>
        </w:tc>
        <w:tc>
          <w:tcPr>
            <w:tcW w:w="459" w:type="pct"/>
            <w:tcBorders>
              <w:top w:val="nil"/>
              <w:left w:val="nil"/>
              <w:bottom w:val="single" w:sz="4" w:space="0" w:color="auto"/>
              <w:right w:val="single" w:sz="4" w:space="0" w:color="auto"/>
            </w:tcBorders>
            <w:noWrap/>
            <w:vAlign w:val="bottom"/>
            <w:hideMark/>
          </w:tcPr>
          <w:p w14:paraId="6FD72F8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2D47413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710.549,80</w:t>
            </w:r>
          </w:p>
        </w:tc>
        <w:tc>
          <w:tcPr>
            <w:tcW w:w="501" w:type="pct"/>
            <w:tcBorders>
              <w:top w:val="nil"/>
              <w:left w:val="nil"/>
              <w:bottom w:val="single" w:sz="4" w:space="0" w:color="auto"/>
              <w:right w:val="single" w:sz="4" w:space="0" w:color="auto"/>
            </w:tcBorders>
            <w:noWrap/>
            <w:vAlign w:val="bottom"/>
            <w:hideMark/>
          </w:tcPr>
          <w:p w14:paraId="219D6F2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2FBD663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1007E17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710.549,80</w:t>
            </w:r>
          </w:p>
        </w:tc>
        <w:tc>
          <w:tcPr>
            <w:tcW w:w="342" w:type="pct"/>
            <w:tcBorders>
              <w:top w:val="nil"/>
              <w:left w:val="nil"/>
              <w:bottom w:val="single" w:sz="4" w:space="0" w:color="auto"/>
              <w:right w:val="single" w:sz="4" w:space="0" w:color="auto"/>
            </w:tcBorders>
            <w:noWrap/>
            <w:vAlign w:val="bottom"/>
            <w:hideMark/>
          </w:tcPr>
          <w:p w14:paraId="1960772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4C706F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5FF8EF0D"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3EDC411C"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Troštova ulica</w:t>
            </w:r>
          </w:p>
        </w:tc>
        <w:tc>
          <w:tcPr>
            <w:tcW w:w="384" w:type="pct"/>
            <w:tcBorders>
              <w:top w:val="nil"/>
              <w:left w:val="nil"/>
              <w:bottom w:val="single" w:sz="4" w:space="0" w:color="auto"/>
              <w:right w:val="single" w:sz="4" w:space="0" w:color="auto"/>
            </w:tcBorders>
            <w:noWrap/>
            <w:vAlign w:val="bottom"/>
            <w:hideMark/>
          </w:tcPr>
          <w:p w14:paraId="22BA9E2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166.335,43</w:t>
            </w:r>
          </w:p>
        </w:tc>
        <w:tc>
          <w:tcPr>
            <w:tcW w:w="347" w:type="pct"/>
            <w:tcBorders>
              <w:top w:val="nil"/>
              <w:left w:val="nil"/>
              <w:bottom w:val="single" w:sz="4" w:space="0" w:color="auto"/>
              <w:right w:val="single" w:sz="4" w:space="0" w:color="auto"/>
            </w:tcBorders>
            <w:noWrap/>
            <w:vAlign w:val="bottom"/>
            <w:hideMark/>
          </w:tcPr>
          <w:p w14:paraId="6C51F38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4,54%</w:t>
            </w:r>
          </w:p>
        </w:tc>
        <w:tc>
          <w:tcPr>
            <w:tcW w:w="426" w:type="pct"/>
            <w:tcBorders>
              <w:top w:val="nil"/>
              <w:left w:val="nil"/>
              <w:bottom w:val="single" w:sz="4" w:space="0" w:color="auto"/>
              <w:right w:val="single" w:sz="4" w:space="0" w:color="auto"/>
            </w:tcBorders>
            <w:noWrap/>
            <w:vAlign w:val="bottom"/>
            <w:hideMark/>
          </w:tcPr>
          <w:p w14:paraId="1EF7F56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166.335,43</w:t>
            </w:r>
          </w:p>
        </w:tc>
        <w:tc>
          <w:tcPr>
            <w:tcW w:w="459" w:type="pct"/>
            <w:tcBorders>
              <w:top w:val="nil"/>
              <w:left w:val="nil"/>
              <w:bottom w:val="single" w:sz="4" w:space="0" w:color="auto"/>
              <w:right w:val="single" w:sz="4" w:space="0" w:color="auto"/>
            </w:tcBorders>
            <w:noWrap/>
            <w:vAlign w:val="bottom"/>
            <w:hideMark/>
          </w:tcPr>
          <w:p w14:paraId="298D6FC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320590C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166.335,43</w:t>
            </w:r>
          </w:p>
        </w:tc>
        <w:tc>
          <w:tcPr>
            <w:tcW w:w="501" w:type="pct"/>
            <w:tcBorders>
              <w:top w:val="nil"/>
              <w:left w:val="nil"/>
              <w:bottom w:val="single" w:sz="4" w:space="0" w:color="auto"/>
              <w:right w:val="single" w:sz="4" w:space="0" w:color="auto"/>
            </w:tcBorders>
            <w:noWrap/>
            <w:vAlign w:val="bottom"/>
            <w:hideMark/>
          </w:tcPr>
          <w:p w14:paraId="1A8F6B8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B1CAFA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668A4C9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166.335,43</w:t>
            </w:r>
          </w:p>
        </w:tc>
        <w:tc>
          <w:tcPr>
            <w:tcW w:w="342" w:type="pct"/>
            <w:tcBorders>
              <w:top w:val="nil"/>
              <w:left w:val="nil"/>
              <w:bottom w:val="single" w:sz="4" w:space="0" w:color="auto"/>
              <w:right w:val="single" w:sz="4" w:space="0" w:color="auto"/>
            </w:tcBorders>
            <w:noWrap/>
            <w:vAlign w:val="bottom"/>
            <w:hideMark/>
          </w:tcPr>
          <w:p w14:paraId="62A910E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AFB264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72BF473A"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6BF79D76"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Križišče Govekarjeva-Troštova</w:t>
            </w:r>
          </w:p>
        </w:tc>
        <w:tc>
          <w:tcPr>
            <w:tcW w:w="384" w:type="pct"/>
            <w:tcBorders>
              <w:top w:val="nil"/>
              <w:left w:val="nil"/>
              <w:bottom w:val="single" w:sz="4" w:space="0" w:color="auto"/>
              <w:right w:val="single" w:sz="4" w:space="0" w:color="auto"/>
            </w:tcBorders>
            <w:noWrap/>
            <w:vAlign w:val="bottom"/>
            <w:hideMark/>
          </w:tcPr>
          <w:p w14:paraId="1560AC9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161.849,79</w:t>
            </w:r>
          </w:p>
        </w:tc>
        <w:tc>
          <w:tcPr>
            <w:tcW w:w="347" w:type="pct"/>
            <w:tcBorders>
              <w:top w:val="nil"/>
              <w:left w:val="nil"/>
              <w:bottom w:val="single" w:sz="4" w:space="0" w:color="auto"/>
              <w:right w:val="single" w:sz="4" w:space="0" w:color="auto"/>
            </w:tcBorders>
            <w:noWrap/>
            <w:vAlign w:val="bottom"/>
            <w:hideMark/>
          </w:tcPr>
          <w:p w14:paraId="38CA902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4,42%</w:t>
            </w:r>
          </w:p>
        </w:tc>
        <w:tc>
          <w:tcPr>
            <w:tcW w:w="426" w:type="pct"/>
            <w:tcBorders>
              <w:top w:val="nil"/>
              <w:left w:val="nil"/>
              <w:bottom w:val="single" w:sz="4" w:space="0" w:color="auto"/>
              <w:right w:val="single" w:sz="4" w:space="0" w:color="auto"/>
            </w:tcBorders>
            <w:noWrap/>
            <w:vAlign w:val="bottom"/>
            <w:hideMark/>
          </w:tcPr>
          <w:p w14:paraId="4E08D37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161.849,79</w:t>
            </w:r>
          </w:p>
        </w:tc>
        <w:tc>
          <w:tcPr>
            <w:tcW w:w="459" w:type="pct"/>
            <w:tcBorders>
              <w:top w:val="nil"/>
              <w:left w:val="nil"/>
              <w:bottom w:val="single" w:sz="4" w:space="0" w:color="auto"/>
              <w:right w:val="single" w:sz="4" w:space="0" w:color="auto"/>
            </w:tcBorders>
            <w:noWrap/>
            <w:vAlign w:val="bottom"/>
            <w:hideMark/>
          </w:tcPr>
          <w:p w14:paraId="43A5C8B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4A11BC5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161.849,79</w:t>
            </w:r>
          </w:p>
        </w:tc>
        <w:tc>
          <w:tcPr>
            <w:tcW w:w="501" w:type="pct"/>
            <w:tcBorders>
              <w:top w:val="nil"/>
              <w:left w:val="nil"/>
              <w:bottom w:val="single" w:sz="4" w:space="0" w:color="auto"/>
              <w:right w:val="single" w:sz="4" w:space="0" w:color="auto"/>
            </w:tcBorders>
            <w:noWrap/>
            <w:vAlign w:val="bottom"/>
            <w:hideMark/>
          </w:tcPr>
          <w:p w14:paraId="257347B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5293502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7877FBF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161.849,79</w:t>
            </w:r>
          </w:p>
        </w:tc>
        <w:tc>
          <w:tcPr>
            <w:tcW w:w="342" w:type="pct"/>
            <w:tcBorders>
              <w:top w:val="nil"/>
              <w:left w:val="nil"/>
              <w:bottom w:val="single" w:sz="4" w:space="0" w:color="auto"/>
              <w:right w:val="single" w:sz="4" w:space="0" w:color="auto"/>
            </w:tcBorders>
            <w:noWrap/>
            <w:vAlign w:val="bottom"/>
            <w:hideMark/>
          </w:tcPr>
          <w:p w14:paraId="2E09BA8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6457C5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2803CA46"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2F1C7C6D"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Javni sistem izposoje koles</w:t>
            </w:r>
          </w:p>
        </w:tc>
        <w:tc>
          <w:tcPr>
            <w:tcW w:w="384" w:type="pct"/>
            <w:tcBorders>
              <w:top w:val="nil"/>
              <w:left w:val="nil"/>
              <w:bottom w:val="single" w:sz="4" w:space="0" w:color="auto"/>
              <w:right w:val="single" w:sz="4" w:space="0" w:color="auto"/>
            </w:tcBorders>
            <w:noWrap/>
            <w:vAlign w:val="bottom"/>
            <w:hideMark/>
          </w:tcPr>
          <w:p w14:paraId="72DE1AE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57.333,76</w:t>
            </w:r>
          </w:p>
        </w:tc>
        <w:tc>
          <w:tcPr>
            <w:tcW w:w="347" w:type="pct"/>
            <w:tcBorders>
              <w:top w:val="nil"/>
              <w:left w:val="nil"/>
              <w:bottom w:val="single" w:sz="4" w:space="0" w:color="auto"/>
              <w:right w:val="single" w:sz="4" w:space="0" w:color="auto"/>
            </w:tcBorders>
            <w:noWrap/>
            <w:vAlign w:val="bottom"/>
            <w:hideMark/>
          </w:tcPr>
          <w:p w14:paraId="4DBB817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1,57%</w:t>
            </w:r>
          </w:p>
        </w:tc>
        <w:tc>
          <w:tcPr>
            <w:tcW w:w="426" w:type="pct"/>
            <w:tcBorders>
              <w:top w:val="nil"/>
              <w:left w:val="nil"/>
              <w:bottom w:val="single" w:sz="4" w:space="0" w:color="auto"/>
              <w:right w:val="single" w:sz="4" w:space="0" w:color="auto"/>
            </w:tcBorders>
            <w:noWrap/>
            <w:vAlign w:val="bottom"/>
            <w:hideMark/>
          </w:tcPr>
          <w:p w14:paraId="2D63634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57.333,76</w:t>
            </w:r>
          </w:p>
        </w:tc>
        <w:tc>
          <w:tcPr>
            <w:tcW w:w="459" w:type="pct"/>
            <w:tcBorders>
              <w:top w:val="nil"/>
              <w:left w:val="nil"/>
              <w:bottom w:val="single" w:sz="4" w:space="0" w:color="auto"/>
              <w:right w:val="single" w:sz="4" w:space="0" w:color="auto"/>
            </w:tcBorders>
            <w:noWrap/>
            <w:vAlign w:val="bottom"/>
            <w:hideMark/>
          </w:tcPr>
          <w:p w14:paraId="58E3ECC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3AFFC6F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181CE4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6BD4132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57.333,76</w:t>
            </w:r>
          </w:p>
        </w:tc>
        <w:tc>
          <w:tcPr>
            <w:tcW w:w="398" w:type="pct"/>
            <w:tcBorders>
              <w:top w:val="nil"/>
              <w:left w:val="nil"/>
              <w:bottom w:val="single" w:sz="4" w:space="0" w:color="auto"/>
              <w:right w:val="single" w:sz="4" w:space="0" w:color="auto"/>
            </w:tcBorders>
            <w:noWrap/>
            <w:vAlign w:val="bottom"/>
            <w:hideMark/>
          </w:tcPr>
          <w:p w14:paraId="41EF74F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1A671D2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0D5E02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57.333,76</w:t>
            </w:r>
          </w:p>
        </w:tc>
      </w:tr>
      <w:tr w:rsidR="006D51C0" w:rsidRPr="006D51C0" w14:paraId="0CE99E12"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34739E12"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Parkirišča za kolesa - Govekarjeva cesta</w:t>
            </w:r>
          </w:p>
        </w:tc>
        <w:tc>
          <w:tcPr>
            <w:tcW w:w="384" w:type="pct"/>
            <w:tcBorders>
              <w:top w:val="nil"/>
              <w:left w:val="nil"/>
              <w:bottom w:val="single" w:sz="4" w:space="0" w:color="auto"/>
              <w:right w:val="single" w:sz="4" w:space="0" w:color="auto"/>
            </w:tcBorders>
            <w:noWrap/>
            <w:vAlign w:val="bottom"/>
            <w:hideMark/>
          </w:tcPr>
          <w:p w14:paraId="5283F82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47" w:type="pct"/>
            <w:tcBorders>
              <w:top w:val="nil"/>
              <w:left w:val="nil"/>
              <w:bottom w:val="single" w:sz="4" w:space="0" w:color="auto"/>
              <w:right w:val="single" w:sz="4" w:space="0" w:color="auto"/>
            </w:tcBorders>
            <w:noWrap/>
            <w:vAlign w:val="bottom"/>
            <w:hideMark/>
          </w:tcPr>
          <w:p w14:paraId="2BD50AE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0,18%</w:t>
            </w:r>
          </w:p>
        </w:tc>
        <w:tc>
          <w:tcPr>
            <w:tcW w:w="426" w:type="pct"/>
            <w:tcBorders>
              <w:top w:val="nil"/>
              <w:left w:val="nil"/>
              <w:bottom w:val="single" w:sz="4" w:space="0" w:color="auto"/>
              <w:right w:val="single" w:sz="4" w:space="0" w:color="auto"/>
            </w:tcBorders>
            <w:noWrap/>
            <w:vAlign w:val="bottom"/>
            <w:hideMark/>
          </w:tcPr>
          <w:p w14:paraId="270F868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459" w:type="pct"/>
            <w:tcBorders>
              <w:top w:val="nil"/>
              <w:left w:val="nil"/>
              <w:bottom w:val="single" w:sz="4" w:space="0" w:color="auto"/>
              <w:right w:val="single" w:sz="4" w:space="0" w:color="auto"/>
            </w:tcBorders>
            <w:noWrap/>
            <w:vAlign w:val="bottom"/>
            <w:hideMark/>
          </w:tcPr>
          <w:p w14:paraId="19A8974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73C0350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2FBFADF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6781441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98" w:type="pct"/>
            <w:tcBorders>
              <w:top w:val="nil"/>
              <w:left w:val="nil"/>
              <w:bottom w:val="single" w:sz="4" w:space="0" w:color="auto"/>
              <w:right w:val="single" w:sz="4" w:space="0" w:color="auto"/>
            </w:tcBorders>
            <w:noWrap/>
            <w:vAlign w:val="bottom"/>
            <w:hideMark/>
          </w:tcPr>
          <w:p w14:paraId="651D965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3B1CA69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552F26A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r>
      <w:tr w:rsidR="006D51C0" w:rsidRPr="006D51C0" w14:paraId="52E804BD"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7961D920"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Parkirišča za kolesa - staro župnišče</w:t>
            </w:r>
          </w:p>
        </w:tc>
        <w:tc>
          <w:tcPr>
            <w:tcW w:w="384" w:type="pct"/>
            <w:tcBorders>
              <w:top w:val="nil"/>
              <w:left w:val="nil"/>
              <w:bottom w:val="single" w:sz="4" w:space="0" w:color="auto"/>
              <w:right w:val="single" w:sz="4" w:space="0" w:color="auto"/>
            </w:tcBorders>
            <w:noWrap/>
            <w:vAlign w:val="bottom"/>
            <w:hideMark/>
          </w:tcPr>
          <w:p w14:paraId="39D3907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6.665,11</w:t>
            </w:r>
          </w:p>
        </w:tc>
        <w:tc>
          <w:tcPr>
            <w:tcW w:w="347" w:type="pct"/>
            <w:tcBorders>
              <w:top w:val="nil"/>
              <w:left w:val="nil"/>
              <w:bottom w:val="single" w:sz="4" w:space="0" w:color="auto"/>
              <w:right w:val="single" w:sz="4" w:space="0" w:color="auto"/>
            </w:tcBorders>
            <w:noWrap/>
            <w:vAlign w:val="bottom"/>
            <w:hideMark/>
          </w:tcPr>
          <w:p w14:paraId="045B12F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0,18%</w:t>
            </w:r>
          </w:p>
        </w:tc>
        <w:tc>
          <w:tcPr>
            <w:tcW w:w="426" w:type="pct"/>
            <w:tcBorders>
              <w:top w:val="nil"/>
              <w:left w:val="nil"/>
              <w:bottom w:val="single" w:sz="4" w:space="0" w:color="auto"/>
              <w:right w:val="single" w:sz="4" w:space="0" w:color="auto"/>
            </w:tcBorders>
            <w:noWrap/>
            <w:vAlign w:val="bottom"/>
            <w:hideMark/>
          </w:tcPr>
          <w:p w14:paraId="34F30B0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6.665,11</w:t>
            </w:r>
          </w:p>
        </w:tc>
        <w:tc>
          <w:tcPr>
            <w:tcW w:w="459" w:type="pct"/>
            <w:tcBorders>
              <w:top w:val="nil"/>
              <w:left w:val="nil"/>
              <w:bottom w:val="single" w:sz="4" w:space="0" w:color="auto"/>
              <w:right w:val="single" w:sz="4" w:space="0" w:color="auto"/>
            </w:tcBorders>
            <w:noWrap/>
            <w:vAlign w:val="bottom"/>
            <w:hideMark/>
          </w:tcPr>
          <w:p w14:paraId="6AFB1D6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3EA4D18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5407672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3B0E5DE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6.665,11</w:t>
            </w:r>
          </w:p>
        </w:tc>
        <w:tc>
          <w:tcPr>
            <w:tcW w:w="398" w:type="pct"/>
            <w:tcBorders>
              <w:top w:val="nil"/>
              <w:left w:val="nil"/>
              <w:bottom w:val="single" w:sz="4" w:space="0" w:color="auto"/>
              <w:right w:val="single" w:sz="4" w:space="0" w:color="auto"/>
            </w:tcBorders>
            <w:noWrap/>
            <w:vAlign w:val="bottom"/>
            <w:hideMark/>
          </w:tcPr>
          <w:p w14:paraId="31361D7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416672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6A80311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6.665,11</w:t>
            </w:r>
          </w:p>
        </w:tc>
      </w:tr>
      <w:tr w:rsidR="006D51C0" w:rsidRPr="006D51C0" w14:paraId="648A5202"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2A0AA825"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Parkirišča za kolesa - trg (kolesarnica)</w:t>
            </w:r>
          </w:p>
        </w:tc>
        <w:tc>
          <w:tcPr>
            <w:tcW w:w="384" w:type="pct"/>
            <w:tcBorders>
              <w:top w:val="nil"/>
              <w:left w:val="nil"/>
              <w:bottom w:val="single" w:sz="4" w:space="0" w:color="auto"/>
              <w:right w:val="single" w:sz="4" w:space="0" w:color="auto"/>
            </w:tcBorders>
            <w:noWrap/>
            <w:vAlign w:val="bottom"/>
            <w:hideMark/>
          </w:tcPr>
          <w:p w14:paraId="75E152F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64.993,90</w:t>
            </w:r>
          </w:p>
        </w:tc>
        <w:tc>
          <w:tcPr>
            <w:tcW w:w="347" w:type="pct"/>
            <w:tcBorders>
              <w:top w:val="nil"/>
              <w:left w:val="nil"/>
              <w:bottom w:val="single" w:sz="4" w:space="0" w:color="auto"/>
              <w:right w:val="single" w:sz="4" w:space="0" w:color="auto"/>
            </w:tcBorders>
            <w:noWrap/>
            <w:vAlign w:val="bottom"/>
            <w:hideMark/>
          </w:tcPr>
          <w:p w14:paraId="6039423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1,78%</w:t>
            </w:r>
          </w:p>
        </w:tc>
        <w:tc>
          <w:tcPr>
            <w:tcW w:w="426" w:type="pct"/>
            <w:tcBorders>
              <w:top w:val="nil"/>
              <w:left w:val="nil"/>
              <w:bottom w:val="single" w:sz="4" w:space="0" w:color="auto"/>
              <w:right w:val="single" w:sz="4" w:space="0" w:color="auto"/>
            </w:tcBorders>
            <w:noWrap/>
            <w:vAlign w:val="bottom"/>
            <w:hideMark/>
          </w:tcPr>
          <w:p w14:paraId="0FAE52D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64.993,90</w:t>
            </w:r>
          </w:p>
        </w:tc>
        <w:tc>
          <w:tcPr>
            <w:tcW w:w="459" w:type="pct"/>
            <w:tcBorders>
              <w:top w:val="nil"/>
              <w:left w:val="nil"/>
              <w:bottom w:val="single" w:sz="4" w:space="0" w:color="auto"/>
              <w:right w:val="single" w:sz="4" w:space="0" w:color="auto"/>
            </w:tcBorders>
            <w:noWrap/>
            <w:vAlign w:val="bottom"/>
            <w:hideMark/>
          </w:tcPr>
          <w:p w14:paraId="2DAD86B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75159DD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595594B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4336956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64.993,90</w:t>
            </w:r>
          </w:p>
        </w:tc>
        <w:tc>
          <w:tcPr>
            <w:tcW w:w="398" w:type="pct"/>
            <w:tcBorders>
              <w:top w:val="nil"/>
              <w:left w:val="nil"/>
              <w:bottom w:val="single" w:sz="4" w:space="0" w:color="auto"/>
              <w:right w:val="single" w:sz="4" w:space="0" w:color="auto"/>
            </w:tcBorders>
            <w:noWrap/>
            <w:vAlign w:val="bottom"/>
            <w:hideMark/>
          </w:tcPr>
          <w:p w14:paraId="200F873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EC2EBD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66DDC2E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64.993,90</w:t>
            </w:r>
          </w:p>
        </w:tc>
      </w:tr>
      <w:tr w:rsidR="006D51C0" w:rsidRPr="006D51C0" w14:paraId="4226204A"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297904DF"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Parkirišča za kolesa - telovadnica</w:t>
            </w:r>
          </w:p>
        </w:tc>
        <w:tc>
          <w:tcPr>
            <w:tcW w:w="384" w:type="pct"/>
            <w:tcBorders>
              <w:top w:val="nil"/>
              <w:left w:val="nil"/>
              <w:bottom w:val="single" w:sz="4" w:space="0" w:color="auto"/>
              <w:right w:val="single" w:sz="4" w:space="0" w:color="auto"/>
            </w:tcBorders>
            <w:noWrap/>
            <w:vAlign w:val="bottom"/>
            <w:hideMark/>
          </w:tcPr>
          <w:p w14:paraId="22BCB94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47" w:type="pct"/>
            <w:tcBorders>
              <w:top w:val="nil"/>
              <w:left w:val="nil"/>
              <w:bottom w:val="single" w:sz="4" w:space="0" w:color="auto"/>
              <w:right w:val="single" w:sz="4" w:space="0" w:color="auto"/>
            </w:tcBorders>
            <w:noWrap/>
            <w:vAlign w:val="bottom"/>
            <w:hideMark/>
          </w:tcPr>
          <w:p w14:paraId="3D1D941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0,18%</w:t>
            </w:r>
          </w:p>
        </w:tc>
        <w:tc>
          <w:tcPr>
            <w:tcW w:w="426" w:type="pct"/>
            <w:tcBorders>
              <w:top w:val="nil"/>
              <w:left w:val="nil"/>
              <w:bottom w:val="single" w:sz="4" w:space="0" w:color="auto"/>
              <w:right w:val="single" w:sz="4" w:space="0" w:color="auto"/>
            </w:tcBorders>
            <w:noWrap/>
            <w:vAlign w:val="bottom"/>
            <w:hideMark/>
          </w:tcPr>
          <w:p w14:paraId="32C71D6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459" w:type="pct"/>
            <w:tcBorders>
              <w:top w:val="nil"/>
              <w:left w:val="nil"/>
              <w:bottom w:val="single" w:sz="4" w:space="0" w:color="auto"/>
              <w:right w:val="single" w:sz="4" w:space="0" w:color="auto"/>
            </w:tcBorders>
            <w:noWrap/>
            <w:vAlign w:val="bottom"/>
            <w:hideMark/>
          </w:tcPr>
          <w:p w14:paraId="1BBF091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0ACBFAE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4E64C04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A30B67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98" w:type="pct"/>
            <w:tcBorders>
              <w:top w:val="nil"/>
              <w:left w:val="nil"/>
              <w:bottom w:val="single" w:sz="4" w:space="0" w:color="auto"/>
              <w:right w:val="single" w:sz="4" w:space="0" w:color="auto"/>
            </w:tcBorders>
            <w:noWrap/>
            <w:vAlign w:val="bottom"/>
            <w:hideMark/>
          </w:tcPr>
          <w:p w14:paraId="09D4AAD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3EAA585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80AD1F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r>
      <w:tr w:rsidR="006D51C0" w:rsidRPr="006D51C0" w14:paraId="171F0083"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4BB180C3"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Parkirišča za kolesa - park</w:t>
            </w:r>
          </w:p>
        </w:tc>
        <w:tc>
          <w:tcPr>
            <w:tcW w:w="384" w:type="pct"/>
            <w:tcBorders>
              <w:top w:val="nil"/>
              <w:left w:val="nil"/>
              <w:bottom w:val="single" w:sz="4" w:space="0" w:color="auto"/>
              <w:right w:val="single" w:sz="4" w:space="0" w:color="auto"/>
            </w:tcBorders>
            <w:noWrap/>
            <w:vAlign w:val="bottom"/>
            <w:hideMark/>
          </w:tcPr>
          <w:p w14:paraId="73A5966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47" w:type="pct"/>
            <w:tcBorders>
              <w:top w:val="nil"/>
              <w:left w:val="nil"/>
              <w:bottom w:val="single" w:sz="4" w:space="0" w:color="auto"/>
              <w:right w:val="single" w:sz="4" w:space="0" w:color="auto"/>
            </w:tcBorders>
            <w:noWrap/>
            <w:vAlign w:val="bottom"/>
            <w:hideMark/>
          </w:tcPr>
          <w:p w14:paraId="3288A86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0,18%</w:t>
            </w:r>
          </w:p>
        </w:tc>
        <w:tc>
          <w:tcPr>
            <w:tcW w:w="426" w:type="pct"/>
            <w:tcBorders>
              <w:top w:val="nil"/>
              <w:left w:val="nil"/>
              <w:bottom w:val="single" w:sz="4" w:space="0" w:color="auto"/>
              <w:right w:val="single" w:sz="4" w:space="0" w:color="auto"/>
            </w:tcBorders>
            <w:noWrap/>
            <w:vAlign w:val="bottom"/>
            <w:hideMark/>
          </w:tcPr>
          <w:p w14:paraId="3FB1DC0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459" w:type="pct"/>
            <w:tcBorders>
              <w:top w:val="nil"/>
              <w:left w:val="nil"/>
              <w:bottom w:val="single" w:sz="4" w:space="0" w:color="auto"/>
              <w:right w:val="single" w:sz="4" w:space="0" w:color="auto"/>
            </w:tcBorders>
            <w:noWrap/>
            <w:vAlign w:val="bottom"/>
            <w:hideMark/>
          </w:tcPr>
          <w:p w14:paraId="2552B32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70AF213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999996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649F42F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c>
          <w:tcPr>
            <w:tcW w:w="398" w:type="pct"/>
            <w:tcBorders>
              <w:top w:val="nil"/>
              <w:left w:val="nil"/>
              <w:bottom w:val="single" w:sz="4" w:space="0" w:color="auto"/>
              <w:right w:val="single" w:sz="4" w:space="0" w:color="auto"/>
            </w:tcBorders>
            <w:noWrap/>
            <w:vAlign w:val="bottom"/>
            <w:hideMark/>
          </w:tcPr>
          <w:p w14:paraId="4CD8ADD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F91B5B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3F6336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6.528,02</w:t>
            </w:r>
          </w:p>
        </w:tc>
      </w:tr>
      <w:tr w:rsidR="006D51C0" w:rsidRPr="006D51C0" w14:paraId="5AAC3D77"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1B63725D"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Merilniki, prikazovalniki in števci</w:t>
            </w:r>
          </w:p>
        </w:tc>
        <w:tc>
          <w:tcPr>
            <w:tcW w:w="384" w:type="pct"/>
            <w:tcBorders>
              <w:top w:val="nil"/>
              <w:left w:val="nil"/>
              <w:bottom w:val="single" w:sz="4" w:space="0" w:color="auto"/>
              <w:right w:val="single" w:sz="4" w:space="0" w:color="auto"/>
            </w:tcBorders>
            <w:noWrap/>
            <w:vAlign w:val="bottom"/>
            <w:hideMark/>
          </w:tcPr>
          <w:p w14:paraId="51272C4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50.547,11</w:t>
            </w:r>
          </w:p>
        </w:tc>
        <w:tc>
          <w:tcPr>
            <w:tcW w:w="347" w:type="pct"/>
            <w:tcBorders>
              <w:top w:val="nil"/>
              <w:left w:val="nil"/>
              <w:bottom w:val="single" w:sz="4" w:space="0" w:color="auto"/>
              <w:right w:val="single" w:sz="4" w:space="0" w:color="auto"/>
            </w:tcBorders>
            <w:noWrap/>
            <w:vAlign w:val="bottom"/>
            <w:hideMark/>
          </w:tcPr>
          <w:p w14:paraId="66DA9F7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1,38%</w:t>
            </w:r>
          </w:p>
        </w:tc>
        <w:tc>
          <w:tcPr>
            <w:tcW w:w="426" w:type="pct"/>
            <w:tcBorders>
              <w:top w:val="nil"/>
              <w:left w:val="nil"/>
              <w:bottom w:val="single" w:sz="4" w:space="0" w:color="auto"/>
              <w:right w:val="single" w:sz="4" w:space="0" w:color="auto"/>
            </w:tcBorders>
            <w:noWrap/>
            <w:vAlign w:val="bottom"/>
            <w:hideMark/>
          </w:tcPr>
          <w:p w14:paraId="6C24AC3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50.547,11</w:t>
            </w:r>
          </w:p>
        </w:tc>
        <w:tc>
          <w:tcPr>
            <w:tcW w:w="459" w:type="pct"/>
            <w:tcBorders>
              <w:top w:val="nil"/>
              <w:left w:val="nil"/>
              <w:bottom w:val="single" w:sz="4" w:space="0" w:color="auto"/>
              <w:right w:val="single" w:sz="4" w:space="0" w:color="auto"/>
            </w:tcBorders>
            <w:noWrap/>
            <w:vAlign w:val="bottom"/>
            <w:hideMark/>
          </w:tcPr>
          <w:p w14:paraId="55EF89D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6188624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50.547,11</w:t>
            </w:r>
          </w:p>
        </w:tc>
        <w:tc>
          <w:tcPr>
            <w:tcW w:w="501" w:type="pct"/>
            <w:tcBorders>
              <w:top w:val="nil"/>
              <w:left w:val="nil"/>
              <w:bottom w:val="single" w:sz="4" w:space="0" w:color="auto"/>
              <w:right w:val="single" w:sz="4" w:space="0" w:color="auto"/>
            </w:tcBorders>
            <w:noWrap/>
            <w:vAlign w:val="bottom"/>
            <w:hideMark/>
          </w:tcPr>
          <w:p w14:paraId="4830630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354578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55AE377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50.547,11</w:t>
            </w:r>
          </w:p>
        </w:tc>
        <w:tc>
          <w:tcPr>
            <w:tcW w:w="342" w:type="pct"/>
            <w:tcBorders>
              <w:top w:val="nil"/>
              <w:left w:val="nil"/>
              <w:bottom w:val="single" w:sz="4" w:space="0" w:color="auto"/>
              <w:right w:val="single" w:sz="4" w:space="0" w:color="auto"/>
            </w:tcBorders>
            <w:noWrap/>
            <w:vAlign w:val="bottom"/>
            <w:hideMark/>
          </w:tcPr>
          <w:p w14:paraId="1792F29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7B71E00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42335F72" w14:textId="77777777" w:rsidTr="006D51C0">
        <w:trPr>
          <w:trHeight w:val="600"/>
        </w:trPr>
        <w:tc>
          <w:tcPr>
            <w:tcW w:w="797" w:type="pct"/>
            <w:tcBorders>
              <w:top w:val="nil"/>
              <w:left w:val="single" w:sz="4" w:space="0" w:color="auto"/>
              <w:bottom w:val="single" w:sz="4" w:space="0" w:color="auto"/>
              <w:right w:val="single" w:sz="4" w:space="0" w:color="auto"/>
            </w:tcBorders>
            <w:vAlign w:val="bottom"/>
            <w:hideMark/>
          </w:tcPr>
          <w:p w14:paraId="1CBEDEAA" w14:textId="77777777" w:rsidR="006D51C0" w:rsidRPr="006D51C0" w:rsidRDefault="006D51C0">
            <w:pPr>
              <w:rPr>
                <w:rFonts w:ascii="Roboto" w:hAnsi="Roboto"/>
                <w:color w:val="000000"/>
                <w:sz w:val="18"/>
                <w:szCs w:val="18"/>
              </w:rPr>
            </w:pPr>
            <w:r w:rsidRPr="006D51C0">
              <w:rPr>
                <w:rFonts w:ascii="Roboto" w:hAnsi="Roboto"/>
                <w:color w:val="000000"/>
                <w:sz w:val="18"/>
                <w:szCs w:val="18"/>
              </w:rPr>
              <w:t>Avtobusno postajališče - nivo ceste</w:t>
            </w:r>
          </w:p>
        </w:tc>
        <w:tc>
          <w:tcPr>
            <w:tcW w:w="384" w:type="pct"/>
            <w:tcBorders>
              <w:top w:val="nil"/>
              <w:left w:val="nil"/>
              <w:bottom w:val="single" w:sz="4" w:space="0" w:color="auto"/>
              <w:right w:val="single" w:sz="4" w:space="0" w:color="auto"/>
            </w:tcBorders>
            <w:noWrap/>
            <w:vAlign w:val="bottom"/>
            <w:hideMark/>
          </w:tcPr>
          <w:p w14:paraId="6170F0D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310.487,47</w:t>
            </w:r>
          </w:p>
        </w:tc>
        <w:tc>
          <w:tcPr>
            <w:tcW w:w="347" w:type="pct"/>
            <w:tcBorders>
              <w:top w:val="nil"/>
              <w:left w:val="nil"/>
              <w:bottom w:val="single" w:sz="4" w:space="0" w:color="auto"/>
              <w:right w:val="single" w:sz="4" w:space="0" w:color="auto"/>
            </w:tcBorders>
            <w:noWrap/>
            <w:vAlign w:val="bottom"/>
            <w:hideMark/>
          </w:tcPr>
          <w:p w14:paraId="44D3E36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8,48%</w:t>
            </w:r>
          </w:p>
        </w:tc>
        <w:tc>
          <w:tcPr>
            <w:tcW w:w="426" w:type="pct"/>
            <w:tcBorders>
              <w:top w:val="nil"/>
              <w:left w:val="nil"/>
              <w:bottom w:val="single" w:sz="4" w:space="0" w:color="auto"/>
              <w:right w:val="single" w:sz="4" w:space="0" w:color="auto"/>
            </w:tcBorders>
            <w:noWrap/>
            <w:vAlign w:val="bottom"/>
            <w:hideMark/>
          </w:tcPr>
          <w:p w14:paraId="0FC715C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310.487,47</w:t>
            </w:r>
          </w:p>
        </w:tc>
        <w:tc>
          <w:tcPr>
            <w:tcW w:w="459" w:type="pct"/>
            <w:tcBorders>
              <w:top w:val="nil"/>
              <w:left w:val="nil"/>
              <w:bottom w:val="single" w:sz="4" w:space="0" w:color="auto"/>
              <w:right w:val="single" w:sz="4" w:space="0" w:color="auto"/>
            </w:tcBorders>
            <w:noWrap/>
            <w:vAlign w:val="bottom"/>
            <w:hideMark/>
          </w:tcPr>
          <w:p w14:paraId="639BFBD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721A356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7280CF9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310.487,47</w:t>
            </w:r>
          </w:p>
        </w:tc>
        <w:tc>
          <w:tcPr>
            <w:tcW w:w="501" w:type="pct"/>
            <w:tcBorders>
              <w:top w:val="nil"/>
              <w:left w:val="nil"/>
              <w:bottom w:val="single" w:sz="4" w:space="0" w:color="auto"/>
              <w:right w:val="single" w:sz="4" w:space="0" w:color="auto"/>
            </w:tcBorders>
            <w:noWrap/>
            <w:vAlign w:val="bottom"/>
            <w:hideMark/>
          </w:tcPr>
          <w:p w14:paraId="52A8E63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3493B5E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1B6191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310.487,47</w:t>
            </w:r>
          </w:p>
        </w:tc>
        <w:tc>
          <w:tcPr>
            <w:tcW w:w="342" w:type="pct"/>
            <w:tcBorders>
              <w:top w:val="nil"/>
              <w:left w:val="nil"/>
              <w:bottom w:val="single" w:sz="4" w:space="0" w:color="auto"/>
              <w:right w:val="single" w:sz="4" w:space="0" w:color="auto"/>
            </w:tcBorders>
            <w:noWrap/>
            <w:vAlign w:val="bottom"/>
            <w:hideMark/>
          </w:tcPr>
          <w:p w14:paraId="61EC52D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56751550" w14:textId="77777777" w:rsidTr="006D51C0">
        <w:trPr>
          <w:trHeight w:val="600"/>
        </w:trPr>
        <w:tc>
          <w:tcPr>
            <w:tcW w:w="797" w:type="pct"/>
            <w:tcBorders>
              <w:top w:val="nil"/>
              <w:left w:val="single" w:sz="4" w:space="0" w:color="auto"/>
              <w:bottom w:val="single" w:sz="4" w:space="0" w:color="auto"/>
              <w:right w:val="single" w:sz="4" w:space="0" w:color="auto"/>
            </w:tcBorders>
            <w:vAlign w:val="bottom"/>
            <w:hideMark/>
          </w:tcPr>
          <w:p w14:paraId="47E1619E" w14:textId="77777777" w:rsidR="006D51C0" w:rsidRPr="006D51C0" w:rsidRDefault="006D51C0">
            <w:pPr>
              <w:rPr>
                <w:rFonts w:ascii="Roboto" w:hAnsi="Roboto"/>
                <w:color w:val="000000"/>
                <w:sz w:val="18"/>
                <w:szCs w:val="18"/>
              </w:rPr>
            </w:pPr>
            <w:r w:rsidRPr="006D51C0">
              <w:rPr>
                <w:rFonts w:ascii="Roboto" w:hAnsi="Roboto"/>
                <w:color w:val="000000"/>
                <w:sz w:val="18"/>
                <w:szCs w:val="18"/>
              </w:rPr>
              <w:t>Avtobusno postajališče - nadstrešnica</w:t>
            </w:r>
          </w:p>
        </w:tc>
        <w:tc>
          <w:tcPr>
            <w:tcW w:w="384" w:type="pct"/>
            <w:tcBorders>
              <w:top w:val="nil"/>
              <w:left w:val="nil"/>
              <w:bottom w:val="single" w:sz="4" w:space="0" w:color="auto"/>
              <w:right w:val="single" w:sz="4" w:space="0" w:color="auto"/>
            </w:tcBorders>
            <w:noWrap/>
            <w:vAlign w:val="bottom"/>
            <w:hideMark/>
          </w:tcPr>
          <w:p w14:paraId="2C6AD5F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255.528,12</w:t>
            </w:r>
          </w:p>
        </w:tc>
        <w:tc>
          <w:tcPr>
            <w:tcW w:w="347" w:type="pct"/>
            <w:tcBorders>
              <w:top w:val="nil"/>
              <w:left w:val="nil"/>
              <w:bottom w:val="single" w:sz="4" w:space="0" w:color="auto"/>
              <w:right w:val="single" w:sz="4" w:space="0" w:color="auto"/>
            </w:tcBorders>
            <w:noWrap/>
            <w:vAlign w:val="bottom"/>
            <w:hideMark/>
          </w:tcPr>
          <w:p w14:paraId="19A06B2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6,98%</w:t>
            </w:r>
          </w:p>
        </w:tc>
        <w:tc>
          <w:tcPr>
            <w:tcW w:w="426" w:type="pct"/>
            <w:tcBorders>
              <w:top w:val="nil"/>
              <w:left w:val="nil"/>
              <w:bottom w:val="single" w:sz="4" w:space="0" w:color="auto"/>
              <w:right w:val="single" w:sz="4" w:space="0" w:color="auto"/>
            </w:tcBorders>
            <w:noWrap/>
            <w:vAlign w:val="bottom"/>
            <w:hideMark/>
          </w:tcPr>
          <w:p w14:paraId="3A3CB1D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255.528,12</w:t>
            </w:r>
          </w:p>
        </w:tc>
        <w:tc>
          <w:tcPr>
            <w:tcW w:w="459" w:type="pct"/>
            <w:tcBorders>
              <w:top w:val="nil"/>
              <w:left w:val="nil"/>
              <w:bottom w:val="single" w:sz="4" w:space="0" w:color="auto"/>
              <w:right w:val="single" w:sz="4" w:space="0" w:color="auto"/>
            </w:tcBorders>
            <w:noWrap/>
            <w:vAlign w:val="bottom"/>
            <w:hideMark/>
          </w:tcPr>
          <w:p w14:paraId="457FF8D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597A71F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49725E4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255.528,12</w:t>
            </w:r>
          </w:p>
        </w:tc>
        <w:tc>
          <w:tcPr>
            <w:tcW w:w="501" w:type="pct"/>
            <w:tcBorders>
              <w:top w:val="nil"/>
              <w:left w:val="nil"/>
              <w:bottom w:val="single" w:sz="4" w:space="0" w:color="auto"/>
              <w:right w:val="single" w:sz="4" w:space="0" w:color="auto"/>
            </w:tcBorders>
            <w:noWrap/>
            <w:vAlign w:val="bottom"/>
            <w:hideMark/>
          </w:tcPr>
          <w:p w14:paraId="4398A6C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5244302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1CF964E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255.528,12</w:t>
            </w:r>
          </w:p>
        </w:tc>
        <w:tc>
          <w:tcPr>
            <w:tcW w:w="342" w:type="pct"/>
            <w:tcBorders>
              <w:top w:val="nil"/>
              <w:left w:val="nil"/>
              <w:bottom w:val="single" w:sz="4" w:space="0" w:color="auto"/>
              <w:right w:val="single" w:sz="4" w:space="0" w:color="auto"/>
            </w:tcBorders>
            <w:noWrap/>
            <w:vAlign w:val="bottom"/>
            <w:hideMark/>
          </w:tcPr>
          <w:p w14:paraId="269FAB2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5B822691" w14:textId="77777777" w:rsidTr="006D51C0">
        <w:trPr>
          <w:trHeight w:val="300"/>
        </w:trPr>
        <w:tc>
          <w:tcPr>
            <w:tcW w:w="797" w:type="pct"/>
            <w:tcBorders>
              <w:top w:val="nil"/>
              <w:left w:val="single" w:sz="4" w:space="0" w:color="auto"/>
              <w:bottom w:val="single" w:sz="4" w:space="0" w:color="auto"/>
              <w:right w:val="single" w:sz="4" w:space="0" w:color="auto"/>
            </w:tcBorders>
            <w:vAlign w:val="bottom"/>
            <w:hideMark/>
          </w:tcPr>
          <w:p w14:paraId="64BF6F5C" w14:textId="77777777" w:rsidR="006D51C0" w:rsidRPr="006D51C0" w:rsidRDefault="006D51C0">
            <w:pPr>
              <w:rPr>
                <w:rFonts w:ascii="Roboto" w:hAnsi="Roboto"/>
                <w:color w:val="000000"/>
                <w:sz w:val="18"/>
                <w:szCs w:val="18"/>
              </w:rPr>
            </w:pPr>
            <w:r w:rsidRPr="006D51C0">
              <w:rPr>
                <w:rFonts w:ascii="Roboto" w:hAnsi="Roboto"/>
                <w:color w:val="000000"/>
                <w:sz w:val="18"/>
                <w:szCs w:val="18"/>
              </w:rPr>
              <w:t>Parkirišče z vhodom v šolo</w:t>
            </w:r>
          </w:p>
        </w:tc>
        <w:tc>
          <w:tcPr>
            <w:tcW w:w="384" w:type="pct"/>
            <w:tcBorders>
              <w:top w:val="nil"/>
              <w:left w:val="nil"/>
              <w:bottom w:val="single" w:sz="4" w:space="0" w:color="auto"/>
              <w:right w:val="single" w:sz="4" w:space="0" w:color="auto"/>
            </w:tcBorders>
            <w:noWrap/>
            <w:vAlign w:val="bottom"/>
            <w:hideMark/>
          </w:tcPr>
          <w:p w14:paraId="1F1FF95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713.840,52</w:t>
            </w:r>
          </w:p>
        </w:tc>
        <w:tc>
          <w:tcPr>
            <w:tcW w:w="347" w:type="pct"/>
            <w:tcBorders>
              <w:top w:val="nil"/>
              <w:left w:val="nil"/>
              <w:bottom w:val="single" w:sz="4" w:space="0" w:color="auto"/>
              <w:right w:val="single" w:sz="4" w:space="0" w:color="auto"/>
            </w:tcBorders>
            <w:noWrap/>
            <w:vAlign w:val="bottom"/>
            <w:hideMark/>
          </w:tcPr>
          <w:p w14:paraId="28AD14B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19,50%</w:t>
            </w:r>
          </w:p>
        </w:tc>
        <w:tc>
          <w:tcPr>
            <w:tcW w:w="426" w:type="pct"/>
            <w:tcBorders>
              <w:top w:val="nil"/>
              <w:left w:val="nil"/>
              <w:bottom w:val="single" w:sz="4" w:space="0" w:color="auto"/>
              <w:right w:val="single" w:sz="4" w:space="0" w:color="auto"/>
            </w:tcBorders>
            <w:noWrap/>
            <w:vAlign w:val="bottom"/>
            <w:hideMark/>
          </w:tcPr>
          <w:p w14:paraId="1300540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0EA33B3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713.840,52</w:t>
            </w:r>
          </w:p>
        </w:tc>
        <w:tc>
          <w:tcPr>
            <w:tcW w:w="501" w:type="pct"/>
            <w:tcBorders>
              <w:top w:val="nil"/>
              <w:left w:val="single" w:sz="4" w:space="0" w:color="auto"/>
              <w:bottom w:val="single" w:sz="4" w:space="0" w:color="auto"/>
              <w:right w:val="single" w:sz="4" w:space="0" w:color="auto"/>
            </w:tcBorders>
            <w:noWrap/>
            <w:vAlign w:val="bottom"/>
            <w:hideMark/>
          </w:tcPr>
          <w:p w14:paraId="2723CE8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713.840,52</w:t>
            </w:r>
          </w:p>
        </w:tc>
        <w:tc>
          <w:tcPr>
            <w:tcW w:w="501" w:type="pct"/>
            <w:tcBorders>
              <w:top w:val="nil"/>
              <w:left w:val="nil"/>
              <w:bottom w:val="single" w:sz="4" w:space="0" w:color="auto"/>
              <w:right w:val="single" w:sz="4" w:space="0" w:color="auto"/>
            </w:tcBorders>
            <w:noWrap/>
            <w:vAlign w:val="bottom"/>
            <w:hideMark/>
          </w:tcPr>
          <w:p w14:paraId="23B6DC3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392A4B1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2690BFC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1A18FA4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B461AE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6342DA0D" w14:textId="77777777" w:rsidTr="006D51C0">
        <w:trPr>
          <w:trHeight w:val="300"/>
        </w:trPr>
        <w:tc>
          <w:tcPr>
            <w:tcW w:w="797" w:type="pct"/>
            <w:tcBorders>
              <w:top w:val="nil"/>
              <w:left w:val="single" w:sz="4" w:space="0" w:color="auto"/>
              <w:bottom w:val="single" w:sz="4" w:space="0" w:color="auto"/>
              <w:right w:val="single" w:sz="4" w:space="0" w:color="auto"/>
            </w:tcBorders>
            <w:shd w:val="clear" w:color="000000" w:fill="D9D9D9"/>
            <w:vAlign w:val="bottom"/>
            <w:hideMark/>
          </w:tcPr>
          <w:p w14:paraId="2B0E7A0B" w14:textId="77777777" w:rsidR="006D51C0" w:rsidRPr="006D51C0" w:rsidRDefault="006D51C0">
            <w:pPr>
              <w:rPr>
                <w:rFonts w:ascii="Arial" w:hAnsi="Arial" w:cs="Arial"/>
                <w:i/>
                <w:iCs/>
                <w:color w:val="000000"/>
                <w:sz w:val="18"/>
                <w:szCs w:val="18"/>
              </w:rPr>
            </w:pPr>
            <w:r w:rsidRPr="006D51C0">
              <w:rPr>
                <w:rFonts w:ascii="Arial" w:hAnsi="Arial" w:cs="Arial"/>
                <w:i/>
                <w:iCs/>
                <w:color w:val="000000"/>
                <w:sz w:val="18"/>
                <w:szCs w:val="18"/>
              </w:rPr>
              <w:t>Skupaj GOI dela</w:t>
            </w:r>
          </w:p>
        </w:tc>
        <w:tc>
          <w:tcPr>
            <w:tcW w:w="384" w:type="pct"/>
            <w:tcBorders>
              <w:top w:val="nil"/>
              <w:left w:val="nil"/>
              <w:bottom w:val="single" w:sz="4" w:space="0" w:color="auto"/>
              <w:right w:val="single" w:sz="4" w:space="0" w:color="auto"/>
            </w:tcBorders>
            <w:shd w:val="clear" w:color="000000" w:fill="D9D9D9"/>
            <w:noWrap/>
            <w:vAlign w:val="bottom"/>
            <w:hideMark/>
          </w:tcPr>
          <w:p w14:paraId="656CCB04"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2.517.715,06</w:t>
            </w:r>
          </w:p>
        </w:tc>
        <w:tc>
          <w:tcPr>
            <w:tcW w:w="347" w:type="pct"/>
            <w:tcBorders>
              <w:top w:val="nil"/>
              <w:left w:val="nil"/>
              <w:bottom w:val="single" w:sz="4" w:space="0" w:color="auto"/>
              <w:right w:val="single" w:sz="4" w:space="0" w:color="auto"/>
            </w:tcBorders>
            <w:shd w:val="clear" w:color="000000" w:fill="D9D9D9"/>
            <w:noWrap/>
            <w:vAlign w:val="bottom"/>
            <w:hideMark/>
          </w:tcPr>
          <w:p w14:paraId="19B53C2F"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68,77%</w:t>
            </w:r>
          </w:p>
        </w:tc>
        <w:tc>
          <w:tcPr>
            <w:tcW w:w="426" w:type="pct"/>
            <w:tcBorders>
              <w:top w:val="nil"/>
              <w:left w:val="nil"/>
              <w:bottom w:val="single" w:sz="4" w:space="0" w:color="auto"/>
              <w:right w:val="single" w:sz="4" w:space="0" w:color="auto"/>
            </w:tcBorders>
            <w:shd w:val="clear" w:color="000000" w:fill="D9D9D9"/>
            <w:noWrap/>
            <w:vAlign w:val="bottom"/>
            <w:hideMark/>
          </w:tcPr>
          <w:p w14:paraId="58D2A7D9"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1.803.874,54</w:t>
            </w:r>
          </w:p>
        </w:tc>
        <w:tc>
          <w:tcPr>
            <w:tcW w:w="459" w:type="pct"/>
            <w:tcBorders>
              <w:top w:val="nil"/>
              <w:left w:val="nil"/>
              <w:bottom w:val="single" w:sz="4" w:space="0" w:color="auto"/>
              <w:right w:val="single" w:sz="4" w:space="0" w:color="auto"/>
            </w:tcBorders>
            <w:shd w:val="clear" w:color="000000" w:fill="D9D9D9"/>
            <w:noWrap/>
            <w:vAlign w:val="bottom"/>
            <w:hideMark/>
          </w:tcPr>
          <w:p w14:paraId="247E0255"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713.840,52</w:t>
            </w:r>
          </w:p>
        </w:tc>
        <w:tc>
          <w:tcPr>
            <w:tcW w:w="501" w:type="pct"/>
            <w:tcBorders>
              <w:top w:val="nil"/>
              <w:left w:val="single" w:sz="4" w:space="0" w:color="auto"/>
              <w:bottom w:val="single" w:sz="4" w:space="0" w:color="auto"/>
              <w:right w:val="single" w:sz="4" w:space="0" w:color="auto"/>
            </w:tcBorders>
            <w:shd w:val="clear" w:color="000000" w:fill="D9D9D9"/>
            <w:noWrap/>
            <w:vAlign w:val="bottom"/>
            <w:hideMark/>
          </w:tcPr>
          <w:p w14:paraId="112C29D5"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1.803.122,64</w:t>
            </w:r>
          </w:p>
        </w:tc>
        <w:tc>
          <w:tcPr>
            <w:tcW w:w="501" w:type="pct"/>
            <w:tcBorders>
              <w:top w:val="nil"/>
              <w:left w:val="nil"/>
              <w:bottom w:val="single" w:sz="4" w:space="0" w:color="auto"/>
              <w:right w:val="single" w:sz="4" w:space="0" w:color="auto"/>
            </w:tcBorders>
            <w:shd w:val="clear" w:color="000000" w:fill="D9D9D9"/>
            <w:noWrap/>
            <w:vAlign w:val="bottom"/>
            <w:hideMark/>
          </w:tcPr>
          <w:p w14:paraId="664D97A2"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566.015,59</w:t>
            </w:r>
          </w:p>
        </w:tc>
        <w:tc>
          <w:tcPr>
            <w:tcW w:w="501" w:type="pct"/>
            <w:tcBorders>
              <w:top w:val="nil"/>
              <w:left w:val="nil"/>
              <w:bottom w:val="single" w:sz="4" w:space="0" w:color="auto"/>
              <w:right w:val="single" w:sz="4" w:space="0" w:color="auto"/>
            </w:tcBorders>
            <w:shd w:val="clear" w:color="000000" w:fill="D9D9D9"/>
            <w:noWrap/>
            <w:vAlign w:val="bottom"/>
            <w:hideMark/>
          </w:tcPr>
          <w:p w14:paraId="49BF1817"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148.576,83</w:t>
            </w:r>
          </w:p>
        </w:tc>
        <w:tc>
          <w:tcPr>
            <w:tcW w:w="398" w:type="pct"/>
            <w:tcBorders>
              <w:top w:val="nil"/>
              <w:left w:val="nil"/>
              <w:bottom w:val="single" w:sz="4" w:space="0" w:color="auto"/>
              <w:right w:val="single" w:sz="4" w:space="0" w:color="auto"/>
            </w:tcBorders>
            <w:shd w:val="clear" w:color="000000" w:fill="D9D9D9"/>
            <w:noWrap/>
            <w:vAlign w:val="bottom"/>
            <w:hideMark/>
          </w:tcPr>
          <w:p w14:paraId="430BF5F5"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1.089.282,12</w:t>
            </w:r>
          </w:p>
        </w:tc>
        <w:tc>
          <w:tcPr>
            <w:tcW w:w="342" w:type="pct"/>
            <w:tcBorders>
              <w:top w:val="nil"/>
              <w:left w:val="nil"/>
              <w:bottom w:val="single" w:sz="4" w:space="0" w:color="auto"/>
              <w:right w:val="single" w:sz="4" w:space="0" w:color="auto"/>
            </w:tcBorders>
            <w:shd w:val="clear" w:color="000000" w:fill="D9D9D9"/>
            <w:noWrap/>
            <w:vAlign w:val="bottom"/>
            <w:hideMark/>
          </w:tcPr>
          <w:p w14:paraId="3CE79C69"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566.015,59</w:t>
            </w:r>
          </w:p>
        </w:tc>
        <w:tc>
          <w:tcPr>
            <w:tcW w:w="342" w:type="pct"/>
            <w:tcBorders>
              <w:top w:val="nil"/>
              <w:left w:val="nil"/>
              <w:bottom w:val="single" w:sz="4" w:space="0" w:color="auto"/>
              <w:right w:val="single" w:sz="4" w:space="0" w:color="auto"/>
            </w:tcBorders>
            <w:shd w:val="clear" w:color="000000" w:fill="D9D9D9"/>
            <w:noWrap/>
            <w:vAlign w:val="bottom"/>
            <w:hideMark/>
          </w:tcPr>
          <w:p w14:paraId="1C682AE8" w14:textId="77777777" w:rsidR="006D51C0" w:rsidRPr="006D51C0" w:rsidRDefault="006D51C0">
            <w:pPr>
              <w:jc w:val="right"/>
              <w:rPr>
                <w:rFonts w:ascii="Arial" w:hAnsi="Arial" w:cs="Arial"/>
                <w:i/>
                <w:iCs/>
                <w:color w:val="000000"/>
                <w:sz w:val="18"/>
                <w:szCs w:val="18"/>
              </w:rPr>
            </w:pPr>
            <w:r w:rsidRPr="006D51C0">
              <w:rPr>
                <w:rFonts w:ascii="Arial" w:hAnsi="Arial" w:cs="Arial"/>
                <w:i/>
                <w:iCs/>
                <w:color w:val="000000"/>
                <w:sz w:val="18"/>
                <w:szCs w:val="18"/>
              </w:rPr>
              <w:t>148.576,83</w:t>
            </w:r>
          </w:p>
        </w:tc>
      </w:tr>
      <w:tr w:rsidR="006D51C0" w:rsidRPr="006D51C0" w14:paraId="0792A061"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16B40169"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Strokovni nadzor</w:t>
            </w:r>
          </w:p>
        </w:tc>
        <w:tc>
          <w:tcPr>
            <w:tcW w:w="384" w:type="pct"/>
            <w:tcBorders>
              <w:top w:val="nil"/>
              <w:left w:val="nil"/>
              <w:bottom w:val="single" w:sz="4" w:space="0" w:color="auto"/>
              <w:right w:val="single" w:sz="4" w:space="0" w:color="auto"/>
            </w:tcBorders>
            <w:noWrap/>
            <w:vAlign w:val="bottom"/>
            <w:hideMark/>
          </w:tcPr>
          <w:p w14:paraId="12A6E71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75.531,45</w:t>
            </w:r>
          </w:p>
        </w:tc>
        <w:tc>
          <w:tcPr>
            <w:tcW w:w="347" w:type="pct"/>
            <w:tcBorders>
              <w:top w:val="nil"/>
              <w:left w:val="nil"/>
              <w:bottom w:val="single" w:sz="4" w:space="0" w:color="auto"/>
              <w:right w:val="single" w:sz="4" w:space="0" w:color="auto"/>
            </w:tcBorders>
            <w:noWrap/>
            <w:vAlign w:val="bottom"/>
            <w:hideMark/>
          </w:tcPr>
          <w:p w14:paraId="27FB73C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2,06%</w:t>
            </w:r>
          </w:p>
        </w:tc>
        <w:tc>
          <w:tcPr>
            <w:tcW w:w="426" w:type="pct"/>
            <w:tcBorders>
              <w:top w:val="nil"/>
              <w:left w:val="nil"/>
              <w:bottom w:val="single" w:sz="4" w:space="0" w:color="auto"/>
              <w:right w:val="single" w:sz="4" w:space="0" w:color="auto"/>
            </w:tcBorders>
            <w:noWrap/>
            <w:vAlign w:val="bottom"/>
            <w:hideMark/>
          </w:tcPr>
          <w:p w14:paraId="74959C1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75.531,45</w:t>
            </w:r>
          </w:p>
        </w:tc>
        <w:tc>
          <w:tcPr>
            <w:tcW w:w="459" w:type="pct"/>
            <w:tcBorders>
              <w:top w:val="nil"/>
              <w:left w:val="nil"/>
              <w:bottom w:val="single" w:sz="4" w:space="0" w:color="auto"/>
              <w:right w:val="single" w:sz="4" w:space="0" w:color="auto"/>
            </w:tcBorders>
            <w:noWrap/>
            <w:vAlign w:val="bottom"/>
            <w:hideMark/>
          </w:tcPr>
          <w:p w14:paraId="2A930A4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65FE4ED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53.629,26</w:t>
            </w:r>
          </w:p>
        </w:tc>
        <w:tc>
          <w:tcPr>
            <w:tcW w:w="501" w:type="pct"/>
            <w:tcBorders>
              <w:top w:val="nil"/>
              <w:left w:val="nil"/>
              <w:bottom w:val="single" w:sz="4" w:space="0" w:color="auto"/>
              <w:right w:val="single" w:sz="4" w:space="0" w:color="auto"/>
            </w:tcBorders>
            <w:noWrap/>
            <w:vAlign w:val="bottom"/>
            <w:hideMark/>
          </w:tcPr>
          <w:p w14:paraId="68234A0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17.458,25</w:t>
            </w:r>
          </w:p>
        </w:tc>
        <w:tc>
          <w:tcPr>
            <w:tcW w:w="501" w:type="pct"/>
            <w:tcBorders>
              <w:top w:val="nil"/>
              <w:left w:val="nil"/>
              <w:bottom w:val="single" w:sz="4" w:space="0" w:color="auto"/>
              <w:right w:val="single" w:sz="4" w:space="0" w:color="auto"/>
            </w:tcBorders>
            <w:noWrap/>
            <w:vAlign w:val="bottom"/>
            <w:hideMark/>
          </w:tcPr>
          <w:p w14:paraId="2CDC943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4.443,94</w:t>
            </w:r>
          </w:p>
        </w:tc>
        <w:tc>
          <w:tcPr>
            <w:tcW w:w="398" w:type="pct"/>
            <w:tcBorders>
              <w:top w:val="nil"/>
              <w:left w:val="nil"/>
              <w:bottom w:val="single" w:sz="4" w:space="0" w:color="auto"/>
              <w:right w:val="single" w:sz="4" w:space="0" w:color="auto"/>
            </w:tcBorders>
            <w:noWrap/>
            <w:vAlign w:val="bottom"/>
            <w:hideMark/>
          </w:tcPr>
          <w:p w14:paraId="252DC98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53.629,26</w:t>
            </w:r>
          </w:p>
        </w:tc>
        <w:tc>
          <w:tcPr>
            <w:tcW w:w="342" w:type="pct"/>
            <w:tcBorders>
              <w:top w:val="nil"/>
              <w:left w:val="nil"/>
              <w:bottom w:val="single" w:sz="4" w:space="0" w:color="auto"/>
              <w:right w:val="single" w:sz="4" w:space="0" w:color="auto"/>
            </w:tcBorders>
            <w:noWrap/>
            <w:vAlign w:val="bottom"/>
            <w:hideMark/>
          </w:tcPr>
          <w:p w14:paraId="6898526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17.458,25</w:t>
            </w:r>
          </w:p>
        </w:tc>
        <w:tc>
          <w:tcPr>
            <w:tcW w:w="342" w:type="pct"/>
            <w:tcBorders>
              <w:top w:val="nil"/>
              <w:left w:val="nil"/>
              <w:bottom w:val="single" w:sz="4" w:space="0" w:color="auto"/>
              <w:right w:val="single" w:sz="4" w:space="0" w:color="auto"/>
            </w:tcBorders>
            <w:noWrap/>
            <w:vAlign w:val="bottom"/>
            <w:hideMark/>
          </w:tcPr>
          <w:p w14:paraId="369EDD0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4.443,94</w:t>
            </w:r>
          </w:p>
        </w:tc>
      </w:tr>
      <w:tr w:rsidR="006D51C0" w:rsidRPr="006D51C0" w14:paraId="4156B44E"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1F1F5141"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Projektna dokumentacija</w:t>
            </w:r>
          </w:p>
        </w:tc>
        <w:tc>
          <w:tcPr>
            <w:tcW w:w="384" w:type="pct"/>
            <w:tcBorders>
              <w:top w:val="nil"/>
              <w:left w:val="nil"/>
              <w:bottom w:val="single" w:sz="4" w:space="0" w:color="auto"/>
              <w:right w:val="single" w:sz="4" w:space="0" w:color="auto"/>
            </w:tcBorders>
            <w:noWrap/>
            <w:vAlign w:val="bottom"/>
            <w:hideMark/>
          </w:tcPr>
          <w:p w14:paraId="0F7CDDF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97.869,62</w:t>
            </w:r>
          </w:p>
        </w:tc>
        <w:tc>
          <w:tcPr>
            <w:tcW w:w="347" w:type="pct"/>
            <w:tcBorders>
              <w:top w:val="nil"/>
              <w:left w:val="nil"/>
              <w:bottom w:val="single" w:sz="4" w:space="0" w:color="auto"/>
              <w:right w:val="single" w:sz="4" w:space="0" w:color="auto"/>
            </w:tcBorders>
            <w:noWrap/>
            <w:vAlign w:val="bottom"/>
            <w:hideMark/>
          </w:tcPr>
          <w:p w14:paraId="445B2A4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2,67%</w:t>
            </w:r>
          </w:p>
        </w:tc>
        <w:tc>
          <w:tcPr>
            <w:tcW w:w="426" w:type="pct"/>
            <w:tcBorders>
              <w:top w:val="nil"/>
              <w:left w:val="nil"/>
              <w:bottom w:val="single" w:sz="4" w:space="0" w:color="auto"/>
              <w:right w:val="single" w:sz="4" w:space="0" w:color="auto"/>
            </w:tcBorders>
            <w:noWrap/>
            <w:vAlign w:val="bottom"/>
            <w:hideMark/>
          </w:tcPr>
          <w:p w14:paraId="7872142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97.869,62</w:t>
            </w:r>
          </w:p>
        </w:tc>
        <w:tc>
          <w:tcPr>
            <w:tcW w:w="459" w:type="pct"/>
            <w:tcBorders>
              <w:top w:val="nil"/>
              <w:left w:val="nil"/>
              <w:bottom w:val="single" w:sz="4" w:space="0" w:color="auto"/>
              <w:right w:val="single" w:sz="4" w:space="0" w:color="auto"/>
            </w:tcBorders>
            <w:noWrap/>
            <w:vAlign w:val="bottom"/>
            <w:hideMark/>
          </w:tcPr>
          <w:p w14:paraId="4B7BE9A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6BBF31E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69.489,94</w:t>
            </w:r>
          </w:p>
        </w:tc>
        <w:tc>
          <w:tcPr>
            <w:tcW w:w="501" w:type="pct"/>
            <w:tcBorders>
              <w:top w:val="nil"/>
              <w:left w:val="nil"/>
              <w:bottom w:val="single" w:sz="4" w:space="0" w:color="auto"/>
              <w:right w:val="single" w:sz="4" w:space="0" w:color="auto"/>
            </w:tcBorders>
            <w:noWrap/>
            <w:vAlign w:val="bottom"/>
            <w:hideMark/>
          </w:tcPr>
          <w:p w14:paraId="20E9AE3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22.621,47</w:t>
            </w:r>
          </w:p>
        </w:tc>
        <w:tc>
          <w:tcPr>
            <w:tcW w:w="501" w:type="pct"/>
            <w:tcBorders>
              <w:top w:val="nil"/>
              <w:left w:val="nil"/>
              <w:bottom w:val="single" w:sz="4" w:space="0" w:color="auto"/>
              <w:right w:val="single" w:sz="4" w:space="0" w:color="auto"/>
            </w:tcBorders>
            <w:noWrap/>
            <w:vAlign w:val="bottom"/>
            <w:hideMark/>
          </w:tcPr>
          <w:p w14:paraId="3FCDBC1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5.758,22</w:t>
            </w:r>
          </w:p>
        </w:tc>
        <w:tc>
          <w:tcPr>
            <w:tcW w:w="398" w:type="pct"/>
            <w:tcBorders>
              <w:top w:val="nil"/>
              <w:left w:val="nil"/>
              <w:bottom w:val="single" w:sz="4" w:space="0" w:color="auto"/>
              <w:right w:val="single" w:sz="4" w:space="0" w:color="auto"/>
            </w:tcBorders>
            <w:noWrap/>
            <w:vAlign w:val="bottom"/>
            <w:hideMark/>
          </w:tcPr>
          <w:p w14:paraId="52B6849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69.489,94</w:t>
            </w:r>
          </w:p>
        </w:tc>
        <w:tc>
          <w:tcPr>
            <w:tcW w:w="342" w:type="pct"/>
            <w:tcBorders>
              <w:top w:val="nil"/>
              <w:left w:val="nil"/>
              <w:bottom w:val="single" w:sz="4" w:space="0" w:color="auto"/>
              <w:right w:val="single" w:sz="4" w:space="0" w:color="auto"/>
            </w:tcBorders>
            <w:noWrap/>
            <w:vAlign w:val="bottom"/>
            <w:hideMark/>
          </w:tcPr>
          <w:p w14:paraId="3F098FD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22.621,47</w:t>
            </w:r>
          </w:p>
        </w:tc>
        <w:tc>
          <w:tcPr>
            <w:tcW w:w="342" w:type="pct"/>
            <w:tcBorders>
              <w:top w:val="nil"/>
              <w:left w:val="nil"/>
              <w:bottom w:val="single" w:sz="4" w:space="0" w:color="auto"/>
              <w:right w:val="single" w:sz="4" w:space="0" w:color="auto"/>
            </w:tcBorders>
            <w:noWrap/>
            <w:vAlign w:val="bottom"/>
            <w:hideMark/>
          </w:tcPr>
          <w:p w14:paraId="6CDEFB2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5.758,22</w:t>
            </w:r>
          </w:p>
        </w:tc>
      </w:tr>
      <w:tr w:rsidR="006D51C0" w:rsidRPr="006D51C0" w14:paraId="3FAA28C3"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364FEEC6"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Inženiring</w:t>
            </w:r>
          </w:p>
        </w:tc>
        <w:tc>
          <w:tcPr>
            <w:tcW w:w="384" w:type="pct"/>
            <w:tcBorders>
              <w:top w:val="nil"/>
              <w:left w:val="nil"/>
              <w:bottom w:val="single" w:sz="4" w:space="0" w:color="auto"/>
              <w:right w:val="single" w:sz="4" w:space="0" w:color="auto"/>
            </w:tcBorders>
            <w:noWrap/>
            <w:vAlign w:val="bottom"/>
            <w:hideMark/>
          </w:tcPr>
          <w:p w14:paraId="338804F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25.177,15</w:t>
            </w:r>
          </w:p>
        </w:tc>
        <w:tc>
          <w:tcPr>
            <w:tcW w:w="347" w:type="pct"/>
            <w:tcBorders>
              <w:top w:val="nil"/>
              <w:left w:val="nil"/>
              <w:bottom w:val="single" w:sz="4" w:space="0" w:color="auto"/>
              <w:right w:val="single" w:sz="4" w:space="0" w:color="auto"/>
            </w:tcBorders>
            <w:noWrap/>
            <w:vAlign w:val="bottom"/>
            <w:hideMark/>
          </w:tcPr>
          <w:p w14:paraId="0434165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0,69%</w:t>
            </w:r>
          </w:p>
        </w:tc>
        <w:tc>
          <w:tcPr>
            <w:tcW w:w="426" w:type="pct"/>
            <w:tcBorders>
              <w:top w:val="nil"/>
              <w:left w:val="nil"/>
              <w:bottom w:val="single" w:sz="4" w:space="0" w:color="auto"/>
              <w:right w:val="single" w:sz="4" w:space="0" w:color="auto"/>
            </w:tcBorders>
            <w:noWrap/>
            <w:vAlign w:val="bottom"/>
            <w:hideMark/>
          </w:tcPr>
          <w:p w14:paraId="5D498C1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25.177,15</w:t>
            </w:r>
          </w:p>
        </w:tc>
        <w:tc>
          <w:tcPr>
            <w:tcW w:w="459" w:type="pct"/>
            <w:tcBorders>
              <w:top w:val="nil"/>
              <w:left w:val="nil"/>
              <w:bottom w:val="single" w:sz="4" w:space="0" w:color="auto"/>
              <w:right w:val="single" w:sz="4" w:space="0" w:color="auto"/>
            </w:tcBorders>
            <w:noWrap/>
            <w:vAlign w:val="bottom"/>
            <w:hideMark/>
          </w:tcPr>
          <w:p w14:paraId="6990976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6B0C97E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18.031,23</w:t>
            </w:r>
          </w:p>
        </w:tc>
        <w:tc>
          <w:tcPr>
            <w:tcW w:w="501" w:type="pct"/>
            <w:tcBorders>
              <w:top w:val="nil"/>
              <w:left w:val="nil"/>
              <w:bottom w:val="single" w:sz="4" w:space="0" w:color="auto"/>
              <w:right w:val="single" w:sz="4" w:space="0" w:color="auto"/>
            </w:tcBorders>
            <w:noWrap/>
            <w:vAlign w:val="bottom"/>
            <w:hideMark/>
          </w:tcPr>
          <w:p w14:paraId="5D2CDBE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5.660,16</w:t>
            </w:r>
          </w:p>
        </w:tc>
        <w:tc>
          <w:tcPr>
            <w:tcW w:w="501" w:type="pct"/>
            <w:tcBorders>
              <w:top w:val="nil"/>
              <w:left w:val="nil"/>
              <w:bottom w:val="single" w:sz="4" w:space="0" w:color="auto"/>
              <w:right w:val="single" w:sz="4" w:space="0" w:color="auto"/>
            </w:tcBorders>
            <w:noWrap/>
            <w:vAlign w:val="bottom"/>
            <w:hideMark/>
          </w:tcPr>
          <w:p w14:paraId="1CFC018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1.485,77</w:t>
            </w:r>
          </w:p>
        </w:tc>
        <w:tc>
          <w:tcPr>
            <w:tcW w:w="398" w:type="pct"/>
            <w:tcBorders>
              <w:top w:val="nil"/>
              <w:left w:val="nil"/>
              <w:bottom w:val="single" w:sz="4" w:space="0" w:color="auto"/>
              <w:right w:val="single" w:sz="4" w:space="0" w:color="auto"/>
            </w:tcBorders>
            <w:noWrap/>
            <w:vAlign w:val="bottom"/>
            <w:hideMark/>
          </w:tcPr>
          <w:p w14:paraId="0AD494F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18.031,23</w:t>
            </w:r>
          </w:p>
        </w:tc>
        <w:tc>
          <w:tcPr>
            <w:tcW w:w="342" w:type="pct"/>
            <w:tcBorders>
              <w:top w:val="nil"/>
              <w:left w:val="nil"/>
              <w:bottom w:val="single" w:sz="4" w:space="0" w:color="auto"/>
              <w:right w:val="single" w:sz="4" w:space="0" w:color="auto"/>
            </w:tcBorders>
            <w:noWrap/>
            <w:vAlign w:val="bottom"/>
            <w:hideMark/>
          </w:tcPr>
          <w:p w14:paraId="1864265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5.660,16</w:t>
            </w:r>
          </w:p>
        </w:tc>
        <w:tc>
          <w:tcPr>
            <w:tcW w:w="342" w:type="pct"/>
            <w:tcBorders>
              <w:top w:val="nil"/>
              <w:left w:val="nil"/>
              <w:bottom w:val="single" w:sz="4" w:space="0" w:color="auto"/>
              <w:right w:val="single" w:sz="4" w:space="0" w:color="auto"/>
            </w:tcBorders>
            <w:noWrap/>
            <w:vAlign w:val="bottom"/>
            <w:hideMark/>
          </w:tcPr>
          <w:p w14:paraId="551FCA8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1.485,77</w:t>
            </w:r>
          </w:p>
        </w:tc>
      </w:tr>
      <w:tr w:rsidR="006D51C0" w:rsidRPr="006D51C0" w14:paraId="53E8964A" w14:textId="77777777" w:rsidTr="006D51C0">
        <w:trPr>
          <w:trHeight w:val="300"/>
        </w:trPr>
        <w:tc>
          <w:tcPr>
            <w:tcW w:w="797" w:type="pct"/>
            <w:tcBorders>
              <w:top w:val="nil"/>
              <w:left w:val="single" w:sz="4" w:space="0" w:color="auto"/>
              <w:bottom w:val="single" w:sz="4" w:space="0" w:color="auto"/>
              <w:right w:val="single" w:sz="4" w:space="0" w:color="auto"/>
            </w:tcBorders>
            <w:vAlign w:val="bottom"/>
            <w:hideMark/>
          </w:tcPr>
          <w:p w14:paraId="7DEA9AC0"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Obveščanje javnosti</w:t>
            </w:r>
          </w:p>
        </w:tc>
        <w:tc>
          <w:tcPr>
            <w:tcW w:w="384" w:type="pct"/>
            <w:tcBorders>
              <w:top w:val="nil"/>
              <w:left w:val="nil"/>
              <w:bottom w:val="single" w:sz="4" w:space="0" w:color="auto"/>
              <w:right w:val="single" w:sz="4" w:space="0" w:color="auto"/>
            </w:tcBorders>
            <w:noWrap/>
            <w:vAlign w:val="bottom"/>
            <w:hideMark/>
          </w:tcPr>
          <w:p w14:paraId="2C3FB6C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4.327,11</w:t>
            </w:r>
          </w:p>
        </w:tc>
        <w:tc>
          <w:tcPr>
            <w:tcW w:w="347" w:type="pct"/>
            <w:tcBorders>
              <w:top w:val="nil"/>
              <w:left w:val="nil"/>
              <w:bottom w:val="single" w:sz="4" w:space="0" w:color="auto"/>
              <w:right w:val="single" w:sz="4" w:space="0" w:color="auto"/>
            </w:tcBorders>
            <w:noWrap/>
            <w:vAlign w:val="bottom"/>
            <w:hideMark/>
          </w:tcPr>
          <w:p w14:paraId="2352DF7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0,12%</w:t>
            </w:r>
          </w:p>
        </w:tc>
        <w:tc>
          <w:tcPr>
            <w:tcW w:w="426" w:type="pct"/>
            <w:tcBorders>
              <w:top w:val="nil"/>
              <w:left w:val="nil"/>
              <w:bottom w:val="single" w:sz="4" w:space="0" w:color="auto"/>
              <w:right w:val="single" w:sz="4" w:space="0" w:color="auto"/>
            </w:tcBorders>
            <w:noWrap/>
            <w:vAlign w:val="bottom"/>
            <w:hideMark/>
          </w:tcPr>
          <w:p w14:paraId="3D53611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4.327,11</w:t>
            </w:r>
          </w:p>
        </w:tc>
        <w:tc>
          <w:tcPr>
            <w:tcW w:w="459" w:type="pct"/>
            <w:tcBorders>
              <w:top w:val="nil"/>
              <w:left w:val="nil"/>
              <w:bottom w:val="single" w:sz="4" w:space="0" w:color="auto"/>
              <w:right w:val="single" w:sz="4" w:space="0" w:color="auto"/>
            </w:tcBorders>
            <w:noWrap/>
            <w:vAlign w:val="bottom"/>
            <w:hideMark/>
          </w:tcPr>
          <w:p w14:paraId="42BFDA0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551B833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3.072,36</w:t>
            </w:r>
          </w:p>
        </w:tc>
        <w:tc>
          <w:tcPr>
            <w:tcW w:w="501" w:type="pct"/>
            <w:tcBorders>
              <w:top w:val="nil"/>
              <w:left w:val="nil"/>
              <w:bottom w:val="single" w:sz="4" w:space="0" w:color="auto"/>
              <w:right w:val="single" w:sz="4" w:space="0" w:color="auto"/>
            </w:tcBorders>
            <w:noWrap/>
            <w:vAlign w:val="bottom"/>
            <w:hideMark/>
          </w:tcPr>
          <w:p w14:paraId="1B851AC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1.000,16</w:t>
            </w:r>
          </w:p>
        </w:tc>
        <w:tc>
          <w:tcPr>
            <w:tcW w:w="501" w:type="pct"/>
            <w:tcBorders>
              <w:top w:val="nil"/>
              <w:left w:val="nil"/>
              <w:bottom w:val="single" w:sz="4" w:space="0" w:color="auto"/>
              <w:right w:val="single" w:sz="4" w:space="0" w:color="auto"/>
            </w:tcBorders>
            <w:noWrap/>
            <w:vAlign w:val="bottom"/>
            <w:hideMark/>
          </w:tcPr>
          <w:p w14:paraId="5C607F8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254,59</w:t>
            </w:r>
          </w:p>
        </w:tc>
        <w:tc>
          <w:tcPr>
            <w:tcW w:w="398" w:type="pct"/>
            <w:tcBorders>
              <w:top w:val="nil"/>
              <w:left w:val="nil"/>
              <w:bottom w:val="single" w:sz="4" w:space="0" w:color="auto"/>
              <w:right w:val="single" w:sz="4" w:space="0" w:color="auto"/>
            </w:tcBorders>
            <w:noWrap/>
            <w:vAlign w:val="bottom"/>
            <w:hideMark/>
          </w:tcPr>
          <w:p w14:paraId="7D0881C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3.072,36</w:t>
            </w:r>
          </w:p>
        </w:tc>
        <w:tc>
          <w:tcPr>
            <w:tcW w:w="342" w:type="pct"/>
            <w:tcBorders>
              <w:top w:val="nil"/>
              <w:left w:val="nil"/>
              <w:bottom w:val="single" w:sz="4" w:space="0" w:color="auto"/>
              <w:right w:val="single" w:sz="4" w:space="0" w:color="auto"/>
            </w:tcBorders>
            <w:noWrap/>
            <w:vAlign w:val="bottom"/>
            <w:hideMark/>
          </w:tcPr>
          <w:p w14:paraId="4A68A50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1.000,16</w:t>
            </w:r>
          </w:p>
        </w:tc>
        <w:tc>
          <w:tcPr>
            <w:tcW w:w="342" w:type="pct"/>
            <w:tcBorders>
              <w:top w:val="nil"/>
              <w:left w:val="nil"/>
              <w:bottom w:val="single" w:sz="4" w:space="0" w:color="auto"/>
              <w:right w:val="single" w:sz="4" w:space="0" w:color="auto"/>
            </w:tcBorders>
            <w:noWrap/>
            <w:vAlign w:val="bottom"/>
            <w:hideMark/>
          </w:tcPr>
          <w:p w14:paraId="2B90250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254,59</w:t>
            </w:r>
          </w:p>
        </w:tc>
      </w:tr>
      <w:tr w:rsidR="006D51C0" w:rsidRPr="006D51C0" w14:paraId="51750E0A"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1CDA898C"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lastRenderedPageBreak/>
              <w:t>Investicijska in ostala dokumentacija</w:t>
            </w:r>
          </w:p>
        </w:tc>
        <w:tc>
          <w:tcPr>
            <w:tcW w:w="384" w:type="pct"/>
            <w:tcBorders>
              <w:top w:val="nil"/>
              <w:left w:val="nil"/>
              <w:bottom w:val="single" w:sz="4" w:space="0" w:color="auto"/>
              <w:right w:val="single" w:sz="4" w:space="0" w:color="auto"/>
            </w:tcBorders>
            <w:noWrap/>
            <w:vAlign w:val="bottom"/>
            <w:hideMark/>
          </w:tcPr>
          <w:p w14:paraId="06DB929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14.265,88</w:t>
            </w:r>
          </w:p>
        </w:tc>
        <w:tc>
          <w:tcPr>
            <w:tcW w:w="347" w:type="pct"/>
            <w:tcBorders>
              <w:top w:val="nil"/>
              <w:left w:val="nil"/>
              <w:bottom w:val="single" w:sz="4" w:space="0" w:color="auto"/>
              <w:right w:val="single" w:sz="4" w:space="0" w:color="auto"/>
            </w:tcBorders>
            <w:noWrap/>
            <w:vAlign w:val="bottom"/>
            <w:hideMark/>
          </w:tcPr>
          <w:p w14:paraId="309325F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0,39%</w:t>
            </w:r>
          </w:p>
        </w:tc>
        <w:tc>
          <w:tcPr>
            <w:tcW w:w="426" w:type="pct"/>
            <w:tcBorders>
              <w:top w:val="nil"/>
              <w:left w:val="nil"/>
              <w:bottom w:val="single" w:sz="4" w:space="0" w:color="auto"/>
              <w:right w:val="single" w:sz="4" w:space="0" w:color="auto"/>
            </w:tcBorders>
            <w:noWrap/>
            <w:vAlign w:val="bottom"/>
            <w:hideMark/>
          </w:tcPr>
          <w:p w14:paraId="182515C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14.265,88</w:t>
            </w:r>
          </w:p>
        </w:tc>
        <w:tc>
          <w:tcPr>
            <w:tcW w:w="459" w:type="pct"/>
            <w:tcBorders>
              <w:top w:val="nil"/>
              <w:left w:val="nil"/>
              <w:bottom w:val="single" w:sz="4" w:space="0" w:color="auto"/>
              <w:right w:val="single" w:sz="4" w:space="0" w:color="auto"/>
            </w:tcBorders>
            <w:noWrap/>
            <w:vAlign w:val="bottom"/>
            <w:hideMark/>
          </w:tcPr>
          <w:p w14:paraId="61C250D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76A3E2C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10.129,14</w:t>
            </w:r>
          </w:p>
        </w:tc>
        <w:tc>
          <w:tcPr>
            <w:tcW w:w="501" w:type="pct"/>
            <w:tcBorders>
              <w:top w:val="nil"/>
              <w:left w:val="nil"/>
              <w:bottom w:val="single" w:sz="4" w:space="0" w:color="auto"/>
              <w:right w:val="single" w:sz="4" w:space="0" w:color="auto"/>
            </w:tcBorders>
            <w:noWrap/>
            <w:vAlign w:val="bottom"/>
            <w:hideMark/>
          </w:tcPr>
          <w:p w14:paraId="083FDF9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3.297,40</w:t>
            </w:r>
          </w:p>
        </w:tc>
        <w:tc>
          <w:tcPr>
            <w:tcW w:w="501" w:type="pct"/>
            <w:tcBorders>
              <w:top w:val="nil"/>
              <w:left w:val="nil"/>
              <w:bottom w:val="single" w:sz="4" w:space="0" w:color="auto"/>
              <w:right w:val="single" w:sz="4" w:space="0" w:color="auto"/>
            </w:tcBorders>
            <w:noWrap/>
            <w:vAlign w:val="bottom"/>
            <w:hideMark/>
          </w:tcPr>
          <w:p w14:paraId="15722C2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839,34</w:t>
            </w:r>
          </w:p>
        </w:tc>
        <w:tc>
          <w:tcPr>
            <w:tcW w:w="398" w:type="pct"/>
            <w:tcBorders>
              <w:top w:val="nil"/>
              <w:left w:val="nil"/>
              <w:bottom w:val="single" w:sz="4" w:space="0" w:color="auto"/>
              <w:right w:val="single" w:sz="4" w:space="0" w:color="auto"/>
            </w:tcBorders>
            <w:noWrap/>
            <w:vAlign w:val="bottom"/>
            <w:hideMark/>
          </w:tcPr>
          <w:p w14:paraId="5813BA4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10.129,14</w:t>
            </w:r>
          </w:p>
        </w:tc>
        <w:tc>
          <w:tcPr>
            <w:tcW w:w="342" w:type="pct"/>
            <w:tcBorders>
              <w:top w:val="nil"/>
              <w:left w:val="nil"/>
              <w:bottom w:val="single" w:sz="4" w:space="0" w:color="auto"/>
              <w:right w:val="single" w:sz="4" w:space="0" w:color="auto"/>
            </w:tcBorders>
            <w:noWrap/>
            <w:vAlign w:val="bottom"/>
            <w:hideMark/>
          </w:tcPr>
          <w:p w14:paraId="07DD991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3.297,40</w:t>
            </w:r>
          </w:p>
        </w:tc>
        <w:tc>
          <w:tcPr>
            <w:tcW w:w="342" w:type="pct"/>
            <w:tcBorders>
              <w:top w:val="nil"/>
              <w:left w:val="nil"/>
              <w:bottom w:val="single" w:sz="4" w:space="0" w:color="auto"/>
              <w:right w:val="single" w:sz="4" w:space="0" w:color="auto"/>
            </w:tcBorders>
            <w:noWrap/>
            <w:vAlign w:val="bottom"/>
            <w:hideMark/>
          </w:tcPr>
          <w:p w14:paraId="5B47181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839,34</w:t>
            </w:r>
          </w:p>
        </w:tc>
      </w:tr>
      <w:tr w:rsidR="006D51C0" w:rsidRPr="006D51C0" w14:paraId="33BE356C"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12A878FE"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Stroški varnosti pri delu</w:t>
            </w:r>
          </w:p>
        </w:tc>
        <w:tc>
          <w:tcPr>
            <w:tcW w:w="384" w:type="pct"/>
            <w:tcBorders>
              <w:top w:val="nil"/>
              <w:left w:val="nil"/>
              <w:bottom w:val="single" w:sz="4" w:space="0" w:color="auto"/>
              <w:right w:val="single" w:sz="4" w:space="0" w:color="auto"/>
            </w:tcBorders>
            <w:noWrap/>
            <w:vAlign w:val="bottom"/>
            <w:hideMark/>
          </w:tcPr>
          <w:p w14:paraId="6436563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7.055,62</w:t>
            </w:r>
          </w:p>
        </w:tc>
        <w:tc>
          <w:tcPr>
            <w:tcW w:w="347" w:type="pct"/>
            <w:tcBorders>
              <w:top w:val="nil"/>
              <w:left w:val="nil"/>
              <w:bottom w:val="single" w:sz="4" w:space="0" w:color="auto"/>
              <w:right w:val="single" w:sz="4" w:space="0" w:color="auto"/>
            </w:tcBorders>
            <w:noWrap/>
            <w:vAlign w:val="bottom"/>
            <w:hideMark/>
          </w:tcPr>
          <w:p w14:paraId="1395EFF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0,19%</w:t>
            </w:r>
          </w:p>
        </w:tc>
        <w:tc>
          <w:tcPr>
            <w:tcW w:w="426" w:type="pct"/>
            <w:tcBorders>
              <w:top w:val="nil"/>
              <w:left w:val="nil"/>
              <w:bottom w:val="single" w:sz="4" w:space="0" w:color="auto"/>
              <w:right w:val="single" w:sz="4" w:space="0" w:color="auto"/>
            </w:tcBorders>
            <w:noWrap/>
            <w:vAlign w:val="bottom"/>
            <w:hideMark/>
          </w:tcPr>
          <w:p w14:paraId="7A24BAB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7.055,62</w:t>
            </w:r>
          </w:p>
        </w:tc>
        <w:tc>
          <w:tcPr>
            <w:tcW w:w="459" w:type="pct"/>
            <w:tcBorders>
              <w:top w:val="nil"/>
              <w:left w:val="nil"/>
              <w:bottom w:val="single" w:sz="4" w:space="0" w:color="auto"/>
              <w:right w:val="single" w:sz="4" w:space="0" w:color="auto"/>
            </w:tcBorders>
            <w:noWrap/>
            <w:vAlign w:val="bottom"/>
            <w:hideMark/>
          </w:tcPr>
          <w:p w14:paraId="6E1BD75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3D21354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5.009,67</w:t>
            </w:r>
          </w:p>
        </w:tc>
        <w:tc>
          <w:tcPr>
            <w:tcW w:w="501" w:type="pct"/>
            <w:tcBorders>
              <w:top w:val="nil"/>
              <w:left w:val="nil"/>
              <w:bottom w:val="single" w:sz="4" w:space="0" w:color="auto"/>
              <w:right w:val="single" w:sz="4" w:space="0" w:color="auto"/>
            </w:tcBorders>
            <w:noWrap/>
            <w:vAlign w:val="bottom"/>
            <w:hideMark/>
          </w:tcPr>
          <w:p w14:paraId="3E064E7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1.630,83</w:t>
            </w:r>
          </w:p>
        </w:tc>
        <w:tc>
          <w:tcPr>
            <w:tcW w:w="501" w:type="pct"/>
            <w:tcBorders>
              <w:top w:val="nil"/>
              <w:left w:val="nil"/>
              <w:bottom w:val="single" w:sz="4" w:space="0" w:color="auto"/>
              <w:right w:val="single" w:sz="4" w:space="0" w:color="auto"/>
            </w:tcBorders>
            <w:noWrap/>
            <w:vAlign w:val="bottom"/>
            <w:hideMark/>
          </w:tcPr>
          <w:p w14:paraId="12FE263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415,12</w:t>
            </w:r>
          </w:p>
        </w:tc>
        <w:tc>
          <w:tcPr>
            <w:tcW w:w="398" w:type="pct"/>
            <w:tcBorders>
              <w:top w:val="nil"/>
              <w:left w:val="nil"/>
              <w:bottom w:val="single" w:sz="4" w:space="0" w:color="auto"/>
              <w:right w:val="single" w:sz="4" w:space="0" w:color="auto"/>
            </w:tcBorders>
            <w:noWrap/>
            <w:vAlign w:val="bottom"/>
            <w:hideMark/>
          </w:tcPr>
          <w:p w14:paraId="3B0D022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5.009,67</w:t>
            </w:r>
          </w:p>
        </w:tc>
        <w:tc>
          <w:tcPr>
            <w:tcW w:w="342" w:type="pct"/>
            <w:tcBorders>
              <w:top w:val="nil"/>
              <w:left w:val="nil"/>
              <w:bottom w:val="single" w:sz="4" w:space="0" w:color="auto"/>
              <w:right w:val="single" w:sz="4" w:space="0" w:color="auto"/>
            </w:tcBorders>
            <w:noWrap/>
            <w:vAlign w:val="bottom"/>
            <w:hideMark/>
          </w:tcPr>
          <w:p w14:paraId="7D180A1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1.630,83</w:t>
            </w:r>
          </w:p>
        </w:tc>
        <w:tc>
          <w:tcPr>
            <w:tcW w:w="342" w:type="pct"/>
            <w:tcBorders>
              <w:top w:val="nil"/>
              <w:left w:val="nil"/>
              <w:bottom w:val="single" w:sz="4" w:space="0" w:color="auto"/>
              <w:right w:val="single" w:sz="4" w:space="0" w:color="auto"/>
            </w:tcBorders>
            <w:noWrap/>
            <w:vAlign w:val="bottom"/>
            <w:hideMark/>
          </w:tcPr>
          <w:p w14:paraId="1E47636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415,12</w:t>
            </w:r>
          </w:p>
        </w:tc>
      </w:tr>
      <w:tr w:rsidR="006D51C0" w:rsidRPr="006D51C0" w14:paraId="488E3ED1"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23144E7F"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Arheologija</w:t>
            </w:r>
          </w:p>
        </w:tc>
        <w:tc>
          <w:tcPr>
            <w:tcW w:w="384" w:type="pct"/>
            <w:tcBorders>
              <w:top w:val="nil"/>
              <w:left w:val="nil"/>
              <w:bottom w:val="single" w:sz="4" w:space="0" w:color="auto"/>
              <w:right w:val="single" w:sz="4" w:space="0" w:color="auto"/>
            </w:tcBorders>
            <w:noWrap/>
            <w:vAlign w:val="bottom"/>
            <w:hideMark/>
          </w:tcPr>
          <w:p w14:paraId="5D1424F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15.780,75</w:t>
            </w:r>
          </w:p>
        </w:tc>
        <w:tc>
          <w:tcPr>
            <w:tcW w:w="347" w:type="pct"/>
            <w:tcBorders>
              <w:top w:val="nil"/>
              <w:left w:val="nil"/>
              <w:bottom w:val="single" w:sz="4" w:space="0" w:color="auto"/>
              <w:right w:val="single" w:sz="4" w:space="0" w:color="auto"/>
            </w:tcBorders>
            <w:noWrap/>
            <w:vAlign w:val="bottom"/>
            <w:hideMark/>
          </w:tcPr>
          <w:p w14:paraId="68DA245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0,43%</w:t>
            </w:r>
          </w:p>
        </w:tc>
        <w:tc>
          <w:tcPr>
            <w:tcW w:w="426" w:type="pct"/>
            <w:tcBorders>
              <w:top w:val="nil"/>
              <w:left w:val="nil"/>
              <w:bottom w:val="single" w:sz="4" w:space="0" w:color="auto"/>
              <w:right w:val="single" w:sz="4" w:space="0" w:color="auto"/>
            </w:tcBorders>
            <w:noWrap/>
            <w:vAlign w:val="bottom"/>
            <w:hideMark/>
          </w:tcPr>
          <w:p w14:paraId="13B101F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15.780,75</w:t>
            </w:r>
          </w:p>
        </w:tc>
        <w:tc>
          <w:tcPr>
            <w:tcW w:w="459" w:type="pct"/>
            <w:tcBorders>
              <w:top w:val="nil"/>
              <w:left w:val="nil"/>
              <w:bottom w:val="single" w:sz="4" w:space="0" w:color="auto"/>
              <w:right w:val="single" w:sz="4" w:space="0" w:color="auto"/>
            </w:tcBorders>
            <w:noWrap/>
            <w:vAlign w:val="bottom"/>
            <w:hideMark/>
          </w:tcPr>
          <w:p w14:paraId="08A40FF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1905E81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11.204,74</w:t>
            </w:r>
          </w:p>
        </w:tc>
        <w:tc>
          <w:tcPr>
            <w:tcW w:w="501" w:type="pct"/>
            <w:tcBorders>
              <w:top w:val="nil"/>
              <w:left w:val="nil"/>
              <w:bottom w:val="single" w:sz="4" w:space="0" w:color="auto"/>
              <w:right w:val="single" w:sz="4" w:space="0" w:color="auto"/>
            </w:tcBorders>
            <w:noWrap/>
            <w:vAlign w:val="bottom"/>
            <w:hideMark/>
          </w:tcPr>
          <w:p w14:paraId="12A4FD3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3.647,55</w:t>
            </w:r>
          </w:p>
        </w:tc>
        <w:tc>
          <w:tcPr>
            <w:tcW w:w="501" w:type="pct"/>
            <w:tcBorders>
              <w:top w:val="nil"/>
              <w:left w:val="nil"/>
              <w:bottom w:val="single" w:sz="4" w:space="0" w:color="auto"/>
              <w:right w:val="single" w:sz="4" w:space="0" w:color="auto"/>
            </w:tcBorders>
            <w:noWrap/>
            <w:vAlign w:val="bottom"/>
            <w:hideMark/>
          </w:tcPr>
          <w:p w14:paraId="5E92F86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928,47</w:t>
            </w:r>
          </w:p>
        </w:tc>
        <w:tc>
          <w:tcPr>
            <w:tcW w:w="398" w:type="pct"/>
            <w:tcBorders>
              <w:top w:val="nil"/>
              <w:left w:val="nil"/>
              <w:bottom w:val="single" w:sz="4" w:space="0" w:color="auto"/>
              <w:right w:val="single" w:sz="4" w:space="0" w:color="auto"/>
            </w:tcBorders>
            <w:noWrap/>
            <w:vAlign w:val="bottom"/>
            <w:hideMark/>
          </w:tcPr>
          <w:p w14:paraId="4751587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11.204,74</w:t>
            </w:r>
          </w:p>
        </w:tc>
        <w:tc>
          <w:tcPr>
            <w:tcW w:w="342" w:type="pct"/>
            <w:tcBorders>
              <w:top w:val="nil"/>
              <w:left w:val="nil"/>
              <w:bottom w:val="single" w:sz="4" w:space="0" w:color="auto"/>
              <w:right w:val="single" w:sz="4" w:space="0" w:color="auto"/>
            </w:tcBorders>
            <w:noWrap/>
            <w:vAlign w:val="bottom"/>
            <w:hideMark/>
          </w:tcPr>
          <w:p w14:paraId="16BAE80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3.647,55</w:t>
            </w:r>
          </w:p>
        </w:tc>
        <w:tc>
          <w:tcPr>
            <w:tcW w:w="342" w:type="pct"/>
            <w:tcBorders>
              <w:top w:val="nil"/>
              <w:left w:val="nil"/>
              <w:bottom w:val="single" w:sz="4" w:space="0" w:color="auto"/>
              <w:right w:val="single" w:sz="4" w:space="0" w:color="auto"/>
            </w:tcBorders>
            <w:noWrap/>
            <w:vAlign w:val="bottom"/>
            <w:hideMark/>
          </w:tcPr>
          <w:p w14:paraId="1B6338F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928,47</w:t>
            </w:r>
          </w:p>
        </w:tc>
      </w:tr>
      <w:tr w:rsidR="006D51C0" w:rsidRPr="006D51C0" w14:paraId="050C0006"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140CA9E6"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Čiščenje in pregled kanalizacije</w:t>
            </w:r>
          </w:p>
        </w:tc>
        <w:tc>
          <w:tcPr>
            <w:tcW w:w="384" w:type="pct"/>
            <w:tcBorders>
              <w:top w:val="nil"/>
              <w:left w:val="nil"/>
              <w:bottom w:val="single" w:sz="4" w:space="0" w:color="auto"/>
              <w:right w:val="single" w:sz="4" w:space="0" w:color="auto"/>
            </w:tcBorders>
            <w:noWrap/>
            <w:vAlign w:val="bottom"/>
            <w:hideMark/>
          </w:tcPr>
          <w:p w14:paraId="44DEAB7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3.355,44</w:t>
            </w:r>
          </w:p>
        </w:tc>
        <w:tc>
          <w:tcPr>
            <w:tcW w:w="347" w:type="pct"/>
            <w:tcBorders>
              <w:top w:val="nil"/>
              <w:left w:val="nil"/>
              <w:bottom w:val="single" w:sz="4" w:space="0" w:color="auto"/>
              <w:right w:val="single" w:sz="4" w:space="0" w:color="auto"/>
            </w:tcBorders>
            <w:noWrap/>
            <w:vAlign w:val="bottom"/>
            <w:hideMark/>
          </w:tcPr>
          <w:p w14:paraId="2D64653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0,09%</w:t>
            </w:r>
          </w:p>
        </w:tc>
        <w:tc>
          <w:tcPr>
            <w:tcW w:w="426" w:type="pct"/>
            <w:tcBorders>
              <w:top w:val="nil"/>
              <w:left w:val="nil"/>
              <w:bottom w:val="single" w:sz="4" w:space="0" w:color="auto"/>
              <w:right w:val="single" w:sz="4" w:space="0" w:color="auto"/>
            </w:tcBorders>
            <w:noWrap/>
            <w:vAlign w:val="bottom"/>
            <w:hideMark/>
          </w:tcPr>
          <w:p w14:paraId="7F8CEF2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3.355,44</w:t>
            </w:r>
          </w:p>
        </w:tc>
        <w:tc>
          <w:tcPr>
            <w:tcW w:w="459" w:type="pct"/>
            <w:tcBorders>
              <w:top w:val="nil"/>
              <w:left w:val="nil"/>
              <w:bottom w:val="single" w:sz="4" w:space="0" w:color="auto"/>
              <w:right w:val="single" w:sz="4" w:space="0" w:color="auto"/>
            </w:tcBorders>
            <w:noWrap/>
            <w:vAlign w:val="bottom"/>
            <w:hideMark/>
          </w:tcPr>
          <w:p w14:paraId="5CBEF5F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24EF066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3.355,44</w:t>
            </w:r>
          </w:p>
        </w:tc>
        <w:tc>
          <w:tcPr>
            <w:tcW w:w="501" w:type="pct"/>
            <w:tcBorders>
              <w:top w:val="nil"/>
              <w:left w:val="nil"/>
              <w:bottom w:val="single" w:sz="4" w:space="0" w:color="auto"/>
              <w:right w:val="single" w:sz="4" w:space="0" w:color="auto"/>
            </w:tcBorders>
            <w:noWrap/>
            <w:vAlign w:val="bottom"/>
            <w:hideMark/>
          </w:tcPr>
          <w:p w14:paraId="00D693E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42F5255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51A6505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3.355,44</w:t>
            </w:r>
          </w:p>
        </w:tc>
        <w:tc>
          <w:tcPr>
            <w:tcW w:w="342" w:type="pct"/>
            <w:tcBorders>
              <w:top w:val="nil"/>
              <w:left w:val="nil"/>
              <w:bottom w:val="single" w:sz="4" w:space="0" w:color="auto"/>
              <w:right w:val="single" w:sz="4" w:space="0" w:color="auto"/>
            </w:tcBorders>
            <w:noWrap/>
            <w:vAlign w:val="bottom"/>
            <w:hideMark/>
          </w:tcPr>
          <w:p w14:paraId="74645DA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96A109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694AB579"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3869A75E"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Nakup nepremičnine</w:t>
            </w:r>
          </w:p>
        </w:tc>
        <w:tc>
          <w:tcPr>
            <w:tcW w:w="384" w:type="pct"/>
            <w:tcBorders>
              <w:top w:val="nil"/>
              <w:left w:val="nil"/>
              <w:bottom w:val="single" w:sz="4" w:space="0" w:color="auto"/>
              <w:right w:val="single" w:sz="4" w:space="0" w:color="auto"/>
            </w:tcBorders>
            <w:noWrap/>
            <w:vAlign w:val="bottom"/>
            <w:hideMark/>
          </w:tcPr>
          <w:p w14:paraId="48469C0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280.000,00</w:t>
            </w:r>
          </w:p>
        </w:tc>
        <w:tc>
          <w:tcPr>
            <w:tcW w:w="347" w:type="pct"/>
            <w:tcBorders>
              <w:top w:val="nil"/>
              <w:left w:val="nil"/>
              <w:bottom w:val="single" w:sz="4" w:space="0" w:color="auto"/>
              <w:right w:val="single" w:sz="4" w:space="0" w:color="auto"/>
            </w:tcBorders>
            <w:noWrap/>
            <w:vAlign w:val="bottom"/>
            <w:hideMark/>
          </w:tcPr>
          <w:p w14:paraId="57DCEBC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7,65%</w:t>
            </w:r>
          </w:p>
        </w:tc>
        <w:tc>
          <w:tcPr>
            <w:tcW w:w="426" w:type="pct"/>
            <w:tcBorders>
              <w:top w:val="nil"/>
              <w:left w:val="nil"/>
              <w:bottom w:val="single" w:sz="4" w:space="0" w:color="auto"/>
              <w:right w:val="single" w:sz="4" w:space="0" w:color="auto"/>
            </w:tcBorders>
            <w:noWrap/>
            <w:vAlign w:val="bottom"/>
            <w:hideMark/>
          </w:tcPr>
          <w:p w14:paraId="514DD0F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31574D6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280.000,00</w:t>
            </w:r>
          </w:p>
        </w:tc>
        <w:tc>
          <w:tcPr>
            <w:tcW w:w="501" w:type="pct"/>
            <w:tcBorders>
              <w:top w:val="nil"/>
              <w:left w:val="single" w:sz="4" w:space="0" w:color="auto"/>
              <w:bottom w:val="single" w:sz="4" w:space="0" w:color="auto"/>
              <w:right w:val="single" w:sz="4" w:space="0" w:color="auto"/>
            </w:tcBorders>
            <w:noWrap/>
            <w:vAlign w:val="bottom"/>
            <w:hideMark/>
          </w:tcPr>
          <w:p w14:paraId="7D40696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280.000,00</w:t>
            </w:r>
          </w:p>
        </w:tc>
        <w:tc>
          <w:tcPr>
            <w:tcW w:w="501" w:type="pct"/>
            <w:tcBorders>
              <w:top w:val="nil"/>
              <w:left w:val="nil"/>
              <w:bottom w:val="single" w:sz="4" w:space="0" w:color="auto"/>
              <w:right w:val="single" w:sz="4" w:space="0" w:color="auto"/>
            </w:tcBorders>
            <w:noWrap/>
            <w:vAlign w:val="bottom"/>
            <w:hideMark/>
          </w:tcPr>
          <w:p w14:paraId="2B18E5E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75393D1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2FEA6C1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F4146D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1648289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1CCAE50B" w14:textId="77777777" w:rsidTr="006D51C0">
        <w:trPr>
          <w:trHeight w:val="600"/>
        </w:trPr>
        <w:tc>
          <w:tcPr>
            <w:tcW w:w="797" w:type="pct"/>
            <w:tcBorders>
              <w:top w:val="nil"/>
              <w:left w:val="single" w:sz="4" w:space="0" w:color="auto"/>
              <w:bottom w:val="single" w:sz="4" w:space="0" w:color="auto"/>
              <w:right w:val="single" w:sz="4" w:space="0" w:color="auto"/>
            </w:tcBorders>
            <w:vAlign w:val="bottom"/>
            <w:hideMark/>
          </w:tcPr>
          <w:p w14:paraId="7220C3C3" w14:textId="77777777" w:rsidR="006D51C0" w:rsidRPr="006D51C0" w:rsidRDefault="006D51C0">
            <w:pPr>
              <w:rPr>
                <w:rFonts w:ascii="Roboto" w:hAnsi="Roboto"/>
                <w:color w:val="000000"/>
                <w:sz w:val="18"/>
                <w:szCs w:val="18"/>
              </w:rPr>
            </w:pPr>
            <w:r w:rsidRPr="006D51C0">
              <w:rPr>
                <w:rFonts w:ascii="Roboto" w:hAnsi="Roboto"/>
                <w:color w:val="000000"/>
                <w:sz w:val="18"/>
                <w:szCs w:val="18"/>
              </w:rPr>
              <w:t>Druga dela ob rušenju objekta (neobdavčeno)</w:t>
            </w:r>
          </w:p>
        </w:tc>
        <w:tc>
          <w:tcPr>
            <w:tcW w:w="384" w:type="pct"/>
            <w:tcBorders>
              <w:top w:val="nil"/>
              <w:left w:val="nil"/>
              <w:bottom w:val="single" w:sz="4" w:space="0" w:color="auto"/>
              <w:right w:val="single" w:sz="4" w:space="0" w:color="auto"/>
            </w:tcBorders>
            <w:noWrap/>
            <w:vAlign w:val="bottom"/>
            <w:hideMark/>
          </w:tcPr>
          <w:p w14:paraId="6E0303C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776,00</w:t>
            </w:r>
          </w:p>
        </w:tc>
        <w:tc>
          <w:tcPr>
            <w:tcW w:w="347" w:type="pct"/>
            <w:tcBorders>
              <w:top w:val="nil"/>
              <w:left w:val="nil"/>
              <w:bottom w:val="single" w:sz="4" w:space="0" w:color="auto"/>
              <w:right w:val="single" w:sz="4" w:space="0" w:color="auto"/>
            </w:tcBorders>
            <w:noWrap/>
            <w:vAlign w:val="bottom"/>
            <w:hideMark/>
          </w:tcPr>
          <w:p w14:paraId="04B3DCF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0,02%</w:t>
            </w:r>
          </w:p>
        </w:tc>
        <w:tc>
          <w:tcPr>
            <w:tcW w:w="426" w:type="pct"/>
            <w:tcBorders>
              <w:top w:val="nil"/>
              <w:left w:val="nil"/>
              <w:bottom w:val="single" w:sz="4" w:space="0" w:color="auto"/>
              <w:right w:val="single" w:sz="4" w:space="0" w:color="auto"/>
            </w:tcBorders>
            <w:noWrap/>
            <w:vAlign w:val="bottom"/>
            <w:hideMark/>
          </w:tcPr>
          <w:p w14:paraId="03304E6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6F3C0C5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776,00</w:t>
            </w:r>
          </w:p>
        </w:tc>
        <w:tc>
          <w:tcPr>
            <w:tcW w:w="501" w:type="pct"/>
            <w:tcBorders>
              <w:top w:val="nil"/>
              <w:left w:val="single" w:sz="4" w:space="0" w:color="auto"/>
              <w:bottom w:val="single" w:sz="4" w:space="0" w:color="auto"/>
              <w:right w:val="single" w:sz="4" w:space="0" w:color="auto"/>
            </w:tcBorders>
            <w:noWrap/>
            <w:vAlign w:val="bottom"/>
            <w:hideMark/>
          </w:tcPr>
          <w:p w14:paraId="6DB1964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776,00</w:t>
            </w:r>
          </w:p>
        </w:tc>
        <w:tc>
          <w:tcPr>
            <w:tcW w:w="501" w:type="pct"/>
            <w:tcBorders>
              <w:top w:val="nil"/>
              <w:left w:val="nil"/>
              <w:bottom w:val="single" w:sz="4" w:space="0" w:color="auto"/>
              <w:right w:val="single" w:sz="4" w:space="0" w:color="auto"/>
            </w:tcBorders>
            <w:noWrap/>
            <w:vAlign w:val="bottom"/>
            <w:hideMark/>
          </w:tcPr>
          <w:p w14:paraId="50DE451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7A0E02A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0687FB4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9BFF1D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3AE9D0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38D6CB8F" w14:textId="77777777" w:rsidTr="006D51C0">
        <w:trPr>
          <w:trHeight w:val="600"/>
        </w:trPr>
        <w:tc>
          <w:tcPr>
            <w:tcW w:w="797" w:type="pct"/>
            <w:tcBorders>
              <w:top w:val="nil"/>
              <w:left w:val="single" w:sz="4" w:space="0" w:color="auto"/>
              <w:bottom w:val="single" w:sz="4" w:space="0" w:color="auto"/>
              <w:right w:val="single" w:sz="4" w:space="0" w:color="auto"/>
            </w:tcBorders>
            <w:vAlign w:val="bottom"/>
            <w:hideMark/>
          </w:tcPr>
          <w:p w14:paraId="2EC1A61F" w14:textId="77777777" w:rsidR="006D51C0" w:rsidRPr="006D51C0" w:rsidRDefault="006D51C0">
            <w:pPr>
              <w:rPr>
                <w:rFonts w:ascii="Roboto" w:hAnsi="Roboto"/>
                <w:color w:val="000000"/>
                <w:sz w:val="18"/>
                <w:szCs w:val="18"/>
              </w:rPr>
            </w:pPr>
            <w:r w:rsidRPr="006D51C0">
              <w:rPr>
                <w:rFonts w:ascii="Roboto" w:hAnsi="Roboto"/>
                <w:color w:val="000000"/>
                <w:sz w:val="18"/>
                <w:szCs w:val="18"/>
              </w:rPr>
              <w:t>Druga dela ob rušenju objekta (9,5% DDV)</w:t>
            </w:r>
          </w:p>
        </w:tc>
        <w:tc>
          <w:tcPr>
            <w:tcW w:w="384" w:type="pct"/>
            <w:tcBorders>
              <w:top w:val="nil"/>
              <w:left w:val="nil"/>
              <w:bottom w:val="single" w:sz="4" w:space="0" w:color="auto"/>
              <w:right w:val="single" w:sz="4" w:space="0" w:color="auto"/>
            </w:tcBorders>
            <w:noWrap/>
            <w:vAlign w:val="bottom"/>
            <w:hideMark/>
          </w:tcPr>
          <w:p w14:paraId="560EC5E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545,96</w:t>
            </w:r>
          </w:p>
        </w:tc>
        <w:tc>
          <w:tcPr>
            <w:tcW w:w="347" w:type="pct"/>
            <w:tcBorders>
              <w:top w:val="nil"/>
              <w:left w:val="nil"/>
              <w:bottom w:val="single" w:sz="4" w:space="0" w:color="auto"/>
              <w:right w:val="single" w:sz="4" w:space="0" w:color="auto"/>
            </w:tcBorders>
            <w:noWrap/>
            <w:vAlign w:val="bottom"/>
            <w:hideMark/>
          </w:tcPr>
          <w:p w14:paraId="0FCB3C8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0,01%</w:t>
            </w:r>
          </w:p>
        </w:tc>
        <w:tc>
          <w:tcPr>
            <w:tcW w:w="426" w:type="pct"/>
            <w:tcBorders>
              <w:top w:val="nil"/>
              <w:left w:val="nil"/>
              <w:bottom w:val="single" w:sz="4" w:space="0" w:color="auto"/>
              <w:right w:val="single" w:sz="4" w:space="0" w:color="auto"/>
            </w:tcBorders>
            <w:noWrap/>
            <w:vAlign w:val="bottom"/>
            <w:hideMark/>
          </w:tcPr>
          <w:p w14:paraId="02DE12C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1C8379A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545,96</w:t>
            </w:r>
          </w:p>
        </w:tc>
        <w:tc>
          <w:tcPr>
            <w:tcW w:w="501" w:type="pct"/>
            <w:tcBorders>
              <w:top w:val="nil"/>
              <w:left w:val="single" w:sz="4" w:space="0" w:color="auto"/>
              <w:bottom w:val="single" w:sz="4" w:space="0" w:color="auto"/>
              <w:right w:val="single" w:sz="4" w:space="0" w:color="auto"/>
            </w:tcBorders>
            <w:noWrap/>
            <w:vAlign w:val="bottom"/>
            <w:hideMark/>
          </w:tcPr>
          <w:p w14:paraId="7ADE738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545,96</w:t>
            </w:r>
          </w:p>
        </w:tc>
        <w:tc>
          <w:tcPr>
            <w:tcW w:w="501" w:type="pct"/>
            <w:tcBorders>
              <w:top w:val="nil"/>
              <w:left w:val="nil"/>
              <w:bottom w:val="single" w:sz="4" w:space="0" w:color="auto"/>
              <w:right w:val="single" w:sz="4" w:space="0" w:color="auto"/>
            </w:tcBorders>
            <w:noWrap/>
            <w:vAlign w:val="bottom"/>
            <w:hideMark/>
          </w:tcPr>
          <w:p w14:paraId="4301EE0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3C16995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4A050A3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3E661D5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6E7FD33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1D02C633" w14:textId="77777777" w:rsidTr="006D51C0">
        <w:trPr>
          <w:trHeight w:val="300"/>
        </w:trPr>
        <w:tc>
          <w:tcPr>
            <w:tcW w:w="797" w:type="pct"/>
            <w:tcBorders>
              <w:top w:val="nil"/>
              <w:left w:val="single" w:sz="4" w:space="0" w:color="auto"/>
              <w:bottom w:val="single" w:sz="4" w:space="0" w:color="auto"/>
              <w:right w:val="single" w:sz="4" w:space="0" w:color="auto"/>
            </w:tcBorders>
            <w:vAlign w:val="bottom"/>
            <w:hideMark/>
          </w:tcPr>
          <w:p w14:paraId="234BFA0D" w14:textId="77777777" w:rsidR="006D51C0" w:rsidRPr="006D51C0" w:rsidRDefault="006D51C0">
            <w:pPr>
              <w:rPr>
                <w:rFonts w:ascii="Roboto" w:hAnsi="Roboto"/>
                <w:color w:val="000000"/>
                <w:sz w:val="18"/>
                <w:szCs w:val="18"/>
              </w:rPr>
            </w:pPr>
            <w:r w:rsidRPr="006D51C0">
              <w:rPr>
                <w:rFonts w:ascii="Roboto" w:hAnsi="Roboto"/>
                <w:color w:val="000000"/>
                <w:sz w:val="18"/>
                <w:szCs w:val="18"/>
              </w:rPr>
              <w:t>Druga dela ob rušenju objekta</w:t>
            </w:r>
          </w:p>
        </w:tc>
        <w:tc>
          <w:tcPr>
            <w:tcW w:w="384" w:type="pct"/>
            <w:tcBorders>
              <w:top w:val="nil"/>
              <w:left w:val="nil"/>
              <w:bottom w:val="single" w:sz="4" w:space="0" w:color="auto"/>
              <w:right w:val="single" w:sz="4" w:space="0" w:color="auto"/>
            </w:tcBorders>
            <w:noWrap/>
            <w:vAlign w:val="bottom"/>
            <w:hideMark/>
          </w:tcPr>
          <w:p w14:paraId="34C49B0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5.483,07</w:t>
            </w:r>
          </w:p>
        </w:tc>
        <w:tc>
          <w:tcPr>
            <w:tcW w:w="347" w:type="pct"/>
            <w:tcBorders>
              <w:top w:val="nil"/>
              <w:left w:val="nil"/>
              <w:bottom w:val="single" w:sz="4" w:space="0" w:color="auto"/>
              <w:right w:val="single" w:sz="4" w:space="0" w:color="auto"/>
            </w:tcBorders>
            <w:noWrap/>
            <w:vAlign w:val="bottom"/>
            <w:hideMark/>
          </w:tcPr>
          <w:p w14:paraId="757CB20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0,15%</w:t>
            </w:r>
          </w:p>
        </w:tc>
        <w:tc>
          <w:tcPr>
            <w:tcW w:w="426" w:type="pct"/>
            <w:tcBorders>
              <w:top w:val="nil"/>
              <w:left w:val="nil"/>
              <w:bottom w:val="single" w:sz="4" w:space="0" w:color="auto"/>
              <w:right w:val="single" w:sz="4" w:space="0" w:color="auto"/>
            </w:tcBorders>
            <w:noWrap/>
            <w:vAlign w:val="bottom"/>
            <w:hideMark/>
          </w:tcPr>
          <w:p w14:paraId="4BC7EB1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4F921B0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5.483,07</w:t>
            </w:r>
          </w:p>
        </w:tc>
        <w:tc>
          <w:tcPr>
            <w:tcW w:w="501" w:type="pct"/>
            <w:tcBorders>
              <w:top w:val="nil"/>
              <w:left w:val="single" w:sz="4" w:space="0" w:color="auto"/>
              <w:bottom w:val="single" w:sz="4" w:space="0" w:color="auto"/>
              <w:right w:val="single" w:sz="4" w:space="0" w:color="auto"/>
            </w:tcBorders>
            <w:noWrap/>
            <w:vAlign w:val="bottom"/>
            <w:hideMark/>
          </w:tcPr>
          <w:p w14:paraId="3323E7A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5.483,07</w:t>
            </w:r>
          </w:p>
        </w:tc>
        <w:tc>
          <w:tcPr>
            <w:tcW w:w="501" w:type="pct"/>
            <w:tcBorders>
              <w:top w:val="nil"/>
              <w:left w:val="nil"/>
              <w:bottom w:val="single" w:sz="4" w:space="0" w:color="auto"/>
              <w:right w:val="single" w:sz="4" w:space="0" w:color="auto"/>
            </w:tcBorders>
            <w:noWrap/>
            <w:vAlign w:val="bottom"/>
            <w:hideMark/>
          </w:tcPr>
          <w:p w14:paraId="037B0B8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2274DD7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78608E9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B4A524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5D44371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28AB1714"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0E7A5FA2"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Vpis v kataster</w:t>
            </w:r>
          </w:p>
        </w:tc>
        <w:tc>
          <w:tcPr>
            <w:tcW w:w="384" w:type="pct"/>
            <w:tcBorders>
              <w:top w:val="nil"/>
              <w:left w:val="nil"/>
              <w:bottom w:val="single" w:sz="4" w:space="0" w:color="auto"/>
              <w:right w:val="single" w:sz="4" w:space="0" w:color="auto"/>
            </w:tcBorders>
            <w:noWrap/>
            <w:vAlign w:val="bottom"/>
            <w:hideMark/>
          </w:tcPr>
          <w:p w14:paraId="07B379C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971,93</w:t>
            </w:r>
          </w:p>
        </w:tc>
        <w:tc>
          <w:tcPr>
            <w:tcW w:w="347" w:type="pct"/>
            <w:tcBorders>
              <w:top w:val="nil"/>
              <w:left w:val="nil"/>
              <w:bottom w:val="single" w:sz="4" w:space="0" w:color="auto"/>
              <w:right w:val="single" w:sz="4" w:space="0" w:color="auto"/>
            </w:tcBorders>
            <w:noWrap/>
            <w:vAlign w:val="bottom"/>
            <w:hideMark/>
          </w:tcPr>
          <w:p w14:paraId="0B54B74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0,03%</w:t>
            </w:r>
          </w:p>
        </w:tc>
        <w:tc>
          <w:tcPr>
            <w:tcW w:w="426" w:type="pct"/>
            <w:tcBorders>
              <w:top w:val="nil"/>
              <w:left w:val="nil"/>
              <w:bottom w:val="single" w:sz="4" w:space="0" w:color="auto"/>
              <w:right w:val="single" w:sz="4" w:space="0" w:color="auto"/>
            </w:tcBorders>
            <w:noWrap/>
            <w:vAlign w:val="bottom"/>
            <w:hideMark/>
          </w:tcPr>
          <w:p w14:paraId="4C0786F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57D194B6"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971,93</w:t>
            </w:r>
          </w:p>
        </w:tc>
        <w:tc>
          <w:tcPr>
            <w:tcW w:w="501" w:type="pct"/>
            <w:tcBorders>
              <w:top w:val="nil"/>
              <w:left w:val="single" w:sz="4" w:space="0" w:color="auto"/>
              <w:bottom w:val="single" w:sz="4" w:space="0" w:color="auto"/>
              <w:right w:val="single" w:sz="4" w:space="0" w:color="auto"/>
            </w:tcBorders>
            <w:noWrap/>
            <w:vAlign w:val="bottom"/>
            <w:hideMark/>
          </w:tcPr>
          <w:p w14:paraId="1E42E1E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690,09</w:t>
            </w:r>
          </w:p>
        </w:tc>
        <w:tc>
          <w:tcPr>
            <w:tcW w:w="501" w:type="pct"/>
            <w:tcBorders>
              <w:top w:val="nil"/>
              <w:left w:val="nil"/>
              <w:bottom w:val="single" w:sz="4" w:space="0" w:color="auto"/>
              <w:right w:val="single" w:sz="4" w:space="0" w:color="auto"/>
            </w:tcBorders>
            <w:noWrap/>
            <w:vAlign w:val="bottom"/>
            <w:hideMark/>
          </w:tcPr>
          <w:p w14:paraId="06E2632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224,65</w:t>
            </w:r>
          </w:p>
        </w:tc>
        <w:tc>
          <w:tcPr>
            <w:tcW w:w="501" w:type="pct"/>
            <w:tcBorders>
              <w:top w:val="nil"/>
              <w:left w:val="nil"/>
              <w:bottom w:val="single" w:sz="4" w:space="0" w:color="auto"/>
              <w:right w:val="single" w:sz="4" w:space="0" w:color="auto"/>
            </w:tcBorders>
            <w:noWrap/>
            <w:vAlign w:val="bottom"/>
            <w:hideMark/>
          </w:tcPr>
          <w:p w14:paraId="36033E3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57,18</w:t>
            </w:r>
          </w:p>
        </w:tc>
        <w:tc>
          <w:tcPr>
            <w:tcW w:w="398" w:type="pct"/>
            <w:tcBorders>
              <w:top w:val="nil"/>
              <w:left w:val="nil"/>
              <w:bottom w:val="single" w:sz="4" w:space="0" w:color="auto"/>
              <w:right w:val="single" w:sz="4" w:space="0" w:color="auto"/>
            </w:tcBorders>
            <w:noWrap/>
            <w:vAlign w:val="bottom"/>
            <w:hideMark/>
          </w:tcPr>
          <w:p w14:paraId="3575A1E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7CD145C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036DDC5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3F089F90"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46A11E73"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Notar, zemljiška knjiga</w:t>
            </w:r>
          </w:p>
        </w:tc>
        <w:tc>
          <w:tcPr>
            <w:tcW w:w="384" w:type="pct"/>
            <w:tcBorders>
              <w:top w:val="nil"/>
              <w:left w:val="nil"/>
              <w:bottom w:val="single" w:sz="4" w:space="0" w:color="auto"/>
              <w:right w:val="single" w:sz="4" w:space="0" w:color="auto"/>
            </w:tcBorders>
            <w:noWrap/>
            <w:vAlign w:val="bottom"/>
            <w:hideMark/>
          </w:tcPr>
          <w:p w14:paraId="2E1A06D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7" w:type="pct"/>
            <w:tcBorders>
              <w:top w:val="nil"/>
              <w:left w:val="nil"/>
              <w:bottom w:val="single" w:sz="4" w:space="0" w:color="auto"/>
              <w:right w:val="single" w:sz="4" w:space="0" w:color="auto"/>
            </w:tcBorders>
            <w:noWrap/>
            <w:vAlign w:val="bottom"/>
            <w:hideMark/>
          </w:tcPr>
          <w:p w14:paraId="3785DAA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26" w:type="pct"/>
            <w:tcBorders>
              <w:top w:val="nil"/>
              <w:left w:val="nil"/>
              <w:bottom w:val="single" w:sz="4" w:space="0" w:color="auto"/>
              <w:right w:val="single" w:sz="4" w:space="0" w:color="auto"/>
            </w:tcBorders>
            <w:noWrap/>
            <w:vAlign w:val="bottom"/>
            <w:hideMark/>
          </w:tcPr>
          <w:p w14:paraId="2522CD8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4333941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2CC57E0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2F81223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080B91D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3EE6E5D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3B0BF87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5547D02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08F58C68"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48DE30C7"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Geodetski načrt</w:t>
            </w:r>
          </w:p>
        </w:tc>
        <w:tc>
          <w:tcPr>
            <w:tcW w:w="384" w:type="pct"/>
            <w:tcBorders>
              <w:top w:val="nil"/>
              <w:left w:val="nil"/>
              <w:bottom w:val="single" w:sz="4" w:space="0" w:color="auto"/>
              <w:right w:val="single" w:sz="4" w:space="0" w:color="auto"/>
            </w:tcBorders>
            <w:noWrap/>
            <w:vAlign w:val="bottom"/>
            <w:hideMark/>
          </w:tcPr>
          <w:p w14:paraId="0F02177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2.032,66</w:t>
            </w:r>
          </w:p>
        </w:tc>
        <w:tc>
          <w:tcPr>
            <w:tcW w:w="347" w:type="pct"/>
            <w:tcBorders>
              <w:top w:val="nil"/>
              <w:left w:val="nil"/>
              <w:bottom w:val="single" w:sz="4" w:space="0" w:color="auto"/>
              <w:right w:val="single" w:sz="4" w:space="0" w:color="auto"/>
            </w:tcBorders>
            <w:noWrap/>
            <w:vAlign w:val="bottom"/>
            <w:hideMark/>
          </w:tcPr>
          <w:p w14:paraId="5E4BDE0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0,06%</w:t>
            </w:r>
          </w:p>
        </w:tc>
        <w:tc>
          <w:tcPr>
            <w:tcW w:w="426" w:type="pct"/>
            <w:tcBorders>
              <w:top w:val="nil"/>
              <w:left w:val="nil"/>
              <w:bottom w:val="single" w:sz="4" w:space="0" w:color="auto"/>
              <w:right w:val="single" w:sz="4" w:space="0" w:color="auto"/>
            </w:tcBorders>
            <w:noWrap/>
            <w:vAlign w:val="bottom"/>
            <w:hideMark/>
          </w:tcPr>
          <w:p w14:paraId="1F92185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42BCEBB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2.032,66</w:t>
            </w:r>
          </w:p>
        </w:tc>
        <w:tc>
          <w:tcPr>
            <w:tcW w:w="501" w:type="pct"/>
            <w:tcBorders>
              <w:top w:val="nil"/>
              <w:left w:val="single" w:sz="4" w:space="0" w:color="auto"/>
              <w:bottom w:val="single" w:sz="4" w:space="0" w:color="auto"/>
              <w:right w:val="single" w:sz="4" w:space="0" w:color="auto"/>
            </w:tcBorders>
            <w:noWrap/>
            <w:vAlign w:val="bottom"/>
            <w:hideMark/>
          </w:tcPr>
          <w:p w14:paraId="64AACB9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1.443,24</w:t>
            </w:r>
          </w:p>
        </w:tc>
        <w:tc>
          <w:tcPr>
            <w:tcW w:w="501" w:type="pct"/>
            <w:tcBorders>
              <w:top w:val="nil"/>
              <w:left w:val="nil"/>
              <w:bottom w:val="single" w:sz="4" w:space="0" w:color="auto"/>
              <w:right w:val="single" w:sz="4" w:space="0" w:color="auto"/>
            </w:tcBorders>
            <w:noWrap/>
            <w:vAlign w:val="bottom"/>
            <w:hideMark/>
          </w:tcPr>
          <w:p w14:paraId="0750C44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469,83</w:t>
            </w:r>
          </w:p>
        </w:tc>
        <w:tc>
          <w:tcPr>
            <w:tcW w:w="501" w:type="pct"/>
            <w:tcBorders>
              <w:top w:val="nil"/>
              <w:left w:val="nil"/>
              <w:bottom w:val="single" w:sz="4" w:space="0" w:color="auto"/>
              <w:right w:val="single" w:sz="4" w:space="0" w:color="auto"/>
            </w:tcBorders>
            <w:noWrap/>
            <w:vAlign w:val="bottom"/>
            <w:hideMark/>
          </w:tcPr>
          <w:p w14:paraId="4086DDF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119,59</w:t>
            </w:r>
          </w:p>
        </w:tc>
        <w:tc>
          <w:tcPr>
            <w:tcW w:w="398" w:type="pct"/>
            <w:tcBorders>
              <w:top w:val="nil"/>
              <w:left w:val="nil"/>
              <w:bottom w:val="single" w:sz="4" w:space="0" w:color="auto"/>
              <w:right w:val="single" w:sz="4" w:space="0" w:color="auto"/>
            </w:tcBorders>
            <w:noWrap/>
            <w:vAlign w:val="bottom"/>
            <w:hideMark/>
          </w:tcPr>
          <w:p w14:paraId="10FF18F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256D7E5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7494BBC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78E4AA0D"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4F1818AB"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Baza cestnih podatkov</w:t>
            </w:r>
          </w:p>
        </w:tc>
        <w:tc>
          <w:tcPr>
            <w:tcW w:w="384" w:type="pct"/>
            <w:tcBorders>
              <w:top w:val="nil"/>
              <w:left w:val="nil"/>
              <w:bottom w:val="single" w:sz="4" w:space="0" w:color="auto"/>
              <w:right w:val="single" w:sz="4" w:space="0" w:color="auto"/>
            </w:tcBorders>
            <w:noWrap/>
            <w:vAlign w:val="bottom"/>
            <w:hideMark/>
          </w:tcPr>
          <w:p w14:paraId="6A773C5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874,11</w:t>
            </w:r>
          </w:p>
        </w:tc>
        <w:tc>
          <w:tcPr>
            <w:tcW w:w="347" w:type="pct"/>
            <w:tcBorders>
              <w:top w:val="nil"/>
              <w:left w:val="nil"/>
              <w:bottom w:val="single" w:sz="4" w:space="0" w:color="auto"/>
              <w:right w:val="single" w:sz="4" w:space="0" w:color="auto"/>
            </w:tcBorders>
            <w:noWrap/>
            <w:vAlign w:val="bottom"/>
            <w:hideMark/>
          </w:tcPr>
          <w:p w14:paraId="7B540A0F"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0,02%</w:t>
            </w:r>
          </w:p>
        </w:tc>
        <w:tc>
          <w:tcPr>
            <w:tcW w:w="426" w:type="pct"/>
            <w:tcBorders>
              <w:top w:val="nil"/>
              <w:left w:val="nil"/>
              <w:bottom w:val="single" w:sz="4" w:space="0" w:color="auto"/>
              <w:right w:val="single" w:sz="4" w:space="0" w:color="auto"/>
            </w:tcBorders>
            <w:noWrap/>
            <w:vAlign w:val="bottom"/>
            <w:hideMark/>
          </w:tcPr>
          <w:p w14:paraId="6212E3D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874,11</w:t>
            </w:r>
          </w:p>
        </w:tc>
        <w:tc>
          <w:tcPr>
            <w:tcW w:w="459" w:type="pct"/>
            <w:tcBorders>
              <w:top w:val="nil"/>
              <w:left w:val="nil"/>
              <w:bottom w:val="single" w:sz="4" w:space="0" w:color="auto"/>
              <w:right w:val="single" w:sz="4" w:space="0" w:color="auto"/>
            </w:tcBorders>
            <w:noWrap/>
            <w:vAlign w:val="bottom"/>
            <w:hideMark/>
          </w:tcPr>
          <w:p w14:paraId="09BAF19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single" w:sz="4" w:space="0" w:color="auto"/>
              <w:bottom w:val="single" w:sz="4" w:space="0" w:color="auto"/>
              <w:right w:val="single" w:sz="4" w:space="0" w:color="auto"/>
            </w:tcBorders>
            <w:noWrap/>
            <w:vAlign w:val="bottom"/>
            <w:hideMark/>
          </w:tcPr>
          <w:p w14:paraId="63D302D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874,11</w:t>
            </w:r>
          </w:p>
        </w:tc>
        <w:tc>
          <w:tcPr>
            <w:tcW w:w="501" w:type="pct"/>
            <w:tcBorders>
              <w:top w:val="nil"/>
              <w:left w:val="nil"/>
              <w:bottom w:val="single" w:sz="4" w:space="0" w:color="auto"/>
              <w:right w:val="single" w:sz="4" w:space="0" w:color="auto"/>
            </w:tcBorders>
            <w:noWrap/>
            <w:vAlign w:val="bottom"/>
            <w:hideMark/>
          </w:tcPr>
          <w:p w14:paraId="312031B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3B211EB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00A514E7"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874,11</w:t>
            </w:r>
          </w:p>
        </w:tc>
        <w:tc>
          <w:tcPr>
            <w:tcW w:w="342" w:type="pct"/>
            <w:tcBorders>
              <w:top w:val="nil"/>
              <w:left w:val="nil"/>
              <w:bottom w:val="single" w:sz="4" w:space="0" w:color="auto"/>
              <w:right w:val="single" w:sz="4" w:space="0" w:color="auto"/>
            </w:tcBorders>
            <w:noWrap/>
            <w:vAlign w:val="bottom"/>
            <w:hideMark/>
          </w:tcPr>
          <w:p w14:paraId="581F860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4C65CFE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481A02CB" w14:textId="77777777" w:rsidTr="006D51C0">
        <w:trPr>
          <w:trHeight w:val="300"/>
        </w:trPr>
        <w:tc>
          <w:tcPr>
            <w:tcW w:w="797" w:type="pct"/>
            <w:tcBorders>
              <w:top w:val="nil"/>
              <w:left w:val="single" w:sz="4" w:space="0" w:color="auto"/>
              <w:bottom w:val="single" w:sz="4" w:space="0" w:color="auto"/>
              <w:right w:val="single" w:sz="4" w:space="0" w:color="auto"/>
            </w:tcBorders>
            <w:shd w:val="clear" w:color="000000" w:fill="D9D9D9"/>
            <w:vAlign w:val="bottom"/>
            <w:hideMark/>
          </w:tcPr>
          <w:p w14:paraId="775CA137" w14:textId="77777777" w:rsidR="006D51C0" w:rsidRPr="006D51C0" w:rsidRDefault="006D51C0">
            <w:pPr>
              <w:rPr>
                <w:rFonts w:ascii="Arial" w:hAnsi="Arial" w:cs="Arial"/>
                <w:b/>
                <w:bCs/>
                <w:color w:val="000000"/>
                <w:sz w:val="18"/>
                <w:szCs w:val="18"/>
              </w:rPr>
            </w:pPr>
            <w:r w:rsidRPr="006D51C0">
              <w:rPr>
                <w:rFonts w:ascii="Arial" w:hAnsi="Arial" w:cs="Arial"/>
                <w:b/>
                <w:bCs/>
                <w:color w:val="000000"/>
                <w:sz w:val="18"/>
                <w:szCs w:val="18"/>
              </w:rPr>
              <w:t>Skupaj brez DDV</w:t>
            </w:r>
          </w:p>
        </w:tc>
        <w:tc>
          <w:tcPr>
            <w:tcW w:w="384" w:type="pct"/>
            <w:tcBorders>
              <w:top w:val="nil"/>
              <w:left w:val="nil"/>
              <w:bottom w:val="single" w:sz="4" w:space="0" w:color="auto"/>
              <w:right w:val="single" w:sz="4" w:space="0" w:color="auto"/>
            </w:tcBorders>
            <w:shd w:val="clear" w:color="000000" w:fill="D9D9D9"/>
            <w:noWrap/>
            <w:vAlign w:val="bottom"/>
            <w:hideMark/>
          </w:tcPr>
          <w:p w14:paraId="37A1BBC8"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3.051.761,81</w:t>
            </w:r>
          </w:p>
        </w:tc>
        <w:tc>
          <w:tcPr>
            <w:tcW w:w="347" w:type="pct"/>
            <w:tcBorders>
              <w:top w:val="nil"/>
              <w:left w:val="nil"/>
              <w:bottom w:val="single" w:sz="4" w:space="0" w:color="auto"/>
              <w:right w:val="single" w:sz="4" w:space="0" w:color="auto"/>
            </w:tcBorders>
            <w:shd w:val="clear" w:color="000000" w:fill="D9D9D9"/>
            <w:noWrap/>
            <w:vAlign w:val="bottom"/>
            <w:hideMark/>
          </w:tcPr>
          <w:p w14:paraId="52ADCAC9"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83,35%</w:t>
            </w:r>
          </w:p>
        </w:tc>
        <w:tc>
          <w:tcPr>
            <w:tcW w:w="426" w:type="pct"/>
            <w:tcBorders>
              <w:top w:val="nil"/>
              <w:left w:val="nil"/>
              <w:bottom w:val="single" w:sz="4" w:space="0" w:color="auto"/>
              <w:right w:val="single" w:sz="4" w:space="0" w:color="auto"/>
            </w:tcBorders>
            <w:shd w:val="clear" w:color="000000" w:fill="D9D9D9"/>
            <w:noWrap/>
            <w:vAlign w:val="bottom"/>
            <w:hideMark/>
          </w:tcPr>
          <w:p w14:paraId="704966C5"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2.048.111,66</w:t>
            </w:r>
          </w:p>
        </w:tc>
        <w:tc>
          <w:tcPr>
            <w:tcW w:w="459" w:type="pct"/>
            <w:tcBorders>
              <w:top w:val="nil"/>
              <w:left w:val="nil"/>
              <w:bottom w:val="single" w:sz="4" w:space="0" w:color="auto"/>
              <w:right w:val="single" w:sz="4" w:space="0" w:color="auto"/>
            </w:tcBorders>
            <w:shd w:val="clear" w:color="000000" w:fill="D9D9D9"/>
            <w:noWrap/>
            <w:vAlign w:val="bottom"/>
            <w:hideMark/>
          </w:tcPr>
          <w:p w14:paraId="4AF88708"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1.003.650,14</w:t>
            </w:r>
          </w:p>
        </w:tc>
        <w:tc>
          <w:tcPr>
            <w:tcW w:w="501" w:type="pct"/>
            <w:tcBorders>
              <w:top w:val="nil"/>
              <w:left w:val="single" w:sz="4" w:space="0" w:color="auto"/>
              <w:bottom w:val="single" w:sz="4" w:space="0" w:color="auto"/>
              <w:right w:val="single" w:sz="4" w:space="0" w:color="auto"/>
            </w:tcBorders>
            <w:shd w:val="clear" w:color="000000" w:fill="D9D9D9"/>
            <w:noWrap/>
            <w:vAlign w:val="bottom"/>
            <w:hideMark/>
          </w:tcPr>
          <w:p w14:paraId="3B61144D"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2.266.856,89</w:t>
            </w:r>
          </w:p>
        </w:tc>
        <w:tc>
          <w:tcPr>
            <w:tcW w:w="501" w:type="pct"/>
            <w:tcBorders>
              <w:top w:val="nil"/>
              <w:left w:val="nil"/>
              <w:bottom w:val="single" w:sz="4" w:space="0" w:color="auto"/>
              <w:right w:val="single" w:sz="4" w:space="0" w:color="auto"/>
            </w:tcBorders>
            <w:shd w:val="clear" w:color="000000" w:fill="D9D9D9"/>
            <w:noWrap/>
            <w:vAlign w:val="bottom"/>
            <w:hideMark/>
          </w:tcPr>
          <w:p w14:paraId="16549203"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622.025,87</w:t>
            </w:r>
          </w:p>
        </w:tc>
        <w:tc>
          <w:tcPr>
            <w:tcW w:w="501" w:type="pct"/>
            <w:tcBorders>
              <w:top w:val="nil"/>
              <w:left w:val="nil"/>
              <w:bottom w:val="single" w:sz="4" w:space="0" w:color="auto"/>
              <w:right w:val="single" w:sz="4" w:space="0" w:color="auto"/>
            </w:tcBorders>
            <w:shd w:val="clear" w:color="000000" w:fill="D9D9D9"/>
            <w:noWrap/>
            <w:vAlign w:val="bottom"/>
            <w:hideMark/>
          </w:tcPr>
          <w:p w14:paraId="45722DDE"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162.879,05</w:t>
            </w:r>
          </w:p>
        </w:tc>
        <w:tc>
          <w:tcPr>
            <w:tcW w:w="398" w:type="pct"/>
            <w:tcBorders>
              <w:top w:val="nil"/>
              <w:left w:val="nil"/>
              <w:bottom w:val="single" w:sz="4" w:space="0" w:color="auto"/>
              <w:right w:val="single" w:sz="4" w:space="0" w:color="auto"/>
            </w:tcBorders>
            <w:shd w:val="clear" w:color="000000" w:fill="D9D9D9"/>
            <w:noWrap/>
            <w:vAlign w:val="bottom"/>
            <w:hideMark/>
          </w:tcPr>
          <w:p w14:paraId="48568101"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1.264.078,01</w:t>
            </w:r>
          </w:p>
        </w:tc>
        <w:tc>
          <w:tcPr>
            <w:tcW w:w="342" w:type="pct"/>
            <w:tcBorders>
              <w:top w:val="nil"/>
              <w:left w:val="nil"/>
              <w:bottom w:val="single" w:sz="4" w:space="0" w:color="auto"/>
              <w:right w:val="single" w:sz="4" w:space="0" w:color="auto"/>
            </w:tcBorders>
            <w:shd w:val="clear" w:color="000000" w:fill="D9D9D9"/>
            <w:noWrap/>
            <w:vAlign w:val="bottom"/>
            <w:hideMark/>
          </w:tcPr>
          <w:p w14:paraId="399FD7A9"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621.331,39</w:t>
            </w:r>
          </w:p>
        </w:tc>
        <w:tc>
          <w:tcPr>
            <w:tcW w:w="342" w:type="pct"/>
            <w:tcBorders>
              <w:top w:val="nil"/>
              <w:left w:val="nil"/>
              <w:bottom w:val="single" w:sz="4" w:space="0" w:color="auto"/>
              <w:right w:val="single" w:sz="4" w:space="0" w:color="auto"/>
            </w:tcBorders>
            <w:shd w:val="clear" w:color="000000" w:fill="D9D9D9"/>
            <w:noWrap/>
            <w:vAlign w:val="bottom"/>
            <w:hideMark/>
          </w:tcPr>
          <w:p w14:paraId="44212F22"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162.702,27</w:t>
            </w:r>
          </w:p>
        </w:tc>
      </w:tr>
      <w:tr w:rsidR="006D51C0" w:rsidRPr="006D51C0" w14:paraId="6080A537" w14:textId="77777777" w:rsidTr="006D51C0">
        <w:trPr>
          <w:trHeight w:val="285"/>
        </w:trPr>
        <w:tc>
          <w:tcPr>
            <w:tcW w:w="797" w:type="pct"/>
            <w:tcBorders>
              <w:top w:val="nil"/>
              <w:left w:val="single" w:sz="4" w:space="0" w:color="auto"/>
              <w:bottom w:val="single" w:sz="4" w:space="0" w:color="auto"/>
              <w:right w:val="single" w:sz="4" w:space="0" w:color="auto"/>
            </w:tcBorders>
            <w:vAlign w:val="bottom"/>
            <w:hideMark/>
          </w:tcPr>
          <w:p w14:paraId="28E9FE9D"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Davek na dodano vrednost</w:t>
            </w:r>
          </w:p>
        </w:tc>
        <w:tc>
          <w:tcPr>
            <w:tcW w:w="384" w:type="pct"/>
            <w:tcBorders>
              <w:top w:val="nil"/>
              <w:left w:val="nil"/>
              <w:bottom w:val="single" w:sz="4" w:space="0" w:color="auto"/>
              <w:right w:val="single" w:sz="4" w:space="0" w:color="auto"/>
            </w:tcBorders>
            <w:noWrap/>
            <w:vAlign w:val="bottom"/>
            <w:hideMark/>
          </w:tcPr>
          <w:p w14:paraId="33D990D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609.548,62</w:t>
            </w:r>
          </w:p>
        </w:tc>
        <w:tc>
          <w:tcPr>
            <w:tcW w:w="347" w:type="pct"/>
            <w:tcBorders>
              <w:top w:val="nil"/>
              <w:left w:val="nil"/>
              <w:bottom w:val="single" w:sz="4" w:space="0" w:color="auto"/>
              <w:right w:val="single" w:sz="4" w:space="0" w:color="auto"/>
            </w:tcBorders>
            <w:noWrap/>
            <w:vAlign w:val="bottom"/>
            <w:hideMark/>
          </w:tcPr>
          <w:p w14:paraId="3C969712"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16,65%</w:t>
            </w:r>
          </w:p>
        </w:tc>
        <w:tc>
          <w:tcPr>
            <w:tcW w:w="426" w:type="pct"/>
            <w:tcBorders>
              <w:top w:val="nil"/>
              <w:left w:val="nil"/>
              <w:bottom w:val="single" w:sz="4" w:space="0" w:color="auto"/>
              <w:right w:val="single" w:sz="4" w:space="0" w:color="auto"/>
            </w:tcBorders>
            <w:noWrap/>
            <w:vAlign w:val="bottom"/>
            <w:hideMark/>
          </w:tcPr>
          <w:p w14:paraId="782E56E4"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423.908,45</w:t>
            </w:r>
          </w:p>
        </w:tc>
        <w:tc>
          <w:tcPr>
            <w:tcW w:w="459" w:type="pct"/>
            <w:tcBorders>
              <w:top w:val="nil"/>
              <w:left w:val="nil"/>
              <w:bottom w:val="single" w:sz="4" w:space="0" w:color="auto"/>
              <w:right w:val="single" w:sz="4" w:space="0" w:color="auto"/>
            </w:tcBorders>
            <w:noWrap/>
            <w:vAlign w:val="bottom"/>
            <w:hideMark/>
          </w:tcPr>
          <w:p w14:paraId="24C8625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185.640,18</w:t>
            </w:r>
          </w:p>
        </w:tc>
        <w:tc>
          <w:tcPr>
            <w:tcW w:w="501" w:type="pct"/>
            <w:tcBorders>
              <w:top w:val="nil"/>
              <w:left w:val="single" w:sz="4" w:space="0" w:color="auto"/>
              <w:bottom w:val="single" w:sz="4" w:space="0" w:color="auto"/>
              <w:right w:val="single" w:sz="4" w:space="0" w:color="auto"/>
            </w:tcBorders>
            <w:noWrap/>
            <w:vAlign w:val="bottom"/>
            <w:hideMark/>
          </w:tcPr>
          <w:p w14:paraId="3672553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436.869,54</w:t>
            </w:r>
          </w:p>
        </w:tc>
        <w:tc>
          <w:tcPr>
            <w:tcW w:w="501" w:type="pct"/>
            <w:tcBorders>
              <w:top w:val="nil"/>
              <w:left w:val="nil"/>
              <w:bottom w:val="single" w:sz="4" w:space="0" w:color="auto"/>
              <w:right w:val="single" w:sz="4" w:space="0" w:color="auto"/>
            </w:tcBorders>
            <w:noWrap/>
            <w:vAlign w:val="bottom"/>
            <w:hideMark/>
          </w:tcPr>
          <w:p w14:paraId="5B3CDBA0"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136.845,69</w:t>
            </w:r>
          </w:p>
        </w:tc>
        <w:tc>
          <w:tcPr>
            <w:tcW w:w="501" w:type="pct"/>
            <w:tcBorders>
              <w:top w:val="nil"/>
              <w:left w:val="nil"/>
              <w:bottom w:val="single" w:sz="4" w:space="0" w:color="auto"/>
              <w:right w:val="single" w:sz="4" w:space="0" w:color="auto"/>
            </w:tcBorders>
            <w:noWrap/>
            <w:vAlign w:val="bottom"/>
            <w:hideMark/>
          </w:tcPr>
          <w:p w14:paraId="48C27A7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35.833,39</w:t>
            </w:r>
          </w:p>
        </w:tc>
        <w:tc>
          <w:tcPr>
            <w:tcW w:w="398" w:type="pct"/>
            <w:tcBorders>
              <w:top w:val="nil"/>
              <w:left w:val="nil"/>
              <w:bottom w:val="single" w:sz="4" w:space="0" w:color="auto"/>
              <w:right w:val="single" w:sz="4" w:space="0" w:color="auto"/>
            </w:tcBorders>
            <w:noWrap/>
            <w:vAlign w:val="bottom"/>
            <w:hideMark/>
          </w:tcPr>
          <w:p w14:paraId="67E206CB"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251.421,03</w:t>
            </w:r>
          </w:p>
        </w:tc>
        <w:tc>
          <w:tcPr>
            <w:tcW w:w="342" w:type="pct"/>
            <w:tcBorders>
              <w:top w:val="nil"/>
              <w:left w:val="nil"/>
              <w:bottom w:val="single" w:sz="4" w:space="0" w:color="auto"/>
              <w:right w:val="single" w:sz="4" w:space="0" w:color="auto"/>
            </w:tcBorders>
            <w:noWrap/>
            <w:vAlign w:val="bottom"/>
            <w:hideMark/>
          </w:tcPr>
          <w:p w14:paraId="652B7D7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136.692,91</w:t>
            </w:r>
          </w:p>
        </w:tc>
        <w:tc>
          <w:tcPr>
            <w:tcW w:w="342" w:type="pct"/>
            <w:tcBorders>
              <w:top w:val="nil"/>
              <w:left w:val="nil"/>
              <w:bottom w:val="single" w:sz="4" w:space="0" w:color="auto"/>
              <w:right w:val="single" w:sz="4" w:space="0" w:color="auto"/>
            </w:tcBorders>
            <w:noWrap/>
            <w:vAlign w:val="bottom"/>
            <w:hideMark/>
          </w:tcPr>
          <w:p w14:paraId="50798218"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35.794,50</w:t>
            </w:r>
          </w:p>
        </w:tc>
      </w:tr>
      <w:tr w:rsidR="006D51C0" w:rsidRPr="006D51C0" w14:paraId="79FCB247" w14:textId="77777777" w:rsidTr="006D51C0">
        <w:trPr>
          <w:trHeight w:val="570"/>
        </w:trPr>
        <w:tc>
          <w:tcPr>
            <w:tcW w:w="797" w:type="pct"/>
            <w:tcBorders>
              <w:top w:val="nil"/>
              <w:left w:val="single" w:sz="4" w:space="0" w:color="auto"/>
              <w:bottom w:val="single" w:sz="4" w:space="0" w:color="auto"/>
              <w:right w:val="single" w:sz="4" w:space="0" w:color="auto"/>
            </w:tcBorders>
            <w:vAlign w:val="bottom"/>
            <w:hideMark/>
          </w:tcPr>
          <w:p w14:paraId="424F084C" w14:textId="77777777" w:rsidR="006D51C0" w:rsidRPr="006D51C0" w:rsidRDefault="006D51C0">
            <w:pPr>
              <w:rPr>
                <w:rFonts w:ascii="Arial" w:hAnsi="Arial" w:cs="Arial"/>
                <w:color w:val="000000"/>
                <w:sz w:val="18"/>
                <w:szCs w:val="18"/>
              </w:rPr>
            </w:pPr>
            <w:r w:rsidRPr="006D51C0">
              <w:rPr>
                <w:rFonts w:ascii="Arial" w:hAnsi="Arial" w:cs="Arial"/>
                <w:color w:val="000000"/>
                <w:sz w:val="18"/>
                <w:szCs w:val="18"/>
              </w:rPr>
              <w:t>Povračljiv davek na dodano vrednost</w:t>
            </w:r>
          </w:p>
        </w:tc>
        <w:tc>
          <w:tcPr>
            <w:tcW w:w="384" w:type="pct"/>
            <w:tcBorders>
              <w:top w:val="nil"/>
              <w:left w:val="nil"/>
              <w:bottom w:val="single" w:sz="4" w:space="0" w:color="auto"/>
              <w:right w:val="single" w:sz="4" w:space="0" w:color="auto"/>
            </w:tcBorders>
            <w:noWrap/>
            <w:vAlign w:val="bottom"/>
            <w:hideMark/>
          </w:tcPr>
          <w:p w14:paraId="6CFE12DD"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26.676,13</w:t>
            </w:r>
          </w:p>
        </w:tc>
        <w:tc>
          <w:tcPr>
            <w:tcW w:w="347" w:type="pct"/>
            <w:tcBorders>
              <w:top w:val="nil"/>
              <w:left w:val="nil"/>
              <w:bottom w:val="single" w:sz="4" w:space="0" w:color="auto"/>
              <w:right w:val="single" w:sz="4" w:space="0" w:color="auto"/>
            </w:tcBorders>
            <w:noWrap/>
            <w:vAlign w:val="bottom"/>
            <w:hideMark/>
          </w:tcPr>
          <w:p w14:paraId="6A269E85"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0,73%</w:t>
            </w:r>
          </w:p>
        </w:tc>
        <w:tc>
          <w:tcPr>
            <w:tcW w:w="426" w:type="pct"/>
            <w:tcBorders>
              <w:top w:val="nil"/>
              <w:left w:val="nil"/>
              <w:bottom w:val="single" w:sz="4" w:space="0" w:color="auto"/>
              <w:right w:val="single" w:sz="4" w:space="0" w:color="auto"/>
            </w:tcBorders>
            <w:noWrap/>
            <w:vAlign w:val="bottom"/>
            <w:hideMark/>
          </w:tcPr>
          <w:p w14:paraId="669C466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459" w:type="pct"/>
            <w:tcBorders>
              <w:top w:val="nil"/>
              <w:left w:val="nil"/>
              <w:bottom w:val="single" w:sz="4" w:space="0" w:color="auto"/>
              <w:right w:val="single" w:sz="4" w:space="0" w:color="auto"/>
            </w:tcBorders>
            <w:noWrap/>
            <w:vAlign w:val="bottom"/>
            <w:hideMark/>
          </w:tcPr>
          <w:p w14:paraId="1446DC4E"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26.676,13</w:t>
            </w:r>
          </w:p>
        </w:tc>
        <w:tc>
          <w:tcPr>
            <w:tcW w:w="501" w:type="pct"/>
            <w:tcBorders>
              <w:top w:val="nil"/>
              <w:left w:val="single" w:sz="4" w:space="0" w:color="auto"/>
              <w:bottom w:val="single" w:sz="4" w:space="0" w:color="auto"/>
              <w:right w:val="single" w:sz="4" w:space="0" w:color="auto"/>
            </w:tcBorders>
            <w:noWrap/>
            <w:vAlign w:val="bottom"/>
            <w:hideMark/>
          </w:tcPr>
          <w:p w14:paraId="7D7E56DA"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26.676,13</w:t>
            </w:r>
          </w:p>
        </w:tc>
        <w:tc>
          <w:tcPr>
            <w:tcW w:w="501" w:type="pct"/>
            <w:tcBorders>
              <w:top w:val="nil"/>
              <w:left w:val="nil"/>
              <w:bottom w:val="single" w:sz="4" w:space="0" w:color="auto"/>
              <w:right w:val="single" w:sz="4" w:space="0" w:color="auto"/>
            </w:tcBorders>
            <w:noWrap/>
            <w:vAlign w:val="bottom"/>
            <w:hideMark/>
          </w:tcPr>
          <w:p w14:paraId="72D6E413"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501" w:type="pct"/>
            <w:tcBorders>
              <w:top w:val="nil"/>
              <w:left w:val="nil"/>
              <w:bottom w:val="single" w:sz="4" w:space="0" w:color="auto"/>
              <w:right w:val="single" w:sz="4" w:space="0" w:color="auto"/>
            </w:tcBorders>
            <w:noWrap/>
            <w:vAlign w:val="bottom"/>
            <w:hideMark/>
          </w:tcPr>
          <w:p w14:paraId="38F8A8E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98" w:type="pct"/>
            <w:tcBorders>
              <w:top w:val="nil"/>
              <w:left w:val="nil"/>
              <w:bottom w:val="single" w:sz="4" w:space="0" w:color="auto"/>
              <w:right w:val="single" w:sz="4" w:space="0" w:color="auto"/>
            </w:tcBorders>
            <w:noWrap/>
            <w:vAlign w:val="bottom"/>
            <w:hideMark/>
          </w:tcPr>
          <w:p w14:paraId="3674BDCC"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37A21C11"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c>
          <w:tcPr>
            <w:tcW w:w="342" w:type="pct"/>
            <w:tcBorders>
              <w:top w:val="nil"/>
              <w:left w:val="nil"/>
              <w:bottom w:val="single" w:sz="4" w:space="0" w:color="auto"/>
              <w:right w:val="single" w:sz="4" w:space="0" w:color="auto"/>
            </w:tcBorders>
            <w:noWrap/>
            <w:vAlign w:val="bottom"/>
            <w:hideMark/>
          </w:tcPr>
          <w:p w14:paraId="611B93A9" w14:textId="77777777" w:rsidR="006D51C0" w:rsidRPr="006D51C0" w:rsidRDefault="006D51C0">
            <w:pPr>
              <w:jc w:val="right"/>
              <w:rPr>
                <w:rFonts w:ascii="Arial" w:hAnsi="Arial" w:cs="Arial"/>
                <w:color w:val="000000"/>
                <w:sz w:val="18"/>
                <w:szCs w:val="18"/>
              </w:rPr>
            </w:pPr>
            <w:r w:rsidRPr="006D51C0">
              <w:rPr>
                <w:rFonts w:ascii="Arial" w:hAnsi="Arial" w:cs="Arial"/>
                <w:color w:val="000000"/>
                <w:sz w:val="18"/>
                <w:szCs w:val="18"/>
              </w:rPr>
              <w:t>0,00</w:t>
            </w:r>
          </w:p>
        </w:tc>
      </w:tr>
      <w:tr w:rsidR="006D51C0" w:rsidRPr="006D51C0" w14:paraId="33D1D2B6" w14:textId="77777777" w:rsidTr="006D51C0">
        <w:trPr>
          <w:trHeight w:val="600"/>
        </w:trPr>
        <w:tc>
          <w:tcPr>
            <w:tcW w:w="797" w:type="pct"/>
            <w:tcBorders>
              <w:top w:val="nil"/>
              <w:left w:val="single" w:sz="4" w:space="0" w:color="auto"/>
              <w:bottom w:val="single" w:sz="4" w:space="0" w:color="auto"/>
              <w:right w:val="single" w:sz="4" w:space="0" w:color="auto"/>
            </w:tcBorders>
            <w:shd w:val="clear" w:color="000000" w:fill="D9D9D9"/>
            <w:vAlign w:val="bottom"/>
            <w:hideMark/>
          </w:tcPr>
          <w:p w14:paraId="6E503F9B" w14:textId="77777777" w:rsidR="006D51C0" w:rsidRPr="006D51C0" w:rsidRDefault="006D51C0">
            <w:pPr>
              <w:rPr>
                <w:rFonts w:ascii="Arial" w:hAnsi="Arial" w:cs="Arial"/>
                <w:b/>
                <w:bCs/>
                <w:color w:val="000000"/>
                <w:sz w:val="18"/>
                <w:szCs w:val="18"/>
              </w:rPr>
            </w:pPr>
            <w:r w:rsidRPr="006D51C0">
              <w:rPr>
                <w:rFonts w:ascii="Arial" w:hAnsi="Arial" w:cs="Arial"/>
                <w:b/>
                <w:bCs/>
                <w:color w:val="000000"/>
                <w:sz w:val="18"/>
                <w:szCs w:val="18"/>
              </w:rPr>
              <w:t>Skupaj z davkom na dodano vrednost</w:t>
            </w:r>
          </w:p>
        </w:tc>
        <w:tc>
          <w:tcPr>
            <w:tcW w:w="384" w:type="pct"/>
            <w:tcBorders>
              <w:top w:val="nil"/>
              <w:left w:val="nil"/>
              <w:bottom w:val="single" w:sz="4" w:space="0" w:color="auto"/>
              <w:right w:val="single" w:sz="4" w:space="0" w:color="auto"/>
            </w:tcBorders>
            <w:shd w:val="clear" w:color="000000" w:fill="D9D9D9"/>
            <w:noWrap/>
            <w:vAlign w:val="bottom"/>
            <w:hideMark/>
          </w:tcPr>
          <w:p w14:paraId="17A51A38"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3.661.310,43</w:t>
            </w:r>
          </w:p>
        </w:tc>
        <w:tc>
          <w:tcPr>
            <w:tcW w:w="347" w:type="pct"/>
            <w:tcBorders>
              <w:top w:val="nil"/>
              <w:left w:val="nil"/>
              <w:bottom w:val="single" w:sz="4" w:space="0" w:color="auto"/>
              <w:right w:val="single" w:sz="4" w:space="0" w:color="auto"/>
            </w:tcBorders>
            <w:shd w:val="clear" w:color="000000" w:fill="D9D9D9"/>
            <w:noWrap/>
            <w:vAlign w:val="bottom"/>
            <w:hideMark/>
          </w:tcPr>
          <w:p w14:paraId="33EB8207"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100,00%</w:t>
            </w:r>
          </w:p>
        </w:tc>
        <w:tc>
          <w:tcPr>
            <w:tcW w:w="426" w:type="pct"/>
            <w:tcBorders>
              <w:top w:val="nil"/>
              <w:left w:val="nil"/>
              <w:bottom w:val="single" w:sz="4" w:space="0" w:color="auto"/>
              <w:right w:val="single" w:sz="4" w:space="0" w:color="auto"/>
            </w:tcBorders>
            <w:shd w:val="clear" w:color="000000" w:fill="D9D9D9"/>
            <w:noWrap/>
            <w:vAlign w:val="bottom"/>
            <w:hideMark/>
          </w:tcPr>
          <w:p w14:paraId="6CE81C69"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2.472.020,11</w:t>
            </w:r>
          </w:p>
        </w:tc>
        <w:tc>
          <w:tcPr>
            <w:tcW w:w="459" w:type="pct"/>
            <w:tcBorders>
              <w:top w:val="nil"/>
              <w:left w:val="nil"/>
              <w:bottom w:val="single" w:sz="4" w:space="0" w:color="auto"/>
              <w:right w:val="single" w:sz="4" w:space="0" w:color="auto"/>
            </w:tcBorders>
            <w:shd w:val="clear" w:color="000000" w:fill="D9D9D9"/>
            <w:noWrap/>
            <w:vAlign w:val="bottom"/>
            <w:hideMark/>
          </w:tcPr>
          <w:p w14:paraId="1F96C821"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1.189.290,32</w:t>
            </w:r>
          </w:p>
        </w:tc>
        <w:tc>
          <w:tcPr>
            <w:tcW w:w="501" w:type="pct"/>
            <w:tcBorders>
              <w:top w:val="nil"/>
              <w:left w:val="single" w:sz="4" w:space="0" w:color="auto"/>
              <w:bottom w:val="single" w:sz="4" w:space="0" w:color="auto"/>
              <w:right w:val="single" w:sz="4" w:space="0" w:color="auto"/>
            </w:tcBorders>
            <w:shd w:val="clear" w:color="000000" w:fill="D9D9D9"/>
            <w:noWrap/>
            <w:vAlign w:val="bottom"/>
            <w:hideMark/>
          </w:tcPr>
          <w:p w14:paraId="768867B0"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2.703.726,43</w:t>
            </w:r>
          </w:p>
        </w:tc>
        <w:tc>
          <w:tcPr>
            <w:tcW w:w="501" w:type="pct"/>
            <w:tcBorders>
              <w:top w:val="nil"/>
              <w:left w:val="nil"/>
              <w:bottom w:val="single" w:sz="4" w:space="0" w:color="auto"/>
              <w:right w:val="single" w:sz="4" w:space="0" w:color="auto"/>
            </w:tcBorders>
            <w:shd w:val="clear" w:color="000000" w:fill="D9D9D9"/>
            <w:noWrap/>
            <w:vAlign w:val="bottom"/>
            <w:hideMark/>
          </w:tcPr>
          <w:p w14:paraId="69FEB2A3"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758.871,56</w:t>
            </w:r>
          </w:p>
        </w:tc>
        <w:tc>
          <w:tcPr>
            <w:tcW w:w="501" w:type="pct"/>
            <w:tcBorders>
              <w:top w:val="nil"/>
              <w:left w:val="nil"/>
              <w:bottom w:val="single" w:sz="4" w:space="0" w:color="auto"/>
              <w:right w:val="single" w:sz="4" w:space="0" w:color="auto"/>
            </w:tcBorders>
            <w:shd w:val="clear" w:color="000000" w:fill="D9D9D9"/>
            <w:noWrap/>
            <w:vAlign w:val="bottom"/>
            <w:hideMark/>
          </w:tcPr>
          <w:p w14:paraId="6B18000A"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198.712,44</w:t>
            </w:r>
          </w:p>
        </w:tc>
        <w:tc>
          <w:tcPr>
            <w:tcW w:w="398" w:type="pct"/>
            <w:tcBorders>
              <w:top w:val="nil"/>
              <w:left w:val="nil"/>
              <w:bottom w:val="single" w:sz="4" w:space="0" w:color="auto"/>
              <w:right w:val="single" w:sz="4" w:space="0" w:color="auto"/>
            </w:tcBorders>
            <w:shd w:val="clear" w:color="000000" w:fill="D9D9D9"/>
            <w:noWrap/>
            <w:vAlign w:val="bottom"/>
            <w:hideMark/>
          </w:tcPr>
          <w:p w14:paraId="12C65DE5"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1.515.499,04</w:t>
            </w:r>
          </w:p>
        </w:tc>
        <w:tc>
          <w:tcPr>
            <w:tcW w:w="342" w:type="pct"/>
            <w:tcBorders>
              <w:top w:val="nil"/>
              <w:left w:val="nil"/>
              <w:bottom w:val="single" w:sz="4" w:space="0" w:color="auto"/>
              <w:right w:val="single" w:sz="4" w:space="0" w:color="auto"/>
            </w:tcBorders>
            <w:shd w:val="clear" w:color="000000" w:fill="D9D9D9"/>
            <w:noWrap/>
            <w:vAlign w:val="bottom"/>
            <w:hideMark/>
          </w:tcPr>
          <w:p w14:paraId="5F0CE126"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758.024,30</w:t>
            </w:r>
          </w:p>
        </w:tc>
        <w:tc>
          <w:tcPr>
            <w:tcW w:w="342" w:type="pct"/>
            <w:tcBorders>
              <w:top w:val="nil"/>
              <w:left w:val="nil"/>
              <w:bottom w:val="single" w:sz="4" w:space="0" w:color="auto"/>
              <w:right w:val="single" w:sz="4" w:space="0" w:color="auto"/>
            </w:tcBorders>
            <w:shd w:val="clear" w:color="000000" w:fill="D9D9D9"/>
            <w:noWrap/>
            <w:vAlign w:val="bottom"/>
            <w:hideMark/>
          </w:tcPr>
          <w:p w14:paraId="0C26492C"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198.496,77</w:t>
            </w:r>
          </w:p>
        </w:tc>
      </w:tr>
      <w:tr w:rsidR="006D51C0" w:rsidRPr="006D51C0" w14:paraId="4BEBDC1A" w14:textId="77777777" w:rsidTr="006D51C0">
        <w:trPr>
          <w:trHeight w:val="600"/>
        </w:trPr>
        <w:tc>
          <w:tcPr>
            <w:tcW w:w="797" w:type="pct"/>
            <w:tcBorders>
              <w:top w:val="nil"/>
              <w:left w:val="single" w:sz="4" w:space="0" w:color="auto"/>
              <w:bottom w:val="single" w:sz="4" w:space="0" w:color="auto"/>
              <w:right w:val="single" w:sz="4" w:space="0" w:color="auto"/>
            </w:tcBorders>
            <w:shd w:val="clear" w:color="000000" w:fill="D9D9D9"/>
            <w:vAlign w:val="bottom"/>
            <w:hideMark/>
          </w:tcPr>
          <w:p w14:paraId="138D4CAA" w14:textId="77777777" w:rsidR="006D51C0" w:rsidRPr="006D51C0" w:rsidRDefault="006D51C0">
            <w:pPr>
              <w:rPr>
                <w:rFonts w:ascii="Arial" w:hAnsi="Arial" w:cs="Arial"/>
                <w:b/>
                <w:bCs/>
                <w:color w:val="000000"/>
                <w:sz w:val="18"/>
                <w:szCs w:val="18"/>
              </w:rPr>
            </w:pPr>
            <w:r w:rsidRPr="006D51C0">
              <w:rPr>
                <w:rFonts w:ascii="Arial" w:hAnsi="Arial" w:cs="Arial"/>
                <w:b/>
                <w:bCs/>
                <w:color w:val="000000"/>
                <w:sz w:val="18"/>
                <w:szCs w:val="18"/>
              </w:rPr>
              <w:t xml:space="preserve">Skupaj z </w:t>
            </w:r>
            <w:proofErr w:type="spellStart"/>
            <w:r w:rsidRPr="006D51C0">
              <w:rPr>
                <w:rFonts w:ascii="Arial" w:hAnsi="Arial" w:cs="Arial"/>
                <w:b/>
                <w:bCs/>
                <w:color w:val="000000"/>
                <w:sz w:val="18"/>
                <w:szCs w:val="18"/>
              </w:rPr>
              <w:t>nepovračljivim</w:t>
            </w:r>
            <w:proofErr w:type="spellEnd"/>
            <w:r w:rsidRPr="006D51C0">
              <w:rPr>
                <w:rFonts w:ascii="Arial" w:hAnsi="Arial" w:cs="Arial"/>
                <w:b/>
                <w:bCs/>
                <w:color w:val="000000"/>
                <w:sz w:val="18"/>
                <w:szCs w:val="18"/>
              </w:rPr>
              <w:t xml:space="preserve"> davkom na dodano vrednost</w:t>
            </w:r>
          </w:p>
        </w:tc>
        <w:tc>
          <w:tcPr>
            <w:tcW w:w="384" w:type="pct"/>
            <w:tcBorders>
              <w:top w:val="nil"/>
              <w:left w:val="nil"/>
              <w:bottom w:val="single" w:sz="4" w:space="0" w:color="auto"/>
              <w:right w:val="single" w:sz="4" w:space="0" w:color="auto"/>
            </w:tcBorders>
            <w:shd w:val="clear" w:color="000000" w:fill="D9D9D9"/>
            <w:noWrap/>
            <w:vAlign w:val="bottom"/>
            <w:hideMark/>
          </w:tcPr>
          <w:p w14:paraId="2EC2C03E"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3.634.634,30</w:t>
            </w:r>
          </w:p>
        </w:tc>
        <w:tc>
          <w:tcPr>
            <w:tcW w:w="347" w:type="pct"/>
            <w:tcBorders>
              <w:top w:val="nil"/>
              <w:left w:val="nil"/>
              <w:bottom w:val="single" w:sz="4" w:space="0" w:color="auto"/>
              <w:right w:val="single" w:sz="4" w:space="0" w:color="auto"/>
            </w:tcBorders>
            <w:shd w:val="clear" w:color="000000" w:fill="D9D9D9"/>
            <w:noWrap/>
            <w:vAlign w:val="bottom"/>
            <w:hideMark/>
          </w:tcPr>
          <w:p w14:paraId="0055E3FE"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99,27%</w:t>
            </w:r>
          </w:p>
        </w:tc>
        <w:tc>
          <w:tcPr>
            <w:tcW w:w="426" w:type="pct"/>
            <w:tcBorders>
              <w:top w:val="nil"/>
              <w:left w:val="nil"/>
              <w:bottom w:val="single" w:sz="4" w:space="0" w:color="auto"/>
              <w:right w:val="single" w:sz="4" w:space="0" w:color="auto"/>
            </w:tcBorders>
            <w:shd w:val="clear" w:color="000000" w:fill="D9D9D9"/>
            <w:noWrap/>
            <w:vAlign w:val="bottom"/>
            <w:hideMark/>
          </w:tcPr>
          <w:p w14:paraId="7A18361A"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2.472.020,11</w:t>
            </w:r>
          </w:p>
        </w:tc>
        <w:tc>
          <w:tcPr>
            <w:tcW w:w="459" w:type="pct"/>
            <w:tcBorders>
              <w:top w:val="nil"/>
              <w:left w:val="nil"/>
              <w:bottom w:val="single" w:sz="4" w:space="0" w:color="auto"/>
              <w:right w:val="single" w:sz="4" w:space="0" w:color="auto"/>
            </w:tcBorders>
            <w:shd w:val="clear" w:color="000000" w:fill="D9D9D9"/>
            <w:noWrap/>
            <w:vAlign w:val="bottom"/>
            <w:hideMark/>
          </w:tcPr>
          <w:p w14:paraId="0DE07172"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1.162.614,19</w:t>
            </w:r>
          </w:p>
        </w:tc>
        <w:tc>
          <w:tcPr>
            <w:tcW w:w="501" w:type="pct"/>
            <w:tcBorders>
              <w:top w:val="nil"/>
              <w:left w:val="single" w:sz="4" w:space="0" w:color="auto"/>
              <w:bottom w:val="single" w:sz="4" w:space="0" w:color="auto"/>
              <w:right w:val="single" w:sz="4" w:space="0" w:color="auto"/>
            </w:tcBorders>
            <w:shd w:val="clear" w:color="000000" w:fill="D9D9D9"/>
            <w:noWrap/>
            <w:vAlign w:val="bottom"/>
            <w:hideMark/>
          </w:tcPr>
          <w:p w14:paraId="766CD6C9"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2.677.050,30</w:t>
            </w:r>
          </w:p>
        </w:tc>
        <w:tc>
          <w:tcPr>
            <w:tcW w:w="501" w:type="pct"/>
            <w:tcBorders>
              <w:top w:val="nil"/>
              <w:left w:val="nil"/>
              <w:bottom w:val="single" w:sz="4" w:space="0" w:color="auto"/>
              <w:right w:val="single" w:sz="4" w:space="0" w:color="auto"/>
            </w:tcBorders>
            <w:shd w:val="clear" w:color="000000" w:fill="D9D9D9"/>
            <w:noWrap/>
            <w:vAlign w:val="bottom"/>
            <w:hideMark/>
          </w:tcPr>
          <w:p w14:paraId="4878DBF3"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758.871,56</w:t>
            </w:r>
          </w:p>
        </w:tc>
        <w:tc>
          <w:tcPr>
            <w:tcW w:w="501" w:type="pct"/>
            <w:tcBorders>
              <w:top w:val="nil"/>
              <w:left w:val="nil"/>
              <w:bottom w:val="single" w:sz="4" w:space="0" w:color="auto"/>
              <w:right w:val="single" w:sz="4" w:space="0" w:color="auto"/>
            </w:tcBorders>
            <w:shd w:val="clear" w:color="000000" w:fill="D9D9D9"/>
            <w:noWrap/>
            <w:vAlign w:val="bottom"/>
            <w:hideMark/>
          </w:tcPr>
          <w:p w14:paraId="5F9AC7BA"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198.712,44</w:t>
            </w:r>
          </w:p>
        </w:tc>
        <w:tc>
          <w:tcPr>
            <w:tcW w:w="398" w:type="pct"/>
            <w:tcBorders>
              <w:top w:val="nil"/>
              <w:left w:val="nil"/>
              <w:bottom w:val="single" w:sz="4" w:space="0" w:color="auto"/>
              <w:right w:val="single" w:sz="4" w:space="0" w:color="auto"/>
            </w:tcBorders>
            <w:shd w:val="clear" w:color="000000" w:fill="D9D9D9"/>
            <w:noWrap/>
            <w:vAlign w:val="bottom"/>
            <w:hideMark/>
          </w:tcPr>
          <w:p w14:paraId="4FED0B3A"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1.515.499,04</w:t>
            </w:r>
          </w:p>
        </w:tc>
        <w:tc>
          <w:tcPr>
            <w:tcW w:w="342" w:type="pct"/>
            <w:tcBorders>
              <w:top w:val="nil"/>
              <w:left w:val="nil"/>
              <w:bottom w:val="single" w:sz="4" w:space="0" w:color="auto"/>
              <w:right w:val="single" w:sz="4" w:space="0" w:color="auto"/>
            </w:tcBorders>
            <w:shd w:val="clear" w:color="000000" w:fill="D9D9D9"/>
            <w:noWrap/>
            <w:vAlign w:val="bottom"/>
            <w:hideMark/>
          </w:tcPr>
          <w:p w14:paraId="53D4960C"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758.024,30</w:t>
            </w:r>
          </w:p>
        </w:tc>
        <w:tc>
          <w:tcPr>
            <w:tcW w:w="342" w:type="pct"/>
            <w:tcBorders>
              <w:top w:val="nil"/>
              <w:left w:val="nil"/>
              <w:bottom w:val="single" w:sz="4" w:space="0" w:color="auto"/>
              <w:right w:val="single" w:sz="4" w:space="0" w:color="auto"/>
            </w:tcBorders>
            <w:shd w:val="clear" w:color="000000" w:fill="D9D9D9"/>
            <w:noWrap/>
            <w:vAlign w:val="bottom"/>
            <w:hideMark/>
          </w:tcPr>
          <w:p w14:paraId="1D8D2C5E" w14:textId="77777777" w:rsidR="006D51C0" w:rsidRPr="006D51C0" w:rsidRDefault="006D51C0">
            <w:pPr>
              <w:jc w:val="right"/>
              <w:rPr>
                <w:rFonts w:ascii="Arial" w:hAnsi="Arial" w:cs="Arial"/>
                <w:b/>
                <w:bCs/>
                <w:color w:val="000000"/>
                <w:sz w:val="18"/>
                <w:szCs w:val="18"/>
              </w:rPr>
            </w:pPr>
            <w:r w:rsidRPr="006D51C0">
              <w:rPr>
                <w:rFonts w:ascii="Arial" w:hAnsi="Arial" w:cs="Arial"/>
                <w:b/>
                <w:bCs/>
                <w:color w:val="000000"/>
                <w:sz w:val="18"/>
                <w:szCs w:val="18"/>
              </w:rPr>
              <w:t>198.496,77</w:t>
            </w:r>
          </w:p>
        </w:tc>
      </w:tr>
    </w:tbl>
    <w:p w14:paraId="699F82DD" w14:textId="77777777" w:rsidR="006D51C0" w:rsidRDefault="006D51C0" w:rsidP="006D51C0"/>
    <w:p w14:paraId="71B15454" w14:textId="77777777" w:rsidR="006D51C0" w:rsidRDefault="006D51C0" w:rsidP="006D51C0"/>
    <w:p w14:paraId="02E4A114" w14:textId="77777777" w:rsidR="006D51C0" w:rsidRPr="006D51C0" w:rsidRDefault="006D51C0" w:rsidP="006D51C0"/>
    <w:p w14:paraId="4CC5A99D" w14:textId="77777777" w:rsidR="006945A7" w:rsidRPr="006945A7" w:rsidRDefault="006945A7" w:rsidP="006945A7">
      <w:pPr>
        <w:pStyle w:val="Odstavekseznama"/>
        <w:numPr>
          <w:ilvl w:val="0"/>
          <w:numId w:val="169"/>
        </w:numPr>
        <w:rPr>
          <w:rFonts w:asciiTheme="majorHAnsi" w:eastAsiaTheme="majorEastAsia" w:hAnsiTheme="majorHAnsi" w:cstheme="majorHAnsi"/>
          <w:b/>
          <w:bCs/>
          <w:color w:val="365F91" w:themeColor="accent1" w:themeShade="BF"/>
        </w:rPr>
        <w:sectPr w:rsidR="006945A7" w:rsidRPr="006945A7" w:rsidSect="006945A7">
          <w:pgSz w:w="16838" w:h="11906" w:orient="landscape" w:code="9"/>
          <w:pgMar w:top="1134" w:right="1134" w:bottom="1417" w:left="1417" w:header="708" w:footer="708" w:gutter="0"/>
          <w:cols w:space="708"/>
          <w:titlePg/>
          <w:docGrid w:linePitch="360"/>
        </w:sectPr>
      </w:pPr>
    </w:p>
    <w:p w14:paraId="1FA3AB80" w14:textId="77777777" w:rsidR="00D1347D" w:rsidRPr="00F11127" w:rsidRDefault="00D1347D" w:rsidP="00BD1D20">
      <w:pPr>
        <w:pStyle w:val="Naslov1"/>
        <w:numPr>
          <w:ilvl w:val="0"/>
          <w:numId w:val="3"/>
        </w:numPr>
        <w:rPr>
          <w:rFonts w:cstheme="majorHAnsi"/>
        </w:rPr>
      </w:pPr>
      <w:bookmarkStart w:id="239" w:name="_Toc210033830"/>
      <w:r w:rsidRPr="00F11127">
        <w:rPr>
          <w:rFonts w:cstheme="majorHAnsi"/>
        </w:rPr>
        <w:lastRenderedPageBreak/>
        <w:t>ANALIZA LOKACIJE</w:t>
      </w:r>
      <w:bookmarkEnd w:id="239"/>
    </w:p>
    <w:p w14:paraId="64F70D7D" w14:textId="77777777" w:rsidR="00C16CAC" w:rsidRPr="00F11127" w:rsidRDefault="00C16CAC"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40" w:name="_Toc131231598"/>
      <w:bookmarkStart w:id="241" w:name="_Toc442223458"/>
      <w:bookmarkStart w:id="242" w:name="_Toc210033831"/>
      <w:r w:rsidRPr="00F11127">
        <w:rPr>
          <w:rFonts w:asciiTheme="majorHAnsi" w:eastAsiaTheme="majorEastAsia" w:hAnsiTheme="majorHAnsi" w:cstheme="majorHAnsi"/>
          <w:color w:val="244061" w:themeColor="accent1" w:themeShade="80"/>
        </w:rPr>
        <w:t>Makro lokacija</w:t>
      </w:r>
      <w:bookmarkEnd w:id="240"/>
      <w:bookmarkEnd w:id="242"/>
    </w:p>
    <w:tbl>
      <w:tblPr>
        <w:tblW w:w="8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14"/>
        <w:gridCol w:w="6376"/>
      </w:tblGrid>
      <w:tr w:rsidR="00C16CAC" w:rsidRPr="00F11127" w14:paraId="7499E258" w14:textId="77777777" w:rsidTr="00BE2C8A">
        <w:trPr>
          <w:trHeight w:val="283"/>
        </w:trPr>
        <w:tc>
          <w:tcPr>
            <w:tcW w:w="2614" w:type="dxa"/>
            <w:shd w:val="clear" w:color="auto" w:fill="DBE5F1"/>
            <w:vAlign w:val="center"/>
          </w:tcPr>
          <w:p w14:paraId="74CD52E4" w14:textId="77777777" w:rsidR="00C16CAC" w:rsidRPr="00F11127" w:rsidRDefault="00C16CAC" w:rsidP="00BD1D20">
            <w:pPr>
              <w:spacing w:after="120" w:line="276" w:lineRule="auto"/>
              <w:rPr>
                <w:rFonts w:asciiTheme="majorHAnsi" w:eastAsia="Arial" w:hAnsiTheme="majorHAnsi" w:cstheme="majorHAnsi"/>
                <w:sz w:val="22"/>
                <w:szCs w:val="22"/>
              </w:rPr>
            </w:pPr>
            <w:bookmarkStart w:id="243" w:name="_heading=h.2afmg28" w:colFirst="0" w:colLast="0"/>
            <w:bookmarkEnd w:id="243"/>
            <w:r w:rsidRPr="00F11127">
              <w:rPr>
                <w:rFonts w:asciiTheme="majorHAnsi" w:eastAsia="Arial" w:hAnsiTheme="majorHAnsi" w:cstheme="majorHAnsi"/>
                <w:sz w:val="22"/>
                <w:szCs w:val="22"/>
              </w:rPr>
              <w:t>kohezijska regija</w:t>
            </w:r>
          </w:p>
        </w:tc>
        <w:tc>
          <w:tcPr>
            <w:tcW w:w="6376" w:type="dxa"/>
            <w:vAlign w:val="center"/>
          </w:tcPr>
          <w:p w14:paraId="03F1F6E8" w14:textId="77777777" w:rsidR="00C16CAC" w:rsidRPr="00F11127" w:rsidRDefault="00C16CAC" w:rsidP="00BD1D20">
            <w:pPr>
              <w:spacing w:after="120" w:line="276" w:lineRule="auto"/>
              <w:rPr>
                <w:rFonts w:asciiTheme="majorHAnsi" w:eastAsia="Arial" w:hAnsiTheme="majorHAnsi" w:cstheme="majorHAnsi"/>
                <w:sz w:val="22"/>
                <w:szCs w:val="22"/>
              </w:rPr>
            </w:pPr>
            <w:r w:rsidRPr="00F11127">
              <w:rPr>
                <w:rFonts w:asciiTheme="majorHAnsi" w:eastAsia="Arial" w:hAnsiTheme="majorHAnsi" w:cstheme="majorHAnsi"/>
                <w:sz w:val="22"/>
                <w:szCs w:val="22"/>
              </w:rPr>
              <w:t>Zahodna Slovenija (KRZS)</w:t>
            </w:r>
          </w:p>
        </w:tc>
      </w:tr>
      <w:tr w:rsidR="00C16CAC" w:rsidRPr="00F11127" w14:paraId="3D2E5A32" w14:textId="77777777" w:rsidTr="00BE2C8A">
        <w:trPr>
          <w:trHeight w:val="283"/>
        </w:trPr>
        <w:tc>
          <w:tcPr>
            <w:tcW w:w="2614" w:type="dxa"/>
            <w:shd w:val="clear" w:color="auto" w:fill="DBE5F1"/>
            <w:vAlign w:val="center"/>
          </w:tcPr>
          <w:p w14:paraId="4E8D2F6C" w14:textId="77777777" w:rsidR="00C16CAC" w:rsidRPr="00F11127" w:rsidRDefault="00C16CAC" w:rsidP="00BD1D20">
            <w:pPr>
              <w:spacing w:after="120" w:line="276" w:lineRule="auto"/>
              <w:rPr>
                <w:rFonts w:asciiTheme="majorHAnsi" w:eastAsia="Arial" w:hAnsiTheme="majorHAnsi" w:cstheme="majorHAnsi"/>
                <w:sz w:val="22"/>
                <w:szCs w:val="22"/>
              </w:rPr>
            </w:pPr>
            <w:r w:rsidRPr="00F11127">
              <w:rPr>
                <w:rFonts w:asciiTheme="majorHAnsi" w:eastAsia="Arial" w:hAnsiTheme="majorHAnsi" w:cstheme="majorHAnsi"/>
                <w:sz w:val="22"/>
                <w:szCs w:val="22"/>
              </w:rPr>
              <w:t>statistična regija</w:t>
            </w:r>
          </w:p>
        </w:tc>
        <w:tc>
          <w:tcPr>
            <w:tcW w:w="6376" w:type="dxa"/>
            <w:vAlign w:val="center"/>
          </w:tcPr>
          <w:p w14:paraId="196119FA" w14:textId="75EB4EB9" w:rsidR="00C16CAC" w:rsidRPr="00F11127" w:rsidRDefault="004603B1" w:rsidP="00BD1D20">
            <w:pPr>
              <w:spacing w:after="120" w:line="276" w:lineRule="auto"/>
              <w:rPr>
                <w:rFonts w:asciiTheme="majorHAnsi" w:eastAsia="Arial" w:hAnsiTheme="majorHAnsi" w:cstheme="majorHAnsi"/>
                <w:sz w:val="22"/>
                <w:szCs w:val="22"/>
              </w:rPr>
            </w:pPr>
            <w:r>
              <w:rPr>
                <w:rFonts w:asciiTheme="majorHAnsi" w:eastAsia="Arial" w:hAnsiTheme="majorHAnsi" w:cstheme="majorHAnsi"/>
                <w:sz w:val="22"/>
                <w:szCs w:val="22"/>
              </w:rPr>
              <w:t>Osrednjeslovenska regija</w:t>
            </w:r>
          </w:p>
        </w:tc>
      </w:tr>
      <w:tr w:rsidR="00C16CAC" w:rsidRPr="00F11127" w14:paraId="053050E2" w14:textId="77777777" w:rsidTr="00BE2C8A">
        <w:trPr>
          <w:trHeight w:val="283"/>
        </w:trPr>
        <w:tc>
          <w:tcPr>
            <w:tcW w:w="2614" w:type="dxa"/>
            <w:shd w:val="clear" w:color="auto" w:fill="DBE5F1"/>
            <w:vAlign w:val="center"/>
          </w:tcPr>
          <w:p w14:paraId="364709DB" w14:textId="77777777" w:rsidR="00C16CAC" w:rsidRPr="00F11127" w:rsidRDefault="00C16CAC" w:rsidP="00BD1D20">
            <w:pPr>
              <w:spacing w:after="120" w:line="276" w:lineRule="auto"/>
              <w:rPr>
                <w:rFonts w:asciiTheme="majorHAnsi" w:eastAsia="Arial" w:hAnsiTheme="majorHAnsi" w:cstheme="majorHAnsi"/>
                <w:sz w:val="22"/>
                <w:szCs w:val="22"/>
              </w:rPr>
            </w:pPr>
            <w:r w:rsidRPr="00F11127">
              <w:rPr>
                <w:rFonts w:asciiTheme="majorHAnsi" w:eastAsia="Arial" w:hAnsiTheme="majorHAnsi" w:cstheme="majorHAnsi"/>
                <w:sz w:val="22"/>
                <w:szCs w:val="22"/>
              </w:rPr>
              <w:t>občina</w:t>
            </w:r>
          </w:p>
        </w:tc>
        <w:tc>
          <w:tcPr>
            <w:tcW w:w="6376" w:type="dxa"/>
            <w:vAlign w:val="center"/>
          </w:tcPr>
          <w:p w14:paraId="5E51DA4B" w14:textId="1C90DCAF" w:rsidR="00C16CAC" w:rsidRPr="00F11127" w:rsidRDefault="00C16CAC" w:rsidP="00BD1D20">
            <w:pPr>
              <w:spacing w:after="120" w:line="276" w:lineRule="auto"/>
              <w:rPr>
                <w:rFonts w:asciiTheme="majorHAnsi" w:eastAsia="Arial" w:hAnsiTheme="majorHAnsi" w:cstheme="majorHAnsi"/>
                <w:sz w:val="22"/>
                <w:szCs w:val="22"/>
              </w:rPr>
            </w:pPr>
            <w:r w:rsidRPr="00F11127">
              <w:rPr>
                <w:rFonts w:asciiTheme="majorHAnsi" w:eastAsia="Arial" w:hAnsiTheme="majorHAnsi" w:cstheme="majorHAnsi"/>
                <w:sz w:val="22"/>
                <w:szCs w:val="22"/>
              </w:rPr>
              <w:t xml:space="preserve">Občina </w:t>
            </w:r>
            <w:r w:rsidR="004603B1">
              <w:rPr>
                <w:rFonts w:asciiTheme="majorHAnsi" w:eastAsia="Arial" w:hAnsiTheme="majorHAnsi" w:cstheme="majorHAnsi"/>
                <w:sz w:val="22"/>
                <w:szCs w:val="22"/>
              </w:rPr>
              <w:t>Ig</w:t>
            </w:r>
            <w:r w:rsidRPr="00F11127">
              <w:rPr>
                <w:rFonts w:asciiTheme="majorHAnsi" w:eastAsia="Arial" w:hAnsiTheme="majorHAnsi" w:cstheme="majorHAnsi"/>
                <w:sz w:val="22"/>
                <w:szCs w:val="22"/>
              </w:rPr>
              <w:t xml:space="preserve"> </w:t>
            </w:r>
          </w:p>
        </w:tc>
      </w:tr>
      <w:tr w:rsidR="00C16CAC" w:rsidRPr="00F11127" w14:paraId="455A6E1E" w14:textId="77777777" w:rsidTr="00BE2C8A">
        <w:trPr>
          <w:trHeight w:val="283"/>
        </w:trPr>
        <w:tc>
          <w:tcPr>
            <w:tcW w:w="2614" w:type="dxa"/>
            <w:shd w:val="clear" w:color="auto" w:fill="DBE5F1"/>
            <w:vAlign w:val="center"/>
          </w:tcPr>
          <w:p w14:paraId="299B9537" w14:textId="77777777" w:rsidR="00C16CAC" w:rsidRPr="00F11127" w:rsidRDefault="007E6413" w:rsidP="00BD1D20">
            <w:pPr>
              <w:spacing w:after="120" w:line="276" w:lineRule="auto"/>
              <w:rPr>
                <w:rFonts w:asciiTheme="majorHAnsi" w:eastAsia="Arial" w:hAnsiTheme="majorHAnsi" w:cstheme="majorHAnsi"/>
                <w:sz w:val="22"/>
                <w:szCs w:val="22"/>
              </w:rPr>
            </w:pPr>
            <w:r w:rsidRPr="00F11127">
              <w:rPr>
                <w:rFonts w:asciiTheme="majorHAnsi" w:eastAsia="Arial" w:hAnsiTheme="majorHAnsi" w:cstheme="majorHAnsi"/>
                <w:sz w:val="22"/>
                <w:szCs w:val="22"/>
              </w:rPr>
              <w:t>Kraj</w:t>
            </w:r>
          </w:p>
        </w:tc>
        <w:tc>
          <w:tcPr>
            <w:tcW w:w="6376" w:type="dxa"/>
            <w:vAlign w:val="center"/>
          </w:tcPr>
          <w:p w14:paraId="50B831C7" w14:textId="1C1AD3ED" w:rsidR="00C16CAC" w:rsidRPr="00F11127" w:rsidRDefault="004603B1" w:rsidP="00BD1D20">
            <w:pPr>
              <w:spacing w:after="120" w:line="276" w:lineRule="auto"/>
              <w:rPr>
                <w:rFonts w:asciiTheme="majorHAnsi" w:eastAsia="Arial" w:hAnsiTheme="majorHAnsi" w:cstheme="majorHAnsi"/>
                <w:sz w:val="22"/>
                <w:szCs w:val="22"/>
              </w:rPr>
            </w:pPr>
            <w:r>
              <w:rPr>
                <w:rFonts w:asciiTheme="majorHAnsi" w:eastAsia="Arial" w:hAnsiTheme="majorHAnsi" w:cstheme="majorHAnsi"/>
                <w:sz w:val="22"/>
                <w:szCs w:val="22"/>
              </w:rPr>
              <w:t>Ig</w:t>
            </w:r>
          </w:p>
        </w:tc>
      </w:tr>
    </w:tbl>
    <w:p w14:paraId="393F5209" w14:textId="77777777" w:rsidR="00C16CAC" w:rsidRPr="00F11127" w:rsidRDefault="00C16CAC" w:rsidP="00BD1D20">
      <w:pPr>
        <w:spacing w:after="120" w:line="276" w:lineRule="auto"/>
        <w:rPr>
          <w:rFonts w:asciiTheme="majorHAnsi" w:eastAsia="Arial" w:hAnsiTheme="majorHAnsi" w:cstheme="majorHAnsi"/>
          <w:b/>
          <w:sz w:val="22"/>
          <w:szCs w:val="22"/>
        </w:rPr>
      </w:pPr>
      <w:bookmarkStart w:id="244" w:name="_Toc131231629"/>
    </w:p>
    <w:bookmarkEnd w:id="244"/>
    <w:p w14:paraId="3D2FD96F" w14:textId="77777777" w:rsidR="004603B1" w:rsidRPr="00C13301" w:rsidRDefault="004603B1" w:rsidP="004603B1">
      <w:pPr>
        <w:spacing w:after="120" w:line="276" w:lineRule="auto"/>
        <w:jc w:val="both"/>
        <w:rPr>
          <w:rFonts w:ascii="Arial" w:hAnsi="Arial" w:cs="Arial"/>
          <w:sz w:val="22"/>
          <w:szCs w:val="22"/>
        </w:rPr>
      </w:pPr>
      <w:r w:rsidRPr="00C13301">
        <w:rPr>
          <w:rFonts w:ascii="Arial" w:hAnsi="Arial" w:cs="Arial"/>
          <w:sz w:val="22"/>
          <w:szCs w:val="22"/>
        </w:rPr>
        <w:t>Lokacija predmetnega projekta je na območju centra občine Ig.</w:t>
      </w:r>
    </w:p>
    <w:p w14:paraId="6FB53C8E" w14:textId="37810136" w:rsidR="004603B1" w:rsidRPr="00A162A7" w:rsidRDefault="004603B1" w:rsidP="004603B1">
      <w:pPr>
        <w:pStyle w:val="Napis"/>
        <w:spacing w:line="276" w:lineRule="auto"/>
        <w:rPr>
          <w:rFonts w:asciiTheme="majorHAnsi" w:hAnsiTheme="majorHAnsi" w:cstheme="majorHAnsi"/>
          <w:color w:val="auto"/>
          <w:sz w:val="22"/>
          <w:szCs w:val="22"/>
        </w:rPr>
      </w:pPr>
      <w:bookmarkStart w:id="245" w:name="_Toc1955836"/>
      <w:bookmarkStart w:id="246" w:name="_Toc209029195"/>
      <w:bookmarkStart w:id="247" w:name="_Toc210033665"/>
      <w:r w:rsidRPr="00A162A7">
        <w:rPr>
          <w:rFonts w:asciiTheme="majorHAnsi" w:hAnsiTheme="majorHAnsi" w:cstheme="majorHAnsi"/>
          <w:color w:val="auto"/>
          <w:sz w:val="22"/>
          <w:szCs w:val="22"/>
        </w:rPr>
        <w:t xml:space="preserve">Slika </w:t>
      </w:r>
      <w:r w:rsidRPr="00A162A7">
        <w:rPr>
          <w:rFonts w:asciiTheme="majorHAnsi" w:hAnsiTheme="majorHAnsi" w:cstheme="majorHAnsi"/>
          <w:color w:val="auto"/>
          <w:sz w:val="22"/>
          <w:szCs w:val="22"/>
        </w:rPr>
        <w:fldChar w:fldCharType="begin"/>
      </w:r>
      <w:r w:rsidRPr="00A162A7">
        <w:rPr>
          <w:rFonts w:asciiTheme="majorHAnsi" w:hAnsiTheme="majorHAnsi" w:cstheme="majorHAnsi"/>
          <w:color w:val="auto"/>
          <w:sz w:val="22"/>
          <w:szCs w:val="22"/>
        </w:rPr>
        <w:instrText xml:space="preserve"> SEQ Slika \* ARABIC </w:instrText>
      </w:r>
      <w:r w:rsidRPr="00A162A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17</w:t>
      </w:r>
      <w:r w:rsidRPr="00A162A7">
        <w:rPr>
          <w:rFonts w:asciiTheme="majorHAnsi" w:hAnsiTheme="majorHAnsi" w:cstheme="majorHAnsi"/>
          <w:color w:val="auto"/>
          <w:sz w:val="22"/>
          <w:szCs w:val="22"/>
        </w:rPr>
        <w:fldChar w:fldCharType="end"/>
      </w:r>
      <w:r w:rsidRPr="00453F27">
        <w:rPr>
          <w:rFonts w:asciiTheme="majorHAnsi" w:hAnsiTheme="majorHAnsi" w:cstheme="majorHAnsi"/>
          <w:color w:val="auto"/>
          <w:sz w:val="22"/>
          <w:szCs w:val="22"/>
        </w:rPr>
        <w:t xml:space="preserve">: </w:t>
      </w:r>
      <w:proofErr w:type="spellStart"/>
      <w:r w:rsidRPr="00A162A7">
        <w:rPr>
          <w:rFonts w:asciiTheme="majorHAnsi" w:hAnsiTheme="majorHAnsi" w:cstheme="majorHAnsi"/>
          <w:b w:val="0"/>
          <w:color w:val="auto"/>
          <w:sz w:val="22"/>
          <w:szCs w:val="22"/>
        </w:rPr>
        <w:t>Makrolokacija</w:t>
      </w:r>
      <w:proofErr w:type="spellEnd"/>
      <w:r w:rsidRPr="00A162A7">
        <w:rPr>
          <w:rFonts w:asciiTheme="majorHAnsi" w:hAnsiTheme="majorHAnsi" w:cstheme="majorHAnsi"/>
          <w:b w:val="0"/>
          <w:color w:val="auto"/>
          <w:sz w:val="22"/>
          <w:szCs w:val="22"/>
        </w:rPr>
        <w:t xml:space="preserve"> predmetne investicije</w:t>
      </w:r>
      <w:bookmarkEnd w:id="245"/>
      <w:bookmarkEnd w:id="246"/>
      <w:bookmarkEnd w:id="247"/>
    </w:p>
    <w:p w14:paraId="16E118F6" w14:textId="77777777" w:rsidR="004603B1" w:rsidRDefault="004603B1" w:rsidP="004603B1">
      <w:pPr>
        <w:spacing w:after="200" w:line="276" w:lineRule="auto"/>
        <w:rPr>
          <w:rFonts w:asciiTheme="majorHAnsi" w:hAnsiTheme="majorHAnsi" w:cstheme="majorHAnsi"/>
          <w:b/>
          <w:bCs/>
          <w:sz w:val="22"/>
          <w:szCs w:val="22"/>
        </w:rPr>
      </w:pPr>
      <w:r>
        <w:rPr>
          <w:rFonts w:ascii="Arial" w:hAnsi="Arial" w:cs="Arial"/>
          <w:noProof/>
        </w:rPr>
        <w:drawing>
          <wp:inline distT="0" distB="0" distL="0" distR="0" wp14:anchorId="10D50068" wp14:editId="2C7A6CAF">
            <wp:extent cx="4922874" cy="3243881"/>
            <wp:effectExtent l="0" t="0" r="0" b="0"/>
            <wp:docPr id="1610647595" name="Picture 16" descr="A map with a black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647595" name="Picture 16" descr="A map with a black circle&#10;&#10;AI-generated content may be incorrec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28414" cy="3247531"/>
                    </a:xfrm>
                    <a:prstGeom prst="rect">
                      <a:avLst/>
                    </a:prstGeom>
                    <a:noFill/>
                    <a:ln>
                      <a:noFill/>
                    </a:ln>
                  </pic:spPr>
                </pic:pic>
              </a:graphicData>
            </a:graphic>
          </wp:inline>
        </w:drawing>
      </w:r>
      <w:bookmarkStart w:id="248" w:name="_Toc1955837"/>
      <w:r>
        <w:rPr>
          <w:rFonts w:asciiTheme="majorHAnsi" w:hAnsiTheme="majorHAnsi" w:cstheme="majorHAnsi"/>
          <w:sz w:val="22"/>
          <w:szCs w:val="22"/>
        </w:rPr>
        <w:br w:type="page"/>
      </w:r>
    </w:p>
    <w:p w14:paraId="54875521" w14:textId="56D1D8AD" w:rsidR="004603B1" w:rsidRPr="00A162A7" w:rsidRDefault="004603B1" w:rsidP="004603B1">
      <w:pPr>
        <w:pStyle w:val="Napis"/>
        <w:spacing w:line="276" w:lineRule="auto"/>
        <w:rPr>
          <w:rFonts w:asciiTheme="majorHAnsi" w:hAnsiTheme="majorHAnsi" w:cstheme="majorHAnsi"/>
          <w:color w:val="auto"/>
          <w:sz w:val="22"/>
          <w:szCs w:val="22"/>
        </w:rPr>
      </w:pPr>
      <w:bookmarkStart w:id="249" w:name="_Toc209029196"/>
      <w:bookmarkStart w:id="250" w:name="_Toc210033666"/>
      <w:r w:rsidRPr="00A162A7">
        <w:rPr>
          <w:rFonts w:asciiTheme="majorHAnsi" w:hAnsiTheme="majorHAnsi" w:cstheme="majorHAnsi"/>
          <w:color w:val="auto"/>
          <w:sz w:val="22"/>
          <w:szCs w:val="22"/>
        </w:rPr>
        <w:lastRenderedPageBreak/>
        <w:t xml:space="preserve">Slika </w:t>
      </w:r>
      <w:r w:rsidRPr="00A162A7">
        <w:rPr>
          <w:rFonts w:asciiTheme="majorHAnsi" w:hAnsiTheme="majorHAnsi" w:cstheme="majorHAnsi"/>
          <w:color w:val="auto"/>
          <w:sz w:val="22"/>
          <w:szCs w:val="22"/>
        </w:rPr>
        <w:fldChar w:fldCharType="begin"/>
      </w:r>
      <w:r w:rsidRPr="00A162A7">
        <w:rPr>
          <w:rFonts w:asciiTheme="majorHAnsi" w:hAnsiTheme="majorHAnsi" w:cstheme="majorHAnsi"/>
          <w:color w:val="auto"/>
          <w:sz w:val="22"/>
          <w:szCs w:val="22"/>
        </w:rPr>
        <w:instrText xml:space="preserve"> SEQ Slika \* ARABIC </w:instrText>
      </w:r>
      <w:r w:rsidRPr="00A162A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18</w:t>
      </w:r>
      <w:r w:rsidRPr="00A162A7">
        <w:rPr>
          <w:rFonts w:asciiTheme="majorHAnsi" w:hAnsiTheme="majorHAnsi" w:cstheme="majorHAnsi"/>
          <w:color w:val="auto"/>
          <w:sz w:val="22"/>
          <w:szCs w:val="22"/>
        </w:rPr>
        <w:fldChar w:fldCharType="end"/>
      </w:r>
      <w:r w:rsidRPr="00453F27">
        <w:rPr>
          <w:rFonts w:asciiTheme="majorHAnsi" w:hAnsiTheme="majorHAnsi" w:cstheme="majorHAnsi"/>
          <w:color w:val="auto"/>
          <w:sz w:val="22"/>
          <w:szCs w:val="22"/>
        </w:rPr>
        <w:t xml:space="preserve">: </w:t>
      </w:r>
      <w:r w:rsidRPr="00A162A7">
        <w:rPr>
          <w:rFonts w:asciiTheme="majorHAnsi" w:hAnsiTheme="majorHAnsi" w:cstheme="majorHAnsi"/>
          <w:b w:val="0"/>
          <w:color w:val="auto"/>
          <w:sz w:val="22"/>
          <w:szCs w:val="22"/>
        </w:rPr>
        <w:t>Mikrolokacija predmetne investicije</w:t>
      </w:r>
      <w:bookmarkEnd w:id="248"/>
      <w:bookmarkEnd w:id="249"/>
      <w:bookmarkEnd w:id="250"/>
    </w:p>
    <w:p w14:paraId="66D9C2EE" w14:textId="31AE2AB1" w:rsidR="004603B1" w:rsidRDefault="009F09DA" w:rsidP="004603B1">
      <w:pPr>
        <w:spacing w:line="276" w:lineRule="auto"/>
        <w:jc w:val="both"/>
        <w:rPr>
          <w:rFonts w:asciiTheme="majorHAnsi" w:hAnsiTheme="majorHAnsi" w:cstheme="majorHAnsi"/>
        </w:rPr>
      </w:pPr>
      <w:r>
        <w:rPr>
          <w:rFonts w:ascii="Arial" w:hAnsi="Arial" w:cs="Arial"/>
          <w:noProof/>
        </w:rPr>
        <w:drawing>
          <wp:inline distT="0" distB="0" distL="0" distR="0" wp14:anchorId="01A8A13F" wp14:editId="766AAE74">
            <wp:extent cx="4702628" cy="4463853"/>
            <wp:effectExtent l="0" t="0" r="3175" b="0"/>
            <wp:docPr id="855520752" name="Picture 3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700320" name="Picture 33" descr="A map of a city&#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07208" cy="4468200"/>
                    </a:xfrm>
                    <a:prstGeom prst="rect">
                      <a:avLst/>
                    </a:prstGeom>
                  </pic:spPr>
                </pic:pic>
              </a:graphicData>
            </a:graphic>
          </wp:inline>
        </w:drawing>
      </w:r>
    </w:p>
    <w:p w14:paraId="4B180C89" w14:textId="77777777" w:rsidR="004603B1" w:rsidRDefault="004603B1" w:rsidP="004603B1">
      <w:pPr>
        <w:spacing w:line="276" w:lineRule="auto"/>
        <w:jc w:val="both"/>
        <w:rPr>
          <w:rFonts w:asciiTheme="majorHAnsi" w:hAnsiTheme="majorHAnsi" w:cstheme="majorHAnsi"/>
          <w:b/>
          <w:bCs/>
        </w:rPr>
      </w:pPr>
    </w:p>
    <w:p w14:paraId="74A5C912" w14:textId="29731F4A" w:rsidR="004603B1" w:rsidRDefault="004603B1" w:rsidP="004603B1">
      <w:pPr>
        <w:pStyle w:val="Napis"/>
        <w:spacing w:line="276" w:lineRule="auto"/>
        <w:rPr>
          <w:rFonts w:asciiTheme="majorHAnsi" w:hAnsiTheme="majorHAnsi" w:cstheme="majorHAnsi"/>
          <w:b w:val="0"/>
          <w:color w:val="auto"/>
          <w:sz w:val="22"/>
          <w:szCs w:val="22"/>
        </w:rPr>
      </w:pPr>
      <w:bookmarkStart w:id="251" w:name="_Toc209029197"/>
      <w:bookmarkStart w:id="252" w:name="_Toc210033667"/>
      <w:r w:rsidRPr="00A162A7">
        <w:rPr>
          <w:rFonts w:asciiTheme="majorHAnsi" w:hAnsiTheme="majorHAnsi" w:cstheme="majorHAnsi"/>
          <w:color w:val="auto"/>
          <w:sz w:val="22"/>
          <w:szCs w:val="22"/>
        </w:rPr>
        <w:t xml:space="preserve">Slika </w:t>
      </w:r>
      <w:r w:rsidRPr="00A162A7">
        <w:rPr>
          <w:rFonts w:asciiTheme="majorHAnsi" w:hAnsiTheme="majorHAnsi" w:cstheme="majorHAnsi"/>
          <w:color w:val="auto"/>
          <w:sz w:val="22"/>
          <w:szCs w:val="22"/>
        </w:rPr>
        <w:fldChar w:fldCharType="begin"/>
      </w:r>
      <w:r w:rsidRPr="00A162A7">
        <w:rPr>
          <w:rFonts w:asciiTheme="majorHAnsi" w:hAnsiTheme="majorHAnsi" w:cstheme="majorHAnsi"/>
          <w:color w:val="auto"/>
          <w:sz w:val="22"/>
          <w:szCs w:val="22"/>
        </w:rPr>
        <w:instrText xml:space="preserve"> SEQ Slika \* ARABIC </w:instrText>
      </w:r>
      <w:r w:rsidRPr="00A162A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19</w:t>
      </w:r>
      <w:r w:rsidRPr="00A162A7">
        <w:rPr>
          <w:rFonts w:asciiTheme="majorHAnsi" w:hAnsiTheme="majorHAnsi" w:cstheme="majorHAnsi"/>
          <w:color w:val="auto"/>
          <w:sz w:val="22"/>
          <w:szCs w:val="22"/>
        </w:rPr>
        <w:fldChar w:fldCharType="end"/>
      </w:r>
      <w:r w:rsidRPr="00453F27">
        <w:rPr>
          <w:rFonts w:asciiTheme="majorHAnsi" w:hAnsiTheme="majorHAnsi" w:cstheme="majorHAnsi"/>
          <w:color w:val="auto"/>
          <w:sz w:val="22"/>
          <w:szCs w:val="22"/>
        </w:rPr>
        <w:t xml:space="preserve">: </w:t>
      </w:r>
      <w:r>
        <w:rPr>
          <w:rFonts w:asciiTheme="majorHAnsi" w:hAnsiTheme="majorHAnsi" w:cstheme="majorHAnsi"/>
          <w:b w:val="0"/>
          <w:color w:val="auto"/>
          <w:sz w:val="22"/>
          <w:szCs w:val="22"/>
        </w:rPr>
        <w:t>Prostorska ureditev</w:t>
      </w:r>
      <w:bookmarkEnd w:id="251"/>
      <w:bookmarkEnd w:id="252"/>
    </w:p>
    <w:p w14:paraId="171FA78F" w14:textId="77777777" w:rsidR="004603B1" w:rsidRPr="00FD17F9" w:rsidRDefault="004603B1" w:rsidP="004603B1">
      <w:pPr>
        <w:spacing w:line="276" w:lineRule="auto"/>
      </w:pPr>
      <w:r w:rsidRPr="00FD17F9">
        <w:rPr>
          <w:noProof/>
        </w:rPr>
        <w:drawing>
          <wp:inline distT="0" distB="0" distL="0" distR="0" wp14:anchorId="7C18BAC1" wp14:editId="56273483">
            <wp:extent cx="4843748" cy="3360717"/>
            <wp:effectExtent l="0" t="0" r="0" b="0"/>
            <wp:docPr id="105198814" name="Picture 1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8814" name="Picture 18" descr="A map of a neighborhood&#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53761" cy="3367664"/>
                    </a:xfrm>
                    <a:prstGeom prst="rect">
                      <a:avLst/>
                    </a:prstGeom>
                    <a:noFill/>
                    <a:ln>
                      <a:noFill/>
                    </a:ln>
                  </pic:spPr>
                </pic:pic>
              </a:graphicData>
            </a:graphic>
          </wp:inline>
        </w:drawing>
      </w:r>
    </w:p>
    <w:p w14:paraId="346BE1B5" w14:textId="77777777" w:rsidR="004603B1" w:rsidRPr="004B5E75" w:rsidRDefault="004603B1" w:rsidP="004603B1">
      <w:pPr>
        <w:spacing w:line="276" w:lineRule="auto"/>
      </w:pPr>
    </w:p>
    <w:p w14:paraId="29BE9E8B" w14:textId="77777777" w:rsidR="004603B1" w:rsidRPr="00453F27" w:rsidRDefault="004603B1" w:rsidP="004603B1">
      <w:pPr>
        <w:spacing w:line="276" w:lineRule="auto"/>
        <w:jc w:val="both"/>
        <w:rPr>
          <w:rFonts w:ascii="Arial" w:hAnsi="Arial" w:cs="Arial"/>
        </w:rPr>
      </w:pPr>
      <w:r w:rsidRPr="00B91E6C">
        <w:rPr>
          <w:rFonts w:ascii="Arial" w:hAnsi="Arial" w:cs="Arial"/>
          <w:noProof/>
        </w:rPr>
        <w:lastRenderedPageBreak/>
        <w:drawing>
          <wp:inline distT="0" distB="0" distL="0" distR="0" wp14:anchorId="26491B82" wp14:editId="5DB0FEAD">
            <wp:extent cx="1686160" cy="2876951"/>
            <wp:effectExtent l="0" t="0" r="9525" b="0"/>
            <wp:docPr id="12901732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73283" name="Picture 1" descr="A screenshot of a computer&#10;&#10;Description automatically generated"/>
                    <pic:cNvPicPr/>
                  </pic:nvPicPr>
                  <pic:blipFill>
                    <a:blip r:embed="rId84"/>
                    <a:stretch>
                      <a:fillRect/>
                    </a:stretch>
                  </pic:blipFill>
                  <pic:spPr>
                    <a:xfrm>
                      <a:off x="0" y="0"/>
                      <a:ext cx="1686160" cy="2876951"/>
                    </a:xfrm>
                    <a:prstGeom prst="rect">
                      <a:avLst/>
                    </a:prstGeom>
                  </pic:spPr>
                </pic:pic>
              </a:graphicData>
            </a:graphic>
          </wp:inline>
        </w:drawing>
      </w:r>
    </w:p>
    <w:p w14:paraId="4BF74064" w14:textId="2BD0EBA2" w:rsidR="007E6413" w:rsidRPr="00F11127" w:rsidRDefault="007E6413" w:rsidP="00BD1D20">
      <w:pPr>
        <w:spacing w:line="276" w:lineRule="auto"/>
        <w:rPr>
          <w:rFonts w:asciiTheme="majorHAnsi" w:hAnsiTheme="majorHAnsi" w:cstheme="majorHAnsi"/>
          <w:b/>
          <w:bCs/>
          <w:sz w:val="22"/>
          <w:szCs w:val="22"/>
        </w:rPr>
      </w:pPr>
    </w:p>
    <w:p w14:paraId="75F85FAB" w14:textId="77777777" w:rsidR="00C16CAC" w:rsidRPr="00F11127" w:rsidRDefault="00C16CAC"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53" w:name="_heading=h.1302m92" w:colFirst="0" w:colLast="0"/>
      <w:bookmarkStart w:id="254" w:name="_Toc131231600"/>
      <w:bookmarkStart w:id="255" w:name="_Toc210033832"/>
      <w:bookmarkEnd w:id="253"/>
      <w:r w:rsidRPr="00F11127">
        <w:rPr>
          <w:rFonts w:asciiTheme="majorHAnsi" w:eastAsiaTheme="majorEastAsia" w:hAnsiTheme="majorHAnsi" w:cstheme="majorHAnsi"/>
          <w:color w:val="244061" w:themeColor="accent1" w:themeShade="80"/>
        </w:rPr>
        <w:t>Prostorski ureditveni pogoji</w:t>
      </w:r>
      <w:bookmarkEnd w:id="254"/>
      <w:bookmarkEnd w:id="255"/>
    </w:p>
    <w:bookmarkEnd w:id="241"/>
    <w:p w14:paraId="73B1FD8E" w14:textId="0FD1A5FE" w:rsidR="004603B1" w:rsidRDefault="008D6666" w:rsidP="00BD1D20">
      <w:pPr>
        <w:spacing w:line="276" w:lineRule="auto"/>
        <w:rPr>
          <w:rFonts w:asciiTheme="majorHAnsi" w:hAnsiTheme="majorHAnsi" w:cstheme="majorHAnsi"/>
          <w:sz w:val="22"/>
          <w:szCs w:val="22"/>
        </w:rPr>
      </w:pPr>
      <w:r>
        <w:rPr>
          <w:rFonts w:asciiTheme="majorHAnsi" w:hAnsiTheme="majorHAnsi" w:cstheme="majorHAnsi"/>
          <w:sz w:val="22"/>
          <w:szCs w:val="22"/>
        </w:rPr>
        <w:t>Na območju velja O</w:t>
      </w:r>
      <w:r w:rsidR="006009A2" w:rsidRPr="006009A2">
        <w:rPr>
          <w:rFonts w:asciiTheme="majorHAnsi" w:hAnsiTheme="majorHAnsi" w:cstheme="majorHAnsi"/>
          <w:sz w:val="22"/>
          <w:szCs w:val="22"/>
        </w:rPr>
        <w:t xml:space="preserve">dlok o prostorskem redu Občine Ig </w:t>
      </w:r>
      <w:r w:rsidR="00562D48" w:rsidRPr="00BD1D20">
        <w:rPr>
          <w:rFonts w:asciiTheme="majorHAnsi" w:hAnsiTheme="majorHAnsi" w:cstheme="majorHAnsi"/>
          <w:sz w:val="22"/>
          <w:szCs w:val="22"/>
        </w:rPr>
        <w:t xml:space="preserve">(Ur. list RS št. </w:t>
      </w:r>
      <w:r w:rsidR="00A26570" w:rsidRPr="00A26570">
        <w:rPr>
          <w:rFonts w:asciiTheme="majorHAnsi" w:hAnsiTheme="majorHAnsi" w:cstheme="majorHAnsi"/>
          <w:sz w:val="22"/>
          <w:szCs w:val="22"/>
        </w:rPr>
        <w:t>35/2012, 77/2012, 101/2013, 8/2015, 51/2018, 54/2018, 107/2020, 68/2025</w:t>
      </w:r>
      <w:r w:rsidR="00562D48" w:rsidRPr="00BD1D20">
        <w:rPr>
          <w:rFonts w:asciiTheme="majorHAnsi" w:hAnsiTheme="majorHAnsi" w:cstheme="majorHAnsi"/>
          <w:sz w:val="22"/>
          <w:szCs w:val="22"/>
        </w:rPr>
        <w:t>)</w:t>
      </w:r>
      <w:r w:rsidR="00A26570">
        <w:rPr>
          <w:rFonts w:asciiTheme="majorHAnsi" w:hAnsiTheme="majorHAnsi" w:cstheme="majorHAnsi"/>
          <w:sz w:val="22"/>
          <w:szCs w:val="22"/>
        </w:rPr>
        <w:t>, s katerim je projekt usklajen.</w:t>
      </w:r>
    </w:p>
    <w:p w14:paraId="0F7ABE14" w14:textId="77777777" w:rsidR="004603B1" w:rsidRDefault="004603B1" w:rsidP="00BD1D20">
      <w:pPr>
        <w:spacing w:line="276" w:lineRule="auto"/>
        <w:rPr>
          <w:rFonts w:asciiTheme="majorHAnsi" w:hAnsiTheme="majorHAnsi" w:cstheme="majorHAnsi"/>
          <w:sz w:val="22"/>
          <w:szCs w:val="22"/>
        </w:rPr>
      </w:pPr>
    </w:p>
    <w:p w14:paraId="1403ED85" w14:textId="0E593609" w:rsidR="00D12557" w:rsidRPr="00BD1D20" w:rsidRDefault="00D12557" w:rsidP="00BD1D20">
      <w:pPr>
        <w:spacing w:line="276" w:lineRule="auto"/>
        <w:rPr>
          <w:rFonts w:asciiTheme="majorHAnsi" w:hAnsiTheme="majorHAnsi" w:cstheme="majorHAnsi"/>
          <w:sz w:val="22"/>
          <w:szCs w:val="22"/>
        </w:rPr>
      </w:pPr>
      <w:r w:rsidRPr="00BD1D20">
        <w:rPr>
          <w:rFonts w:asciiTheme="majorHAnsi" w:hAnsiTheme="majorHAnsi" w:cstheme="majorHAnsi"/>
          <w:sz w:val="22"/>
          <w:szCs w:val="22"/>
        </w:rPr>
        <w:br w:type="page"/>
      </w:r>
    </w:p>
    <w:p w14:paraId="75BBD64A" w14:textId="77777777" w:rsidR="00072416" w:rsidRPr="00F11127" w:rsidRDefault="00072416" w:rsidP="00BD1D20">
      <w:pPr>
        <w:pStyle w:val="Naslov1"/>
        <w:numPr>
          <w:ilvl w:val="0"/>
          <w:numId w:val="3"/>
        </w:numPr>
        <w:rPr>
          <w:rFonts w:cstheme="majorHAnsi"/>
        </w:rPr>
      </w:pPr>
      <w:bookmarkStart w:id="256" w:name="_Toc210033833"/>
      <w:r w:rsidRPr="00F11127">
        <w:rPr>
          <w:rFonts w:cstheme="majorHAnsi"/>
        </w:rPr>
        <w:lastRenderedPageBreak/>
        <w:t>ANALIZA VPLIVOV INVESTICIJSKEGA PROJEKTA NA OKOLJE</w:t>
      </w:r>
      <w:bookmarkEnd w:id="256"/>
      <w:r w:rsidRPr="00F11127">
        <w:rPr>
          <w:rFonts w:cstheme="majorHAnsi"/>
        </w:rPr>
        <w:t xml:space="preserve"> </w:t>
      </w:r>
    </w:p>
    <w:p w14:paraId="4464E50C" w14:textId="459CE66C" w:rsidR="0037607E" w:rsidRPr="00AB1367" w:rsidRDefault="0037607E" w:rsidP="0037607E">
      <w:pPr>
        <w:pStyle w:val="Naslov2"/>
        <w:numPr>
          <w:ilvl w:val="1"/>
          <w:numId w:val="1"/>
        </w:numPr>
        <w:spacing w:before="360" w:after="240"/>
        <w:rPr>
          <w:rFonts w:ascii="Arial" w:eastAsiaTheme="majorEastAsia" w:hAnsi="Arial" w:cs="Arial"/>
          <w:color w:val="244061" w:themeColor="accent1" w:themeShade="80"/>
          <w:szCs w:val="22"/>
        </w:rPr>
      </w:pPr>
      <w:bookmarkStart w:id="257" w:name="_Toc210033834"/>
      <w:proofErr w:type="spellStart"/>
      <w:r>
        <w:rPr>
          <w:rFonts w:ascii="Arial" w:eastAsiaTheme="majorEastAsia" w:hAnsi="Arial" w:cs="Arial"/>
          <w:color w:val="244061" w:themeColor="accent1" w:themeShade="80"/>
          <w:szCs w:val="22"/>
        </w:rPr>
        <w:t>Okoljska</w:t>
      </w:r>
      <w:proofErr w:type="spellEnd"/>
      <w:r>
        <w:rPr>
          <w:rFonts w:ascii="Arial" w:eastAsiaTheme="majorEastAsia" w:hAnsi="Arial" w:cs="Arial"/>
          <w:color w:val="244061" w:themeColor="accent1" w:themeShade="80"/>
          <w:szCs w:val="22"/>
        </w:rPr>
        <w:t xml:space="preserve"> sprejemljivost</w:t>
      </w:r>
      <w:bookmarkEnd w:id="257"/>
    </w:p>
    <w:p w14:paraId="558B8E14" w14:textId="14ACB059" w:rsidR="00803B86" w:rsidRPr="00803B86" w:rsidRDefault="00803B86" w:rsidP="00BD1D20">
      <w:pPr>
        <w:spacing w:after="120" w:line="276" w:lineRule="auto"/>
        <w:jc w:val="both"/>
        <w:rPr>
          <w:rFonts w:ascii="Arial" w:eastAsia="Arial" w:hAnsi="Arial" w:cs="Arial"/>
          <w:sz w:val="22"/>
          <w:szCs w:val="22"/>
        </w:rPr>
      </w:pPr>
      <w:r w:rsidRPr="00803B86">
        <w:rPr>
          <w:rFonts w:ascii="Arial" w:eastAsia="Arial" w:hAnsi="Arial" w:cs="Arial"/>
          <w:sz w:val="22"/>
          <w:szCs w:val="22"/>
        </w:rPr>
        <w:t xml:space="preserve">Projekt je torej </w:t>
      </w:r>
      <w:proofErr w:type="spellStart"/>
      <w:r w:rsidRPr="00803B86">
        <w:rPr>
          <w:rFonts w:ascii="Arial" w:eastAsia="Arial" w:hAnsi="Arial" w:cs="Arial"/>
          <w:sz w:val="22"/>
          <w:szCs w:val="22"/>
        </w:rPr>
        <w:t>okoljsko</w:t>
      </w:r>
      <w:proofErr w:type="spellEnd"/>
      <w:r w:rsidRPr="00803B86">
        <w:rPr>
          <w:rFonts w:ascii="Arial" w:eastAsia="Arial" w:hAnsi="Arial" w:cs="Arial"/>
          <w:sz w:val="22"/>
          <w:szCs w:val="22"/>
        </w:rPr>
        <w:t xml:space="preserve"> sprejemljiv, prostorsko učinkovit, regionalno razvojno usmerjen in skladen z načeli trajnostnega razvoja družbe, kot jih določajo veljavni zakoni:</w:t>
      </w:r>
    </w:p>
    <w:p w14:paraId="65D6874E" w14:textId="77777777" w:rsidR="00803B86" w:rsidRPr="00803B86" w:rsidRDefault="00803B86" w:rsidP="00BD1D20">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 xml:space="preserve">Zakon o varstvu okolja (ZVO-2), Uradni list RS, št. 44/22, 18/23 – ZDU-1O, 78/23 – ZUNPEOVE, 23/24, 21/25 – ZOPVOOV in 56/25 – </w:t>
      </w:r>
      <w:proofErr w:type="spellStart"/>
      <w:r w:rsidRPr="00803B86">
        <w:rPr>
          <w:rFonts w:ascii="Arial" w:eastAsia="Arial" w:hAnsi="Arial" w:cs="Arial"/>
          <w:sz w:val="22"/>
          <w:szCs w:val="22"/>
        </w:rPr>
        <w:t>PoZ</w:t>
      </w:r>
      <w:proofErr w:type="spellEnd"/>
    </w:p>
    <w:p w14:paraId="7211A6B5" w14:textId="77777777" w:rsidR="00803B86" w:rsidRPr="00803B86" w:rsidRDefault="00803B86" w:rsidP="00BD1D20">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 xml:space="preserve">Zakon o vodah (ZV-1), Uradni list RS, št. 67/02, 2/04 – ZZdrI-A, 41/04 – ZVO-1, 57/08, 57/12, 100/13, 40/14, 56/15, 65/20, 35/23 – </w:t>
      </w:r>
      <w:proofErr w:type="spellStart"/>
      <w:r w:rsidRPr="00803B86">
        <w:rPr>
          <w:rFonts w:ascii="Arial" w:eastAsia="Arial" w:hAnsi="Arial" w:cs="Arial"/>
          <w:sz w:val="22"/>
          <w:szCs w:val="22"/>
        </w:rPr>
        <w:t>odl</w:t>
      </w:r>
      <w:proofErr w:type="spellEnd"/>
      <w:r w:rsidRPr="00803B86">
        <w:rPr>
          <w:rFonts w:ascii="Arial" w:eastAsia="Arial" w:hAnsi="Arial" w:cs="Arial"/>
          <w:sz w:val="22"/>
          <w:szCs w:val="22"/>
        </w:rPr>
        <w:t xml:space="preserve">. US, 78/23 – ZUNPEOVE in 52/24 – </w:t>
      </w:r>
      <w:proofErr w:type="spellStart"/>
      <w:r w:rsidRPr="00803B86">
        <w:rPr>
          <w:rFonts w:ascii="Arial" w:eastAsia="Arial" w:hAnsi="Arial" w:cs="Arial"/>
          <w:sz w:val="22"/>
          <w:szCs w:val="22"/>
        </w:rPr>
        <w:t>odl</w:t>
      </w:r>
      <w:proofErr w:type="spellEnd"/>
      <w:r w:rsidRPr="00803B86">
        <w:rPr>
          <w:rFonts w:ascii="Arial" w:eastAsia="Arial" w:hAnsi="Arial" w:cs="Arial"/>
          <w:sz w:val="22"/>
          <w:szCs w:val="22"/>
        </w:rPr>
        <w:t xml:space="preserve">. US </w:t>
      </w:r>
    </w:p>
    <w:p w14:paraId="2A3552C2" w14:textId="77777777" w:rsidR="00803B86" w:rsidRPr="00803B86" w:rsidRDefault="00803B86" w:rsidP="00BD1D20">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 xml:space="preserve">Zakon o urejanju prostora (ZUreP-3), Uradni list RS, št. 199/21, 18/23 – ZDU-1O, 78/23 – ZUNPEOVE, 23/24, 109/24 in 25/25 – </w:t>
      </w:r>
      <w:proofErr w:type="spellStart"/>
      <w:r w:rsidRPr="00803B86">
        <w:rPr>
          <w:rFonts w:ascii="Arial" w:eastAsia="Arial" w:hAnsi="Arial" w:cs="Arial"/>
          <w:sz w:val="22"/>
          <w:szCs w:val="22"/>
        </w:rPr>
        <w:t>odl</w:t>
      </w:r>
      <w:proofErr w:type="spellEnd"/>
      <w:r w:rsidRPr="00803B86">
        <w:rPr>
          <w:rFonts w:ascii="Arial" w:eastAsia="Arial" w:hAnsi="Arial" w:cs="Arial"/>
          <w:sz w:val="22"/>
          <w:szCs w:val="22"/>
        </w:rPr>
        <w:t>. US</w:t>
      </w:r>
    </w:p>
    <w:p w14:paraId="5AB4B09F" w14:textId="77777777" w:rsidR="00803B86" w:rsidRPr="00803B86" w:rsidRDefault="00803B86" w:rsidP="00BD1D20">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 xml:space="preserve">Gradbeni zakon (GZ-1), Uradni list RS, št. 199/21, 105/22 – ZZNŠPP, 133/23, 85/24 – ZAID-A in 47/25 – </w:t>
      </w:r>
      <w:proofErr w:type="spellStart"/>
      <w:r w:rsidRPr="00803B86">
        <w:rPr>
          <w:rFonts w:ascii="Arial" w:eastAsia="Arial" w:hAnsi="Arial" w:cs="Arial"/>
          <w:sz w:val="22"/>
          <w:szCs w:val="22"/>
        </w:rPr>
        <w:t>odl</w:t>
      </w:r>
      <w:proofErr w:type="spellEnd"/>
      <w:r w:rsidRPr="00803B86">
        <w:rPr>
          <w:rFonts w:ascii="Arial" w:eastAsia="Arial" w:hAnsi="Arial" w:cs="Arial"/>
          <w:sz w:val="22"/>
          <w:szCs w:val="22"/>
        </w:rPr>
        <w:t>. US</w:t>
      </w:r>
    </w:p>
    <w:p w14:paraId="60E89CED" w14:textId="77777777" w:rsidR="00803B86" w:rsidRPr="00803B86" w:rsidRDefault="00803B86" w:rsidP="00BD1D20">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 xml:space="preserve">Zakon o ohranjanju narave (ZON), Uradni list RS, št. 96/04 – uradno prečiščeno besedilo, 61/06 – ZDru-1, 8/10 – ZSKZ-B, 46/14, 21/18 – </w:t>
      </w:r>
      <w:proofErr w:type="spellStart"/>
      <w:r w:rsidRPr="00803B86">
        <w:rPr>
          <w:rFonts w:ascii="Arial" w:eastAsia="Arial" w:hAnsi="Arial" w:cs="Arial"/>
          <w:sz w:val="22"/>
          <w:szCs w:val="22"/>
        </w:rPr>
        <w:t>ZNOrg</w:t>
      </w:r>
      <w:proofErr w:type="spellEnd"/>
      <w:r w:rsidRPr="00803B86">
        <w:rPr>
          <w:rFonts w:ascii="Arial" w:eastAsia="Arial" w:hAnsi="Arial" w:cs="Arial"/>
          <w:sz w:val="22"/>
          <w:szCs w:val="22"/>
        </w:rPr>
        <w:t xml:space="preserve">, 31/18, 82/20, 3/22 – </w:t>
      </w:r>
      <w:proofErr w:type="spellStart"/>
      <w:r w:rsidRPr="00803B86">
        <w:rPr>
          <w:rFonts w:ascii="Arial" w:eastAsia="Arial" w:hAnsi="Arial" w:cs="Arial"/>
          <w:sz w:val="22"/>
          <w:szCs w:val="22"/>
        </w:rPr>
        <w:t>ZDeb</w:t>
      </w:r>
      <w:proofErr w:type="spellEnd"/>
      <w:r w:rsidRPr="00803B86">
        <w:rPr>
          <w:rFonts w:ascii="Arial" w:eastAsia="Arial" w:hAnsi="Arial" w:cs="Arial"/>
          <w:sz w:val="22"/>
          <w:szCs w:val="22"/>
        </w:rPr>
        <w:t>, 105/22 – ZZNŠPP in 18/23 – ZDU-1O</w:t>
      </w:r>
    </w:p>
    <w:p w14:paraId="56D90FC8" w14:textId="77777777" w:rsidR="00803B86" w:rsidRPr="00803B86" w:rsidRDefault="00803B86" w:rsidP="00F57248">
      <w:pPr>
        <w:numPr>
          <w:ilvl w:val="0"/>
          <w:numId w:val="74"/>
        </w:numPr>
        <w:spacing w:after="120" w:line="276" w:lineRule="auto"/>
        <w:ind w:left="426"/>
        <w:contextualSpacing/>
        <w:jc w:val="both"/>
        <w:rPr>
          <w:rFonts w:ascii="Arial" w:eastAsia="Arial" w:hAnsi="Arial" w:cs="Arial"/>
          <w:sz w:val="22"/>
          <w:szCs w:val="22"/>
        </w:rPr>
      </w:pPr>
      <w:r w:rsidRPr="00803B86">
        <w:rPr>
          <w:rFonts w:ascii="Arial" w:eastAsia="Arial" w:hAnsi="Arial" w:cs="Arial"/>
          <w:sz w:val="22"/>
          <w:szCs w:val="22"/>
        </w:rPr>
        <w:t>in strateški dokumenti kot na primer SPRS, Strategija razvoja Slovenije 2030, Agenda 2030.</w:t>
      </w:r>
    </w:p>
    <w:p w14:paraId="06EF4AE6" w14:textId="7FB1D1E0" w:rsidR="00CF68D5" w:rsidRPr="00AB1367" w:rsidRDefault="0037607E" w:rsidP="0037607E">
      <w:pPr>
        <w:pStyle w:val="Naslov2"/>
        <w:numPr>
          <w:ilvl w:val="1"/>
          <w:numId w:val="1"/>
        </w:numPr>
        <w:spacing w:before="360" w:after="240"/>
        <w:rPr>
          <w:rFonts w:ascii="Arial" w:eastAsiaTheme="majorEastAsia" w:hAnsi="Arial" w:cs="Arial"/>
          <w:color w:val="244061" w:themeColor="accent1" w:themeShade="80"/>
          <w:szCs w:val="22"/>
        </w:rPr>
      </w:pPr>
      <w:bookmarkStart w:id="258" w:name="_Toc210033835"/>
      <w:r>
        <w:rPr>
          <w:rFonts w:ascii="Arial" w:eastAsiaTheme="majorEastAsia" w:hAnsi="Arial" w:cs="Arial"/>
          <w:color w:val="244061" w:themeColor="accent1" w:themeShade="80"/>
          <w:szCs w:val="22"/>
        </w:rPr>
        <w:t>Varstvo okolja</w:t>
      </w:r>
      <w:bookmarkEnd w:id="258"/>
    </w:p>
    <w:p w14:paraId="758B23B4"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1. Predvideni vplivi med izvedbo</w:t>
      </w:r>
    </w:p>
    <w:p w14:paraId="75E5B8E8"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Predvideni vplivi na okolje, ki bi nastali med izvajanjem investicije, bodo časovno omejeni izključno na dobo gradbenih del. Glavni vplivi bodo povezani z ureditvijo gradbišč, prisotnostjo gradbene mehanizacije in transportom materiala. Ocenjuje se, da bodo ti vplivi količinsko, prostorsko in časovno omejeni ter sprejemljivi za okolje. Zato stroški odprave negativnih vplivov niso predvideni.</w:t>
      </w:r>
    </w:p>
    <w:p w14:paraId="08F39AB0"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048215E7"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2. Vplivi po dokončanju investicije</w:t>
      </w:r>
    </w:p>
    <w:p w14:paraId="0D8EE8BB"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 xml:space="preserve">Po zaključku izvedbe investicija ne bo imela negativnih vplivov na okolje. Nasprotno, z izvedbo ukrepov se pričakuje pomembno zmanjšanje </w:t>
      </w:r>
      <w:proofErr w:type="spellStart"/>
      <w:r w:rsidRPr="00884548">
        <w:rPr>
          <w:rFonts w:ascii="Arial" w:hAnsi="Arial" w:cs="Arial"/>
          <w:sz w:val="22"/>
          <w:szCs w:val="22"/>
        </w:rPr>
        <w:t>ogljičnega</w:t>
      </w:r>
      <w:proofErr w:type="spellEnd"/>
      <w:r w:rsidRPr="00884548">
        <w:rPr>
          <w:rFonts w:ascii="Arial" w:hAnsi="Arial" w:cs="Arial"/>
          <w:sz w:val="22"/>
          <w:szCs w:val="22"/>
        </w:rPr>
        <w:t xml:space="preserve"> odtisa, izboljšanje kakovosti zraka in zmanjšanje hrupa v urbanem središču.</w:t>
      </w:r>
    </w:p>
    <w:p w14:paraId="3E830F0C"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44E51347"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3. Učinkovitost izrabe naravnih virov</w:t>
      </w:r>
    </w:p>
    <w:p w14:paraId="2321756B"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Projekt ne vključuje intenzivne rabe naravnih virov in nanje nima posebnega vpliva. Pri izvedbi bodo uporabljeni materiali in tehnike, ki omogočajo ponovno uporabo, recikliranje in lokalno pridobivanje surovin, kar zmanjšuje transportne obremenitve.</w:t>
      </w:r>
    </w:p>
    <w:p w14:paraId="55A24F8E"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4ED2D194"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 xml:space="preserve">4. </w:t>
      </w:r>
      <w:proofErr w:type="spellStart"/>
      <w:r w:rsidRPr="00884548">
        <w:rPr>
          <w:rFonts w:ascii="Arial" w:hAnsi="Arial" w:cs="Arial"/>
          <w:b/>
          <w:bCs/>
          <w:sz w:val="22"/>
          <w:szCs w:val="22"/>
        </w:rPr>
        <w:t>Okoljska</w:t>
      </w:r>
      <w:proofErr w:type="spellEnd"/>
      <w:r w:rsidRPr="00884548">
        <w:rPr>
          <w:rFonts w:ascii="Arial" w:hAnsi="Arial" w:cs="Arial"/>
          <w:b/>
          <w:bCs/>
          <w:sz w:val="22"/>
          <w:szCs w:val="22"/>
        </w:rPr>
        <w:t xml:space="preserve"> učinkovitost</w:t>
      </w:r>
    </w:p>
    <w:p w14:paraId="08BEF030"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Pri izvedbi del bo uporabljena najboljša razpoložljiva tehnika (</w:t>
      </w:r>
      <w:r>
        <w:rPr>
          <w:rFonts w:ascii="Arial" w:hAnsi="Arial" w:cs="Arial"/>
          <w:sz w:val="22"/>
          <w:szCs w:val="22"/>
        </w:rPr>
        <w:t>»</w:t>
      </w:r>
      <w:r w:rsidRPr="00884548">
        <w:rPr>
          <w:rFonts w:ascii="Arial" w:hAnsi="Arial" w:cs="Arial"/>
          <w:sz w:val="22"/>
          <w:szCs w:val="22"/>
        </w:rPr>
        <w:t xml:space="preserve">BAT – </w:t>
      </w:r>
      <w:proofErr w:type="spellStart"/>
      <w:r w:rsidRPr="00884548">
        <w:rPr>
          <w:rFonts w:ascii="Arial" w:hAnsi="Arial" w:cs="Arial"/>
          <w:sz w:val="22"/>
          <w:szCs w:val="22"/>
        </w:rPr>
        <w:t>Best</w:t>
      </w:r>
      <w:proofErr w:type="spellEnd"/>
      <w:r w:rsidRPr="00884548">
        <w:rPr>
          <w:rFonts w:ascii="Arial" w:hAnsi="Arial" w:cs="Arial"/>
          <w:sz w:val="22"/>
          <w:szCs w:val="22"/>
        </w:rPr>
        <w:t xml:space="preserve"> </w:t>
      </w:r>
      <w:proofErr w:type="spellStart"/>
      <w:r w:rsidRPr="00884548">
        <w:rPr>
          <w:rFonts w:ascii="Arial" w:hAnsi="Arial" w:cs="Arial"/>
          <w:sz w:val="22"/>
          <w:szCs w:val="22"/>
        </w:rPr>
        <w:t>Available</w:t>
      </w:r>
      <w:proofErr w:type="spellEnd"/>
      <w:r w:rsidRPr="00884548">
        <w:rPr>
          <w:rFonts w:ascii="Arial" w:hAnsi="Arial" w:cs="Arial"/>
          <w:sz w:val="22"/>
          <w:szCs w:val="22"/>
        </w:rPr>
        <w:t xml:space="preserve"> </w:t>
      </w:r>
      <w:proofErr w:type="spellStart"/>
      <w:r w:rsidRPr="00884548">
        <w:rPr>
          <w:rFonts w:ascii="Arial" w:hAnsi="Arial" w:cs="Arial"/>
          <w:sz w:val="22"/>
          <w:szCs w:val="22"/>
        </w:rPr>
        <w:t>Technique</w:t>
      </w:r>
      <w:proofErr w:type="spellEnd"/>
      <w:r>
        <w:rPr>
          <w:rFonts w:ascii="Arial" w:hAnsi="Arial" w:cs="Arial"/>
          <w:sz w:val="22"/>
          <w:szCs w:val="22"/>
        </w:rPr>
        <w:t>«</w:t>
      </w:r>
      <w:r w:rsidRPr="00884548">
        <w:rPr>
          <w:rFonts w:ascii="Arial" w:hAnsi="Arial" w:cs="Arial"/>
          <w:sz w:val="22"/>
          <w:szCs w:val="22"/>
        </w:rPr>
        <w:t xml:space="preserve">). Zelena infrastruktura in ukrepi trajnostne mobilnosti so predvideni prav zaradi povečanja </w:t>
      </w:r>
      <w:proofErr w:type="spellStart"/>
      <w:r w:rsidRPr="00884548">
        <w:rPr>
          <w:rFonts w:ascii="Arial" w:hAnsi="Arial" w:cs="Arial"/>
          <w:sz w:val="22"/>
          <w:szCs w:val="22"/>
        </w:rPr>
        <w:t>okoljske</w:t>
      </w:r>
      <w:proofErr w:type="spellEnd"/>
      <w:r w:rsidRPr="00884548">
        <w:rPr>
          <w:rFonts w:ascii="Arial" w:hAnsi="Arial" w:cs="Arial"/>
          <w:sz w:val="22"/>
          <w:szCs w:val="22"/>
        </w:rPr>
        <w:t xml:space="preserve"> učinkovitosti: manjša raba energije, zmanjšanje emisij in dolgoročna odpornost na podnebne spremembe.</w:t>
      </w:r>
    </w:p>
    <w:p w14:paraId="2011179D"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4AC3A206"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5. Zmanjševanje vplivov na okolje</w:t>
      </w:r>
    </w:p>
    <w:p w14:paraId="4E2B9EAA"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lastRenderedPageBreak/>
        <w:t xml:space="preserve">Investicija bo prispevala k zmanjšanju </w:t>
      </w:r>
      <w:proofErr w:type="spellStart"/>
      <w:r w:rsidRPr="00884548">
        <w:rPr>
          <w:rFonts w:ascii="Arial" w:hAnsi="Arial" w:cs="Arial"/>
          <w:sz w:val="22"/>
          <w:szCs w:val="22"/>
        </w:rPr>
        <w:t>ogljičnega</w:t>
      </w:r>
      <w:proofErr w:type="spellEnd"/>
      <w:r w:rsidRPr="00884548">
        <w:rPr>
          <w:rFonts w:ascii="Arial" w:hAnsi="Arial" w:cs="Arial"/>
          <w:sz w:val="22"/>
          <w:szCs w:val="22"/>
        </w:rPr>
        <w:t xml:space="preserve"> odtisa in škodljivih vplivov motornega prometa. To bo doseženo z:</w:t>
      </w:r>
    </w:p>
    <w:p w14:paraId="7A72BB78" w14:textId="77777777" w:rsidR="00CF68D5" w:rsidRPr="00884548" w:rsidRDefault="00CF68D5" w:rsidP="00CF68D5">
      <w:pPr>
        <w:numPr>
          <w:ilvl w:val="0"/>
          <w:numId w:val="146"/>
        </w:num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zmanjšanjem deleža površin namenjenih motoriziranemu prometu,</w:t>
      </w:r>
    </w:p>
    <w:p w14:paraId="1E8ED106" w14:textId="77777777" w:rsidR="00CF68D5" w:rsidRPr="00884548" w:rsidRDefault="00CF68D5" w:rsidP="00CF68D5">
      <w:pPr>
        <w:numPr>
          <w:ilvl w:val="0"/>
          <w:numId w:val="146"/>
        </w:num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povečanjem deleža zelenih in prepustnih površin,</w:t>
      </w:r>
    </w:p>
    <w:p w14:paraId="67F59258" w14:textId="77777777" w:rsidR="00CF68D5" w:rsidRPr="00884548" w:rsidRDefault="00CF68D5" w:rsidP="00CF68D5">
      <w:pPr>
        <w:numPr>
          <w:ilvl w:val="0"/>
          <w:numId w:val="146"/>
        </w:num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uvajanjem ponovne uporabe padavinskih voda,</w:t>
      </w:r>
    </w:p>
    <w:p w14:paraId="52FC1887" w14:textId="77777777" w:rsidR="00CF68D5" w:rsidRPr="00884548" w:rsidRDefault="00CF68D5" w:rsidP="00CF68D5">
      <w:pPr>
        <w:numPr>
          <w:ilvl w:val="0"/>
          <w:numId w:val="146"/>
        </w:num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izboljšanjem pogojev za trajnostne oblike mobilnosti.</w:t>
      </w:r>
    </w:p>
    <w:p w14:paraId="2C45D5BA"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0E24FC84"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6. Posebna poročila in ocene</w:t>
      </w:r>
    </w:p>
    <w:p w14:paraId="3BF8136B" w14:textId="77777777" w:rsidR="00CF68D5" w:rsidRPr="00884548"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 xml:space="preserve">Za predmetno investicijo posebna poročila o vplivih na okolje ali </w:t>
      </w:r>
      <w:proofErr w:type="spellStart"/>
      <w:r w:rsidRPr="00884548">
        <w:rPr>
          <w:rFonts w:ascii="Arial" w:hAnsi="Arial" w:cs="Arial"/>
          <w:sz w:val="22"/>
          <w:szCs w:val="22"/>
        </w:rPr>
        <w:t>okoljske</w:t>
      </w:r>
      <w:proofErr w:type="spellEnd"/>
      <w:r w:rsidRPr="00884548">
        <w:rPr>
          <w:rFonts w:ascii="Arial" w:hAnsi="Arial" w:cs="Arial"/>
          <w:sz w:val="22"/>
          <w:szCs w:val="22"/>
        </w:rPr>
        <w:t xml:space="preserve"> presoje skladno z veljavnimi predpisi niso potrebne.</w:t>
      </w:r>
    </w:p>
    <w:p w14:paraId="370DC3F1" w14:textId="77777777" w:rsidR="00CF68D5" w:rsidRDefault="00CF68D5" w:rsidP="00CF68D5">
      <w:pPr>
        <w:autoSpaceDE w:val="0"/>
        <w:autoSpaceDN w:val="0"/>
        <w:adjustRightInd w:val="0"/>
        <w:spacing w:line="276" w:lineRule="auto"/>
        <w:jc w:val="both"/>
        <w:rPr>
          <w:rFonts w:ascii="Arial" w:hAnsi="Arial" w:cs="Arial"/>
          <w:b/>
          <w:bCs/>
          <w:sz w:val="22"/>
          <w:szCs w:val="22"/>
        </w:rPr>
      </w:pPr>
    </w:p>
    <w:p w14:paraId="2622C6C0" w14:textId="77777777" w:rsidR="00CF68D5" w:rsidRPr="00884548" w:rsidRDefault="00CF68D5" w:rsidP="00CF68D5">
      <w:pPr>
        <w:autoSpaceDE w:val="0"/>
        <w:autoSpaceDN w:val="0"/>
        <w:adjustRightInd w:val="0"/>
        <w:spacing w:line="276" w:lineRule="auto"/>
        <w:jc w:val="both"/>
        <w:rPr>
          <w:rFonts w:ascii="Arial" w:hAnsi="Arial" w:cs="Arial"/>
          <w:b/>
          <w:bCs/>
          <w:sz w:val="22"/>
          <w:szCs w:val="22"/>
        </w:rPr>
      </w:pPr>
      <w:r w:rsidRPr="00884548">
        <w:rPr>
          <w:rFonts w:ascii="Arial" w:hAnsi="Arial" w:cs="Arial"/>
          <w:b/>
          <w:bCs/>
          <w:sz w:val="22"/>
          <w:szCs w:val="22"/>
        </w:rPr>
        <w:t>7. Skladnost z varstvenimi režimi</w:t>
      </w:r>
    </w:p>
    <w:p w14:paraId="1F2F7132" w14:textId="77777777" w:rsidR="00CF68D5" w:rsidRDefault="00CF68D5" w:rsidP="00CF68D5">
      <w:pPr>
        <w:autoSpaceDE w:val="0"/>
        <w:autoSpaceDN w:val="0"/>
        <w:adjustRightInd w:val="0"/>
        <w:spacing w:line="276" w:lineRule="auto"/>
        <w:jc w:val="both"/>
        <w:rPr>
          <w:rFonts w:ascii="Arial" w:hAnsi="Arial" w:cs="Arial"/>
          <w:sz w:val="22"/>
          <w:szCs w:val="22"/>
        </w:rPr>
      </w:pPr>
      <w:r w:rsidRPr="00884548">
        <w:rPr>
          <w:rFonts w:ascii="Arial" w:hAnsi="Arial" w:cs="Arial"/>
          <w:sz w:val="22"/>
          <w:szCs w:val="22"/>
        </w:rPr>
        <w:t xml:space="preserve">Ker se območje nahaja v vplivnem območju </w:t>
      </w:r>
      <w:r w:rsidRPr="00884548">
        <w:rPr>
          <w:rFonts w:ascii="Arial" w:hAnsi="Arial" w:cs="Arial"/>
          <w:b/>
          <w:bCs/>
          <w:sz w:val="22"/>
          <w:szCs w:val="22"/>
        </w:rPr>
        <w:t>Krajinskega parka Ljubljansko barje</w:t>
      </w:r>
      <w:r w:rsidRPr="00884548">
        <w:rPr>
          <w:rFonts w:ascii="Arial" w:hAnsi="Arial" w:cs="Arial"/>
          <w:sz w:val="22"/>
          <w:szCs w:val="22"/>
        </w:rPr>
        <w:t xml:space="preserve"> in območja Natura 2000, bodo vsi posegi izvedeni ob upoštevanju smernic varstva narave, biotske raznovrstnosti in kulturne dediščine. Projekt se s tem umešča v širše </w:t>
      </w:r>
      <w:proofErr w:type="spellStart"/>
      <w:r w:rsidRPr="00884548">
        <w:rPr>
          <w:rFonts w:ascii="Arial" w:hAnsi="Arial" w:cs="Arial"/>
          <w:sz w:val="22"/>
          <w:szCs w:val="22"/>
        </w:rPr>
        <w:t>okoljske</w:t>
      </w:r>
      <w:proofErr w:type="spellEnd"/>
      <w:r w:rsidRPr="00884548">
        <w:rPr>
          <w:rFonts w:ascii="Arial" w:hAnsi="Arial" w:cs="Arial"/>
          <w:sz w:val="22"/>
          <w:szCs w:val="22"/>
        </w:rPr>
        <w:t xml:space="preserve"> cilje ohranjanja narave ter trajnostnega razvoja prostora.</w:t>
      </w:r>
    </w:p>
    <w:p w14:paraId="0265DE58" w14:textId="6CFABA04" w:rsidR="00D81CDD" w:rsidRPr="00AB1367" w:rsidRDefault="00533C55" w:rsidP="00D81CDD">
      <w:pPr>
        <w:pStyle w:val="Naslov2"/>
        <w:numPr>
          <w:ilvl w:val="2"/>
          <w:numId w:val="1"/>
        </w:numPr>
        <w:spacing w:before="360" w:after="240"/>
        <w:rPr>
          <w:rFonts w:ascii="Arial" w:eastAsiaTheme="majorEastAsia" w:hAnsi="Arial" w:cs="Arial"/>
          <w:color w:val="244061" w:themeColor="accent1" w:themeShade="80"/>
          <w:szCs w:val="22"/>
        </w:rPr>
      </w:pPr>
      <w:bookmarkStart w:id="259" w:name="_Toc210033836"/>
      <w:r>
        <w:rPr>
          <w:rFonts w:ascii="Arial" w:eastAsiaTheme="majorEastAsia" w:hAnsi="Arial" w:cs="Arial"/>
          <w:color w:val="244061" w:themeColor="accent1" w:themeShade="80"/>
          <w:szCs w:val="22"/>
        </w:rPr>
        <w:t>Presoja podnebne odpornosti</w:t>
      </w:r>
      <w:bookmarkEnd w:id="259"/>
    </w:p>
    <w:p w14:paraId="5E697830"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t>Središče Iga danes opravlja več različnih vlog hkrati: je prometni prehod skozi naselje, prostor vsakdanjih opravkov ter točka, kjer se srečujejo šola, občina, trgovine in storitve. Zaradi teh funkcij je območje močno obremenjeno z dnevnim prometom, posebej v času prihodov in odhodov otrok v šolo ter v popoldanskih konicah. Obstoječe površine za pešce in kolesarje so mestoma ozke ali nepovezane, prehodi niso vedno pregledni, avtobusna postajališča pa ne zagotavljajo dovolj zaščite pred vremenskimi vplivi. V poletnih mesecih se tlak in asfalt močno segrevata, dreves in sence je premalo, ob kratkih nalivih pa voda na nekaterih mestih zastaja, ker je odvodnjavanje zastarelo in obremenjeno. Kakovost bivanja v središču Iga je zato manjša od potenciala, ki ga ima kraj kot lokalno središče.</w:t>
      </w:r>
    </w:p>
    <w:p w14:paraId="0F34BCD5"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t xml:space="preserve">Predlagana celovita ureditev se na te izzive odziva s preoblikovanjem središča v prostor, ki daje prednost ljudem. Ulični profil se uravnoteži v korist pešcev in kolesarjev, pločniki postanejo širši in neprekinjeni, križišča ter prehodi so oblikovani bolj pregledno in varno. Ob avtobusnih peronih se postavijo nove nadstrešnice, ki omogočajo suho in senčno čakanje ter jasnejše prestopanje. Trg pred občino se uredi kot osrednji javni prostor, namenjen vsakdanji uporabi in prireditvam; umeščene so klopi, </w:t>
      </w:r>
      <w:proofErr w:type="spellStart"/>
      <w:r w:rsidRPr="00D81CDD">
        <w:rPr>
          <w:rFonts w:ascii="Arial" w:hAnsi="Arial" w:cs="Arial"/>
          <w:sz w:val="22"/>
          <w:szCs w:val="22"/>
        </w:rPr>
        <w:t>pitniki</w:t>
      </w:r>
      <w:proofErr w:type="spellEnd"/>
      <w:r w:rsidRPr="00D81CDD">
        <w:rPr>
          <w:rFonts w:ascii="Arial" w:hAnsi="Arial" w:cs="Arial"/>
          <w:sz w:val="22"/>
          <w:szCs w:val="22"/>
        </w:rPr>
        <w:t xml:space="preserve"> in enotna urbana oprema, ki daje območju prepoznaven, urejen videz. V bližini šole se promet umiri in organizira “odložišče” za kratek postanek vozil, da so poti otrok varnejše in bolj razumljive.</w:t>
      </w:r>
    </w:p>
    <w:p w14:paraId="753CE05D"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t xml:space="preserve">Ker se podnebje segreva in so nalivi pogostejši, je zasnova prilagojena tudi vremenu prihodnosti. Območje dobi več dreves in zelenih površin, ki ustvarjajo senco, hlad in prijetnejše </w:t>
      </w:r>
      <w:proofErr w:type="spellStart"/>
      <w:r w:rsidRPr="00D81CDD">
        <w:rPr>
          <w:rFonts w:ascii="Arial" w:hAnsi="Arial" w:cs="Arial"/>
          <w:sz w:val="22"/>
          <w:szCs w:val="22"/>
        </w:rPr>
        <w:t>mikroklimatske</w:t>
      </w:r>
      <w:proofErr w:type="spellEnd"/>
      <w:r w:rsidRPr="00D81CDD">
        <w:rPr>
          <w:rFonts w:ascii="Arial" w:hAnsi="Arial" w:cs="Arial"/>
          <w:sz w:val="22"/>
          <w:szCs w:val="22"/>
        </w:rPr>
        <w:t xml:space="preserve"> razmere. Strehe nadstrešnic ter utrjene površine zbirajo deževnico v zadrževalnike; voda se zadrži, deloma ponovno uporabi za zalivanje in sanitarije, presežek pa se kontrolirano odvaja v kanalizacijo. Takšna rešitev razbremeni sistem ob nalivih in zmanjšuje možnost lokalnega zastajanja vode. Elementi opreme in manjši objekti so zasnovani robustno, z materiali in pritrditvami, ki bolje prenesejo veter in točo, ter s predvidenim rednim vzdrževanjem. Na nadstrešnicah so predvideni sončni paneli, ki zagotavljajo del lastne porabe energije za razsvetljavo in opremo; s tem projekt prispeva k nižjim obratovalnim stroškom in zmanjšanju izpustov.</w:t>
      </w:r>
    </w:p>
    <w:p w14:paraId="3B783756"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lastRenderedPageBreak/>
        <w:t>Ureditve prinašajo neposredne koristi različnim skupinam uporabnikov. Otroci, starši in učitelji dobijo varnejše, krajše in bolj pregledne poti do šole. Starejši in gibalno ovirani imajo več ravnih površin, manj arhitekturnih ovir in več klopi na razdaljah, ki so primerne za počitek. Uporabniki avtobusov čakajo v zavetju pred soncem in dežjem, z bolj razumno postavljenimi postajališči. Kolesarji pridobijo jasnejše in varnejše povezave ter več stojal in kolesarnico. Za prebivalce in obiskovalce kraj dobi urejen osrednji prostor srečevanja, ki je primeren tako za vsakodnevne opravke kot za dogodke.</w:t>
      </w:r>
    </w:p>
    <w:p w14:paraId="0DEFB949"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t>Učinki se kažejo tudi širše: manj kratkih voženj z avtomobilom, več hoje in kolesarjenja ter bolj privlačen javni prevoz pomenijo manj hrupa in čistejši zrak v središču. Več zelenja in zadrževanje deževnice izboljšujeta odpornost območja na vročinske valove in nalive ter zmanjšujeta potrebo po pitni vodi za zalivanje. Enotna urbana oprema in premišljena osvetlitev prispevata k varnosti, urejenosti in prepoznavnosti kraja. Zasnova sledi veljavnim standardom in dobrim praksam, predviden je tudi režim rednega vzdrževanja (čiščenje rešetk in zadrževalnikov, nega drevja, pregledi pritrditev in nadstrešnic, spremljanje delovanja sončne elektrarne), saj trajnostni učinki nastanejo le, če sistem deluje zanesljivo skozi celotno življenjsko dobo.</w:t>
      </w:r>
    </w:p>
    <w:p w14:paraId="40A3CD3B" w14:textId="77777777" w:rsidR="00D81CDD" w:rsidRPr="00D81CDD" w:rsidRDefault="00D81CDD" w:rsidP="00D81CDD">
      <w:pPr>
        <w:autoSpaceDE w:val="0"/>
        <w:autoSpaceDN w:val="0"/>
        <w:adjustRightInd w:val="0"/>
        <w:spacing w:after="200" w:line="276" w:lineRule="auto"/>
        <w:jc w:val="both"/>
        <w:rPr>
          <w:rFonts w:ascii="Arial" w:hAnsi="Arial" w:cs="Arial"/>
          <w:sz w:val="22"/>
          <w:szCs w:val="22"/>
        </w:rPr>
      </w:pPr>
      <w:r w:rsidRPr="00D81CDD">
        <w:rPr>
          <w:rFonts w:ascii="Arial" w:hAnsi="Arial" w:cs="Arial"/>
          <w:sz w:val="22"/>
          <w:szCs w:val="22"/>
        </w:rPr>
        <w:t>Skupaj gledano projekt središče Iga premika iz prometnega hodnika v kakovosten javni prostor. Območje postane varnejše, bolj prijazno do pešcev, kolesarjev in uporabnikov javnega prevoza, hkrati pa je zasnovano tako, da bolje prenaša vročino, nalive, veter in točo. Investicija zato ne rešuje le današnjih težav, temveč tudi zmanjšuje prihodnja tveganja ter dviguje kakovost bivanja in podobo kraja.</w:t>
      </w:r>
    </w:p>
    <w:p w14:paraId="7A163C8A" w14:textId="77777777" w:rsidR="00CF68D5" w:rsidRPr="00AB1367" w:rsidRDefault="00CF68D5" w:rsidP="00CF68D5">
      <w:pPr>
        <w:pStyle w:val="Naslov2"/>
        <w:numPr>
          <w:ilvl w:val="2"/>
          <w:numId w:val="1"/>
        </w:numPr>
        <w:spacing w:before="360" w:after="240"/>
        <w:rPr>
          <w:rFonts w:ascii="Arial" w:eastAsiaTheme="majorEastAsia" w:hAnsi="Arial" w:cs="Arial"/>
          <w:color w:val="244061" w:themeColor="accent1" w:themeShade="80"/>
          <w:szCs w:val="22"/>
        </w:rPr>
      </w:pPr>
      <w:bookmarkStart w:id="260" w:name="_Toc209029170"/>
      <w:bookmarkStart w:id="261" w:name="_Toc210033837"/>
      <w:r w:rsidRPr="0093659F">
        <w:rPr>
          <w:rFonts w:ascii="Arial" w:eastAsiaTheme="majorEastAsia" w:hAnsi="Arial" w:cs="Arial"/>
          <w:color w:val="244061" w:themeColor="accent1" w:themeShade="80"/>
          <w:szCs w:val="22"/>
        </w:rPr>
        <w:t>Upoštevanje načel »ne škoduj bistveno«</w:t>
      </w:r>
      <w:bookmarkStart w:id="262" w:name="_Toc131231652"/>
      <w:bookmarkStart w:id="263" w:name="_Toc167723083"/>
      <w:bookmarkStart w:id="264" w:name="_Toc172617308"/>
      <w:bookmarkEnd w:id="260"/>
      <w:bookmarkEnd w:id="261"/>
    </w:p>
    <w:p w14:paraId="28C0D74D" w14:textId="7E7C36AC" w:rsidR="00FA1568" w:rsidRPr="00FA1568" w:rsidRDefault="00C10FF1" w:rsidP="00FA1568">
      <w:pPr>
        <w:spacing w:after="120" w:line="276" w:lineRule="auto"/>
        <w:jc w:val="both"/>
        <w:rPr>
          <w:rFonts w:ascii="Arial" w:hAnsi="Arial" w:cs="Arial"/>
          <w:sz w:val="22"/>
          <w:szCs w:val="22"/>
        </w:rPr>
      </w:pPr>
      <w:bookmarkStart w:id="265" w:name="_Toc209029188"/>
      <w:r>
        <w:rPr>
          <w:rFonts w:ascii="Arial" w:hAnsi="Arial" w:cs="Arial"/>
          <w:sz w:val="22"/>
          <w:szCs w:val="22"/>
        </w:rPr>
        <w:t>P</w:t>
      </w:r>
      <w:r w:rsidR="00FA1568" w:rsidRPr="00FA1568">
        <w:rPr>
          <w:rFonts w:ascii="Arial" w:hAnsi="Arial" w:cs="Arial"/>
          <w:sz w:val="22"/>
          <w:szCs w:val="22"/>
        </w:rPr>
        <w:t xml:space="preserve">rojekt s prenovo trga, ulic in pripadajoče opreme v središču Iga neposredno podpira cilje trajnostne mobilnosti (več hoje, kolesarjenja in rabe JPP) ter je pripravljen v skladu z evropskim načelom DNSH, kot ga določajo smernice organa upravljanja in Uredba o taksonomiji (člen 17). Za ukrepe iz tega projekta se uporablja poenostavljen pristop DNSH, ker se vsebine ujemajo s področjem ukrepanja 083 – kolesarska infrastruktura, ki se v Programu EKP 2021–2027 šteje za 100-odstotni prispevek k podnebnim in </w:t>
      </w:r>
      <w:proofErr w:type="spellStart"/>
      <w:r w:rsidR="00FA1568" w:rsidRPr="00FA1568">
        <w:rPr>
          <w:rFonts w:ascii="Arial" w:hAnsi="Arial" w:cs="Arial"/>
          <w:sz w:val="22"/>
          <w:szCs w:val="22"/>
        </w:rPr>
        <w:t>okoljskim</w:t>
      </w:r>
      <w:proofErr w:type="spellEnd"/>
      <w:r w:rsidR="00FA1568" w:rsidRPr="00FA1568">
        <w:rPr>
          <w:rFonts w:ascii="Arial" w:hAnsi="Arial" w:cs="Arial"/>
          <w:sz w:val="22"/>
          <w:szCs w:val="22"/>
        </w:rPr>
        <w:t xml:space="preserve"> ciljem. Poleg tega dejavnost sodi pod točko 6.13 (infrastruktura za osebno mobilnost, peš in kolo) Delegirane uredbe (EU) 2021/2139, ki šteje med aktivnosti z bistvenim prispevkom k prilagajanju podnebnim spremembam. </w:t>
      </w:r>
    </w:p>
    <w:p w14:paraId="5490D4C4" w14:textId="7E4A5C84"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Ministrstvo za okolje, podnebje in energijo je z zavrženjem predhodnega postopka potrdilo, da za projekt ni treba izvesti PP ali PVO (torej ne gre za poseg, ki bi bil po predpisu PVO predmet presoje), kar kaže na omejenost in lokalnost vplivov. S tem DNSH ne nadomeščamo, temveč ga dopolnjujemo kot obvezno evropsko načelo. </w:t>
      </w:r>
    </w:p>
    <w:p w14:paraId="3CD63801" w14:textId="77777777" w:rsidR="00FA1568" w:rsidRPr="00FA1568"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 xml:space="preserve">Šest </w:t>
      </w:r>
      <w:proofErr w:type="spellStart"/>
      <w:r w:rsidRPr="00FA1568">
        <w:rPr>
          <w:rFonts w:ascii="Arial" w:hAnsi="Arial" w:cs="Arial"/>
          <w:b/>
          <w:bCs/>
          <w:sz w:val="22"/>
          <w:szCs w:val="22"/>
        </w:rPr>
        <w:t>okoljskih</w:t>
      </w:r>
      <w:proofErr w:type="spellEnd"/>
      <w:r w:rsidRPr="00FA1568">
        <w:rPr>
          <w:rFonts w:ascii="Arial" w:hAnsi="Arial" w:cs="Arial"/>
          <w:b/>
          <w:bCs/>
          <w:sz w:val="22"/>
          <w:szCs w:val="22"/>
        </w:rPr>
        <w:t xml:space="preserve"> ciljev – vsebinska utemeljitev skladnosti</w:t>
      </w:r>
    </w:p>
    <w:p w14:paraId="56990911"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1) Blažitev podnebnih sprememb.</w:t>
      </w:r>
    </w:p>
    <w:p w14:paraId="012F5030" w14:textId="52037D8B"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Projekt zmanjšuje emisije predvsem z nadomeščanjem kratkih voženj z avtomobilom z varnimi in privlačnimi peš in kolesarskimi potmi ter z večjo rabo JPP. Vgradnja sončne elektrarne pomeni, da je letna proizvodnja elektrike večja od lastne porabe projektne opreme (razsvetljava ipd.). Ocenjeni obratovalni izpusti znašajo približno 4,64 t </w:t>
      </w:r>
      <w:proofErr w:type="spellStart"/>
      <w:r w:rsidRPr="00FA1568">
        <w:rPr>
          <w:rFonts w:ascii="Arial" w:hAnsi="Arial" w:cs="Arial"/>
          <w:sz w:val="22"/>
          <w:szCs w:val="22"/>
        </w:rPr>
        <w:t>CO</w:t>
      </w:r>
      <w:r w:rsidRPr="00FA1568">
        <w:rPr>
          <w:rFonts w:ascii="Cambria Math" w:hAnsi="Cambria Math" w:cs="Cambria Math"/>
          <w:sz w:val="22"/>
          <w:szCs w:val="22"/>
        </w:rPr>
        <w:t>₂</w:t>
      </w:r>
      <w:r w:rsidRPr="00FA1568">
        <w:rPr>
          <w:rFonts w:ascii="Arial" w:hAnsi="Arial" w:cs="Arial"/>
          <w:sz w:val="22"/>
          <w:szCs w:val="22"/>
        </w:rPr>
        <w:t>e</w:t>
      </w:r>
      <w:proofErr w:type="spellEnd"/>
      <w:r w:rsidRPr="00FA1568">
        <w:rPr>
          <w:rFonts w:ascii="Arial" w:hAnsi="Arial" w:cs="Arial"/>
          <w:sz w:val="22"/>
          <w:szCs w:val="22"/>
        </w:rPr>
        <w:t xml:space="preserve">/leto, prihranek zaradi </w:t>
      </w:r>
      <w:proofErr w:type="spellStart"/>
      <w:r w:rsidRPr="00FA1568">
        <w:rPr>
          <w:rFonts w:ascii="Arial" w:hAnsi="Arial" w:cs="Arial"/>
          <w:sz w:val="22"/>
          <w:szCs w:val="22"/>
        </w:rPr>
        <w:t>fotovoltaike</w:t>
      </w:r>
      <w:proofErr w:type="spellEnd"/>
      <w:r w:rsidRPr="00FA1568">
        <w:rPr>
          <w:rFonts w:ascii="Arial" w:hAnsi="Arial" w:cs="Arial"/>
          <w:sz w:val="22"/>
          <w:szCs w:val="22"/>
        </w:rPr>
        <w:t xml:space="preserve"> pa –15,31 t </w:t>
      </w:r>
      <w:proofErr w:type="spellStart"/>
      <w:r w:rsidRPr="00FA1568">
        <w:rPr>
          <w:rFonts w:ascii="Arial" w:hAnsi="Arial" w:cs="Arial"/>
          <w:sz w:val="22"/>
          <w:szCs w:val="22"/>
        </w:rPr>
        <w:t>CO</w:t>
      </w:r>
      <w:r w:rsidRPr="00FA1568">
        <w:rPr>
          <w:rFonts w:ascii="Cambria Math" w:hAnsi="Cambria Math" w:cs="Cambria Math"/>
          <w:sz w:val="22"/>
          <w:szCs w:val="22"/>
        </w:rPr>
        <w:t>₂</w:t>
      </w:r>
      <w:r w:rsidRPr="00FA1568">
        <w:rPr>
          <w:rFonts w:ascii="Arial" w:hAnsi="Arial" w:cs="Arial"/>
          <w:sz w:val="22"/>
          <w:szCs w:val="22"/>
        </w:rPr>
        <w:t>e</w:t>
      </w:r>
      <w:proofErr w:type="spellEnd"/>
      <w:r w:rsidRPr="00FA1568">
        <w:rPr>
          <w:rFonts w:ascii="Arial" w:hAnsi="Arial" w:cs="Arial"/>
          <w:sz w:val="22"/>
          <w:szCs w:val="22"/>
        </w:rPr>
        <w:t xml:space="preserve">/leto; neto učinek je torej –10,67 t </w:t>
      </w:r>
      <w:proofErr w:type="spellStart"/>
      <w:r w:rsidRPr="00FA1568">
        <w:rPr>
          <w:rFonts w:ascii="Arial" w:hAnsi="Arial" w:cs="Arial"/>
          <w:sz w:val="22"/>
          <w:szCs w:val="22"/>
        </w:rPr>
        <w:t>CO</w:t>
      </w:r>
      <w:r w:rsidRPr="00FA1568">
        <w:rPr>
          <w:rFonts w:ascii="Cambria Math" w:hAnsi="Cambria Math" w:cs="Cambria Math"/>
          <w:sz w:val="22"/>
          <w:szCs w:val="22"/>
        </w:rPr>
        <w:t>₂</w:t>
      </w:r>
      <w:r w:rsidRPr="00FA1568">
        <w:rPr>
          <w:rFonts w:ascii="Arial" w:hAnsi="Arial" w:cs="Arial"/>
          <w:sz w:val="22"/>
          <w:szCs w:val="22"/>
        </w:rPr>
        <w:t>e</w:t>
      </w:r>
      <w:proofErr w:type="spellEnd"/>
      <w:r w:rsidRPr="00FA1568">
        <w:rPr>
          <w:rFonts w:ascii="Arial" w:hAnsi="Arial" w:cs="Arial"/>
          <w:sz w:val="22"/>
          <w:szCs w:val="22"/>
        </w:rPr>
        <w:t xml:space="preserve">/leto, daleč pod pragom 20.000 t </w:t>
      </w:r>
      <w:proofErr w:type="spellStart"/>
      <w:r w:rsidRPr="00FA1568">
        <w:rPr>
          <w:rFonts w:ascii="Arial" w:hAnsi="Arial" w:cs="Arial"/>
          <w:sz w:val="22"/>
          <w:szCs w:val="22"/>
        </w:rPr>
        <w:t>CO</w:t>
      </w:r>
      <w:r w:rsidRPr="00FA1568">
        <w:rPr>
          <w:rFonts w:ascii="Cambria Math" w:hAnsi="Cambria Math" w:cs="Cambria Math"/>
          <w:sz w:val="22"/>
          <w:szCs w:val="22"/>
        </w:rPr>
        <w:t>₂</w:t>
      </w:r>
      <w:r w:rsidRPr="00FA1568">
        <w:rPr>
          <w:rFonts w:ascii="Arial" w:hAnsi="Arial" w:cs="Arial"/>
          <w:sz w:val="22"/>
          <w:szCs w:val="22"/>
        </w:rPr>
        <w:t>e</w:t>
      </w:r>
      <w:proofErr w:type="spellEnd"/>
      <w:r w:rsidRPr="00FA1568">
        <w:rPr>
          <w:rFonts w:ascii="Arial" w:hAnsi="Arial" w:cs="Arial"/>
          <w:sz w:val="22"/>
          <w:szCs w:val="22"/>
        </w:rPr>
        <w:t xml:space="preserve">, zato projekt bistveno ne prispeva k emisijam toplogrednih plinov. </w:t>
      </w:r>
      <w:r w:rsidRPr="00FA1568">
        <w:rPr>
          <w:rFonts w:ascii="Arial" w:hAnsi="Arial" w:cs="Arial"/>
          <w:sz w:val="22"/>
          <w:szCs w:val="22"/>
        </w:rPr>
        <w:lastRenderedPageBreak/>
        <w:t xml:space="preserve">Predvideno je tudi redno spremljanje proizvodnje SE in porabe, da se učinek dokazuje v času obratovanja. </w:t>
      </w:r>
    </w:p>
    <w:p w14:paraId="743ADC82"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2) Prilagajanje podnebnim spremembam.</w:t>
      </w:r>
    </w:p>
    <w:p w14:paraId="737CEF66" w14:textId="112A4E1B"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Zasnova je skladna s presojo podnebne odpornosti in obravnava ključna tveganja: vročinske valove, kratkotrajne nalive ter veter/točo. V središče so vključeni drevoredi, park in senčenje, kar blaži poletno vročino, ter zadrževalniki padavinske vode s ponovno rabo za zalivanje in splakovanje sanitarij, ki razbremenijo kanalizacijo ob nalivih. Objekti in urbana oprema so robustno projektirani (pritrditev, strelovodna zaščita, vzdrževanje), da prenesejo veter in neurja. S tem projekt ne povečuje ranljivosti na podnebne vplive, temveč jo zmanjšuje. </w:t>
      </w:r>
    </w:p>
    <w:p w14:paraId="4DBDF9ED"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3) Trajnostna raba in varstvo voda.</w:t>
      </w:r>
    </w:p>
    <w:p w14:paraId="617774ED" w14:textId="0C29C886"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Območje leži na vodovarstvenem območju VVO III (VD Brest-1), zato so predvideni tehnični in organizacijski ukrepi: dimenzioniranje padavinske kanalizacije z upoštevanjem večjih nalivov, lovilniki olj za parkirne površine (SIST EN 858), zadrževanje in ponovna raba deževnice, ter stroga pravila za ravnanje na gradbišču (brez skladiščenja nevarnih snovi, kemične sanitarije, takojšnje ukrepanje ob morebitnem razlitju). Tako se ne poslabša stanje podzemnih ali površinskih voda. (V vlogi je evidentirano tudi pozitivno stališče DRSV v zvezi z upravljanjem z vodami.) </w:t>
      </w:r>
    </w:p>
    <w:p w14:paraId="783328C9"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4) Krožno gospodarstvo.</w:t>
      </w:r>
    </w:p>
    <w:p w14:paraId="72204AC1" w14:textId="5DB0A592"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V času izvedbe se uporabljajo načela snovne učinkovitosti: prednost recikliranim in lokalnim materialom, načrtovanje za vzdrževanje in razgradnjo, ter vsaj 70-odstotna materialna predelava (priprava za ponovno uporabo, reciklaža, zasipavanje) nenevarnih gradbenih odpadkov v skladu z nacionalnimi cilji. Ukrepi so zapisani v projektni dokumentaciji in se preverjajo pri izvajanju. </w:t>
      </w:r>
    </w:p>
    <w:p w14:paraId="69F1023E"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5) Preprečevanje in nadzor onesnaževanja.</w:t>
      </w:r>
    </w:p>
    <w:p w14:paraId="59BF721A" w14:textId="5DEFE807"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Med gradnjo se vplivi (prah, hrup, emisije) obvladujejo z rednim nadzorom, opremo gradbišča ter vodenimi postopki. V obratovanju pa se lokalno onesnaževanje zmanjšuje z zagotovljenimi kolesarnicami in postajo za (e)kolesa, kar podpira preusmeritev na čistejše oblike mobilnosti in zmanjšuje prometne emisije v središču kraja. </w:t>
      </w:r>
    </w:p>
    <w:p w14:paraId="075E59AE" w14:textId="77777777" w:rsidR="002E5575" w:rsidRDefault="00FA1568" w:rsidP="00FA1568">
      <w:pPr>
        <w:spacing w:after="120" w:line="276" w:lineRule="auto"/>
        <w:jc w:val="both"/>
        <w:rPr>
          <w:rFonts w:ascii="Arial" w:hAnsi="Arial" w:cs="Arial"/>
          <w:b/>
          <w:bCs/>
          <w:sz w:val="22"/>
          <w:szCs w:val="22"/>
        </w:rPr>
      </w:pPr>
      <w:r w:rsidRPr="00FA1568">
        <w:rPr>
          <w:rFonts w:ascii="Arial" w:hAnsi="Arial" w:cs="Arial"/>
          <w:b/>
          <w:bCs/>
          <w:sz w:val="22"/>
          <w:szCs w:val="22"/>
        </w:rPr>
        <w:t>6) Biotska raznovrstnost in ekosistemi.</w:t>
      </w:r>
    </w:p>
    <w:p w14:paraId="4943C437" w14:textId="49A31099"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Projekt leži v vplivnem območju Krajinskega parka Ljubljansko barje (Natura 2000 SI3000271); Zavod RS za varstvo narave (OE Ljubljana) je izdal pozitivno mnenje in določil omilitvene ukrepe. Ključna zahteva je pravilna zunanja razsvetljava: uporabljajo se popolnoma zasenčena svetila, brez svetlobe nad vodoravnico, brez UV, z barvno temperaturo ≤ 2700 K, po možnosti s samodejnim vklopom/izklopom. Ob upoštevanju ukrepov je vpliv na kvalifikacijske vrste (npr. netopirji) nebistven (razred C) in gradnja sprejemljiva. Posegi se ne širijo v območje naravne vrednote </w:t>
      </w:r>
      <w:proofErr w:type="spellStart"/>
      <w:r w:rsidRPr="00FA1568">
        <w:rPr>
          <w:rFonts w:ascii="Arial" w:hAnsi="Arial" w:cs="Arial"/>
          <w:sz w:val="22"/>
          <w:szCs w:val="22"/>
        </w:rPr>
        <w:t>Iščica</w:t>
      </w:r>
      <w:proofErr w:type="spellEnd"/>
      <w:r w:rsidRPr="00FA1568">
        <w:rPr>
          <w:rFonts w:ascii="Arial" w:hAnsi="Arial" w:cs="Arial"/>
          <w:sz w:val="22"/>
          <w:szCs w:val="22"/>
        </w:rPr>
        <w:t xml:space="preserve"> (NV ID 8075). </w:t>
      </w:r>
    </w:p>
    <w:p w14:paraId="602246B0" w14:textId="46733BED" w:rsidR="00FA1568" w:rsidRPr="00FA1568" w:rsidRDefault="00C10FF1" w:rsidP="00FA1568">
      <w:pPr>
        <w:spacing w:after="120" w:line="276" w:lineRule="auto"/>
        <w:jc w:val="both"/>
        <w:rPr>
          <w:rFonts w:ascii="Arial" w:hAnsi="Arial" w:cs="Arial"/>
          <w:b/>
          <w:bCs/>
          <w:sz w:val="22"/>
          <w:szCs w:val="22"/>
        </w:rPr>
      </w:pPr>
      <w:r>
        <w:rPr>
          <w:rFonts w:ascii="Arial" w:hAnsi="Arial" w:cs="Arial"/>
          <w:b/>
          <w:bCs/>
          <w:sz w:val="22"/>
          <w:szCs w:val="22"/>
        </w:rPr>
        <w:t>Ugotovitve so podane na podlagi:</w:t>
      </w:r>
    </w:p>
    <w:p w14:paraId="788DA3ED" w14:textId="1F79B7E2"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 </w:t>
      </w:r>
      <w:r w:rsidRPr="00FA1568">
        <w:rPr>
          <w:rFonts w:ascii="Arial" w:hAnsi="Arial" w:cs="Arial"/>
          <w:b/>
          <w:bCs/>
          <w:sz w:val="22"/>
          <w:szCs w:val="22"/>
        </w:rPr>
        <w:t>Sklep</w:t>
      </w:r>
      <w:r w:rsidR="00C10FF1">
        <w:rPr>
          <w:rFonts w:ascii="Arial" w:hAnsi="Arial" w:cs="Arial"/>
          <w:b/>
          <w:bCs/>
          <w:sz w:val="22"/>
          <w:szCs w:val="22"/>
        </w:rPr>
        <w:t>a</w:t>
      </w:r>
      <w:r w:rsidRPr="00FA1568">
        <w:rPr>
          <w:rFonts w:ascii="Arial" w:hAnsi="Arial" w:cs="Arial"/>
          <w:b/>
          <w:bCs/>
          <w:sz w:val="22"/>
          <w:szCs w:val="22"/>
        </w:rPr>
        <w:t xml:space="preserve"> MOPE</w:t>
      </w:r>
      <w:r w:rsidRPr="00FA1568">
        <w:rPr>
          <w:rFonts w:ascii="Arial" w:hAnsi="Arial" w:cs="Arial"/>
          <w:sz w:val="22"/>
          <w:szCs w:val="22"/>
        </w:rPr>
        <w:t xml:space="preserve"> o zavrženju predhodnega postopka (PP/PVO </w:t>
      </w:r>
      <w:r w:rsidRPr="00FA1568">
        <w:rPr>
          <w:rFonts w:ascii="Arial" w:hAnsi="Arial" w:cs="Arial"/>
          <w:b/>
          <w:bCs/>
          <w:sz w:val="22"/>
          <w:szCs w:val="22"/>
        </w:rPr>
        <w:t>nista potrebna</w:t>
      </w:r>
      <w:r w:rsidRPr="00FA1568">
        <w:rPr>
          <w:rFonts w:ascii="Arial" w:hAnsi="Arial" w:cs="Arial"/>
          <w:sz w:val="22"/>
          <w:szCs w:val="22"/>
        </w:rPr>
        <w:t xml:space="preserve">), kot dokaz, da projekt po naravi in obsegu </w:t>
      </w:r>
      <w:r w:rsidRPr="00FA1568">
        <w:rPr>
          <w:rFonts w:ascii="Arial" w:hAnsi="Arial" w:cs="Arial"/>
          <w:b/>
          <w:bCs/>
          <w:sz w:val="22"/>
          <w:szCs w:val="22"/>
        </w:rPr>
        <w:t>ne sodi</w:t>
      </w:r>
      <w:r w:rsidRPr="00FA1568">
        <w:rPr>
          <w:rFonts w:ascii="Arial" w:hAnsi="Arial" w:cs="Arial"/>
          <w:sz w:val="22"/>
          <w:szCs w:val="22"/>
        </w:rPr>
        <w:t xml:space="preserve"> med posege s pomembnimi vplivi, o katerih bi bilo treba odločati v PVO. </w:t>
      </w:r>
    </w:p>
    <w:p w14:paraId="00DCF8C3" w14:textId="70EEBD83"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t xml:space="preserve">– </w:t>
      </w:r>
      <w:r w:rsidRPr="00FA1568">
        <w:rPr>
          <w:rFonts w:ascii="Arial" w:hAnsi="Arial" w:cs="Arial"/>
          <w:b/>
          <w:bCs/>
          <w:sz w:val="22"/>
          <w:szCs w:val="22"/>
        </w:rPr>
        <w:t>Mnenjem ZRSVN</w:t>
      </w:r>
      <w:r w:rsidRPr="00FA1568">
        <w:rPr>
          <w:rFonts w:ascii="Arial" w:hAnsi="Arial" w:cs="Arial"/>
          <w:sz w:val="22"/>
          <w:szCs w:val="22"/>
        </w:rPr>
        <w:t xml:space="preserve">, ki potrjuje skladnost posega z varstvenimi zahtevami in določa </w:t>
      </w:r>
      <w:r w:rsidRPr="00FA1568">
        <w:rPr>
          <w:rFonts w:ascii="Arial" w:hAnsi="Arial" w:cs="Arial"/>
          <w:b/>
          <w:bCs/>
          <w:sz w:val="22"/>
          <w:szCs w:val="22"/>
        </w:rPr>
        <w:t>pogoje za PZI, gradnjo in uporabo</w:t>
      </w:r>
      <w:r w:rsidRPr="00FA1568">
        <w:rPr>
          <w:rFonts w:ascii="Arial" w:hAnsi="Arial" w:cs="Arial"/>
          <w:sz w:val="22"/>
          <w:szCs w:val="22"/>
        </w:rPr>
        <w:t xml:space="preserve">, zlasti v zvezi z razsvetljavo. </w:t>
      </w:r>
    </w:p>
    <w:p w14:paraId="0D53CDAF" w14:textId="45D0CAD2" w:rsidR="00FA1568" w:rsidRPr="00FA1568" w:rsidRDefault="00FA1568" w:rsidP="00FA1568">
      <w:pPr>
        <w:spacing w:after="120" w:line="276" w:lineRule="auto"/>
        <w:jc w:val="both"/>
        <w:rPr>
          <w:rFonts w:ascii="Arial" w:hAnsi="Arial" w:cs="Arial"/>
          <w:sz w:val="22"/>
          <w:szCs w:val="22"/>
        </w:rPr>
      </w:pPr>
      <w:r w:rsidRPr="00FA1568">
        <w:rPr>
          <w:rFonts w:ascii="Arial" w:hAnsi="Arial" w:cs="Arial"/>
          <w:sz w:val="22"/>
          <w:szCs w:val="22"/>
        </w:rPr>
        <w:lastRenderedPageBreak/>
        <w:t xml:space="preserve">Na podlagi navedenih pravnih podlag, tehničnih rešitev in mnenj pristojnih organov projekt </w:t>
      </w:r>
      <w:r w:rsidRPr="00FA1568">
        <w:rPr>
          <w:rFonts w:ascii="Arial" w:hAnsi="Arial" w:cs="Arial"/>
          <w:b/>
          <w:bCs/>
          <w:sz w:val="22"/>
          <w:szCs w:val="22"/>
        </w:rPr>
        <w:t>izpolnjuje načelo DNSH</w:t>
      </w:r>
      <w:r w:rsidRPr="00FA1568">
        <w:rPr>
          <w:rFonts w:ascii="Arial" w:hAnsi="Arial" w:cs="Arial"/>
          <w:sz w:val="22"/>
          <w:szCs w:val="22"/>
        </w:rPr>
        <w:t xml:space="preserve">. Vplivi na podnebje, vode, kroženje snovi, kakovost zraka/tal/voda ter biotsko raznovrstnost so </w:t>
      </w:r>
      <w:r w:rsidRPr="00FA1568">
        <w:rPr>
          <w:rFonts w:ascii="Arial" w:hAnsi="Arial" w:cs="Arial"/>
          <w:b/>
          <w:bCs/>
          <w:sz w:val="22"/>
          <w:szCs w:val="22"/>
        </w:rPr>
        <w:t>bodisi pozitivni bodisi nebistveni</w:t>
      </w:r>
      <w:r w:rsidRPr="00FA1568">
        <w:rPr>
          <w:rFonts w:ascii="Arial" w:hAnsi="Arial" w:cs="Arial"/>
          <w:sz w:val="22"/>
          <w:szCs w:val="22"/>
        </w:rPr>
        <w:t>, preostala tveganja pa so znižana z omilitvenimi ukrepi, ki bodo podrobno vključeni v PZI in nadzorovani v času gradnje ter obratovanja.</w:t>
      </w:r>
    </w:p>
    <w:p w14:paraId="421D6EDF" w14:textId="126D4A71" w:rsidR="00CF68D5" w:rsidRDefault="00CF68D5" w:rsidP="00CF68D5">
      <w:pPr>
        <w:spacing w:after="120" w:line="276" w:lineRule="auto"/>
        <w:jc w:val="both"/>
        <w:rPr>
          <w:rFonts w:ascii="Arial" w:eastAsia="Arial" w:hAnsi="Arial" w:cs="Arial"/>
          <w:sz w:val="22"/>
          <w:szCs w:val="22"/>
        </w:rPr>
      </w:pPr>
      <w:bookmarkStart w:id="266" w:name="_Toc209528298"/>
      <w:r w:rsidRPr="0093659F">
        <w:rPr>
          <w:rFonts w:ascii="Arial" w:hAnsi="Arial" w:cs="Arial"/>
          <w:sz w:val="22"/>
          <w:szCs w:val="22"/>
        </w:rPr>
        <w:t xml:space="preserve">Tabela </w:t>
      </w:r>
      <w:r w:rsidRPr="0093659F">
        <w:rPr>
          <w:rFonts w:ascii="Arial" w:hAnsi="Arial" w:cs="Arial"/>
          <w:sz w:val="22"/>
          <w:szCs w:val="22"/>
        </w:rPr>
        <w:fldChar w:fldCharType="begin"/>
      </w:r>
      <w:r w:rsidRPr="0093659F">
        <w:rPr>
          <w:rFonts w:ascii="Arial" w:hAnsi="Arial" w:cs="Arial"/>
          <w:sz w:val="22"/>
          <w:szCs w:val="22"/>
        </w:rPr>
        <w:instrText xml:space="preserve"> SEQ Tabela \* ARABIC </w:instrText>
      </w:r>
      <w:r w:rsidRPr="0093659F">
        <w:rPr>
          <w:rFonts w:ascii="Arial" w:hAnsi="Arial" w:cs="Arial"/>
          <w:sz w:val="22"/>
          <w:szCs w:val="22"/>
        </w:rPr>
        <w:fldChar w:fldCharType="separate"/>
      </w:r>
      <w:r w:rsidR="00E74D26">
        <w:rPr>
          <w:rFonts w:ascii="Arial" w:hAnsi="Arial" w:cs="Arial"/>
          <w:noProof/>
          <w:sz w:val="22"/>
          <w:szCs w:val="22"/>
        </w:rPr>
        <w:t>12</w:t>
      </w:r>
      <w:r w:rsidRPr="0093659F">
        <w:rPr>
          <w:rFonts w:ascii="Arial" w:hAnsi="Arial" w:cs="Arial"/>
          <w:sz w:val="22"/>
          <w:szCs w:val="22"/>
        </w:rPr>
        <w:fldChar w:fldCharType="end"/>
      </w:r>
      <w:r w:rsidRPr="0093659F">
        <w:rPr>
          <w:rFonts w:ascii="Arial" w:hAnsi="Arial" w:cs="Arial"/>
          <w:sz w:val="22"/>
          <w:szCs w:val="22"/>
        </w:rPr>
        <w:t xml:space="preserve">: </w:t>
      </w:r>
      <w:bookmarkEnd w:id="262"/>
      <w:bookmarkEnd w:id="263"/>
      <w:bookmarkEnd w:id="264"/>
      <w:proofErr w:type="spellStart"/>
      <w:r w:rsidRPr="00D07A6C">
        <w:rPr>
          <w:rFonts w:ascii="Arial" w:eastAsia="Arial" w:hAnsi="Arial" w:cs="Arial"/>
          <w:sz w:val="22"/>
          <w:szCs w:val="22"/>
        </w:rPr>
        <w:t>Okoljski</w:t>
      </w:r>
      <w:proofErr w:type="spellEnd"/>
      <w:r w:rsidRPr="00D07A6C">
        <w:rPr>
          <w:rFonts w:ascii="Arial" w:eastAsia="Arial" w:hAnsi="Arial" w:cs="Arial"/>
          <w:sz w:val="22"/>
          <w:szCs w:val="22"/>
        </w:rPr>
        <w:t xml:space="preserve"> vplivi</w:t>
      </w:r>
      <w:bookmarkEnd w:id="265"/>
      <w:bookmarkEnd w:id="266"/>
    </w:p>
    <w:tbl>
      <w:tblPr>
        <w:tblW w:w="9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33"/>
        <w:gridCol w:w="1198"/>
        <w:gridCol w:w="426"/>
        <w:gridCol w:w="850"/>
        <w:gridCol w:w="1276"/>
        <w:gridCol w:w="1276"/>
        <w:gridCol w:w="1137"/>
      </w:tblGrid>
      <w:tr w:rsidR="00CF68D5" w:rsidRPr="00BE5F84" w14:paraId="77289645" w14:textId="77777777" w:rsidTr="0093689D">
        <w:trPr>
          <w:trHeight w:val="541"/>
          <w:tblHeader/>
        </w:trPr>
        <w:tc>
          <w:tcPr>
            <w:tcW w:w="3333" w:type="dxa"/>
            <w:vMerge w:val="restart"/>
            <w:vAlign w:val="center"/>
          </w:tcPr>
          <w:p w14:paraId="7E333AD9" w14:textId="77777777" w:rsidR="00CF68D5" w:rsidRPr="00BE5F84" w:rsidRDefault="00CF68D5" w:rsidP="0093689D">
            <w:pPr>
              <w:jc w:val="both"/>
              <w:rPr>
                <w:rFonts w:ascii="Arial" w:hAnsi="Arial" w:cs="Arial"/>
                <w:b/>
                <w:bCs/>
                <w:sz w:val="20"/>
                <w:szCs w:val="20"/>
              </w:rPr>
            </w:pPr>
            <w:r w:rsidRPr="00BE5F84">
              <w:rPr>
                <w:rFonts w:ascii="Arial" w:hAnsi="Arial" w:cs="Arial"/>
                <w:b/>
                <w:bCs/>
                <w:sz w:val="20"/>
                <w:szCs w:val="20"/>
              </w:rPr>
              <w:t xml:space="preserve">Oznaka projekta, ukrepa ali </w:t>
            </w:r>
            <w:r>
              <w:rPr>
                <w:rFonts w:ascii="Arial" w:hAnsi="Arial" w:cs="Arial"/>
                <w:b/>
                <w:bCs/>
                <w:sz w:val="20"/>
                <w:szCs w:val="20"/>
              </w:rPr>
              <w:t>davčnega izdatka</w:t>
            </w:r>
            <w:r w:rsidRPr="00BE5F84">
              <w:rPr>
                <w:rFonts w:ascii="Arial" w:hAnsi="Arial" w:cs="Arial"/>
                <w:b/>
                <w:bCs/>
                <w:sz w:val="20"/>
                <w:szCs w:val="20"/>
              </w:rPr>
              <w:t xml:space="preserve"> </w:t>
            </w:r>
          </w:p>
        </w:tc>
        <w:tc>
          <w:tcPr>
            <w:tcW w:w="1198" w:type="dxa"/>
            <w:shd w:val="clear" w:color="auto" w:fill="FDE9D9" w:themeFill="accent6" w:themeFillTint="33"/>
            <w:vAlign w:val="center"/>
          </w:tcPr>
          <w:p w14:paraId="0E658EDF" w14:textId="77777777" w:rsidR="00CF68D5" w:rsidRPr="00BE5F84" w:rsidRDefault="00CF68D5" w:rsidP="0093689D">
            <w:pPr>
              <w:jc w:val="center"/>
              <w:rPr>
                <w:rFonts w:ascii="Arial" w:hAnsi="Arial" w:cs="Arial"/>
                <w:b/>
                <w:bCs/>
                <w:color w:val="000000"/>
                <w:sz w:val="20"/>
                <w:szCs w:val="20"/>
              </w:rPr>
            </w:pPr>
            <w:r w:rsidRPr="00BE5F84">
              <w:rPr>
                <w:rFonts w:ascii="Arial" w:hAnsi="Arial" w:cs="Arial"/>
                <w:b/>
                <w:bCs/>
                <w:color w:val="000000"/>
                <w:sz w:val="20"/>
                <w:szCs w:val="20"/>
              </w:rPr>
              <w:t>Ugoden</w:t>
            </w:r>
          </w:p>
        </w:tc>
        <w:tc>
          <w:tcPr>
            <w:tcW w:w="1276" w:type="dxa"/>
            <w:gridSpan w:val="2"/>
            <w:shd w:val="clear" w:color="auto" w:fill="5F497A" w:themeFill="accent4" w:themeFillShade="BF"/>
            <w:vAlign w:val="center"/>
          </w:tcPr>
          <w:p w14:paraId="6926B430" w14:textId="77777777" w:rsidR="00CF68D5" w:rsidRPr="008B5A28" w:rsidRDefault="00CF68D5" w:rsidP="0093689D">
            <w:pPr>
              <w:jc w:val="center"/>
              <w:rPr>
                <w:rFonts w:ascii="Arial" w:hAnsi="Arial" w:cs="Arial"/>
                <w:b/>
                <w:bCs/>
                <w:color w:val="FFFFFF" w:themeColor="background1"/>
                <w:sz w:val="20"/>
                <w:szCs w:val="20"/>
              </w:rPr>
            </w:pPr>
            <w:r w:rsidRPr="008B5A28">
              <w:rPr>
                <w:rFonts w:ascii="Arial" w:hAnsi="Arial" w:cs="Arial"/>
                <w:b/>
                <w:bCs/>
                <w:color w:val="FFFFFF" w:themeColor="background1"/>
                <w:sz w:val="20"/>
                <w:szCs w:val="20"/>
              </w:rPr>
              <w:t>Mešan</w:t>
            </w:r>
          </w:p>
        </w:tc>
        <w:tc>
          <w:tcPr>
            <w:tcW w:w="1276" w:type="dxa"/>
            <w:shd w:val="clear" w:color="auto" w:fill="E36C0A"/>
            <w:vAlign w:val="center"/>
          </w:tcPr>
          <w:p w14:paraId="0CDB719A" w14:textId="77777777" w:rsidR="00CF68D5" w:rsidRPr="008B5A28" w:rsidRDefault="00CF68D5" w:rsidP="0093689D">
            <w:pPr>
              <w:jc w:val="center"/>
              <w:rPr>
                <w:rFonts w:ascii="Arial" w:hAnsi="Arial" w:cs="Arial"/>
                <w:b/>
                <w:bCs/>
                <w:color w:val="FFFFFF" w:themeColor="background1"/>
                <w:sz w:val="20"/>
                <w:szCs w:val="20"/>
              </w:rPr>
            </w:pPr>
            <w:r w:rsidRPr="008B5A28">
              <w:rPr>
                <w:rFonts w:ascii="Arial" w:hAnsi="Arial" w:cs="Arial"/>
                <w:b/>
                <w:bCs/>
                <w:color w:val="FFFFFF" w:themeColor="background1"/>
                <w:sz w:val="20"/>
                <w:szCs w:val="20"/>
              </w:rPr>
              <w:t xml:space="preserve"> Neugoden</w:t>
            </w:r>
          </w:p>
        </w:tc>
        <w:tc>
          <w:tcPr>
            <w:tcW w:w="1276" w:type="dxa"/>
            <w:shd w:val="clear" w:color="auto" w:fill="D9D9D9" w:themeFill="background1" w:themeFillShade="D9"/>
            <w:vAlign w:val="center"/>
          </w:tcPr>
          <w:p w14:paraId="59A1E474" w14:textId="77777777" w:rsidR="00CF68D5" w:rsidRPr="00BE5F84" w:rsidRDefault="00CF68D5" w:rsidP="0093689D">
            <w:pPr>
              <w:jc w:val="center"/>
              <w:rPr>
                <w:rFonts w:ascii="Arial" w:hAnsi="Arial" w:cs="Arial"/>
                <w:b/>
                <w:bCs/>
                <w:color w:val="000000"/>
                <w:sz w:val="20"/>
                <w:szCs w:val="20"/>
              </w:rPr>
            </w:pPr>
            <w:r w:rsidRPr="00BE5F84">
              <w:rPr>
                <w:rFonts w:ascii="Arial" w:hAnsi="Arial" w:cs="Arial"/>
                <w:b/>
                <w:bCs/>
                <w:color w:val="000000"/>
                <w:sz w:val="20"/>
                <w:szCs w:val="20"/>
              </w:rPr>
              <w:t>Nevtralen</w:t>
            </w:r>
          </w:p>
        </w:tc>
        <w:tc>
          <w:tcPr>
            <w:tcW w:w="1137" w:type="dxa"/>
            <w:shd w:val="clear" w:color="auto" w:fill="D9D9D9" w:themeFill="background1" w:themeFillShade="D9"/>
            <w:vAlign w:val="center"/>
          </w:tcPr>
          <w:p w14:paraId="32C6293B" w14:textId="77777777" w:rsidR="00CF68D5" w:rsidRPr="00BE5F84" w:rsidRDefault="00CF68D5" w:rsidP="0093689D">
            <w:pPr>
              <w:jc w:val="center"/>
              <w:rPr>
                <w:rFonts w:ascii="Arial" w:hAnsi="Arial" w:cs="Arial"/>
                <w:b/>
                <w:bCs/>
                <w:color w:val="000000"/>
                <w:sz w:val="20"/>
                <w:szCs w:val="20"/>
              </w:rPr>
            </w:pPr>
            <w:r w:rsidRPr="00BE5F84">
              <w:rPr>
                <w:rFonts w:ascii="Arial" w:hAnsi="Arial" w:cs="Arial"/>
                <w:b/>
                <w:bCs/>
                <w:color w:val="000000"/>
                <w:sz w:val="20"/>
                <w:szCs w:val="20"/>
              </w:rPr>
              <w:t>Neznan</w:t>
            </w:r>
          </w:p>
        </w:tc>
      </w:tr>
      <w:tr w:rsidR="00CF68D5" w:rsidRPr="00BE5F84" w14:paraId="1A83F0A1" w14:textId="77777777" w:rsidTr="0093689D">
        <w:trPr>
          <w:trHeight w:val="576"/>
          <w:tblHeader/>
        </w:trPr>
        <w:tc>
          <w:tcPr>
            <w:tcW w:w="3333" w:type="dxa"/>
            <w:vMerge/>
            <w:tcBorders>
              <w:bottom w:val="single" w:sz="4" w:space="0" w:color="auto"/>
            </w:tcBorders>
          </w:tcPr>
          <w:p w14:paraId="6B19CD19" w14:textId="77777777" w:rsidR="00CF68D5" w:rsidRPr="00BE5F84" w:rsidRDefault="00CF68D5" w:rsidP="0093689D">
            <w:pPr>
              <w:jc w:val="both"/>
              <w:rPr>
                <w:rFonts w:ascii="Arial" w:hAnsi="Arial" w:cs="Arial"/>
                <w:b/>
                <w:bCs/>
                <w:sz w:val="20"/>
                <w:szCs w:val="20"/>
              </w:rPr>
            </w:pPr>
          </w:p>
        </w:tc>
        <w:tc>
          <w:tcPr>
            <w:tcW w:w="1198" w:type="dxa"/>
            <w:vAlign w:val="center"/>
          </w:tcPr>
          <w:p w14:paraId="57DE37FC" w14:textId="77777777" w:rsidR="00CF68D5" w:rsidRPr="005D6714" w:rsidRDefault="00CF68D5" w:rsidP="0093689D">
            <w:pPr>
              <w:jc w:val="both"/>
              <w:rPr>
                <w:rFonts w:ascii="Arial" w:hAnsi="Arial" w:cs="Arial"/>
                <w:b/>
                <w:i/>
                <w:color w:val="000000"/>
                <w:sz w:val="20"/>
                <w:szCs w:val="20"/>
              </w:rPr>
            </w:pPr>
            <w:r>
              <w:rPr>
                <w:rFonts w:ascii="Arial" w:hAnsi="Arial" w:cs="Arial"/>
                <w:b/>
                <w:i/>
                <w:color w:val="000000"/>
                <w:sz w:val="20"/>
                <w:szCs w:val="20"/>
              </w:rPr>
              <w:t>X</w:t>
            </w:r>
          </w:p>
        </w:tc>
        <w:tc>
          <w:tcPr>
            <w:tcW w:w="1276" w:type="dxa"/>
            <w:gridSpan w:val="2"/>
            <w:vAlign w:val="center"/>
          </w:tcPr>
          <w:p w14:paraId="03169ACA" w14:textId="77777777" w:rsidR="00CF68D5" w:rsidRPr="00BE5F84" w:rsidRDefault="00CF68D5" w:rsidP="0093689D">
            <w:pPr>
              <w:jc w:val="both"/>
              <w:rPr>
                <w:rFonts w:ascii="Arial" w:hAnsi="Arial" w:cs="Arial"/>
                <w:b/>
                <w:bCs/>
                <w:color w:val="000000" w:themeColor="text1"/>
                <w:sz w:val="20"/>
                <w:szCs w:val="20"/>
              </w:rPr>
            </w:pPr>
          </w:p>
        </w:tc>
        <w:tc>
          <w:tcPr>
            <w:tcW w:w="1276" w:type="dxa"/>
            <w:vAlign w:val="center"/>
          </w:tcPr>
          <w:p w14:paraId="153CDB80" w14:textId="77777777" w:rsidR="00CF68D5" w:rsidRPr="00BE5F84" w:rsidRDefault="00CF68D5" w:rsidP="0093689D">
            <w:pPr>
              <w:jc w:val="both"/>
              <w:rPr>
                <w:rFonts w:ascii="Arial" w:hAnsi="Arial" w:cs="Arial"/>
                <w:b/>
                <w:bCs/>
                <w:color w:val="000000"/>
                <w:sz w:val="20"/>
                <w:szCs w:val="20"/>
              </w:rPr>
            </w:pPr>
          </w:p>
        </w:tc>
        <w:tc>
          <w:tcPr>
            <w:tcW w:w="1276" w:type="dxa"/>
            <w:vAlign w:val="center"/>
          </w:tcPr>
          <w:p w14:paraId="5ABD861B" w14:textId="77777777" w:rsidR="00CF68D5" w:rsidRPr="00BE5F84" w:rsidRDefault="00CF68D5" w:rsidP="0093689D">
            <w:pPr>
              <w:jc w:val="both"/>
              <w:rPr>
                <w:rFonts w:ascii="Arial" w:hAnsi="Arial" w:cs="Arial"/>
                <w:b/>
                <w:bCs/>
                <w:color w:val="000000"/>
                <w:sz w:val="20"/>
                <w:szCs w:val="20"/>
              </w:rPr>
            </w:pPr>
          </w:p>
        </w:tc>
        <w:tc>
          <w:tcPr>
            <w:tcW w:w="1137" w:type="dxa"/>
            <w:vAlign w:val="center"/>
          </w:tcPr>
          <w:p w14:paraId="33CEAB07" w14:textId="77777777" w:rsidR="00CF68D5" w:rsidRPr="00BE5F84" w:rsidRDefault="00CF68D5" w:rsidP="0093689D">
            <w:pPr>
              <w:jc w:val="both"/>
              <w:rPr>
                <w:rFonts w:ascii="Arial" w:hAnsi="Arial" w:cs="Arial"/>
                <w:b/>
                <w:bCs/>
                <w:color w:val="000000"/>
                <w:sz w:val="20"/>
                <w:szCs w:val="20"/>
              </w:rPr>
            </w:pPr>
          </w:p>
        </w:tc>
      </w:tr>
      <w:tr w:rsidR="00CF68D5" w:rsidRPr="00BE5F84" w14:paraId="117E83CD" w14:textId="77777777" w:rsidTr="0093689D">
        <w:trPr>
          <w:trHeight w:val="847"/>
        </w:trPr>
        <w:tc>
          <w:tcPr>
            <w:tcW w:w="3333" w:type="dxa"/>
            <w:shd w:val="clear" w:color="auto" w:fill="FDE9D9" w:themeFill="accent6" w:themeFillTint="33"/>
            <w:vAlign w:val="center"/>
          </w:tcPr>
          <w:p w14:paraId="52B31619" w14:textId="77777777" w:rsidR="00CF68D5" w:rsidRPr="00BE5F84" w:rsidRDefault="00CF68D5" w:rsidP="0093689D">
            <w:pPr>
              <w:jc w:val="both"/>
              <w:rPr>
                <w:rFonts w:ascii="Arial" w:hAnsi="Arial" w:cs="Arial"/>
                <w:b/>
                <w:bCs/>
                <w:color w:val="000000"/>
                <w:sz w:val="20"/>
                <w:szCs w:val="20"/>
              </w:rPr>
            </w:pPr>
            <w:proofErr w:type="spellStart"/>
            <w:r w:rsidRPr="00BE5F84">
              <w:rPr>
                <w:rFonts w:ascii="Arial" w:hAnsi="Arial" w:cs="Arial"/>
                <w:b/>
                <w:bCs/>
                <w:color w:val="000000"/>
                <w:sz w:val="20"/>
                <w:szCs w:val="20"/>
              </w:rPr>
              <w:t>Okoljski</w:t>
            </w:r>
            <w:proofErr w:type="spellEnd"/>
            <w:r w:rsidRPr="00BE5F84">
              <w:rPr>
                <w:rFonts w:ascii="Arial" w:hAnsi="Arial" w:cs="Arial"/>
                <w:b/>
                <w:bCs/>
                <w:color w:val="000000"/>
                <w:sz w:val="20"/>
                <w:szCs w:val="20"/>
              </w:rPr>
              <w:t xml:space="preserve"> cilji</w:t>
            </w:r>
          </w:p>
        </w:tc>
        <w:tc>
          <w:tcPr>
            <w:tcW w:w="1624" w:type="dxa"/>
            <w:gridSpan w:val="2"/>
            <w:shd w:val="clear" w:color="auto" w:fill="D9D9D9"/>
            <w:vAlign w:val="center"/>
          </w:tcPr>
          <w:p w14:paraId="3B638D1B" w14:textId="77777777" w:rsidR="00CF68D5" w:rsidRPr="00BE5F84" w:rsidRDefault="00CF68D5" w:rsidP="0093689D">
            <w:pPr>
              <w:autoSpaceDE w:val="0"/>
              <w:autoSpaceDN w:val="0"/>
              <w:adjustRightInd w:val="0"/>
              <w:jc w:val="center"/>
              <w:rPr>
                <w:rFonts w:ascii="Arial" w:hAnsi="Arial" w:cs="Arial"/>
                <w:b/>
                <w:bCs/>
                <w:color w:val="000000"/>
                <w:sz w:val="20"/>
                <w:szCs w:val="20"/>
              </w:rPr>
            </w:pPr>
            <w:r w:rsidRPr="00BE5F84">
              <w:rPr>
                <w:rFonts w:ascii="Arial" w:hAnsi="Arial" w:cs="Arial"/>
                <w:b/>
                <w:bCs/>
                <w:color w:val="000000"/>
                <w:sz w:val="20"/>
                <w:szCs w:val="20"/>
              </w:rPr>
              <w:t>Vpliv</w:t>
            </w:r>
          </w:p>
          <w:p w14:paraId="75291E58" w14:textId="77777777" w:rsidR="00CF68D5" w:rsidRPr="00BE5F84" w:rsidRDefault="00CF68D5" w:rsidP="0093689D">
            <w:pPr>
              <w:autoSpaceDE w:val="0"/>
              <w:autoSpaceDN w:val="0"/>
              <w:adjustRightInd w:val="0"/>
              <w:jc w:val="center"/>
              <w:rPr>
                <w:rFonts w:ascii="Arial" w:hAnsi="Arial" w:cs="Arial"/>
                <w:b/>
                <w:bCs/>
                <w:color w:val="000000"/>
                <w:sz w:val="20"/>
                <w:szCs w:val="20"/>
              </w:rPr>
            </w:pPr>
            <w:r>
              <w:rPr>
                <w:rFonts w:ascii="Arial" w:hAnsi="Arial" w:cs="Arial"/>
                <w:b/>
                <w:bCs/>
                <w:color w:val="000000"/>
                <w:sz w:val="20"/>
                <w:szCs w:val="20"/>
              </w:rPr>
              <w:t xml:space="preserve">+1 </w:t>
            </w:r>
            <w:r w:rsidRPr="00BE5F84">
              <w:rPr>
                <w:rFonts w:ascii="Arial" w:hAnsi="Arial" w:cs="Arial"/>
                <w:b/>
                <w:bCs/>
                <w:color w:val="000000"/>
                <w:sz w:val="20"/>
                <w:szCs w:val="20"/>
              </w:rPr>
              <w:t>/ 0</w:t>
            </w:r>
            <w:r>
              <w:rPr>
                <w:rFonts w:ascii="Arial" w:hAnsi="Arial" w:cs="Arial"/>
                <w:b/>
                <w:bCs/>
                <w:color w:val="000000"/>
                <w:sz w:val="20"/>
                <w:szCs w:val="20"/>
              </w:rPr>
              <w:t xml:space="preserve"> </w:t>
            </w:r>
            <w:r w:rsidRPr="00BE5F84">
              <w:rPr>
                <w:rFonts w:ascii="Arial" w:hAnsi="Arial" w:cs="Arial"/>
                <w:b/>
                <w:bCs/>
                <w:color w:val="000000"/>
                <w:sz w:val="20"/>
                <w:szCs w:val="20"/>
              </w:rPr>
              <w:t xml:space="preserve">/ </w:t>
            </w:r>
            <w:r>
              <w:rPr>
                <w:rFonts w:ascii="Arial" w:hAnsi="Arial" w:cs="Arial"/>
                <w:b/>
                <w:bCs/>
                <w:color w:val="000000"/>
                <w:sz w:val="20"/>
                <w:szCs w:val="20"/>
              </w:rPr>
              <w:t>-1 / -2</w:t>
            </w:r>
          </w:p>
        </w:tc>
        <w:tc>
          <w:tcPr>
            <w:tcW w:w="4539" w:type="dxa"/>
            <w:gridSpan w:val="4"/>
            <w:shd w:val="clear" w:color="auto" w:fill="D9D9D9"/>
            <w:vAlign w:val="center"/>
          </w:tcPr>
          <w:p w14:paraId="457E187E" w14:textId="77777777" w:rsidR="00CF68D5" w:rsidRPr="00BE5F84" w:rsidRDefault="00CF68D5" w:rsidP="0093689D">
            <w:pPr>
              <w:jc w:val="center"/>
              <w:rPr>
                <w:rFonts w:ascii="Arial" w:hAnsi="Arial" w:cs="Arial"/>
                <w:b/>
                <w:bCs/>
                <w:color w:val="000000"/>
                <w:sz w:val="20"/>
                <w:szCs w:val="20"/>
              </w:rPr>
            </w:pPr>
            <w:r w:rsidRPr="00BE5F84">
              <w:rPr>
                <w:rFonts w:ascii="Arial" w:hAnsi="Arial" w:cs="Arial"/>
                <w:b/>
                <w:bCs/>
                <w:color w:val="000000"/>
                <w:sz w:val="20"/>
                <w:szCs w:val="20"/>
              </w:rPr>
              <w:t>Pojasnilo vpliva</w:t>
            </w:r>
          </w:p>
        </w:tc>
      </w:tr>
      <w:tr w:rsidR="00CF68D5" w:rsidRPr="00BE5F84" w14:paraId="5AEA9493" w14:textId="77777777" w:rsidTr="0093689D">
        <w:trPr>
          <w:trHeight w:val="847"/>
        </w:trPr>
        <w:tc>
          <w:tcPr>
            <w:tcW w:w="3333" w:type="dxa"/>
            <w:shd w:val="clear" w:color="auto" w:fill="FDE9D9" w:themeFill="accent6" w:themeFillTint="33"/>
            <w:vAlign w:val="center"/>
          </w:tcPr>
          <w:p w14:paraId="3D9303C6"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t>1. Blažitev podnebnih sprememb</w:t>
            </w:r>
          </w:p>
        </w:tc>
        <w:tc>
          <w:tcPr>
            <w:tcW w:w="1624" w:type="dxa"/>
            <w:gridSpan w:val="2"/>
            <w:vAlign w:val="center"/>
          </w:tcPr>
          <w:p w14:paraId="4C049487" w14:textId="77777777" w:rsidR="00CF68D5" w:rsidRPr="005D6714" w:rsidRDefault="00CF68D5" w:rsidP="0093689D">
            <w:pPr>
              <w:jc w:val="both"/>
              <w:rPr>
                <w:rFonts w:ascii="Arial" w:hAnsi="Arial" w:cs="Arial"/>
                <w:bCs/>
                <w:iCs/>
                <w:color w:val="000000"/>
                <w:sz w:val="20"/>
                <w:szCs w:val="20"/>
              </w:rPr>
            </w:pPr>
            <w:r w:rsidRPr="005D6714">
              <w:rPr>
                <w:rFonts w:ascii="Arial" w:hAnsi="Arial" w:cs="Arial"/>
                <w:bCs/>
                <w:iCs/>
                <w:color w:val="000000"/>
                <w:sz w:val="20"/>
                <w:szCs w:val="20"/>
              </w:rPr>
              <w:t>+1</w:t>
            </w:r>
          </w:p>
        </w:tc>
        <w:tc>
          <w:tcPr>
            <w:tcW w:w="4539" w:type="dxa"/>
            <w:gridSpan w:val="4"/>
            <w:vAlign w:val="center"/>
          </w:tcPr>
          <w:p w14:paraId="66C2D176" w14:textId="77777777" w:rsidR="00CF68D5" w:rsidRPr="005D6714" w:rsidRDefault="00CF68D5" w:rsidP="0093689D">
            <w:pPr>
              <w:jc w:val="both"/>
              <w:rPr>
                <w:rFonts w:ascii="Arial" w:hAnsi="Arial" w:cs="Arial"/>
                <w:bCs/>
                <w:iCs/>
                <w:color w:val="000000"/>
                <w:sz w:val="20"/>
                <w:szCs w:val="20"/>
              </w:rPr>
            </w:pPr>
            <w:r w:rsidRPr="005D6714">
              <w:rPr>
                <w:rFonts w:ascii="Arial" w:hAnsi="Arial" w:cs="Arial"/>
                <w:bCs/>
                <w:iCs/>
                <w:color w:val="000000"/>
                <w:sz w:val="20"/>
                <w:szCs w:val="20"/>
              </w:rPr>
              <w:t>Ukrepi v okviru Celovite ureditve centra Ig prispevajo k zmanjšanju emisij toplogrednih plinov predvsem posredno, preko spodbujanja trajnostne mobilnosti in zmanjševanja avtomobilskega prometa v centru. Ureditev osrednjega trga ter izgradnja kolesarnic in urbane opreme spodbujata hojo, kolesarjenje in uporabo javnega prostora brez avtomobilov, kar zmanjšuje prometne emisije CO</w:t>
            </w:r>
            <w:r w:rsidRPr="005D6714">
              <w:rPr>
                <w:rFonts w:ascii="Cambria Math" w:hAnsi="Cambria Math" w:cs="Cambria Math"/>
                <w:bCs/>
                <w:iCs/>
                <w:color w:val="000000"/>
                <w:sz w:val="20"/>
                <w:szCs w:val="20"/>
              </w:rPr>
              <w:t>₂</w:t>
            </w:r>
            <w:r w:rsidRPr="005D6714">
              <w:rPr>
                <w:rFonts w:ascii="Arial" w:hAnsi="Arial" w:cs="Arial"/>
                <w:bCs/>
                <w:iCs/>
                <w:color w:val="000000"/>
                <w:sz w:val="20"/>
                <w:szCs w:val="20"/>
              </w:rPr>
              <w:t xml:space="preserve"> ter onesnaženost zraka. Drugi ukrepi (drenažni sistemi, modularna gradnja, pritrjena urbana oprema) neposredno ne vplivajo na zmanjšanje emisij, a prispevajo k odpornosti in trajnosti infrastrukture, kar dolgoročno podpira podnebno nevtralnost.</w:t>
            </w:r>
          </w:p>
        </w:tc>
      </w:tr>
      <w:tr w:rsidR="00CF68D5" w:rsidRPr="00BE5F84" w14:paraId="6317B65D" w14:textId="77777777" w:rsidTr="0093689D">
        <w:trPr>
          <w:trHeight w:val="737"/>
        </w:trPr>
        <w:tc>
          <w:tcPr>
            <w:tcW w:w="3333" w:type="dxa"/>
            <w:shd w:val="clear" w:color="auto" w:fill="FDE9D9" w:themeFill="accent6" w:themeFillTint="33"/>
            <w:vAlign w:val="center"/>
          </w:tcPr>
          <w:p w14:paraId="7452BD24"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t>2. Prilagajanje podnebnim spremembam</w:t>
            </w:r>
          </w:p>
        </w:tc>
        <w:tc>
          <w:tcPr>
            <w:tcW w:w="1624" w:type="dxa"/>
            <w:gridSpan w:val="2"/>
            <w:vAlign w:val="center"/>
          </w:tcPr>
          <w:p w14:paraId="252F03F1" w14:textId="77777777" w:rsidR="00CF68D5" w:rsidRPr="00BE5F84" w:rsidRDefault="00CF68D5" w:rsidP="0093689D">
            <w:pPr>
              <w:jc w:val="both"/>
              <w:rPr>
                <w:rFonts w:ascii="Arial" w:hAnsi="Arial" w:cs="Arial"/>
                <w:bCs/>
                <w:color w:val="000000"/>
                <w:sz w:val="20"/>
                <w:szCs w:val="20"/>
              </w:rPr>
            </w:pPr>
            <w:r>
              <w:rPr>
                <w:rFonts w:ascii="Arial" w:hAnsi="Arial" w:cs="Arial"/>
                <w:bCs/>
                <w:color w:val="000000"/>
                <w:sz w:val="20"/>
                <w:szCs w:val="20"/>
              </w:rPr>
              <w:t>+1</w:t>
            </w:r>
          </w:p>
        </w:tc>
        <w:tc>
          <w:tcPr>
            <w:tcW w:w="4539" w:type="dxa"/>
            <w:gridSpan w:val="4"/>
            <w:vAlign w:val="center"/>
          </w:tcPr>
          <w:p w14:paraId="17B703C1" w14:textId="77777777" w:rsidR="00CF68D5" w:rsidRPr="00BE5F84" w:rsidRDefault="00CF68D5" w:rsidP="0093689D">
            <w:pPr>
              <w:jc w:val="both"/>
              <w:rPr>
                <w:rFonts w:ascii="Arial" w:hAnsi="Arial" w:cs="Arial"/>
                <w:bCs/>
                <w:color w:val="000000"/>
                <w:sz w:val="20"/>
                <w:szCs w:val="20"/>
              </w:rPr>
            </w:pPr>
            <w:r w:rsidRPr="001F7ECB">
              <w:rPr>
                <w:rFonts w:ascii="Arial" w:hAnsi="Arial" w:cs="Arial"/>
                <w:bCs/>
                <w:color w:val="000000"/>
                <w:sz w:val="20"/>
                <w:szCs w:val="20"/>
              </w:rPr>
              <w:t>Projekt vsebuje več ukrepov, ki bistveno prispevajo k prilagajanju na podnebne spremembe. Izboljšana ureditev drenažnih sistemov in zadrževalniki padavinske vode zmanjšujejo tveganje poplav, zastajanja vode in škod ob ekstremnih padavinah. Modularni objekti iz robustnih materialov in kritine</w:t>
            </w:r>
            <w:r>
              <w:rPr>
                <w:rFonts w:ascii="Arial" w:hAnsi="Arial" w:cs="Arial"/>
                <w:bCs/>
                <w:color w:val="000000"/>
                <w:sz w:val="20"/>
                <w:szCs w:val="20"/>
              </w:rPr>
              <w:t>,</w:t>
            </w:r>
            <w:r w:rsidRPr="001F7ECB">
              <w:rPr>
                <w:rFonts w:ascii="Arial" w:hAnsi="Arial" w:cs="Arial"/>
                <w:bCs/>
                <w:color w:val="000000"/>
                <w:sz w:val="20"/>
                <w:szCs w:val="20"/>
              </w:rPr>
              <w:t xml:space="preserve"> odporne proti toči</w:t>
            </w:r>
            <w:r>
              <w:rPr>
                <w:rFonts w:ascii="Arial" w:hAnsi="Arial" w:cs="Arial"/>
                <w:bCs/>
                <w:color w:val="000000"/>
                <w:sz w:val="20"/>
                <w:szCs w:val="20"/>
              </w:rPr>
              <w:t>,</w:t>
            </w:r>
            <w:r w:rsidRPr="001F7ECB">
              <w:rPr>
                <w:rFonts w:ascii="Arial" w:hAnsi="Arial" w:cs="Arial"/>
                <w:bCs/>
                <w:color w:val="000000"/>
                <w:sz w:val="20"/>
                <w:szCs w:val="20"/>
              </w:rPr>
              <w:t xml:space="preserve"> povečujejo odpornost stavb na neurja, vročinske valove in druge ekstremne vremenske pojave. Pritrjena urbana oprema zmanjšuje nevarnost poškodb ob močnem vetru, nevihtah ali snežnih padavinah. Skupno ti ukrepi izboljšujejo varnost, zmanjšujejo stroške škode in prispevajo k dolgoročni odpornosti naselja na vplive podnebnih sprememb.</w:t>
            </w:r>
          </w:p>
        </w:tc>
      </w:tr>
      <w:tr w:rsidR="00CF68D5" w:rsidRPr="00BE5F84" w14:paraId="43A49ADE" w14:textId="77777777" w:rsidTr="0093689D">
        <w:trPr>
          <w:trHeight w:val="847"/>
        </w:trPr>
        <w:tc>
          <w:tcPr>
            <w:tcW w:w="3333" w:type="dxa"/>
            <w:shd w:val="clear" w:color="auto" w:fill="FDE9D9" w:themeFill="accent6" w:themeFillTint="33"/>
            <w:vAlign w:val="center"/>
          </w:tcPr>
          <w:p w14:paraId="1FBBF0EB"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t>3. Trajnostna raba ter varstvo vodnih in morskih virov</w:t>
            </w:r>
          </w:p>
        </w:tc>
        <w:tc>
          <w:tcPr>
            <w:tcW w:w="1624" w:type="dxa"/>
            <w:gridSpan w:val="2"/>
            <w:vAlign w:val="center"/>
          </w:tcPr>
          <w:p w14:paraId="081626C4" w14:textId="77777777" w:rsidR="00CF68D5" w:rsidRPr="00BE5F84" w:rsidRDefault="00CF68D5" w:rsidP="0093689D">
            <w:pPr>
              <w:jc w:val="both"/>
              <w:rPr>
                <w:rFonts w:ascii="Arial" w:hAnsi="Arial" w:cs="Arial"/>
                <w:bCs/>
                <w:color w:val="000000"/>
                <w:sz w:val="20"/>
                <w:szCs w:val="20"/>
              </w:rPr>
            </w:pPr>
            <w:r>
              <w:rPr>
                <w:rFonts w:ascii="Arial" w:hAnsi="Arial" w:cs="Arial"/>
                <w:bCs/>
                <w:color w:val="000000"/>
                <w:sz w:val="20"/>
                <w:szCs w:val="20"/>
              </w:rPr>
              <w:t>+1</w:t>
            </w:r>
          </w:p>
        </w:tc>
        <w:tc>
          <w:tcPr>
            <w:tcW w:w="4539" w:type="dxa"/>
            <w:gridSpan w:val="4"/>
            <w:vAlign w:val="center"/>
          </w:tcPr>
          <w:p w14:paraId="54D9D3F1" w14:textId="77777777" w:rsidR="00CF68D5" w:rsidRPr="00BE5F84" w:rsidRDefault="00CF68D5" w:rsidP="0093689D">
            <w:pPr>
              <w:jc w:val="both"/>
              <w:rPr>
                <w:rFonts w:ascii="Arial" w:hAnsi="Arial" w:cs="Arial"/>
                <w:bCs/>
                <w:color w:val="000000"/>
                <w:sz w:val="20"/>
                <w:szCs w:val="20"/>
              </w:rPr>
            </w:pPr>
            <w:r w:rsidRPr="005D5C58">
              <w:rPr>
                <w:rFonts w:ascii="Arial" w:hAnsi="Arial" w:cs="Arial"/>
                <w:bCs/>
                <w:color w:val="000000"/>
                <w:sz w:val="20"/>
                <w:szCs w:val="20"/>
              </w:rPr>
              <w:t>Največji prispevek k varstvu vodnih virov prinaša ureditev drenažnih sistemov in zadrževalnikov padavinske vode, saj omogočajo zadrževanje in počasnejše odvajanje meteorne vode, kar zmanjšuje tveganje poplav ter izboljšuje lokalno vodno bilanco. Ukrepi preprečujejo nenadzorovan odtok in s tem zmanjšujejo možnost onesnaženja površinskih voda. Ostali ukrepi (osrednji trg, kolesarnice, modularni objekti in pritrjena urbana oprema) nimajo pomembnih neposrednih vplivov na vodo, lahko pa posredno prispevajo k boljši kakovosti okolja, saj urejena infrastruktura zmanjšuje razpršene vplive.</w:t>
            </w:r>
          </w:p>
        </w:tc>
      </w:tr>
      <w:tr w:rsidR="00CF68D5" w:rsidRPr="00BE5F84" w14:paraId="3C6C4FFF" w14:textId="77777777" w:rsidTr="0093689D">
        <w:trPr>
          <w:trHeight w:val="847"/>
        </w:trPr>
        <w:tc>
          <w:tcPr>
            <w:tcW w:w="3333" w:type="dxa"/>
            <w:shd w:val="clear" w:color="auto" w:fill="FDE9D9" w:themeFill="accent6" w:themeFillTint="33"/>
            <w:vAlign w:val="center"/>
          </w:tcPr>
          <w:p w14:paraId="1CD61A15"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lastRenderedPageBreak/>
              <w:t>4. Prehod na krožno gospodarstvo</w:t>
            </w:r>
          </w:p>
        </w:tc>
        <w:tc>
          <w:tcPr>
            <w:tcW w:w="1624" w:type="dxa"/>
            <w:gridSpan w:val="2"/>
            <w:vAlign w:val="center"/>
          </w:tcPr>
          <w:p w14:paraId="5CB34C87" w14:textId="77777777" w:rsidR="00CF68D5" w:rsidRPr="00BE5F84" w:rsidRDefault="00CF68D5" w:rsidP="0093689D">
            <w:pPr>
              <w:jc w:val="both"/>
              <w:rPr>
                <w:rFonts w:ascii="Arial" w:hAnsi="Arial" w:cs="Arial"/>
                <w:bCs/>
                <w:color w:val="000000"/>
                <w:sz w:val="20"/>
                <w:szCs w:val="20"/>
              </w:rPr>
            </w:pPr>
            <w:r>
              <w:rPr>
                <w:rFonts w:ascii="Arial" w:hAnsi="Arial" w:cs="Arial"/>
                <w:bCs/>
                <w:color w:val="000000"/>
                <w:sz w:val="20"/>
                <w:szCs w:val="20"/>
              </w:rPr>
              <w:t>+1</w:t>
            </w:r>
          </w:p>
        </w:tc>
        <w:tc>
          <w:tcPr>
            <w:tcW w:w="4539" w:type="dxa"/>
            <w:gridSpan w:val="4"/>
            <w:vAlign w:val="center"/>
          </w:tcPr>
          <w:p w14:paraId="658BBA05" w14:textId="77777777" w:rsidR="00CF68D5" w:rsidRPr="00BE5F84" w:rsidRDefault="00CF68D5" w:rsidP="0093689D">
            <w:pPr>
              <w:jc w:val="both"/>
              <w:rPr>
                <w:rFonts w:ascii="Arial" w:hAnsi="Arial" w:cs="Arial"/>
                <w:bCs/>
                <w:color w:val="000000"/>
                <w:sz w:val="20"/>
                <w:szCs w:val="20"/>
              </w:rPr>
            </w:pPr>
            <w:r w:rsidRPr="005D5C58">
              <w:rPr>
                <w:rFonts w:ascii="Arial" w:hAnsi="Arial" w:cs="Arial"/>
                <w:bCs/>
                <w:color w:val="000000"/>
                <w:sz w:val="20"/>
                <w:szCs w:val="20"/>
              </w:rPr>
              <w:t>Projekt vključuje nekatere elemente, ki prispevajo k prehodu na krožno gospodarstvo, zlasti pri uporabi modularnih objektov. Modularna gradnja omogoča lažje vzdrževanje, razgradnjo in ponovno uporabo materialov, kar zmanjšuje nastajanje gradbenih odpadkov in spodbuja učinkovito rabo virov. Pri preureditvi osrednjega trga in postavitvi urbane opreme obstaja možnost uporabe trajnostnih oziroma recikliranih materialov, vendar ta vpliv ostaja omejen in ni bistven za celoten projekt. Vpliv na krožno gospodarstvo je tako pozitiven, a zmeren.</w:t>
            </w:r>
          </w:p>
        </w:tc>
      </w:tr>
      <w:tr w:rsidR="00CF68D5" w:rsidRPr="00BE5F84" w14:paraId="11EC90D2" w14:textId="77777777" w:rsidTr="0093689D">
        <w:trPr>
          <w:trHeight w:val="889"/>
        </w:trPr>
        <w:tc>
          <w:tcPr>
            <w:tcW w:w="3333" w:type="dxa"/>
            <w:shd w:val="clear" w:color="auto" w:fill="FDE9D9" w:themeFill="accent6" w:themeFillTint="33"/>
            <w:vAlign w:val="center"/>
          </w:tcPr>
          <w:p w14:paraId="2245BEFB"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t>5. Preprečevanje in nadzorovanje onesnaževanja</w:t>
            </w:r>
          </w:p>
        </w:tc>
        <w:tc>
          <w:tcPr>
            <w:tcW w:w="1624" w:type="dxa"/>
            <w:gridSpan w:val="2"/>
            <w:vAlign w:val="center"/>
          </w:tcPr>
          <w:p w14:paraId="68BC78C0" w14:textId="77777777" w:rsidR="00CF68D5" w:rsidRPr="00BE5F84" w:rsidRDefault="00CF68D5" w:rsidP="0093689D">
            <w:pPr>
              <w:jc w:val="both"/>
              <w:rPr>
                <w:rFonts w:ascii="Arial" w:hAnsi="Arial" w:cs="Arial"/>
                <w:bCs/>
                <w:color w:val="000000"/>
                <w:sz w:val="20"/>
                <w:szCs w:val="20"/>
              </w:rPr>
            </w:pPr>
            <w:r>
              <w:rPr>
                <w:rFonts w:ascii="Arial" w:hAnsi="Arial" w:cs="Arial"/>
                <w:bCs/>
                <w:color w:val="000000"/>
                <w:sz w:val="20"/>
                <w:szCs w:val="20"/>
              </w:rPr>
              <w:t>+1</w:t>
            </w:r>
          </w:p>
        </w:tc>
        <w:tc>
          <w:tcPr>
            <w:tcW w:w="4539" w:type="dxa"/>
            <w:gridSpan w:val="4"/>
            <w:vAlign w:val="center"/>
          </w:tcPr>
          <w:p w14:paraId="2171483A" w14:textId="77777777" w:rsidR="00CF68D5" w:rsidRPr="00BE5F84" w:rsidRDefault="00CF68D5" w:rsidP="0093689D">
            <w:pPr>
              <w:jc w:val="both"/>
              <w:rPr>
                <w:rFonts w:ascii="Arial" w:hAnsi="Arial" w:cs="Arial"/>
                <w:bCs/>
                <w:color w:val="000000"/>
                <w:sz w:val="20"/>
                <w:szCs w:val="20"/>
              </w:rPr>
            </w:pPr>
            <w:r w:rsidRPr="00A72ECA">
              <w:rPr>
                <w:rFonts w:ascii="Arial" w:hAnsi="Arial" w:cs="Arial"/>
                <w:bCs/>
                <w:color w:val="000000"/>
                <w:sz w:val="20"/>
                <w:szCs w:val="20"/>
              </w:rPr>
              <w:t xml:space="preserve">Projekt ima posreden pozitiven vpliv na zmanjšanje onesnaževanja, predvsem zaradi spodbujanja trajnostne mobilnosti. Ureditev osrednjega trga ter postavitev kolesarnic omogočata večjo uporabo koles in hoje namesto osebnih vozil, kar zmanjšuje emisije onesnaževal v zrak (npr. </w:t>
            </w:r>
            <w:proofErr w:type="spellStart"/>
            <w:r w:rsidRPr="00A72ECA">
              <w:rPr>
                <w:rFonts w:ascii="Arial" w:hAnsi="Arial" w:cs="Arial"/>
                <w:bCs/>
                <w:color w:val="000000"/>
                <w:sz w:val="20"/>
                <w:szCs w:val="20"/>
              </w:rPr>
              <w:t>NOx</w:t>
            </w:r>
            <w:proofErr w:type="spellEnd"/>
            <w:r w:rsidRPr="00A72ECA">
              <w:rPr>
                <w:rFonts w:ascii="Arial" w:hAnsi="Arial" w:cs="Arial"/>
                <w:bCs/>
                <w:color w:val="000000"/>
                <w:sz w:val="20"/>
                <w:szCs w:val="20"/>
              </w:rPr>
              <w:t>, prašni delci) in hrup v centru naselja. Ostali ukrepi, kot so drenažni sistemi, modularna gradnja in pritrjena urbana oprema, nimajo neposrednih učinkov na onesnaževanje, vendar prispevajo k bolj urejenemu in varnemu urbanemu okolju.</w:t>
            </w:r>
          </w:p>
        </w:tc>
      </w:tr>
      <w:tr w:rsidR="00CF68D5" w:rsidRPr="00BE5F84" w14:paraId="604F5507" w14:textId="77777777" w:rsidTr="0093689D">
        <w:trPr>
          <w:trHeight w:val="871"/>
        </w:trPr>
        <w:tc>
          <w:tcPr>
            <w:tcW w:w="3333" w:type="dxa"/>
            <w:shd w:val="clear" w:color="auto" w:fill="FDE9D9" w:themeFill="accent6" w:themeFillTint="33"/>
            <w:vAlign w:val="center"/>
          </w:tcPr>
          <w:p w14:paraId="3B7C8129" w14:textId="77777777" w:rsidR="00CF68D5" w:rsidRPr="00BE5F84" w:rsidRDefault="00CF68D5" w:rsidP="0093689D">
            <w:pPr>
              <w:rPr>
                <w:rFonts w:ascii="Arial" w:hAnsi="Arial" w:cs="Arial"/>
                <w:bCs/>
                <w:color w:val="000000"/>
                <w:sz w:val="20"/>
                <w:szCs w:val="20"/>
              </w:rPr>
            </w:pPr>
            <w:r w:rsidRPr="00BE5F84">
              <w:rPr>
                <w:rFonts w:ascii="Arial" w:hAnsi="Arial" w:cs="Arial"/>
                <w:bCs/>
                <w:color w:val="000000"/>
                <w:sz w:val="20"/>
                <w:szCs w:val="20"/>
              </w:rPr>
              <w:t>6. Varstvo in obnova biotske raznovrstnosti in ekosistemov</w:t>
            </w:r>
          </w:p>
        </w:tc>
        <w:tc>
          <w:tcPr>
            <w:tcW w:w="1624" w:type="dxa"/>
            <w:gridSpan w:val="2"/>
            <w:vAlign w:val="center"/>
          </w:tcPr>
          <w:p w14:paraId="3273D691" w14:textId="77777777" w:rsidR="00CF68D5" w:rsidRPr="00BE5F84" w:rsidRDefault="00CF68D5" w:rsidP="0093689D">
            <w:pPr>
              <w:jc w:val="both"/>
              <w:rPr>
                <w:rFonts w:ascii="Arial" w:hAnsi="Arial" w:cs="Arial"/>
                <w:bCs/>
                <w:color w:val="000000"/>
                <w:sz w:val="20"/>
                <w:szCs w:val="20"/>
              </w:rPr>
            </w:pPr>
            <w:r>
              <w:rPr>
                <w:rFonts w:ascii="Arial" w:hAnsi="Arial" w:cs="Arial"/>
                <w:bCs/>
                <w:color w:val="000000"/>
                <w:sz w:val="20"/>
                <w:szCs w:val="20"/>
              </w:rPr>
              <w:t>0</w:t>
            </w:r>
          </w:p>
        </w:tc>
        <w:tc>
          <w:tcPr>
            <w:tcW w:w="4539" w:type="dxa"/>
            <w:gridSpan w:val="4"/>
            <w:vAlign w:val="center"/>
          </w:tcPr>
          <w:p w14:paraId="20FB35E5" w14:textId="77777777" w:rsidR="00CF68D5" w:rsidRPr="00BE5F84" w:rsidRDefault="00CF68D5" w:rsidP="0093689D">
            <w:pPr>
              <w:jc w:val="both"/>
              <w:rPr>
                <w:rFonts w:ascii="Arial" w:hAnsi="Arial" w:cs="Arial"/>
                <w:bCs/>
                <w:color w:val="000000"/>
                <w:sz w:val="20"/>
                <w:szCs w:val="20"/>
              </w:rPr>
            </w:pPr>
            <w:r w:rsidRPr="00240657">
              <w:rPr>
                <w:rFonts w:ascii="Arial" w:hAnsi="Arial" w:cs="Arial"/>
                <w:bCs/>
                <w:color w:val="000000"/>
                <w:sz w:val="20"/>
                <w:szCs w:val="20"/>
              </w:rPr>
              <w:t>Predvideni ukrepi se izvajajo v urbanem središču in so usmerjeni predvsem v prenovo obstoječe infrastrukture ter izboljšanje varnosti in odpornosti naselja. Zato nimajo neposrednih vplivov na biotsko raznovrstnost ali naravne habitate. Ukrepi, kot so drenažni sistemi, modularna gradnja in pritrjena urbana oprema, so tehnične narave in ne posegajo v naravna območja. Projekt tako ostaja v celoti znotraj obstoječih urbanih površin, brez izgube habitatov ali vplivov na ekosisteme.</w:t>
            </w:r>
          </w:p>
        </w:tc>
      </w:tr>
    </w:tbl>
    <w:p w14:paraId="5E7DC848" w14:textId="77777777" w:rsidR="00CF68D5" w:rsidRDefault="00CF68D5" w:rsidP="00CF68D5">
      <w:pPr>
        <w:spacing w:after="120" w:line="276" w:lineRule="auto"/>
        <w:jc w:val="both"/>
        <w:rPr>
          <w:rFonts w:ascii="Arial" w:eastAsia="Arial" w:hAnsi="Arial" w:cs="Arial"/>
          <w:sz w:val="22"/>
          <w:szCs w:val="22"/>
        </w:rPr>
      </w:pPr>
    </w:p>
    <w:p w14:paraId="1A794AB9" w14:textId="77777777" w:rsidR="00CF68D5" w:rsidRDefault="00CF68D5" w:rsidP="00CF68D5">
      <w:pPr>
        <w:spacing w:after="120" w:line="276" w:lineRule="auto"/>
        <w:jc w:val="both"/>
        <w:rPr>
          <w:rFonts w:ascii="Arial" w:eastAsia="Arial" w:hAnsi="Arial" w:cs="Arial"/>
          <w:sz w:val="22"/>
          <w:szCs w:val="22"/>
        </w:rPr>
      </w:pPr>
      <w:r w:rsidRPr="00E62216">
        <w:rPr>
          <w:rFonts w:ascii="Arial" w:eastAsia="Arial" w:hAnsi="Arial" w:cs="Arial"/>
          <w:sz w:val="22"/>
          <w:szCs w:val="22"/>
        </w:rPr>
        <w:t xml:space="preserve">Projekt </w:t>
      </w:r>
      <w:r w:rsidRPr="00E62216">
        <w:rPr>
          <w:rFonts w:ascii="Arial" w:eastAsia="Arial" w:hAnsi="Arial" w:cs="Arial"/>
          <w:i/>
          <w:iCs/>
          <w:sz w:val="22"/>
          <w:szCs w:val="22"/>
        </w:rPr>
        <w:t>Celovita ureditev centra Ig – trajnostna mobilnost</w:t>
      </w:r>
      <w:r w:rsidRPr="00E62216">
        <w:rPr>
          <w:rFonts w:ascii="Arial" w:eastAsia="Arial" w:hAnsi="Arial" w:cs="Arial"/>
          <w:sz w:val="22"/>
          <w:szCs w:val="22"/>
        </w:rPr>
        <w:t xml:space="preserve"> je v celoti usmerjen v izboljšanje kakovosti bivanja v urbanem središču z ukrepi, ki spodbujajo trajnostno mobilnost, zmanjšujejo emisije toplogrednih plinov in onesnaževali zraka, povečujejo odpornost na podnebne spremembe ter prispevajo k učinkovitejšemu upravljanju z vodnimi viri. S svojo zasnovo, ki vključuje modularno gradnjo, izboljšane drenažne sisteme, zadrževalnike padavinske vode in ustrezno pritrditev urbane opreme, projekt neposredno krepi varnost in odpornost naselja na vremenske ekstreme, hkrati pa posredno prispeva k doseganju dolgoročnih ciljev podnebne nevtralnosti. Posegi se izvajajo izključno v obstoječem urbanem prostoru, brez vplivov na naravne habitate ali biotsko raznovrstnost, s čimer se preprečuje nastanek negativnih učinkov na ekosisteme. Skupna presoja zato ugotavlja, da projekt izkazuje več ugodnih vplivov na blažitev in prilagajanje podnebnim spremembam, trajnostno rabo vodnih virov, krožno gospodarstvo ter preprečevanje onesnaževanja, pri čemer niso bili prepoznani pomembni negativni vplivi. Na tej podlagi je projekt ocenjen kot </w:t>
      </w:r>
      <w:proofErr w:type="spellStart"/>
      <w:r w:rsidRPr="00E62216">
        <w:rPr>
          <w:rFonts w:ascii="Arial" w:eastAsia="Arial" w:hAnsi="Arial" w:cs="Arial"/>
          <w:b/>
          <w:bCs/>
          <w:sz w:val="22"/>
          <w:szCs w:val="22"/>
        </w:rPr>
        <w:t>okoljsko</w:t>
      </w:r>
      <w:proofErr w:type="spellEnd"/>
      <w:r w:rsidRPr="00E62216">
        <w:rPr>
          <w:rFonts w:ascii="Arial" w:eastAsia="Arial" w:hAnsi="Arial" w:cs="Arial"/>
          <w:b/>
          <w:bCs/>
          <w:sz w:val="22"/>
          <w:szCs w:val="22"/>
        </w:rPr>
        <w:t xml:space="preserve"> ugoden</w:t>
      </w:r>
      <w:r w:rsidRPr="00E62216">
        <w:rPr>
          <w:rFonts w:ascii="Arial" w:eastAsia="Arial" w:hAnsi="Arial" w:cs="Arial"/>
          <w:sz w:val="22"/>
          <w:szCs w:val="22"/>
        </w:rPr>
        <w:t>.</w:t>
      </w:r>
    </w:p>
    <w:p w14:paraId="07C072F3" w14:textId="77777777" w:rsidR="00CF68D5" w:rsidRPr="00425C3A" w:rsidRDefault="00CF68D5" w:rsidP="00CF68D5">
      <w:pPr>
        <w:pStyle w:val="Naslov2"/>
        <w:numPr>
          <w:ilvl w:val="2"/>
          <w:numId w:val="1"/>
        </w:numPr>
        <w:spacing w:before="360" w:after="240"/>
        <w:rPr>
          <w:rFonts w:ascii="Arial" w:eastAsiaTheme="majorEastAsia" w:hAnsi="Arial" w:cs="Arial"/>
          <w:color w:val="244061" w:themeColor="accent1" w:themeShade="80"/>
          <w:szCs w:val="22"/>
        </w:rPr>
      </w:pPr>
      <w:bookmarkStart w:id="267" w:name="_Toc209029171"/>
      <w:bookmarkStart w:id="268" w:name="_Toc210033838"/>
      <w:r>
        <w:rPr>
          <w:rFonts w:ascii="Arial" w:eastAsiaTheme="majorEastAsia" w:hAnsi="Arial" w:cs="Arial"/>
          <w:color w:val="244061" w:themeColor="accent1" w:themeShade="80"/>
          <w:szCs w:val="22"/>
        </w:rPr>
        <w:lastRenderedPageBreak/>
        <w:t>Skladnost z načelo »Novega evropskega Bauhausa«</w:t>
      </w:r>
      <w:bookmarkEnd w:id="267"/>
      <w:bookmarkEnd w:id="268"/>
    </w:p>
    <w:p w14:paraId="7D069C21" w14:textId="77777777" w:rsidR="00CF68D5" w:rsidRPr="00EC72C2" w:rsidRDefault="00CF68D5" w:rsidP="00CF68D5">
      <w:pPr>
        <w:spacing w:after="120" w:line="276" w:lineRule="auto"/>
        <w:jc w:val="both"/>
        <w:rPr>
          <w:rFonts w:ascii="Arial" w:hAnsi="Arial" w:cs="Arial"/>
          <w:sz w:val="22"/>
          <w:szCs w:val="22"/>
        </w:rPr>
      </w:pPr>
      <w:r w:rsidRPr="00EC72C2">
        <w:rPr>
          <w:rFonts w:ascii="Arial" w:hAnsi="Arial" w:cs="Arial"/>
          <w:sz w:val="22"/>
          <w:szCs w:val="22"/>
        </w:rPr>
        <w:t>Projekt zasleduje načela Novega evropskega Bauhausa (NEB), pobude Evropske komisije, ki povezuje trajnost, estetiko in vključevanje.</w:t>
      </w:r>
    </w:p>
    <w:p w14:paraId="01A0A59D" w14:textId="77777777" w:rsidR="00CF68D5" w:rsidRPr="00EC72C2" w:rsidRDefault="00CF68D5" w:rsidP="00CF68D5">
      <w:pPr>
        <w:numPr>
          <w:ilvl w:val="0"/>
          <w:numId w:val="147"/>
        </w:numPr>
        <w:tabs>
          <w:tab w:val="clear" w:pos="720"/>
        </w:tabs>
        <w:spacing w:after="120" w:line="276" w:lineRule="auto"/>
        <w:ind w:left="426"/>
        <w:jc w:val="both"/>
        <w:rPr>
          <w:rFonts w:ascii="Arial" w:hAnsi="Arial" w:cs="Arial"/>
          <w:sz w:val="22"/>
          <w:szCs w:val="22"/>
        </w:rPr>
      </w:pPr>
      <w:r w:rsidRPr="00AB1367">
        <w:rPr>
          <w:rFonts w:ascii="Arial" w:hAnsi="Arial" w:cs="Arial"/>
          <w:b/>
          <w:sz w:val="22"/>
          <w:szCs w:val="22"/>
        </w:rPr>
        <w:t>Trajnost</w:t>
      </w:r>
      <w:r w:rsidRPr="00EC72C2">
        <w:rPr>
          <w:rFonts w:ascii="Arial" w:hAnsi="Arial" w:cs="Arial"/>
          <w:sz w:val="22"/>
          <w:szCs w:val="22"/>
        </w:rPr>
        <w:t xml:space="preserve">: projekt zmanjšuje </w:t>
      </w:r>
      <w:proofErr w:type="spellStart"/>
      <w:r w:rsidRPr="00EC72C2">
        <w:rPr>
          <w:rFonts w:ascii="Arial" w:hAnsi="Arial" w:cs="Arial"/>
          <w:sz w:val="22"/>
          <w:szCs w:val="22"/>
        </w:rPr>
        <w:t>ogljični</w:t>
      </w:r>
      <w:proofErr w:type="spellEnd"/>
      <w:r w:rsidRPr="00EC72C2">
        <w:rPr>
          <w:rFonts w:ascii="Arial" w:hAnsi="Arial" w:cs="Arial"/>
          <w:sz w:val="22"/>
          <w:szCs w:val="22"/>
        </w:rPr>
        <w:t xml:space="preserve"> odtis prometa z izboljšanjem pogojev za hojo, kolesarjenje in uporabo javnega potniškega prometa. Zelena in modra infrastruktura (drevoredi, zelene površine, prepustne povrhnje plasti, ponikanje meteorne vode, ponovno zbiranje padavinske vode) povečujejo odpornost prostora na podnebne spremembe in prispevajo k izboljšanju kakovosti zraka in bivanja.</w:t>
      </w:r>
    </w:p>
    <w:p w14:paraId="0AFE22D3" w14:textId="77777777" w:rsidR="00CF68D5" w:rsidRPr="00EC72C2" w:rsidRDefault="00CF68D5" w:rsidP="00CF68D5">
      <w:pPr>
        <w:numPr>
          <w:ilvl w:val="0"/>
          <w:numId w:val="147"/>
        </w:numPr>
        <w:tabs>
          <w:tab w:val="clear" w:pos="720"/>
        </w:tabs>
        <w:spacing w:after="120" w:line="276" w:lineRule="auto"/>
        <w:ind w:left="426"/>
        <w:jc w:val="both"/>
        <w:rPr>
          <w:rFonts w:ascii="Arial" w:hAnsi="Arial" w:cs="Arial"/>
          <w:sz w:val="22"/>
          <w:szCs w:val="22"/>
        </w:rPr>
      </w:pPr>
      <w:r w:rsidRPr="00AB1367">
        <w:rPr>
          <w:rFonts w:ascii="Arial" w:hAnsi="Arial" w:cs="Arial"/>
          <w:b/>
          <w:sz w:val="22"/>
          <w:szCs w:val="22"/>
        </w:rPr>
        <w:t>Estetika:</w:t>
      </w:r>
      <w:r w:rsidRPr="00EC72C2">
        <w:rPr>
          <w:rFonts w:ascii="Arial" w:hAnsi="Arial" w:cs="Arial"/>
          <w:sz w:val="22"/>
          <w:szCs w:val="22"/>
        </w:rPr>
        <w:t xml:space="preserve"> z urejanjem skupnih prometnih površin, zasaditvijo drevoredov, ozelenitvijo in sodobno urbano opremo bo središče Iga pridobilo urejen in vizualno privlačen javni prostor. Prenovljene površine bodo skladno povezale javne objekte (šola, občina, cerkev, </w:t>
      </w:r>
      <w:proofErr w:type="spellStart"/>
      <w:r w:rsidRPr="00EC72C2">
        <w:rPr>
          <w:rFonts w:ascii="Arial" w:hAnsi="Arial" w:cs="Arial"/>
          <w:sz w:val="22"/>
          <w:szCs w:val="22"/>
        </w:rPr>
        <w:t>Morostig</w:t>
      </w:r>
      <w:proofErr w:type="spellEnd"/>
      <w:r w:rsidRPr="00EC72C2">
        <w:rPr>
          <w:rFonts w:ascii="Arial" w:hAnsi="Arial" w:cs="Arial"/>
          <w:sz w:val="22"/>
          <w:szCs w:val="22"/>
        </w:rPr>
        <w:t>, pošta) ter dvignile prostorski in estetski standard naselja.</w:t>
      </w:r>
    </w:p>
    <w:p w14:paraId="528AA144" w14:textId="77777777" w:rsidR="00CF68D5" w:rsidRPr="00EC72C2" w:rsidRDefault="00CF68D5" w:rsidP="00CF68D5">
      <w:pPr>
        <w:numPr>
          <w:ilvl w:val="0"/>
          <w:numId w:val="147"/>
        </w:numPr>
        <w:tabs>
          <w:tab w:val="clear" w:pos="720"/>
        </w:tabs>
        <w:spacing w:after="120" w:line="276" w:lineRule="auto"/>
        <w:ind w:left="426"/>
        <w:jc w:val="both"/>
        <w:rPr>
          <w:rFonts w:ascii="Arial" w:hAnsi="Arial" w:cs="Arial"/>
          <w:sz w:val="22"/>
          <w:szCs w:val="22"/>
        </w:rPr>
      </w:pPr>
      <w:r w:rsidRPr="00AB1367">
        <w:rPr>
          <w:rFonts w:ascii="Arial" w:hAnsi="Arial" w:cs="Arial"/>
          <w:b/>
          <w:sz w:val="22"/>
          <w:szCs w:val="22"/>
        </w:rPr>
        <w:t>Vključevanje:</w:t>
      </w:r>
      <w:r w:rsidRPr="00EC72C2">
        <w:rPr>
          <w:rFonts w:ascii="Arial" w:hAnsi="Arial" w:cs="Arial"/>
          <w:sz w:val="22"/>
          <w:szCs w:val="22"/>
        </w:rPr>
        <w:t xml:space="preserve"> prenova javnih površin bo zagotovila dostopnost za vse uporabnike, vključno z otroki, starejšimi in gibalno oviranimi osebami. Novi prostori bodo omogočali medgeneracijsko druženje, kulturne in rekreativne aktivnosti ter izboljšali kakovost življenja prebivalcev in izkušnjo obiskovalcev ter turistov.</w:t>
      </w:r>
    </w:p>
    <w:p w14:paraId="2B597DEA" w14:textId="77777777" w:rsidR="00CF68D5" w:rsidRPr="00EC72C2" w:rsidRDefault="00CF68D5" w:rsidP="00CF68D5">
      <w:pPr>
        <w:spacing w:after="120" w:line="276" w:lineRule="auto"/>
        <w:jc w:val="both"/>
        <w:rPr>
          <w:rFonts w:ascii="Arial" w:hAnsi="Arial" w:cs="Arial"/>
          <w:sz w:val="22"/>
          <w:szCs w:val="22"/>
        </w:rPr>
      </w:pPr>
      <w:r w:rsidRPr="00EC72C2">
        <w:rPr>
          <w:rFonts w:ascii="Arial" w:hAnsi="Arial" w:cs="Arial"/>
          <w:sz w:val="22"/>
          <w:szCs w:val="22"/>
        </w:rPr>
        <w:t>Na ta način projekt ne zasleduje le minimalnih tehničnih zahtev, ampak se vpenja v širšo evropsko vizijo kakovostne, trajnostne in vključujoče prostorske prenove.</w:t>
      </w:r>
    </w:p>
    <w:p w14:paraId="234051D3" w14:textId="77777777" w:rsidR="00CF68D5" w:rsidRPr="00425C3A" w:rsidRDefault="00CF68D5" w:rsidP="00CF68D5">
      <w:pPr>
        <w:pStyle w:val="Naslov2"/>
        <w:numPr>
          <w:ilvl w:val="1"/>
          <w:numId w:val="1"/>
        </w:numPr>
        <w:spacing w:before="360" w:after="240"/>
        <w:ind w:left="578" w:hanging="578"/>
        <w:rPr>
          <w:rFonts w:ascii="Arial" w:eastAsiaTheme="majorEastAsia" w:hAnsi="Arial" w:cs="Arial"/>
          <w:color w:val="244061" w:themeColor="accent1" w:themeShade="80"/>
          <w:szCs w:val="22"/>
        </w:rPr>
      </w:pPr>
      <w:bookmarkStart w:id="269" w:name="_Toc1955817"/>
      <w:bookmarkStart w:id="270" w:name="_Toc209029172"/>
      <w:bookmarkStart w:id="271" w:name="_Toc210033839"/>
      <w:r w:rsidRPr="00425C3A">
        <w:rPr>
          <w:rFonts w:ascii="Arial" w:eastAsiaTheme="majorEastAsia" w:hAnsi="Arial" w:cs="Arial"/>
          <w:color w:val="244061" w:themeColor="accent1" w:themeShade="80"/>
          <w:szCs w:val="22"/>
        </w:rPr>
        <w:t>Organizacija izvajanja projekta in način spremljanja izvedbe projekta</w:t>
      </w:r>
      <w:bookmarkEnd w:id="269"/>
      <w:bookmarkEnd w:id="270"/>
      <w:bookmarkEnd w:id="271"/>
    </w:p>
    <w:p w14:paraId="758FE0FE" w14:textId="77777777" w:rsidR="00CF68D5" w:rsidRPr="00021E49" w:rsidRDefault="00CF68D5" w:rsidP="00CF68D5">
      <w:pPr>
        <w:spacing w:after="120" w:line="276" w:lineRule="auto"/>
        <w:jc w:val="both"/>
        <w:rPr>
          <w:rFonts w:ascii="Arial" w:hAnsi="Arial" w:cs="Arial"/>
          <w:sz w:val="22"/>
          <w:szCs w:val="22"/>
        </w:rPr>
      </w:pPr>
      <w:r w:rsidRPr="00021E49">
        <w:rPr>
          <w:rFonts w:ascii="Arial" w:hAnsi="Arial" w:cs="Arial"/>
          <w:sz w:val="22"/>
          <w:szCs w:val="22"/>
        </w:rPr>
        <w:t xml:space="preserve">Zaradi izvedbe projekta se ne predvideva dodatnih zaposlitev. </w:t>
      </w:r>
      <w:r>
        <w:rPr>
          <w:rFonts w:ascii="Arial" w:hAnsi="Arial" w:cs="Arial"/>
          <w:sz w:val="22"/>
          <w:szCs w:val="22"/>
        </w:rPr>
        <w:t>Občina</w:t>
      </w:r>
      <w:r w:rsidRPr="00021E49">
        <w:rPr>
          <w:rFonts w:ascii="Arial" w:hAnsi="Arial" w:cs="Arial"/>
          <w:sz w:val="22"/>
          <w:szCs w:val="22"/>
        </w:rPr>
        <w:t xml:space="preserve"> bo ob upoštevanju </w:t>
      </w:r>
      <w:proofErr w:type="spellStart"/>
      <w:r w:rsidRPr="00021E49">
        <w:rPr>
          <w:rFonts w:ascii="Arial" w:hAnsi="Arial" w:cs="Arial"/>
          <w:sz w:val="22"/>
          <w:szCs w:val="22"/>
        </w:rPr>
        <w:t>javnonaročniške</w:t>
      </w:r>
      <w:proofErr w:type="spellEnd"/>
      <w:r w:rsidRPr="00021E49">
        <w:rPr>
          <w:rFonts w:ascii="Arial" w:hAnsi="Arial" w:cs="Arial"/>
          <w:sz w:val="22"/>
          <w:szCs w:val="22"/>
        </w:rPr>
        <w:t xml:space="preserve"> zakonodaje izbral</w:t>
      </w:r>
      <w:r>
        <w:rPr>
          <w:rFonts w:ascii="Arial" w:hAnsi="Arial" w:cs="Arial"/>
          <w:sz w:val="22"/>
          <w:szCs w:val="22"/>
        </w:rPr>
        <w:t>a</w:t>
      </w:r>
      <w:r w:rsidRPr="00021E49">
        <w:rPr>
          <w:rFonts w:ascii="Arial" w:hAnsi="Arial" w:cs="Arial"/>
          <w:sz w:val="22"/>
          <w:szCs w:val="22"/>
        </w:rPr>
        <w:t xml:space="preserve"> zunanjega izvajalca za gradnjo in nadzor. Občina bo z aktivnim vključevanjem zaposlenih prispevala k izvedbi projekta. </w:t>
      </w:r>
    </w:p>
    <w:p w14:paraId="2BB76C35" w14:textId="77777777" w:rsidR="00CF68D5" w:rsidRPr="00021E49" w:rsidRDefault="00CF68D5" w:rsidP="00CF68D5">
      <w:pPr>
        <w:spacing w:after="120" w:line="276" w:lineRule="auto"/>
        <w:jc w:val="both"/>
        <w:rPr>
          <w:rFonts w:ascii="Arial" w:hAnsi="Arial" w:cs="Arial"/>
          <w:sz w:val="22"/>
          <w:szCs w:val="22"/>
        </w:rPr>
      </w:pPr>
      <w:r w:rsidRPr="00021E49">
        <w:rPr>
          <w:rFonts w:ascii="Arial" w:hAnsi="Arial" w:cs="Arial"/>
          <w:sz w:val="22"/>
          <w:szCs w:val="22"/>
        </w:rPr>
        <w:t xml:space="preserve">Občina </w:t>
      </w:r>
      <w:r>
        <w:rPr>
          <w:rFonts w:ascii="Arial" w:hAnsi="Arial" w:cs="Arial"/>
          <w:sz w:val="22"/>
          <w:szCs w:val="22"/>
        </w:rPr>
        <w:t>Ig</w:t>
      </w:r>
      <w:r w:rsidRPr="00021E49">
        <w:rPr>
          <w:rFonts w:ascii="Arial" w:hAnsi="Arial" w:cs="Arial"/>
          <w:sz w:val="22"/>
          <w:szCs w:val="22"/>
        </w:rPr>
        <w:t xml:space="preserve"> </w:t>
      </w:r>
      <w:r>
        <w:rPr>
          <w:rFonts w:ascii="Arial" w:hAnsi="Arial" w:cs="Arial"/>
          <w:sz w:val="22"/>
          <w:szCs w:val="22"/>
        </w:rPr>
        <w:t>bo</w:t>
      </w:r>
      <w:r w:rsidRPr="00021E49">
        <w:rPr>
          <w:rFonts w:ascii="Arial" w:hAnsi="Arial" w:cs="Arial"/>
          <w:sz w:val="22"/>
          <w:szCs w:val="22"/>
        </w:rPr>
        <w:t xml:space="preserve"> za vodenje projekta in nadzor pri izvedbi investicije </w:t>
      </w:r>
      <w:r>
        <w:rPr>
          <w:rFonts w:ascii="Arial" w:hAnsi="Arial" w:cs="Arial"/>
          <w:sz w:val="22"/>
          <w:szCs w:val="22"/>
        </w:rPr>
        <w:t xml:space="preserve">izvedla </w:t>
      </w:r>
      <w:r w:rsidRPr="00021E49">
        <w:rPr>
          <w:rFonts w:ascii="Arial" w:hAnsi="Arial" w:cs="Arial"/>
          <w:sz w:val="22"/>
          <w:szCs w:val="22"/>
        </w:rPr>
        <w:t>z obstoječim kadrom in zunanjimi sodelavci ter pomočjo in znanjem občine. Vodja projekta bo odgovoren za uspešno izvedbo določenih nalog projekta</w:t>
      </w:r>
      <w:r>
        <w:rPr>
          <w:rFonts w:ascii="Arial" w:hAnsi="Arial" w:cs="Arial"/>
          <w:sz w:val="22"/>
          <w:szCs w:val="22"/>
        </w:rPr>
        <w:t>,</w:t>
      </w:r>
      <w:r w:rsidRPr="00021E49">
        <w:rPr>
          <w:rFonts w:ascii="Arial" w:hAnsi="Arial" w:cs="Arial"/>
          <w:sz w:val="22"/>
          <w:szCs w:val="22"/>
        </w:rPr>
        <w:t xml:space="preserve"> pravočasna pridobitev projektne dokumentacije in upravne dokumentacije. Vodja projekta bo odgovoren </w:t>
      </w:r>
      <w:r>
        <w:rPr>
          <w:rFonts w:ascii="Arial" w:hAnsi="Arial" w:cs="Arial"/>
          <w:sz w:val="22"/>
          <w:szCs w:val="22"/>
        </w:rPr>
        <w:t xml:space="preserve">tudi </w:t>
      </w:r>
      <w:r w:rsidRPr="00021E49">
        <w:rPr>
          <w:rFonts w:ascii="Arial" w:hAnsi="Arial" w:cs="Arial"/>
          <w:sz w:val="22"/>
          <w:szCs w:val="22"/>
        </w:rPr>
        <w:t xml:space="preserve">za zagon projekta, koordinacijo izvajanja projekta in izvajanje strokovnega nadzora ter ustrezno ukrepanje v primeru odstopanj, ocenjevanje doseženih rezultatov projekta glede na zastavljene cilje, razreševanje problemov in spremljanje finančnega plana. </w:t>
      </w:r>
      <w:r>
        <w:rPr>
          <w:rFonts w:ascii="Arial" w:hAnsi="Arial" w:cs="Arial"/>
          <w:sz w:val="22"/>
          <w:szCs w:val="22"/>
        </w:rPr>
        <w:t>Vodja projekta bo</w:t>
      </w:r>
      <w:r w:rsidRPr="00021E49">
        <w:rPr>
          <w:rFonts w:ascii="Arial" w:hAnsi="Arial" w:cs="Arial"/>
          <w:sz w:val="22"/>
          <w:szCs w:val="22"/>
        </w:rPr>
        <w:t xml:space="preserve"> svoje funkcije izvajal preko vodje gradbišča, projektanta in </w:t>
      </w:r>
      <w:r>
        <w:rPr>
          <w:rFonts w:ascii="Arial" w:hAnsi="Arial" w:cs="Arial"/>
          <w:sz w:val="22"/>
          <w:szCs w:val="22"/>
        </w:rPr>
        <w:t>bo</w:t>
      </w:r>
      <w:r w:rsidRPr="00021E49">
        <w:rPr>
          <w:rFonts w:ascii="Arial" w:hAnsi="Arial" w:cs="Arial"/>
          <w:sz w:val="22"/>
          <w:szCs w:val="22"/>
        </w:rPr>
        <w:t xml:space="preserve"> odgovoren za načrtovanje vseh izvedbenih del, napredovanje del, strokovni gradbeni nadzor, kontrolo kakovosti in poročanje o stanju del. </w:t>
      </w:r>
    </w:p>
    <w:p w14:paraId="36BEF184" w14:textId="77777777" w:rsidR="00CF68D5" w:rsidRDefault="00CF68D5" w:rsidP="00CF68D5">
      <w:pPr>
        <w:spacing w:after="120" w:line="276" w:lineRule="auto"/>
        <w:jc w:val="both"/>
        <w:rPr>
          <w:rFonts w:ascii="Arial" w:hAnsi="Arial" w:cs="Arial"/>
          <w:sz w:val="22"/>
          <w:szCs w:val="22"/>
        </w:rPr>
      </w:pPr>
      <w:r w:rsidRPr="00021E49">
        <w:rPr>
          <w:rFonts w:ascii="Arial" w:hAnsi="Arial" w:cs="Arial"/>
          <w:sz w:val="22"/>
          <w:szCs w:val="22"/>
        </w:rPr>
        <w:t xml:space="preserve">Za spremljanje in poročanje ter pripravo zahtevkov za plačilo bo odgovorna </w:t>
      </w:r>
      <w:r>
        <w:rPr>
          <w:rFonts w:ascii="Arial" w:hAnsi="Arial" w:cs="Arial"/>
          <w:sz w:val="22"/>
          <w:szCs w:val="22"/>
        </w:rPr>
        <w:t>občinska uprava.</w:t>
      </w:r>
      <w:r w:rsidRPr="00021E49">
        <w:rPr>
          <w:rFonts w:ascii="Arial" w:hAnsi="Arial" w:cs="Arial"/>
          <w:sz w:val="22"/>
          <w:szCs w:val="22"/>
        </w:rPr>
        <w:t xml:space="preserve"> Njihova naloga bo ob zaključku projekta pripraviti celotno tako vsebinsko in finančno poročilo v skladu z zahtevami projektne skupine, hkrati pa bo tudi skrbela za vodenje računov in finančno analizo o stanju projekta v času njegovega izvajanja. </w:t>
      </w:r>
      <w:r>
        <w:rPr>
          <w:rFonts w:ascii="Arial" w:hAnsi="Arial" w:cs="Arial"/>
          <w:sz w:val="22"/>
          <w:szCs w:val="22"/>
        </w:rPr>
        <w:t>Finančno računovodska služba bo poskrbela za ustrezno knjiženje listin in dogodkov ter zagotovitvi ločenega računovodstva.</w:t>
      </w:r>
    </w:p>
    <w:p w14:paraId="56441AA3" w14:textId="77777777" w:rsidR="00CF68D5" w:rsidRPr="001D2351" w:rsidRDefault="00CF68D5" w:rsidP="00CF68D5">
      <w:pPr>
        <w:spacing w:after="120" w:line="276" w:lineRule="auto"/>
        <w:jc w:val="both"/>
        <w:rPr>
          <w:rFonts w:ascii="Arial" w:hAnsi="Arial" w:cs="Arial"/>
          <w:sz w:val="22"/>
          <w:szCs w:val="22"/>
        </w:rPr>
      </w:pPr>
      <w:r w:rsidRPr="001D2351">
        <w:rPr>
          <w:rFonts w:ascii="Arial" w:hAnsi="Arial" w:cs="Arial"/>
          <w:sz w:val="22"/>
          <w:szCs w:val="22"/>
        </w:rPr>
        <w:t>V izdelavo projektne dokumentacije bo vključen pooblaščeni krajinski arhitekt.</w:t>
      </w:r>
    </w:p>
    <w:p w14:paraId="0DBEB636" w14:textId="77777777" w:rsidR="00CF68D5" w:rsidRPr="00021E49" w:rsidRDefault="00CF68D5" w:rsidP="00CF68D5">
      <w:pPr>
        <w:pStyle w:val="Naslov2"/>
        <w:numPr>
          <w:ilvl w:val="1"/>
          <w:numId w:val="1"/>
        </w:numPr>
        <w:spacing w:before="360" w:after="240"/>
        <w:ind w:left="578" w:hanging="578"/>
        <w:rPr>
          <w:rFonts w:ascii="Arial" w:eastAsiaTheme="majorEastAsia" w:hAnsi="Arial" w:cs="Arial"/>
          <w:color w:val="244061" w:themeColor="accent1" w:themeShade="80"/>
          <w:szCs w:val="22"/>
        </w:rPr>
      </w:pPr>
      <w:bookmarkStart w:id="272" w:name="_Toc1955818"/>
      <w:bookmarkStart w:id="273" w:name="_Toc209029173"/>
      <w:bookmarkStart w:id="274" w:name="_Toc210033840"/>
      <w:r w:rsidRPr="00021E49">
        <w:rPr>
          <w:rFonts w:ascii="Arial" w:eastAsiaTheme="majorEastAsia" w:hAnsi="Arial" w:cs="Arial"/>
          <w:color w:val="244061" w:themeColor="accent1" w:themeShade="80"/>
          <w:szCs w:val="22"/>
        </w:rPr>
        <w:t>Ekonomska upravičenost projekta</w:t>
      </w:r>
      <w:bookmarkEnd w:id="272"/>
      <w:bookmarkEnd w:id="273"/>
      <w:bookmarkEnd w:id="274"/>
    </w:p>
    <w:p w14:paraId="6860E4AC"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 xml:space="preserve">Ekonomska upravičenost projekta temelji na ugotovitvi, da koristi za prebivalce, obiskovalce in širšo družbo bistveno presegajo stroške izvedbe. Projekt naslavlja ključne razvojne in </w:t>
      </w:r>
      <w:proofErr w:type="spellStart"/>
      <w:r w:rsidRPr="000054FF">
        <w:rPr>
          <w:rFonts w:ascii="Arial" w:hAnsi="Arial" w:cs="Arial"/>
          <w:sz w:val="22"/>
          <w:szCs w:val="22"/>
        </w:rPr>
        <w:lastRenderedPageBreak/>
        <w:t>okoljske</w:t>
      </w:r>
      <w:proofErr w:type="spellEnd"/>
      <w:r w:rsidRPr="000054FF">
        <w:rPr>
          <w:rFonts w:ascii="Arial" w:hAnsi="Arial" w:cs="Arial"/>
          <w:sz w:val="22"/>
          <w:szCs w:val="22"/>
        </w:rPr>
        <w:t xml:space="preserve"> izzive v središču Občine Ig ter neposredno zasleduje namen in cilje javnega razpisa JR EKP UTM 2025.</w:t>
      </w:r>
    </w:p>
    <w:p w14:paraId="68317705" w14:textId="77777777" w:rsidR="00CF68D5" w:rsidRPr="007639D3" w:rsidRDefault="00CF68D5" w:rsidP="00CF68D5">
      <w:pPr>
        <w:spacing w:line="276" w:lineRule="auto"/>
        <w:jc w:val="both"/>
        <w:rPr>
          <w:rFonts w:ascii="Arial" w:hAnsi="Arial" w:cs="Arial"/>
          <w:sz w:val="22"/>
          <w:szCs w:val="22"/>
        </w:rPr>
      </w:pPr>
    </w:p>
    <w:p w14:paraId="4CAFE12B"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r w:rsidRPr="00AB1367">
        <w:rPr>
          <w:rFonts w:ascii="Arial" w:hAnsi="Arial" w:cs="Arial"/>
          <w:i/>
          <w:iCs/>
          <w:u w:val="single"/>
        </w:rPr>
        <w:t>Prispevek k trajnostni mobilnosti in zmanjšanju stroškov prometa</w:t>
      </w:r>
    </w:p>
    <w:p w14:paraId="125E0D1C"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Z ureditvijo varnih peš in kolesarskih poti, izboljšanjem pogojev za uporabo javnega potniškega prometa in vzpostavitvijo skupnih prometnih prostorov se bo zmanjšala odvisnost prebivalcev od osebnih vozil. Posledično se pričakuje:</w:t>
      </w:r>
    </w:p>
    <w:p w14:paraId="3D29A085" w14:textId="77777777" w:rsidR="00CF68D5" w:rsidRPr="000054FF" w:rsidRDefault="00CF68D5" w:rsidP="00CF68D5">
      <w:pPr>
        <w:numPr>
          <w:ilvl w:val="0"/>
          <w:numId w:val="148"/>
        </w:numPr>
        <w:spacing w:line="276" w:lineRule="auto"/>
        <w:jc w:val="both"/>
        <w:rPr>
          <w:rFonts w:ascii="Arial" w:hAnsi="Arial" w:cs="Arial"/>
          <w:sz w:val="22"/>
          <w:szCs w:val="22"/>
        </w:rPr>
      </w:pPr>
      <w:r w:rsidRPr="000054FF">
        <w:rPr>
          <w:rFonts w:ascii="Arial" w:hAnsi="Arial" w:cs="Arial"/>
          <w:sz w:val="22"/>
          <w:szCs w:val="22"/>
        </w:rPr>
        <w:t>zmanjšanje stroškov gospodinjstev za gorivo in vzdrževanje osebnih vozil,</w:t>
      </w:r>
    </w:p>
    <w:p w14:paraId="00FFF4BF" w14:textId="77777777" w:rsidR="00CF68D5" w:rsidRPr="000054FF" w:rsidRDefault="00CF68D5" w:rsidP="00CF68D5">
      <w:pPr>
        <w:numPr>
          <w:ilvl w:val="0"/>
          <w:numId w:val="148"/>
        </w:numPr>
        <w:spacing w:line="276" w:lineRule="auto"/>
        <w:jc w:val="both"/>
        <w:rPr>
          <w:rFonts w:ascii="Arial" w:hAnsi="Arial" w:cs="Arial"/>
          <w:sz w:val="22"/>
          <w:szCs w:val="22"/>
        </w:rPr>
      </w:pPr>
      <w:r w:rsidRPr="000054FF">
        <w:rPr>
          <w:rFonts w:ascii="Arial" w:hAnsi="Arial" w:cs="Arial"/>
          <w:sz w:val="22"/>
          <w:szCs w:val="22"/>
        </w:rPr>
        <w:t>izboljšanje dostopnosti do javnih storitev, šole in turističnih točk brez uporabe avtomobila,</w:t>
      </w:r>
    </w:p>
    <w:p w14:paraId="765D0279" w14:textId="77777777" w:rsidR="00CF68D5" w:rsidRPr="000054FF" w:rsidRDefault="00CF68D5" w:rsidP="00CF68D5">
      <w:pPr>
        <w:numPr>
          <w:ilvl w:val="0"/>
          <w:numId w:val="148"/>
        </w:numPr>
        <w:spacing w:line="276" w:lineRule="auto"/>
        <w:jc w:val="both"/>
        <w:rPr>
          <w:rFonts w:ascii="Arial" w:hAnsi="Arial" w:cs="Arial"/>
          <w:sz w:val="22"/>
          <w:szCs w:val="22"/>
        </w:rPr>
      </w:pPr>
      <w:r w:rsidRPr="000054FF">
        <w:rPr>
          <w:rFonts w:ascii="Arial" w:hAnsi="Arial" w:cs="Arial"/>
          <w:sz w:val="22"/>
          <w:szCs w:val="22"/>
        </w:rPr>
        <w:t>povečanje prometne varnosti ter manj stroškov povezanih s prometnimi nesrečami.</w:t>
      </w:r>
    </w:p>
    <w:p w14:paraId="6934D9E9" w14:textId="77777777" w:rsidR="00CF68D5" w:rsidRPr="007639D3" w:rsidRDefault="00CF68D5" w:rsidP="00CF68D5">
      <w:pPr>
        <w:spacing w:line="276" w:lineRule="auto"/>
        <w:jc w:val="both"/>
        <w:rPr>
          <w:rFonts w:ascii="Arial" w:hAnsi="Arial" w:cs="Arial"/>
          <w:sz w:val="22"/>
          <w:szCs w:val="22"/>
        </w:rPr>
      </w:pPr>
    </w:p>
    <w:p w14:paraId="2B98B210"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proofErr w:type="spellStart"/>
      <w:r w:rsidRPr="00AB1367">
        <w:rPr>
          <w:rFonts w:ascii="Arial" w:hAnsi="Arial" w:cs="Arial"/>
          <w:i/>
          <w:iCs/>
          <w:u w:val="single"/>
        </w:rPr>
        <w:t>Okoljske</w:t>
      </w:r>
      <w:proofErr w:type="spellEnd"/>
      <w:r w:rsidRPr="00AB1367">
        <w:rPr>
          <w:rFonts w:ascii="Arial" w:hAnsi="Arial" w:cs="Arial"/>
          <w:i/>
          <w:iCs/>
          <w:u w:val="single"/>
        </w:rPr>
        <w:t xml:space="preserve"> koristi</w:t>
      </w:r>
    </w:p>
    <w:p w14:paraId="1BF3D14D"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Projekt bo imel merljive pozitivne učinke na okolje:</w:t>
      </w:r>
    </w:p>
    <w:p w14:paraId="73B1475E" w14:textId="77777777" w:rsidR="00CF68D5" w:rsidRPr="000054FF" w:rsidRDefault="00CF68D5" w:rsidP="00CF68D5">
      <w:pPr>
        <w:numPr>
          <w:ilvl w:val="0"/>
          <w:numId w:val="149"/>
        </w:numPr>
        <w:spacing w:line="276" w:lineRule="auto"/>
        <w:jc w:val="both"/>
        <w:rPr>
          <w:rFonts w:ascii="Arial" w:hAnsi="Arial" w:cs="Arial"/>
          <w:sz w:val="22"/>
          <w:szCs w:val="22"/>
        </w:rPr>
      </w:pPr>
      <w:r w:rsidRPr="000054FF">
        <w:rPr>
          <w:rFonts w:ascii="Arial" w:hAnsi="Arial" w:cs="Arial"/>
          <w:sz w:val="22"/>
          <w:szCs w:val="22"/>
        </w:rPr>
        <w:t>zmanjšanje emisij toplogrednih plinov in prašnih delcev v središču kraja,</w:t>
      </w:r>
    </w:p>
    <w:p w14:paraId="730BDD87" w14:textId="77777777" w:rsidR="00CF68D5" w:rsidRPr="000054FF" w:rsidRDefault="00CF68D5" w:rsidP="00CF68D5">
      <w:pPr>
        <w:numPr>
          <w:ilvl w:val="0"/>
          <w:numId w:val="149"/>
        </w:numPr>
        <w:spacing w:line="276" w:lineRule="auto"/>
        <w:jc w:val="both"/>
        <w:rPr>
          <w:rFonts w:ascii="Arial" w:hAnsi="Arial" w:cs="Arial"/>
          <w:sz w:val="22"/>
          <w:szCs w:val="22"/>
        </w:rPr>
      </w:pPr>
      <w:r w:rsidRPr="000054FF">
        <w:rPr>
          <w:rFonts w:ascii="Arial" w:hAnsi="Arial" w:cs="Arial"/>
          <w:sz w:val="22"/>
          <w:szCs w:val="22"/>
        </w:rPr>
        <w:t>izboljšanje kakovosti zraka in zmanjšanje hrupa,</w:t>
      </w:r>
    </w:p>
    <w:p w14:paraId="293E71F7" w14:textId="77777777" w:rsidR="00CF68D5" w:rsidRPr="000054FF" w:rsidRDefault="00CF68D5" w:rsidP="00CF68D5">
      <w:pPr>
        <w:numPr>
          <w:ilvl w:val="0"/>
          <w:numId w:val="149"/>
        </w:numPr>
        <w:spacing w:line="276" w:lineRule="auto"/>
        <w:jc w:val="both"/>
        <w:rPr>
          <w:rFonts w:ascii="Arial" w:hAnsi="Arial" w:cs="Arial"/>
          <w:sz w:val="22"/>
          <w:szCs w:val="22"/>
        </w:rPr>
      </w:pPr>
      <w:r w:rsidRPr="000054FF">
        <w:rPr>
          <w:rFonts w:ascii="Arial" w:hAnsi="Arial" w:cs="Arial"/>
          <w:sz w:val="22"/>
          <w:szCs w:val="22"/>
        </w:rPr>
        <w:t>zmanjšanje stroškov povezanih z zdravstvenimi obremenitvami zaradi onesnaženega zraka,</w:t>
      </w:r>
    </w:p>
    <w:p w14:paraId="5BA6D630" w14:textId="77777777" w:rsidR="00CF68D5" w:rsidRPr="000054FF" w:rsidRDefault="00CF68D5" w:rsidP="00CF68D5">
      <w:pPr>
        <w:numPr>
          <w:ilvl w:val="0"/>
          <w:numId w:val="149"/>
        </w:numPr>
        <w:spacing w:line="276" w:lineRule="auto"/>
        <w:jc w:val="both"/>
        <w:rPr>
          <w:rFonts w:ascii="Arial" w:hAnsi="Arial" w:cs="Arial"/>
          <w:sz w:val="22"/>
          <w:szCs w:val="22"/>
        </w:rPr>
      </w:pPr>
      <w:r w:rsidRPr="000054FF">
        <w:rPr>
          <w:rFonts w:ascii="Arial" w:hAnsi="Arial" w:cs="Arial"/>
          <w:sz w:val="22"/>
          <w:szCs w:val="22"/>
        </w:rPr>
        <w:t>dolgoročno zmanjšanje stroškov vzdrževanja kanalizacije z zadrževanjem in ponovno uporabo padavinskih voda.</w:t>
      </w:r>
    </w:p>
    <w:p w14:paraId="2A73D7E4" w14:textId="77777777" w:rsidR="00CF68D5" w:rsidRPr="007639D3" w:rsidRDefault="00CF68D5" w:rsidP="00CF68D5">
      <w:pPr>
        <w:spacing w:line="276" w:lineRule="auto"/>
        <w:jc w:val="both"/>
        <w:rPr>
          <w:rFonts w:ascii="Arial" w:hAnsi="Arial" w:cs="Arial"/>
          <w:sz w:val="22"/>
          <w:szCs w:val="22"/>
        </w:rPr>
      </w:pPr>
    </w:p>
    <w:p w14:paraId="392E013F"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r w:rsidRPr="00AB1367">
        <w:rPr>
          <w:rFonts w:ascii="Arial" w:hAnsi="Arial" w:cs="Arial"/>
          <w:i/>
          <w:iCs/>
          <w:u w:val="single"/>
        </w:rPr>
        <w:t>Socialne koristi in dvig kakovosti življenja</w:t>
      </w:r>
    </w:p>
    <w:p w14:paraId="34F2A94D"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Projekt bo izboljšal življenjske pogoje za prebivalce in obiskovalce:</w:t>
      </w:r>
    </w:p>
    <w:p w14:paraId="5C55B986" w14:textId="77777777" w:rsidR="00CF68D5" w:rsidRPr="000054FF" w:rsidRDefault="00CF68D5" w:rsidP="00CF68D5">
      <w:pPr>
        <w:numPr>
          <w:ilvl w:val="0"/>
          <w:numId w:val="150"/>
        </w:numPr>
        <w:spacing w:line="276" w:lineRule="auto"/>
        <w:jc w:val="both"/>
        <w:rPr>
          <w:rFonts w:ascii="Arial" w:hAnsi="Arial" w:cs="Arial"/>
          <w:sz w:val="22"/>
          <w:szCs w:val="22"/>
        </w:rPr>
      </w:pPr>
      <w:r w:rsidRPr="000054FF">
        <w:rPr>
          <w:rFonts w:ascii="Arial" w:hAnsi="Arial" w:cs="Arial"/>
          <w:sz w:val="22"/>
          <w:szCs w:val="22"/>
        </w:rPr>
        <w:t>povečana varnost otrok na poti v šolo in drugih ranljivih skupin,</w:t>
      </w:r>
    </w:p>
    <w:p w14:paraId="5FBB3F9D" w14:textId="77777777" w:rsidR="00CF68D5" w:rsidRPr="000054FF" w:rsidRDefault="00CF68D5" w:rsidP="00CF68D5">
      <w:pPr>
        <w:numPr>
          <w:ilvl w:val="0"/>
          <w:numId w:val="150"/>
        </w:numPr>
        <w:spacing w:line="276" w:lineRule="auto"/>
        <w:jc w:val="both"/>
        <w:rPr>
          <w:rFonts w:ascii="Arial" w:hAnsi="Arial" w:cs="Arial"/>
          <w:sz w:val="22"/>
          <w:szCs w:val="22"/>
        </w:rPr>
      </w:pPr>
      <w:r w:rsidRPr="000054FF">
        <w:rPr>
          <w:rFonts w:ascii="Arial" w:hAnsi="Arial" w:cs="Arial"/>
          <w:sz w:val="22"/>
          <w:szCs w:val="22"/>
        </w:rPr>
        <w:t>ustvarjanje prostorov za druženje, rekreacijo in kulturne aktivnosti,</w:t>
      </w:r>
    </w:p>
    <w:p w14:paraId="2D84667E" w14:textId="77777777" w:rsidR="00CF68D5" w:rsidRPr="000054FF" w:rsidRDefault="00CF68D5" w:rsidP="00CF68D5">
      <w:pPr>
        <w:numPr>
          <w:ilvl w:val="0"/>
          <w:numId w:val="150"/>
        </w:numPr>
        <w:spacing w:line="276" w:lineRule="auto"/>
        <w:jc w:val="both"/>
        <w:rPr>
          <w:rFonts w:ascii="Arial" w:hAnsi="Arial" w:cs="Arial"/>
          <w:sz w:val="22"/>
          <w:szCs w:val="22"/>
        </w:rPr>
      </w:pPr>
      <w:r w:rsidRPr="000054FF">
        <w:rPr>
          <w:rFonts w:ascii="Arial" w:hAnsi="Arial" w:cs="Arial"/>
          <w:sz w:val="22"/>
          <w:szCs w:val="22"/>
        </w:rPr>
        <w:t>večja privlačnost prostora za obiskovalce in turiste, kar pomeni dodatne prihodke lokalnega gospodarstva (turizem, gostinstvo, trgovina).</w:t>
      </w:r>
    </w:p>
    <w:p w14:paraId="4B5CBE4C" w14:textId="77777777" w:rsidR="00CF68D5" w:rsidRPr="007639D3" w:rsidRDefault="00CF68D5" w:rsidP="00CF68D5">
      <w:pPr>
        <w:spacing w:line="276" w:lineRule="auto"/>
        <w:jc w:val="both"/>
        <w:rPr>
          <w:rFonts w:ascii="Arial" w:hAnsi="Arial" w:cs="Arial"/>
          <w:sz w:val="22"/>
          <w:szCs w:val="22"/>
        </w:rPr>
      </w:pPr>
    </w:p>
    <w:p w14:paraId="3FFD513C"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r w:rsidRPr="00AB1367">
        <w:rPr>
          <w:rFonts w:ascii="Arial" w:hAnsi="Arial" w:cs="Arial"/>
          <w:i/>
          <w:iCs/>
          <w:u w:val="single"/>
        </w:rPr>
        <w:t>Gospodarski učinki</w:t>
      </w:r>
    </w:p>
    <w:p w14:paraId="74224CA6"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Izvedba projekta bo imela neposredne in posredne gospodarske učinke:</w:t>
      </w:r>
    </w:p>
    <w:p w14:paraId="62E3850C" w14:textId="77777777" w:rsidR="00CF68D5" w:rsidRPr="000054FF" w:rsidRDefault="00CF68D5" w:rsidP="00CF68D5">
      <w:pPr>
        <w:numPr>
          <w:ilvl w:val="0"/>
          <w:numId w:val="151"/>
        </w:numPr>
        <w:spacing w:line="276" w:lineRule="auto"/>
        <w:jc w:val="both"/>
        <w:rPr>
          <w:rFonts w:ascii="Arial" w:hAnsi="Arial" w:cs="Arial"/>
          <w:sz w:val="22"/>
          <w:szCs w:val="22"/>
        </w:rPr>
      </w:pPr>
      <w:r w:rsidRPr="000054FF">
        <w:rPr>
          <w:rFonts w:ascii="Arial" w:hAnsi="Arial" w:cs="Arial"/>
          <w:sz w:val="22"/>
          <w:szCs w:val="22"/>
        </w:rPr>
        <w:t>angažma gradbenih podjetij, projektantov in dobaviteljev pri izvedbi del,</w:t>
      </w:r>
    </w:p>
    <w:p w14:paraId="4D740A3B" w14:textId="77777777" w:rsidR="00CF68D5" w:rsidRPr="000054FF" w:rsidRDefault="00CF68D5" w:rsidP="00CF68D5">
      <w:pPr>
        <w:numPr>
          <w:ilvl w:val="0"/>
          <w:numId w:val="151"/>
        </w:numPr>
        <w:spacing w:line="276" w:lineRule="auto"/>
        <w:jc w:val="both"/>
        <w:rPr>
          <w:rFonts w:ascii="Arial" w:hAnsi="Arial" w:cs="Arial"/>
          <w:sz w:val="22"/>
          <w:szCs w:val="22"/>
        </w:rPr>
      </w:pPr>
      <w:r w:rsidRPr="000054FF">
        <w:rPr>
          <w:rFonts w:ascii="Arial" w:hAnsi="Arial" w:cs="Arial"/>
          <w:sz w:val="22"/>
          <w:szCs w:val="22"/>
        </w:rPr>
        <w:t>dvig vrednosti nepremičnin v središču naselja zaradi izboljšanega javnega prostora,</w:t>
      </w:r>
    </w:p>
    <w:p w14:paraId="77B95059" w14:textId="77777777" w:rsidR="00CF68D5" w:rsidRPr="000054FF" w:rsidRDefault="00CF68D5" w:rsidP="00CF68D5">
      <w:pPr>
        <w:numPr>
          <w:ilvl w:val="0"/>
          <w:numId w:val="151"/>
        </w:numPr>
        <w:spacing w:line="276" w:lineRule="auto"/>
        <w:jc w:val="both"/>
        <w:rPr>
          <w:rFonts w:ascii="Arial" w:hAnsi="Arial" w:cs="Arial"/>
          <w:sz w:val="22"/>
          <w:szCs w:val="22"/>
        </w:rPr>
      </w:pPr>
      <w:r w:rsidRPr="000054FF">
        <w:rPr>
          <w:rFonts w:ascii="Arial" w:hAnsi="Arial" w:cs="Arial"/>
          <w:sz w:val="22"/>
          <w:szCs w:val="22"/>
        </w:rPr>
        <w:t>povečanje konkurenčnosti kraja kot privlačne lokacije za bivanje in obisk,</w:t>
      </w:r>
    </w:p>
    <w:p w14:paraId="1B4C5B26" w14:textId="77777777" w:rsidR="00CF68D5" w:rsidRPr="000054FF" w:rsidRDefault="00CF68D5" w:rsidP="00CF68D5">
      <w:pPr>
        <w:numPr>
          <w:ilvl w:val="0"/>
          <w:numId w:val="151"/>
        </w:numPr>
        <w:spacing w:line="276" w:lineRule="auto"/>
        <w:jc w:val="both"/>
        <w:rPr>
          <w:rFonts w:ascii="Arial" w:hAnsi="Arial" w:cs="Arial"/>
          <w:sz w:val="22"/>
          <w:szCs w:val="22"/>
        </w:rPr>
      </w:pPr>
      <w:r w:rsidRPr="000054FF">
        <w:rPr>
          <w:rFonts w:ascii="Arial" w:hAnsi="Arial" w:cs="Arial"/>
          <w:sz w:val="22"/>
          <w:szCs w:val="22"/>
        </w:rPr>
        <w:t xml:space="preserve">razvoj lokalne turistične ponudbe v povezavi z </w:t>
      </w:r>
      <w:proofErr w:type="spellStart"/>
      <w:r w:rsidRPr="000054FF">
        <w:rPr>
          <w:rFonts w:ascii="Arial" w:hAnsi="Arial" w:cs="Arial"/>
          <w:sz w:val="22"/>
          <w:szCs w:val="22"/>
        </w:rPr>
        <w:t>interpretacijskim</w:t>
      </w:r>
      <w:proofErr w:type="spellEnd"/>
      <w:r w:rsidRPr="000054FF">
        <w:rPr>
          <w:rFonts w:ascii="Arial" w:hAnsi="Arial" w:cs="Arial"/>
          <w:sz w:val="22"/>
          <w:szCs w:val="22"/>
        </w:rPr>
        <w:t xml:space="preserve"> centrom </w:t>
      </w:r>
      <w:proofErr w:type="spellStart"/>
      <w:r w:rsidRPr="000054FF">
        <w:rPr>
          <w:rFonts w:ascii="Arial" w:hAnsi="Arial" w:cs="Arial"/>
          <w:sz w:val="22"/>
          <w:szCs w:val="22"/>
        </w:rPr>
        <w:t>Morostig</w:t>
      </w:r>
      <w:proofErr w:type="spellEnd"/>
      <w:r w:rsidRPr="000054FF">
        <w:rPr>
          <w:rFonts w:ascii="Arial" w:hAnsi="Arial" w:cs="Arial"/>
          <w:sz w:val="22"/>
          <w:szCs w:val="22"/>
        </w:rPr>
        <w:t xml:space="preserve"> in naravnim okoljem Ljubljanskega barja.</w:t>
      </w:r>
    </w:p>
    <w:p w14:paraId="5B517B2C" w14:textId="77777777" w:rsidR="00CF68D5" w:rsidRPr="007639D3" w:rsidRDefault="00CF68D5" w:rsidP="00CF68D5">
      <w:pPr>
        <w:spacing w:line="276" w:lineRule="auto"/>
        <w:jc w:val="both"/>
        <w:rPr>
          <w:rFonts w:ascii="Arial" w:hAnsi="Arial" w:cs="Arial"/>
          <w:sz w:val="22"/>
          <w:szCs w:val="22"/>
        </w:rPr>
      </w:pPr>
    </w:p>
    <w:p w14:paraId="5FEF33EE"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r w:rsidRPr="00AB1367">
        <w:rPr>
          <w:rFonts w:ascii="Arial" w:hAnsi="Arial" w:cs="Arial"/>
          <w:i/>
          <w:iCs/>
          <w:u w:val="single"/>
        </w:rPr>
        <w:t>Usklajenost z razpisnimi cilji</w:t>
      </w:r>
    </w:p>
    <w:p w14:paraId="76A80F58" w14:textId="77777777" w:rsidR="00CF68D5" w:rsidRPr="000054FF" w:rsidRDefault="00CF68D5" w:rsidP="00CF68D5">
      <w:pPr>
        <w:spacing w:line="276" w:lineRule="auto"/>
        <w:jc w:val="both"/>
        <w:rPr>
          <w:rFonts w:ascii="Arial" w:hAnsi="Arial" w:cs="Arial"/>
          <w:sz w:val="22"/>
          <w:szCs w:val="22"/>
        </w:rPr>
      </w:pPr>
      <w:r w:rsidRPr="000054FF">
        <w:rPr>
          <w:rFonts w:ascii="Arial" w:hAnsi="Arial" w:cs="Arial"/>
          <w:sz w:val="22"/>
          <w:szCs w:val="22"/>
        </w:rPr>
        <w:t>Projekt neposredno sledi namenu razpisa JR EKP UTM 2025, saj:</w:t>
      </w:r>
    </w:p>
    <w:p w14:paraId="286193AA" w14:textId="77777777" w:rsidR="00CF68D5" w:rsidRPr="000054FF" w:rsidRDefault="00CF68D5" w:rsidP="00CF68D5">
      <w:pPr>
        <w:numPr>
          <w:ilvl w:val="0"/>
          <w:numId w:val="152"/>
        </w:numPr>
        <w:spacing w:line="276" w:lineRule="auto"/>
        <w:jc w:val="both"/>
        <w:rPr>
          <w:rFonts w:ascii="Arial" w:hAnsi="Arial" w:cs="Arial"/>
          <w:sz w:val="22"/>
          <w:szCs w:val="22"/>
        </w:rPr>
      </w:pPr>
      <w:r w:rsidRPr="000054FF">
        <w:rPr>
          <w:rFonts w:ascii="Arial" w:hAnsi="Arial" w:cs="Arial"/>
          <w:sz w:val="22"/>
          <w:szCs w:val="22"/>
        </w:rPr>
        <w:t>zmanjšuje emisije toplogrednih plinov in izboljšuje kakovost zraka in bivanja,</w:t>
      </w:r>
    </w:p>
    <w:p w14:paraId="426A9B6D" w14:textId="77777777" w:rsidR="00CF68D5" w:rsidRPr="000054FF" w:rsidRDefault="00CF68D5" w:rsidP="00CF68D5">
      <w:pPr>
        <w:numPr>
          <w:ilvl w:val="0"/>
          <w:numId w:val="152"/>
        </w:numPr>
        <w:spacing w:line="276" w:lineRule="auto"/>
        <w:jc w:val="both"/>
        <w:rPr>
          <w:rFonts w:ascii="Arial" w:hAnsi="Arial" w:cs="Arial"/>
          <w:sz w:val="22"/>
          <w:szCs w:val="22"/>
        </w:rPr>
      </w:pPr>
      <w:r w:rsidRPr="000054FF">
        <w:rPr>
          <w:rFonts w:ascii="Arial" w:hAnsi="Arial" w:cs="Arial"/>
          <w:sz w:val="22"/>
          <w:szCs w:val="22"/>
        </w:rPr>
        <w:t>spodbuja aktivne oblike mobilnosti (hoja, kolesarjenje) in uporabo javnega potniškega prometa,</w:t>
      </w:r>
    </w:p>
    <w:p w14:paraId="0ED9870F" w14:textId="77777777" w:rsidR="00CF68D5" w:rsidRPr="000054FF" w:rsidRDefault="00CF68D5" w:rsidP="00CF68D5">
      <w:pPr>
        <w:numPr>
          <w:ilvl w:val="0"/>
          <w:numId w:val="152"/>
        </w:numPr>
        <w:spacing w:line="276" w:lineRule="auto"/>
        <w:jc w:val="both"/>
        <w:rPr>
          <w:rFonts w:ascii="Arial" w:hAnsi="Arial" w:cs="Arial"/>
          <w:sz w:val="22"/>
          <w:szCs w:val="22"/>
        </w:rPr>
      </w:pPr>
      <w:r w:rsidRPr="000054FF">
        <w:rPr>
          <w:rFonts w:ascii="Arial" w:hAnsi="Arial" w:cs="Arial"/>
          <w:sz w:val="22"/>
          <w:szCs w:val="22"/>
        </w:rPr>
        <w:t>razvija zeleno in modro infrastrukturo kot podporni element trajnostnega prometa,</w:t>
      </w:r>
    </w:p>
    <w:p w14:paraId="4A1EF17D" w14:textId="77777777" w:rsidR="00CF68D5" w:rsidRPr="000054FF" w:rsidRDefault="00CF68D5" w:rsidP="00CF68D5">
      <w:pPr>
        <w:numPr>
          <w:ilvl w:val="0"/>
          <w:numId w:val="152"/>
        </w:numPr>
        <w:spacing w:line="276" w:lineRule="auto"/>
        <w:jc w:val="both"/>
        <w:rPr>
          <w:rFonts w:ascii="Arial" w:hAnsi="Arial" w:cs="Arial"/>
          <w:sz w:val="22"/>
          <w:szCs w:val="22"/>
        </w:rPr>
      </w:pPr>
      <w:r w:rsidRPr="000054FF">
        <w:rPr>
          <w:rFonts w:ascii="Arial" w:hAnsi="Arial" w:cs="Arial"/>
          <w:sz w:val="22"/>
          <w:szCs w:val="22"/>
        </w:rPr>
        <w:t>sledi načelom krožnega gospodarstva in trajnostne gradnje,</w:t>
      </w:r>
    </w:p>
    <w:p w14:paraId="2023143D" w14:textId="77777777" w:rsidR="00CF68D5" w:rsidRPr="000054FF" w:rsidRDefault="00CF68D5" w:rsidP="00CF68D5">
      <w:pPr>
        <w:numPr>
          <w:ilvl w:val="0"/>
          <w:numId w:val="152"/>
        </w:numPr>
        <w:spacing w:line="276" w:lineRule="auto"/>
        <w:jc w:val="both"/>
        <w:rPr>
          <w:rFonts w:ascii="Arial" w:hAnsi="Arial" w:cs="Arial"/>
          <w:sz w:val="22"/>
          <w:szCs w:val="22"/>
        </w:rPr>
      </w:pPr>
      <w:r w:rsidRPr="000054FF">
        <w:rPr>
          <w:rFonts w:ascii="Arial" w:hAnsi="Arial" w:cs="Arial"/>
          <w:sz w:val="22"/>
          <w:szCs w:val="22"/>
        </w:rPr>
        <w:t>povečuje prometno varnost in vključuje vse družbene skupine.</w:t>
      </w:r>
    </w:p>
    <w:p w14:paraId="7CCC3B1A" w14:textId="77777777" w:rsidR="00CF68D5" w:rsidRPr="007639D3" w:rsidRDefault="00CF68D5" w:rsidP="00CF68D5">
      <w:pPr>
        <w:spacing w:line="276" w:lineRule="auto"/>
        <w:jc w:val="both"/>
        <w:rPr>
          <w:rFonts w:ascii="Arial" w:hAnsi="Arial" w:cs="Arial"/>
          <w:sz w:val="22"/>
          <w:szCs w:val="22"/>
        </w:rPr>
      </w:pPr>
    </w:p>
    <w:p w14:paraId="42045792" w14:textId="77777777" w:rsidR="00CF68D5" w:rsidRPr="00AB1367" w:rsidRDefault="00CF68D5" w:rsidP="00CF68D5">
      <w:pPr>
        <w:pStyle w:val="Odstavekseznama"/>
        <w:numPr>
          <w:ilvl w:val="0"/>
          <w:numId w:val="153"/>
        </w:numPr>
        <w:spacing w:after="0"/>
        <w:ind w:left="426"/>
        <w:jc w:val="both"/>
        <w:rPr>
          <w:rFonts w:ascii="Arial" w:hAnsi="Arial" w:cs="Arial"/>
          <w:i/>
          <w:iCs/>
          <w:u w:val="single"/>
        </w:rPr>
      </w:pPr>
      <w:r w:rsidRPr="00AB1367">
        <w:rPr>
          <w:rFonts w:ascii="Arial" w:hAnsi="Arial" w:cs="Arial"/>
          <w:i/>
          <w:iCs/>
          <w:u w:val="single"/>
        </w:rPr>
        <w:t>Stroškovna učinkovitost</w:t>
      </w:r>
    </w:p>
    <w:p w14:paraId="29D9AAF5" w14:textId="3BA05115" w:rsidR="00CF68D5" w:rsidRDefault="00CF68D5" w:rsidP="00CF68D5">
      <w:pPr>
        <w:spacing w:line="276" w:lineRule="auto"/>
        <w:jc w:val="both"/>
        <w:rPr>
          <w:rFonts w:asciiTheme="majorHAnsi" w:eastAsiaTheme="majorEastAsia" w:hAnsiTheme="majorHAnsi" w:cstheme="majorHAnsi"/>
          <w:sz w:val="22"/>
          <w:szCs w:val="22"/>
          <w:highlight w:val="yellow"/>
        </w:rPr>
      </w:pPr>
      <w:r w:rsidRPr="000054FF">
        <w:rPr>
          <w:rFonts w:ascii="Arial" w:hAnsi="Arial" w:cs="Arial"/>
          <w:sz w:val="22"/>
          <w:szCs w:val="22"/>
        </w:rPr>
        <w:t xml:space="preserve">S pridobitvijo sofinanciranja iz evropskih sredstev bo občina bistveno zmanjšala obremenitev občinskega proračuna. Pričakovane koristi – nižji stroški prometa, manj zdravstvenih </w:t>
      </w:r>
      <w:r w:rsidRPr="000054FF">
        <w:rPr>
          <w:rFonts w:ascii="Arial" w:hAnsi="Arial" w:cs="Arial"/>
          <w:sz w:val="22"/>
          <w:szCs w:val="22"/>
        </w:rPr>
        <w:lastRenderedPageBreak/>
        <w:t>obremenitev, višja kakovost bivanja, večja turistična privlačnost – dolgoročno presežejo stroške investicije, zato je projekt ekonomsko utemeljen in učinkovit.</w:t>
      </w:r>
    </w:p>
    <w:p w14:paraId="3BE2F20D" w14:textId="77777777" w:rsidR="00CF68D5" w:rsidRPr="006E795F" w:rsidRDefault="00CF68D5" w:rsidP="00BD1D20">
      <w:pPr>
        <w:spacing w:line="276" w:lineRule="auto"/>
        <w:jc w:val="both"/>
        <w:rPr>
          <w:rFonts w:asciiTheme="majorHAnsi" w:eastAsiaTheme="majorEastAsia" w:hAnsiTheme="majorHAnsi" w:cstheme="majorHAnsi"/>
          <w:sz w:val="22"/>
          <w:szCs w:val="22"/>
          <w:highlight w:val="yellow"/>
        </w:rPr>
      </w:pPr>
    </w:p>
    <w:p w14:paraId="2A66C1C4" w14:textId="77777777" w:rsidR="006E795F" w:rsidRDefault="006E795F" w:rsidP="00BD1D20">
      <w:pPr>
        <w:spacing w:line="276" w:lineRule="auto"/>
        <w:jc w:val="both"/>
        <w:rPr>
          <w:rFonts w:asciiTheme="majorHAnsi" w:eastAsiaTheme="majorEastAsia" w:hAnsiTheme="majorHAnsi" w:cstheme="majorHAnsi"/>
          <w:b/>
          <w:bCs/>
          <w:color w:val="365F91" w:themeColor="accent1" w:themeShade="BF"/>
          <w:sz w:val="28"/>
          <w:szCs w:val="28"/>
          <w:highlight w:val="yellow"/>
        </w:rPr>
      </w:pPr>
    </w:p>
    <w:p w14:paraId="5604693D" w14:textId="55B1217B" w:rsidR="006E795F" w:rsidRPr="00F11127" w:rsidRDefault="006E795F" w:rsidP="00BD1D20">
      <w:pPr>
        <w:spacing w:line="276" w:lineRule="auto"/>
        <w:jc w:val="both"/>
        <w:rPr>
          <w:rFonts w:asciiTheme="majorHAnsi" w:eastAsiaTheme="majorEastAsia" w:hAnsiTheme="majorHAnsi" w:cstheme="majorHAnsi"/>
          <w:b/>
          <w:bCs/>
          <w:color w:val="365F91" w:themeColor="accent1" w:themeShade="BF"/>
          <w:sz w:val="28"/>
          <w:szCs w:val="28"/>
          <w:highlight w:val="yellow"/>
        </w:rPr>
        <w:sectPr w:rsidR="006E795F" w:rsidRPr="00F11127" w:rsidSect="00480057">
          <w:headerReference w:type="default" r:id="rId85"/>
          <w:headerReference w:type="first" r:id="rId86"/>
          <w:pgSz w:w="11906" w:h="16838"/>
          <w:pgMar w:top="1134" w:right="1417" w:bottom="1417" w:left="1418" w:header="708" w:footer="708" w:gutter="0"/>
          <w:cols w:space="708"/>
          <w:titlePg/>
          <w:docGrid w:linePitch="360"/>
        </w:sectPr>
      </w:pPr>
    </w:p>
    <w:p w14:paraId="0246251A" w14:textId="77777777" w:rsidR="00072416" w:rsidRPr="00F11127" w:rsidRDefault="00072416" w:rsidP="00BD1D20">
      <w:pPr>
        <w:pStyle w:val="Naslov1"/>
        <w:numPr>
          <w:ilvl w:val="0"/>
          <w:numId w:val="3"/>
        </w:numPr>
        <w:rPr>
          <w:rFonts w:cstheme="majorHAnsi"/>
        </w:rPr>
      </w:pPr>
      <w:bookmarkStart w:id="275" w:name="_Toc210033841"/>
      <w:r w:rsidRPr="00F11127">
        <w:rPr>
          <w:rFonts w:cstheme="majorHAnsi"/>
        </w:rPr>
        <w:lastRenderedPageBreak/>
        <w:t>ČASOVNI NAČRT IZVEDBE INVESTICIJE</w:t>
      </w:r>
      <w:bookmarkEnd w:id="275"/>
      <w:r w:rsidRPr="00F11127">
        <w:rPr>
          <w:rFonts w:cstheme="majorHAnsi"/>
        </w:rPr>
        <w:t xml:space="preserve"> </w:t>
      </w:r>
    </w:p>
    <w:p w14:paraId="580A050D" w14:textId="77777777" w:rsidR="00072416" w:rsidRPr="00F11127" w:rsidRDefault="00072416" w:rsidP="00BD1D20">
      <w:pPr>
        <w:spacing w:after="120" w:line="276" w:lineRule="auto"/>
        <w:rPr>
          <w:rFonts w:asciiTheme="majorHAnsi" w:hAnsiTheme="majorHAnsi" w:cstheme="majorHAnsi"/>
          <w:sz w:val="22"/>
          <w:szCs w:val="22"/>
          <w:highlight w:val="yellow"/>
        </w:rPr>
      </w:pPr>
    </w:p>
    <w:p w14:paraId="13709CD1" w14:textId="15E3BD2D" w:rsidR="00654ABF" w:rsidRPr="00F11127" w:rsidRDefault="00B32D26" w:rsidP="00BD1D20">
      <w:pPr>
        <w:spacing w:before="120" w:after="120" w:line="276" w:lineRule="auto"/>
        <w:jc w:val="both"/>
        <w:rPr>
          <w:rFonts w:asciiTheme="majorHAnsi" w:eastAsia="Arial" w:hAnsiTheme="majorHAnsi" w:cstheme="majorHAnsi"/>
          <w:sz w:val="22"/>
          <w:szCs w:val="22"/>
        </w:rPr>
      </w:pPr>
      <w:r w:rsidRPr="00F11127">
        <w:rPr>
          <w:rFonts w:asciiTheme="majorHAnsi" w:eastAsia="Arial" w:hAnsiTheme="majorHAnsi" w:cstheme="majorHAnsi"/>
          <w:sz w:val="22"/>
          <w:szCs w:val="22"/>
        </w:rPr>
        <w:t>Iz časovnega načrta izvedbe investicijskega projekta je razvidno,</w:t>
      </w:r>
      <w:r w:rsidR="007F1D47">
        <w:rPr>
          <w:rFonts w:asciiTheme="majorHAnsi" w:eastAsia="Arial" w:hAnsiTheme="majorHAnsi" w:cstheme="majorHAnsi"/>
          <w:sz w:val="22"/>
          <w:szCs w:val="22"/>
        </w:rPr>
        <w:t xml:space="preserve"> da ima investicijski projekt v</w:t>
      </w:r>
      <w:r w:rsidRPr="00F11127">
        <w:rPr>
          <w:rFonts w:asciiTheme="majorHAnsi" w:eastAsia="Arial" w:hAnsiTheme="majorHAnsi" w:cstheme="majorHAnsi"/>
          <w:sz w:val="22"/>
          <w:szCs w:val="22"/>
        </w:rPr>
        <w:t xml:space="preserve">naprej določeno trajanje ter določen začetek in konec. </w:t>
      </w:r>
    </w:p>
    <w:p w14:paraId="529C355B" w14:textId="722A9AA1" w:rsidR="001D6099" w:rsidRDefault="001D6099" w:rsidP="00BD1D20">
      <w:pPr>
        <w:spacing w:after="120" w:line="276" w:lineRule="auto"/>
        <w:jc w:val="both"/>
        <w:rPr>
          <w:rFonts w:ascii="Arial" w:hAnsi="Arial" w:cs="Arial"/>
          <w:sz w:val="22"/>
          <w:szCs w:val="22"/>
          <w:lang w:eastAsia="en-US"/>
        </w:rPr>
      </w:pPr>
      <w:bookmarkStart w:id="276" w:name="_Toc65090452"/>
      <w:bookmarkStart w:id="277" w:name="_Toc172121002"/>
      <w:bookmarkStart w:id="278" w:name="_Toc206863441"/>
      <w:bookmarkStart w:id="279" w:name="_Toc209528299"/>
      <w:r w:rsidRPr="001D6099">
        <w:rPr>
          <w:rFonts w:ascii="Arial" w:hAnsi="Arial" w:cs="Arial"/>
          <w:b/>
          <w:sz w:val="22"/>
          <w:szCs w:val="22"/>
          <w:lang w:eastAsia="en-US"/>
        </w:rPr>
        <w:t xml:space="preserve">Tabela </w:t>
      </w:r>
      <w:r w:rsidRPr="001D6099">
        <w:rPr>
          <w:rFonts w:ascii="Arial" w:hAnsi="Arial" w:cs="Arial"/>
          <w:b/>
          <w:sz w:val="22"/>
          <w:szCs w:val="22"/>
          <w:lang w:eastAsia="en-US"/>
        </w:rPr>
        <w:fldChar w:fldCharType="begin"/>
      </w:r>
      <w:r w:rsidRPr="001D6099">
        <w:rPr>
          <w:rFonts w:ascii="Arial" w:hAnsi="Arial" w:cs="Arial"/>
          <w:b/>
          <w:sz w:val="22"/>
          <w:szCs w:val="22"/>
          <w:lang w:eastAsia="en-US"/>
        </w:rPr>
        <w:instrText xml:space="preserve"> SEQ Tabela \* ARABIC </w:instrText>
      </w:r>
      <w:r w:rsidRPr="001D6099">
        <w:rPr>
          <w:rFonts w:ascii="Arial" w:hAnsi="Arial" w:cs="Arial"/>
          <w:b/>
          <w:sz w:val="22"/>
          <w:szCs w:val="22"/>
          <w:lang w:eastAsia="en-US"/>
        </w:rPr>
        <w:fldChar w:fldCharType="separate"/>
      </w:r>
      <w:r w:rsidR="00E74D26">
        <w:rPr>
          <w:rFonts w:ascii="Arial" w:hAnsi="Arial" w:cs="Arial"/>
          <w:b/>
          <w:noProof/>
          <w:sz w:val="22"/>
          <w:szCs w:val="22"/>
          <w:lang w:eastAsia="en-US"/>
        </w:rPr>
        <w:t>13</w:t>
      </w:r>
      <w:r w:rsidRPr="001D6099">
        <w:rPr>
          <w:rFonts w:ascii="Arial" w:hAnsi="Arial" w:cs="Arial"/>
          <w:b/>
          <w:sz w:val="22"/>
          <w:szCs w:val="22"/>
          <w:lang w:eastAsia="en-US"/>
        </w:rPr>
        <w:fldChar w:fldCharType="end"/>
      </w:r>
      <w:r w:rsidRPr="001D6099">
        <w:rPr>
          <w:rFonts w:ascii="Arial" w:hAnsi="Arial" w:cs="Arial"/>
          <w:b/>
          <w:sz w:val="22"/>
          <w:szCs w:val="22"/>
          <w:lang w:eastAsia="en-US"/>
        </w:rPr>
        <w:t xml:space="preserve">: </w:t>
      </w:r>
      <w:r w:rsidRPr="001D6099">
        <w:rPr>
          <w:rFonts w:ascii="Arial" w:hAnsi="Arial" w:cs="Arial"/>
          <w:sz w:val="22"/>
          <w:szCs w:val="22"/>
          <w:lang w:eastAsia="en-US"/>
        </w:rPr>
        <w:t>Terminski plan izvajanja projekta</w:t>
      </w:r>
      <w:bookmarkEnd w:id="276"/>
      <w:bookmarkEnd w:id="277"/>
      <w:bookmarkEnd w:id="278"/>
      <w:bookmarkEnd w:id="279"/>
    </w:p>
    <w:tbl>
      <w:tblPr>
        <w:tblW w:w="94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5"/>
        <w:gridCol w:w="1842"/>
        <w:gridCol w:w="1984"/>
      </w:tblGrid>
      <w:tr w:rsidR="006154DD" w:rsidRPr="00BC0DCF" w14:paraId="1CBC3FB2" w14:textId="77777777" w:rsidTr="0093689D">
        <w:trPr>
          <w:tblHeader/>
        </w:trPr>
        <w:tc>
          <w:tcPr>
            <w:tcW w:w="5665" w:type="dxa"/>
            <w:shd w:val="clear" w:color="auto" w:fill="B8CCE4"/>
          </w:tcPr>
          <w:p w14:paraId="013F91E3"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ČASOVNI NAČRT IZVEDBE – Aktivnosti</w:t>
            </w:r>
          </w:p>
        </w:tc>
        <w:tc>
          <w:tcPr>
            <w:tcW w:w="1842" w:type="dxa"/>
            <w:shd w:val="clear" w:color="auto" w:fill="B8CCE4"/>
          </w:tcPr>
          <w:p w14:paraId="7ECC5940"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Začetek</w:t>
            </w:r>
          </w:p>
        </w:tc>
        <w:tc>
          <w:tcPr>
            <w:tcW w:w="1984" w:type="dxa"/>
            <w:shd w:val="clear" w:color="auto" w:fill="B8CCE4"/>
          </w:tcPr>
          <w:p w14:paraId="0088D767"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Zaključek</w:t>
            </w:r>
          </w:p>
        </w:tc>
      </w:tr>
      <w:tr w:rsidR="006154DD" w:rsidRPr="00BC0DCF" w14:paraId="385AF889" w14:textId="77777777" w:rsidTr="0093689D">
        <w:tc>
          <w:tcPr>
            <w:tcW w:w="5665" w:type="dxa"/>
            <w:shd w:val="clear" w:color="auto" w:fill="DBE5F1"/>
          </w:tcPr>
          <w:p w14:paraId="7CE448C2"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Izdelava investicijske dokumentacije</w:t>
            </w:r>
          </w:p>
        </w:tc>
        <w:tc>
          <w:tcPr>
            <w:tcW w:w="1842" w:type="dxa"/>
            <w:shd w:val="clear" w:color="auto" w:fill="DBE5F1"/>
          </w:tcPr>
          <w:p w14:paraId="5CC82F8D"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08/2024</w:t>
            </w:r>
          </w:p>
        </w:tc>
        <w:tc>
          <w:tcPr>
            <w:tcW w:w="1984" w:type="dxa"/>
            <w:shd w:val="clear" w:color="auto" w:fill="DBE5F1"/>
          </w:tcPr>
          <w:p w14:paraId="06D51A34"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09/2025</w:t>
            </w:r>
          </w:p>
        </w:tc>
      </w:tr>
      <w:tr w:rsidR="006154DD" w:rsidRPr="00BC0DCF" w14:paraId="168410AA" w14:textId="77777777" w:rsidTr="0093689D">
        <w:tc>
          <w:tcPr>
            <w:tcW w:w="5665" w:type="dxa"/>
          </w:tcPr>
          <w:p w14:paraId="14FD69BA"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dokumenta identifikacije investicijskega projekta (celovit projekt)</w:t>
            </w:r>
          </w:p>
        </w:tc>
        <w:tc>
          <w:tcPr>
            <w:tcW w:w="1842" w:type="dxa"/>
          </w:tcPr>
          <w:p w14:paraId="58CDC2C2"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08/2024</w:t>
            </w:r>
          </w:p>
        </w:tc>
        <w:tc>
          <w:tcPr>
            <w:tcW w:w="1984" w:type="dxa"/>
          </w:tcPr>
          <w:p w14:paraId="68B58389"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08/2024</w:t>
            </w:r>
          </w:p>
        </w:tc>
      </w:tr>
      <w:tr w:rsidR="006154DD" w:rsidRPr="00BC0DCF" w14:paraId="6C471781" w14:textId="77777777" w:rsidTr="0093689D">
        <w:tc>
          <w:tcPr>
            <w:tcW w:w="5665" w:type="dxa"/>
          </w:tcPr>
          <w:p w14:paraId="638000D4"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dokumenta identifikacije investicijskega projekta (trajnostna mobilnost)</w:t>
            </w:r>
          </w:p>
        </w:tc>
        <w:tc>
          <w:tcPr>
            <w:tcW w:w="1842" w:type="dxa"/>
          </w:tcPr>
          <w:p w14:paraId="40ACB243"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08/2025</w:t>
            </w:r>
          </w:p>
        </w:tc>
        <w:tc>
          <w:tcPr>
            <w:tcW w:w="1984" w:type="dxa"/>
          </w:tcPr>
          <w:p w14:paraId="3C3F87BC"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r>
      <w:tr w:rsidR="006154DD" w:rsidRPr="00BC0DCF" w14:paraId="3DCF2D66" w14:textId="77777777" w:rsidTr="0093689D">
        <w:tc>
          <w:tcPr>
            <w:tcW w:w="5665" w:type="dxa"/>
          </w:tcPr>
          <w:p w14:paraId="7E5D9264"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predinvesticijske zasnove</w:t>
            </w:r>
          </w:p>
        </w:tc>
        <w:tc>
          <w:tcPr>
            <w:tcW w:w="1842" w:type="dxa"/>
          </w:tcPr>
          <w:p w14:paraId="66C60122"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c>
          <w:tcPr>
            <w:tcW w:w="1984" w:type="dxa"/>
          </w:tcPr>
          <w:p w14:paraId="55266A77"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r>
      <w:tr w:rsidR="006154DD" w:rsidRPr="00BC0DCF" w14:paraId="09B06351" w14:textId="77777777" w:rsidTr="0093689D">
        <w:tc>
          <w:tcPr>
            <w:tcW w:w="5665" w:type="dxa"/>
          </w:tcPr>
          <w:p w14:paraId="500D778C"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investicijskega programa</w:t>
            </w:r>
          </w:p>
        </w:tc>
        <w:tc>
          <w:tcPr>
            <w:tcW w:w="1842" w:type="dxa"/>
          </w:tcPr>
          <w:p w14:paraId="2FB0195E"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c>
          <w:tcPr>
            <w:tcW w:w="1984" w:type="dxa"/>
          </w:tcPr>
          <w:p w14:paraId="11C9E705"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r>
      <w:tr w:rsidR="006154DD" w:rsidRPr="00BC0DCF" w14:paraId="3239D4A7" w14:textId="77777777" w:rsidTr="0093689D">
        <w:tc>
          <w:tcPr>
            <w:tcW w:w="5665" w:type="dxa"/>
            <w:shd w:val="clear" w:color="auto" w:fill="DBE5F1"/>
          </w:tcPr>
          <w:p w14:paraId="4EDECC41"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 xml:space="preserve">Izdelava projektne dokumentacije </w:t>
            </w:r>
          </w:p>
        </w:tc>
        <w:tc>
          <w:tcPr>
            <w:tcW w:w="1842" w:type="dxa"/>
            <w:shd w:val="clear" w:color="auto" w:fill="DBE5F1"/>
          </w:tcPr>
          <w:p w14:paraId="544EAB6F"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06/2025</w:t>
            </w:r>
          </w:p>
        </w:tc>
        <w:tc>
          <w:tcPr>
            <w:tcW w:w="1984" w:type="dxa"/>
            <w:shd w:val="clear" w:color="auto" w:fill="DBE5F1"/>
          </w:tcPr>
          <w:p w14:paraId="6913A8A6"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09/2025</w:t>
            </w:r>
          </w:p>
        </w:tc>
      </w:tr>
      <w:tr w:rsidR="006154DD" w:rsidRPr="00BC0DCF" w14:paraId="12E87E0D" w14:textId="77777777" w:rsidTr="0093689D">
        <w:tc>
          <w:tcPr>
            <w:tcW w:w="5665" w:type="dxa"/>
          </w:tcPr>
          <w:p w14:paraId="6F9FD72B"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projektne dokumentacije DGD</w:t>
            </w:r>
          </w:p>
        </w:tc>
        <w:tc>
          <w:tcPr>
            <w:tcW w:w="1842" w:type="dxa"/>
          </w:tcPr>
          <w:p w14:paraId="620E77EB"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06/2025</w:t>
            </w:r>
          </w:p>
        </w:tc>
        <w:tc>
          <w:tcPr>
            <w:tcW w:w="1984" w:type="dxa"/>
          </w:tcPr>
          <w:p w14:paraId="601B5068"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r>
      <w:tr w:rsidR="006154DD" w:rsidRPr="00BC0DCF" w14:paraId="3BABCDC2" w14:textId="77777777" w:rsidTr="0093689D">
        <w:tc>
          <w:tcPr>
            <w:tcW w:w="5665" w:type="dxa"/>
          </w:tcPr>
          <w:p w14:paraId="7C386B25"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Izdelava projektne dokumentacije PZI</w:t>
            </w:r>
          </w:p>
        </w:tc>
        <w:tc>
          <w:tcPr>
            <w:tcW w:w="1842" w:type="dxa"/>
          </w:tcPr>
          <w:p w14:paraId="1B737403"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08/2025</w:t>
            </w:r>
          </w:p>
        </w:tc>
        <w:tc>
          <w:tcPr>
            <w:tcW w:w="1984" w:type="dxa"/>
          </w:tcPr>
          <w:p w14:paraId="37365D73" w14:textId="77777777" w:rsidR="006154DD" w:rsidRPr="00BC0DCF" w:rsidRDefault="006154DD" w:rsidP="0093689D">
            <w:pPr>
              <w:spacing w:before="120" w:after="120" w:line="276" w:lineRule="auto"/>
              <w:rPr>
                <w:rFonts w:ascii="Arial" w:eastAsia="Arial" w:hAnsi="Arial" w:cs="Arial"/>
                <w:bCs/>
                <w:sz w:val="22"/>
                <w:szCs w:val="22"/>
                <w:lang w:eastAsia="en-US"/>
              </w:rPr>
            </w:pPr>
            <w:r w:rsidRPr="00BC0DCF">
              <w:rPr>
                <w:rFonts w:ascii="Arial" w:eastAsia="Arial" w:hAnsi="Arial" w:cs="Arial"/>
                <w:bCs/>
                <w:sz w:val="22"/>
                <w:szCs w:val="22"/>
                <w:lang w:eastAsia="en-US"/>
              </w:rPr>
              <w:t>09/2025</w:t>
            </w:r>
          </w:p>
        </w:tc>
      </w:tr>
      <w:tr w:rsidR="006154DD" w:rsidRPr="00BC0DCF" w14:paraId="1D9955AB" w14:textId="77777777" w:rsidTr="0093689D">
        <w:tc>
          <w:tcPr>
            <w:tcW w:w="5665" w:type="dxa"/>
            <w:shd w:val="clear" w:color="auto" w:fill="DBE5F1"/>
          </w:tcPr>
          <w:p w14:paraId="4901622B"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IZVEDBA investicijskega projekta in predaja izvedenih del namenu</w:t>
            </w:r>
          </w:p>
        </w:tc>
        <w:tc>
          <w:tcPr>
            <w:tcW w:w="1842" w:type="dxa"/>
            <w:shd w:val="clear" w:color="auto" w:fill="DBE5F1"/>
          </w:tcPr>
          <w:p w14:paraId="551FEB87"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01/2026</w:t>
            </w:r>
          </w:p>
        </w:tc>
        <w:tc>
          <w:tcPr>
            <w:tcW w:w="1984" w:type="dxa"/>
            <w:shd w:val="clear" w:color="auto" w:fill="DBE5F1"/>
          </w:tcPr>
          <w:p w14:paraId="449B8710"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12/2029</w:t>
            </w:r>
          </w:p>
        </w:tc>
      </w:tr>
      <w:tr w:rsidR="006154DD" w:rsidRPr="00BC0DCF" w14:paraId="163F1D48" w14:textId="77777777" w:rsidTr="0093689D">
        <w:tc>
          <w:tcPr>
            <w:tcW w:w="5665" w:type="dxa"/>
            <w:shd w:val="clear" w:color="auto" w:fill="D9D9D9"/>
          </w:tcPr>
          <w:p w14:paraId="1E784755"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Izvedba gradbeno obrtniških in instalacijskih del</w:t>
            </w:r>
          </w:p>
        </w:tc>
        <w:tc>
          <w:tcPr>
            <w:tcW w:w="1842" w:type="dxa"/>
            <w:shd w:val="clear" w:color="auto" w:fill="D9D9D9"/>
          </w:tcPr>
          <w:p w14:paraId="075542ED"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01/2026</w:t>
            </w:r>
          </w:p>
        </w:tc>
        <w:tc>
          <w:tcPr>
            <w:tcW w:w="1984" w:type="dxa"/>
            <w:shd w:val="clear" w:color="auto" w:fill="D9D9D9"/>
          </w:tcPr>
          <w:p w14:paraId="6CF536AB" w14:textId="77777777" w:rsidR="006154DD" w:rsidRPr="00BC0DCF" w:rsidRDefault="006154DD" w:rsidP="0093689D">
            <w:pPr>
              <w:spacing w:before="120" w:after="120" w:line="276" w:lineRule="auto"/>
              <w:rPr>
                <w:rFonts w:ascii="Arial" w:eastAsia="Arial" w:hAnsi="Arial" w:cs="Arial"/>
                <w:b/>
                <w:sz w:val="22"/>
                <w:szCs w:val="22"/>
                <w:lang w:eastAsia="en-US"/>
              </w:rPr>
            </w:pPr>
            <w:r>
              <w:rPr>
                <w:rFonts w:ascii="Arial" w:eastAsia="Arial" w:hAnsi="Arial" w:cs="Arial"/>
                <w:b/>
                <w:sz w:val="22"/>
                <w:szCs w:val="22"/>
                <w:lang w:eastAsia="en-US"/>
              </w:rPr>
              <w:t>03</w:t>
            </w:r>
            <w:r w:rsidRPr="00BC0DCF">
              <w:rPr>
                <w:rFonts w:ascii="Arial" w:eastAsia="Arial" w:hAnsi="Arial" w:cs="Arial"/>
                <w:b/>
                <w:sz w:val="22"/>
                <w:szCs w:val="22"/>
                <w:lang w:eastAsia="en-US"/>
              </w:rPr>
              <w:t>/2029</w:t>
            </w:r>
          </w:p>
        </w:tc>
      </w:tr>
      <w:tr w:rsidR="006154DD" w:rsidRPr="00BC0DCF" w14:paraId="136F3424" w14:textId="77777777" w:rsidTr="0093689D">
        <w:tc>
          <w:tcPr>
            <w:tcW w:w="5665" w:type="dxa"/>
          </w:tcPr>
          <w:p w14:paraId="0E532103"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Izvedba postopka JN za izbor izvajalca GOI del</w:t>
            </w:r>
          </w:p>
        </w:tc>
        <w:tc>
          <w:tcPr>
            <w:tcW w:w="1842" w:type="dxa"/>
          </w:tcPr>
          <w:p w14:paraId="26261901"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01/2026</w:t>
            </w:r>
          </w:p>
        </w:tc>
        <w:tc>
          <w:tcPr>
            <w:tcW w:w="1984" w:type="dxa"/>
          </w:tcPr>
          <w:p w14:paraId="1E99F596"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06/2026</w:t>
            </w:r>
          </w:p>
        </w:tc>
      </w:tr>
      <w:tr w:rsidR="006154DD" w:rsidRPr="00BC0DCF" w14:paraId="1E597BA1" w14:textId="77777777" w:rsidTr="0093689D">
        <w:tc>
          <w:tcPr>
            <w:tcW w:w="5665" w:type="dxa"/>
          </w:tcPr>
          <w:p w14:paraId="2C3008D8"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Podpis gradbene pogodbe z izvajalcem GOI del</w:t>
            </w:r>
          </w:p>
        </w:tc>
        <w:tc>
          <w:tcPr>
            <w:tcW w:w="1842" w:type="dxa"/>
          </w:tcPr>
          <w:p w14:paraId="49D0100C"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06/2026</w:t>
            </w:r>
          </w:p>
        </w:tc>
        <w:tc>
          <w:tcPr>
            <w:tcW w:w="1984" w:type="dxa"/>
          </w:tcPr>
          <w:p w14:paraId="4E04846F"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06/2026</w:t>
            </w:r>
          </w:p>
        </w:tc>
      </w:tr>
      <w:tr w:rsidR="006154DD" w:rsidRPr="00BC0DCF" w14:paraId="63DA7E71" w14:textId="77777777" w:rsidTr="0093689D">
        <w:tc>
          <w:tcPr>
            <w:tcW w:w="5665" w:type="dxa"/>
          </w:tcPr>
          <w:p w14:paraId="69E89924"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Uvedba izvajalca GOI del v delo</w:t>
            </w:r>
          </w:p>
        </w:tc>
        <w:tc>
          <w:tcPr>
            <w:tcW w:w="1842" w:type="dxa"/>
          </w:tcPr>
          <w:p w14:paraId="1B47E920"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07/2026</w:t>
            </w:r>
          </w:p>
        </w:tc>
        <w:tc>
          <w:tcPr>
            <w:tcW w:w="1984" w:type="dxa"/>
          </w:tcPr>
          <w:p w14:paraId="30C72B72"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07/2026</w:t>
            </w:r>
          </w:p>
        </w:tc>
      </w:tr>
      <w:tr w:rsidR="006154DD" w:rsidRPr="00BC0DCF" w14:paraId="1F0D15E9" w14:textId="77777777" w:rsidTr="0093689D">
        <w:tc>
          <w:tcPr>
            <w:tcW w:w="5665" w:type="dxa"/>
          </w:tcPr>
          <w:p w14:paraId="5031A092"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Izvedba GOI del</w:t>
            </w:r>
          </w:p>
        </w:tc>
        <w:tc>
          <w:tcPr>
            <w:tcW w:w="1842" w:type="dxa"/>
          </w:tcPr>
          <w:p w14:paraId="1AE9F3FB"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07/2026</w:t>
            </w:r>
          </w:p>
        </w:tc>
        <w:tc>
          <w:tcPr>
            <w:tcW w:w="1984" w:type="dxa"/>
          </w:tcPr>
          <w:p w14:paraId="1C41B017"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01/2029</w:t>
            </w:r>
          </w:p>
        </w:tc>
      </w:tr>
      <w:tr w:rsidR="006154DD" w:rsidRPr="00BC0DCF" w14:paraId="618CABF6" w14:textId="77777777" w:rsidTr="0093689D">
        <w:tc>
          <w:tcPr>
            <w:tcW w:w="5665" w:type="dxa"/>
          </w:tcPr>
          <w:p w14:paraId="540E3DEC"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Priprava dokumentacije za tehnični pregled in izvedba tehničnega pregleda</w:t>
            </w:r>
          </w:p>
        </w:tc>
        <w:tc>
          <w:tcPr>
            <w:tcW w:w="1842" w:type="dxa"/>
          </w:tcPr>
          <w:p w14:paraId="416A5C01"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01/2029</w:t>
            </w:r>
          </w:p>
        </w:tc>
        <w:tc>
          <w:tcPr>
            <w:tcW w:w="1984" w:type="dxa"/>
          </w:tcPr>
          <w:p w14:paraId="285860F7"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02/2029</w:t>
            </w:r>
          </w:p>
        </w:tc>
      </w:tr>
      <w:tr w:rsidR="006154DD" w:rsidRPr="00BC0DCF" w14:paraId="7A20DCEB" w14:textId="77777777" w:rsidTr="0093689D">
        <w:tc>
          <w:tcPr>
            <w:tcW w:w="5665" w:type="dxa"/>
          </w:tcPr>
          <w:p w14:paraId="6CADDA1A" w14:textId="77777777" w:rsidR="006154DD" w:rsidRPr="00BC0DCF" w:rsidRDefault="006154DD" w:rsidP="0093689D">
            <w:pPr>
              <w:spacing w:before="120" w:after="120" w:line="276" w:lineRule="auto"/>
              <w:rPr>
                <w:rFonts w:ascii="Arial" w:eastAsia="Arial" w:hAnsi="Arial" w:cs="Arial"/>
                <w:sz w:val="22"/>
                <w:szCs w:val="22"/>
                <w:lang w:eastAsia="en-US"/>
              </w:rPr>
            </w:pPr>
            <w:r w:rsidRPr="00BC0DCF">
              <w:rPr>
                <w:rFonts w:ascii="Arial" w:eastAsia="Arial" w:hAnsi="Arial" w:cs="Arial"/>
                <w:sz w:val="22"/>
                <w:szCs w:val="22"/>
                <w:lang w:eastAsia="en-US"/>
              </w:rPr>
              <w:t>Primopredaja izvedenih del</w:t>
            </w:r>
          </w:p>
        </w:tc>
        <w:tc>
          <w:tcPr>
            <w:tcW w:w="1842" w:type="dxa"/>
          </w:tcPr>
          <w:p w14:paraId="6494FA33"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03/2029</w:t>
            </w:r>
          </w:p>
        </w:tc>
        <w:tc>
          <w:tcPr>
            <w:tcW w:w="1984" w:type="dxa"/>
          </w:tcPr>
          <w:p w14:paraId="424F5FF4" w14:textId="77777777" w:rsidR="006154DD" w:rsidRPr="00053F7C" w:rsidRDefault="006154DD" w:rsidP="0093689D">
            <w:pPr>
              <w:spacing w:before="120" w:after="120" w:line="276" w:lineRule="auto"/>
              <w:rPr>
                <w:rFonts w:ascii="Arial" w:eastAsia="Arial" w:hAnsi="Arial" w:cs="Arial"/>
                <w:sz w:val="22"/>
                <w:szCs w:val="22"/>
                <w:lang w:eastAsia="en-US"/>
              </w:rPr>
            </w:pPr>
            <w:r w:rsidRPr="00053F7C">
              <w:rPr>
                <w:rFonts w:ascii="Arial" w:eastAsia="Arial" w:hAnsi="Arial" w:cs="Arial"/>
                <w:sz w:val="22"/>
                <w:szCs w:val="22"/>
                <w:lang w:eastAsia="en-US"/>
              </w:rPr>
              <w:t>03/2029</w:t>
            </w:r>
          </w:p>
        </w:tc>
      </w:tr>
      <w:tr w:rsidR="006154DD" w:rsidRPr="00BC0DCF" w14:paraId="3F0F2A75" w14:textId="77777777" w:rsidTr="0093689D">
        <w:tc>
          <w:tcPr>
            <w:tcW w:w="5665" w:type="dxa"/>
            <w:shd w:val="clear" w:color="auto" w:fill="D9D9D9"/>
          </w:tcPr>
          <w:p w14:paraId="59C815EF"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t>Predaja izvedenih del namenu (prenos v uporabo)</w:t>
            </w:r>
          </w:p>
        </w:tc>
        <w:tc>
          <w:tcPr>
            <w:tcW w:w="1842" w:type="dxa"/>
            <w:shd w:val="clear" w:color="auto" w:fill="D9D9D9"/>
          </w:tcPr>
          <w:p w14:paraId="6BFE67AF" w14:textId="77777777" w:rsidR="006154DD" w:rsidRPr="00BC0DCF" w:rsidRDefault="006154DD" w:rsidP="0093689D">
            <w:pPr>
              <w:spacing w:before="120" w:after="120" w:line="276" w:lineRule="auto"/>
              <w:rPr>
                <w:rFonts w:ascii="Arial" w:eastAsia="Arial" w:hAnsi="Arial" w:cs="Arial"/>
                <w:b/>
                <w:sz w:val="22"/>
                <w:szCs w:val="22"/>
                <w:lang w:eastAsia="en-US"/>
              </w:rPr>
            </w:pPr>
            <w:r>
              <w:rPr>
                <w:rFonts w:ascii="Arial" w:eastAsia="Arial" w:hAnsi="Arial" w:cs="Arial"/>
                <w:b/>
                <w:sz w:val="22"/>
                <w:szCs w:val="22"/>
                <w:lang w:eastAsia="en-US"/>
              </w:rPr>
              <w:t>03</w:t>
            </w:r>
            <w:r w:rsidRPr="00BC0DCF">
              <w:rPr>
                <w:rFonts w:ascii="Arial" w:eastAsia="Arial" w:hAnsi="Arial" w:cs="Arial"/>
                <w:b/>
                <w:sz w:val="22"/>
                <w:szCs w:val="22"/>
                <w:lang w:eastAsia="en-US"/>
              </w:rPr>
              <w:t>/2029</w:t>
            </w:r>
          </w:p>
        </w:tc>
        <w:tc>
          <w:tcPr>
            <w:tcW w:w="1984" w:type="dxa"/>
            <w:shd w:val="clear" w:color="auto" w:fill="D9D9D9"/>
          </w:tcPr>
          <w:p w14:paraId="19DC9A10" w14:textId="77777777" w:rsidR="006154DD" w:rsidRPr="00BC0DCF" w:rsidRDefault="006154DD" w:rsidP="0093689D">
            <w:pPr>
              <w:spacing w:before="120" w:after="120" w:line="276" w:lineRule="auto"/>
              <w:rPr>
                <w:rFonts w:ascii="Arial" w:eastAsia="Arial" w:hAnsi="Arial" w:cs="Arial"/>
                <w:b/>
                <w:sz w:val="22"/>
                <w:szCs w:val="22"/>
                <w:lang w:eastAsia="en-US"/>
              </w:rPr>
            </w:pPr>
          </w:p>
        </w:tc>
      </w:tr>
      <w:tr w:rsidR="006154DD" w:rsidRPr="00BC0DCF" w14:paraId="6CC5459D" w14:textId="77777777" w:rsidTr="0093689D">
        <w:tc>
          <w:tcPr>
            <w:tcW w:w="5665" w:type="dxa"/>
            <w:shd w:val="clear" w:color="auto" w:fill="DBE5F1"/>
          </w:tcPr>
          <w:p w14:paraId="43DCB1C1" w14:textId="77777777" w:rsidR="006154DD" w:rsidRPr="00BC0DCF" w:rsidRDefault="006154DD" w:rsidP="0093689D">
            <w:pPr>
              <w:spacing w:before="120" w:after="120" w:line="276" w:lineRule="auto"/>
              <w:rPr>
                <w:rFonts w:ascii="Arial" w:eastAsia="Arial" w:hAnsi="Arial" w:cs="Arial"/>
                <w:b/>
                <w:sz w:val="22"/>
                <w:szCs w:val="22"/>
                <w:lang w:eastAsia="en-US"/>
              </w:rPr>
            </w:pPr>
            <w:r w:rsidRPr="00BC0DCF">
              <w:rPr>
                <w:rFonts w:ascii="Arial" w:eastAsia="Arial" w:hAnsi="Arial" w:cs="Arial"/>
                <w:b/>
                <w:sz w:val="22"/>
                <w:szCs w:val="22"/>
                <w:lang w:eastAsia="en-US"/>
              </w:rPr>
              <w:lastRenderedPageBreak/>
              <w:t>ZAKLJUČEK PROJEKTA (zaključek vseh aktivnosti v okviru projekta in financiranja in priprava Končnega poročila)</w:t>
            </w:r>
          </w:p>
        </w:tc>
        <w:tc>
          <w:tcPr>
            <w:tcW w:w="1842" w:type="dxa"/>
            <w:shd w:val="clear" w:color="auto" w:fill="DBE5F1"/>
          </w:tcPr>
          <w:p w14:paraId="049C1E7F" w14:textId="77777777" w:rsidR="006154DD" w:rsidRPr="00BC0DCF" w:rsidRDefault="006154DD" w:rsidP="0093689D">
            <w:pPr>
              <w:spacing w:before="120" w:after="120" w:line="276" w:lineRule="auto"/>
              <w:rPr>
                <w:rFonts w:ascii="Arial" w:eastAsia="Arial" w:hAnsi="Arial" w:cs="Arial"/>
                <w:b/>
                <w:sz w:val="22"/>
                <w:szCs w:val="22"/>
                <w:lang w:eastAsia="en-US"/>
              </w:rPr>
            </w:pPr>
          </w:p>
        </w:tc>
        <w:tc>
          <w:tcPr>
            <w:tcW w:w="1984" w:type="dxa"/>
            <w:shd w:val="clear" w:color="auto" w:fill="DBE5F1"/>
          </w:tcPr>
          <w:p w14:paraId="744A9865" w14:textId="77777777" w:rsidR="006154DD" w:rsidRPr="00BC0DCF" w:rsidRDefault="006154DD" w:rsidP="0093689D">
            <w:pPr>
              <w:spacing w:before="120" w:after="120" w:line="276" w:lineRule="auto"/>
              <w:rPr>
                <w:rFonts w:ascii="Arial" w:eastAsia="Arial" w:hAnsi="Arial" w:cs="Arial"/>
                <w:b/>
                <w:sz w:val="22"/>
                <w:szCs w:val="22"/>
                <w:lang w:eastAsia="en-US"/>
              </w:rPr>
            </w:pPr>
            <w:r>
              <w:rPr>
                <w:rFonts w:ascii="Arial" w:eastAsia="Arial" w:hAnsi="Arial" w:cs="Arial"/>
                <w:b/>
                <w:sz w:val="22"/>
                <w:szCs w:val="22"/>
                <w:lang w:eastAsia="en-US"/>
              </w:rPr>
              <w:t>09</w:t>
            </w:r>
            <w:r w:rsidRPr="00BC0DCF">
              <w:rPr>
                <w:rFonts w:ascii="Arial" w:eastAsia="Arial" w:hAnsi="Arial" w:cs="Arial"/>
                <w:b/>
                <w:sz w:val="22"/>
                <w:szCs w:val="22"/>
                <w:lang w:eastAsia="en-US"/>
              </w:rPr>
              <w:t>/2029</w:t>
            </w:r>
          </w:p>
        </w:tc>
      </w:tr>
    </w:tbl>
    <w:p w14:paraId="670C79AA" w14:textId="77777777" w:rsidR="006154DD" w:rsidRPr="00BC0DCF" w:rsidRDefault="006154DD" w:rsidP="006154DD">
      <w:pPr>
        <w:spacing w:after="120" w:line="276" w:lineRule="auto"/>
        <w:jc w:val="both"/>
        <w:rPr>
          <w:rFonts w:ascii="Arial" w:hAnsi="Arial" w:cs="Arial"/>
          <w:sz w:val="22"/>
          <w:szCs w:val="22"/>
          <w:lang w:eastAsia="en-US"/>
        </w:rPr>
      </w:pPr>
    </w:p>
    <w:p w14:paraId="64A462AC" w14:textId="77777777" w:rsidR="006154DD" w:rsidRPr="00BC0DCF" w:rsidRDefault="006154DD" w:rsidP="006154DD">
      <w:pPr>
        <w:spacing w:after="120" w:line="276" w:lineRule="auto"/>
        <w:jc w:val="both"/>
        <w:rPr>
          <w:rFonts w:ascii="Arial" w:hAnsi="Arial" w:cs="Arial"/>
          <w:sz w:val="22"/>
          <w:szCs w:val="22"/>
        </w:rPr>
      </w:pPr>
      <w:r w:rsidRPr="00BC0DCF">
        <w:rPr>
          <w:rFonts w:ascii="Arial" w:hAnsi="Arial" w:cs="Arial"/>
          <w:sz w:val="22"/>
          <w:szCs w:val="22"/>
        </w:rPr>
        <w:t>Celotna izvedba investicije na obravnavanem območju se je začela z odkupom nepremičnine ob Govekarjevi v letu 2023 in se bo izvajala do predvidoma marca 2029, ko se predvideva zaključek projekta in predaja namenu.</w:t>
      </w:r>
    </w:p>
    <w:p w14:paraId="116A3A40" w14:textId="77777777" w:rsidR="006154DD" w:rsidRPr="00BC0DCF" w:rsidRDefault="006154DD" w:rsidP="006154DD">
      <w:pPr>
        <w:spacing w:after="120" w:line="276" w:lineRule="auto"/>
        <w:jc w:val="both"/>
        <w:rPr>
          <w:rFonts w:ascii="Arial" w:hAnsi="Arial" w:cs="Arial"/>
          <w:sz w:val="22"/>
          <w:szCs w:val="22"/>
        </w:rPr>
      </w:pPr>
      <w:r w:rsidRPr="00BC0DCF">
        <w:rPr>
          <w:rFonts w:ascii="Arial" w:hAnsi="Arial" w:cs="Arial"/>
          <w:sz w:val="22"/>
          <w:szCs w:val="22"/>
        </w:rPr>
        <w:t>V letošnjem letu in v letu 2025 je predvidena izdelava projektne dokumentacije in vloge za pridobitev nepovratnih sredstev. V letu 2026 sledi objava javnih naročil in izbire izvajalcev ter začetek fizične izvedbe investicije. Sama izvedba po posameznih ukrepih je odvisna tudi od organizacija izbranega izvajalca GOI del. V prvi polovici leta 2029 je predviden zaključek gradbenih posegov in predaja objekta namenu.</w:t>
      </w:r>
    </w:p>
    <w:p w14:paraId="334973F4" w14:textId="77777777" w:rsidR="006154DD" w:rsidRPr="00BC0DCF" w:rsidRDefault="006154DD" w:rsidP="006154DD">
      <w:pPr>
        <w:spacing w:after="120" w:line="276" w:lineRule="auto"/>
        <w:jc w:val="both"/>
        <w:rPr>
          <w:rFonts w:ascii="Arial" w:hAnsi="Arial" w:cs="Arial"/>
          <w:sz w:val="22"/>
          <w:szCs w:val="22"/>
        </w:rPr>
      </w:pPr>
    </w:p>
    <w:p w14:paraId="23F23527" w14:textId="77777777" w:rsidR="006154DD" w:rsidRPr="00BC0DCF" w:rsidRDefault="006154DD" w:rsidP="006154DD">
      <w:pPr>
        <w:spacing w:after="120" w:line="276" w:lineRule="auto"/>
        <w:ind w:left="1410" w:hanging="1410"/>
        <w:jc w:val="both"/>
        <w:rPr>
          <w:rFonts w:ascii="Arial" w:hAnsi="Arial" w:cs="Arial"/>
          <w:b/>
          <w:sz w:val="22"/>
          <w:szCs w:val="22"/>
        </w:rPr>
        <w:sectPr w:rsidR="006154DD" w:rsidRPr="00BC0DCF" w:rsidSect="006154DD">
          <w:pgSz w:w="11906" w:h="16838" w:code="9"/>
          <w:pgMar w:top="1134" w:right="1417" w:bottom="1417" w:left="1134" w:header="708" w:footer="708" w:gutter="0"/>
          <w:cols w:space="708"/>
          <w:titlePg/>
          <w:docGrid w:linePitch="360"/>
        </w:sectPr>
      </w:pPr>
      <w:bookmarkStart w:id="280" w:name="_Toc1955845"/>
    </w:p>
    <w:p w14:paraId="1DEDE705" w14:textId="053DC95C" w:rsidR="006154DD" w:rsidRDefault="006154DD" w:rsidP="006154DD">
      <w:pPr>
        <w:spacing w:after="120" w:line="276" w:lineRule="auto"/>
        <w:ind w:left="1410" w:hanging="1410"/>
        <w:jc w:val="both"/>
        <w:rPr>
          <w:rFonts w:ascii="Arial" w:hAnsi="Arial" w:cs="Arial"/>
          <w:sz w:val="22"/>
          <w:szCs w:val="22"/>
        </w:rPr>
      </w:pPr>
      <w:bookmarkStart w:id="281" w:name="_Toc209029184"/>
      <w:bookmarkStart w:id="282" w:name="_Toc209277216"/>
      <w:bookmarkStart w:id="283" w:name="_Toc209528300"/>
      <w:r w:rsidRPr="00BC0DCF">
        <w:rPr>
          <w:rFonts w:ascii="Arial" w:hAnsi="Arial" w:cs="Arial"/>
          <w:b/>
          <w:sz w:val="22"/>
          <w:szCs w:val="22"/>
        </w:rPr>
        <w:lastRenderedPageBreak/>
        <w:t xml:space="preserve">Tabela </w:t>
      </w:r>
      <w:r w:rsidRPr="00BC0DCF">
        <w:rPr>
          <w:rFonts w:ascii="Arial" w:hAnsi="Arial" w:cs="Arial"/>
          <w:b/>
          <w:sz w:val="22"/>
          <w:szCs w:val="22"/>
        </w:rPr>
        <w:fldChar w:fldCharType="begin"/>
      </w:r>
      <w:r w:rsidRPr="00BC0DCF">
        <w:rPr>
          <w:rFonts w:ascii="Arial" w:hAnsi="Arial" w:cs="Arial"/>
          <w:b/>
          <w:sz w:val="22"/>
          <w:szCs w:val="22"/>
        </w:rPr>
        <w:instrText xml:space="preserve"> SEQ Tabela \* ARABIC </w:instrText>
      </w:r>
      <w:r w:rsidRPr="00BC0DCF">
        <w:rPr>
          <w:rFonts w:ascii="Arial" w:hAnsi="Arial" w:cs="Arial"/>
          <w:b/>
          <w:sz w:val="22"/>
          <w:szCs w:val="22"/>
        </w:rPr>
        <w:fldChar w:fldCharType="separate"/>
      </w:r>
      <w:r w:rsidR="00E74D26">
        <w:rPr>
          <w:rFonts w:ascii="Arial" w:hAnsi="Arial" w:cs="Arial"/>
          <w:b/>
          <w:noProof/>
          <w:sz w:val="22"/>
          <w:szCs w:val="22"/>
        </w:rPr>
        <w:t>14</w:t>
      </w:r>
      <w:r w:rsidRPr="00BC0DCF">
        <w:rPr>
          <w:rFonts w:ascii="Arial" w:hAnsi="Arial" w:cs="Arial"/>
          <w:b/>
          <w:sz w:val="22"/>
          <w:szCs w:val="22"/>
        </w:rPr>
        <w:fldChar w:fldCharType="end"/>
      </w:r>
      <w:r w:rsidRPr="00BC0DCF">
        <w:rPr>
          <w:rFonts w:ascii="Arial" w:hAnsi="Arial" w:cs="Arial"/>
          <w:b/>
          <w:sz w:val="22"/>
          <w:szCs w:val="22"/>
        </w:rPr>
        <w:t xml:space="preserve">: </w:t>
      </w:r>
      <w:r w:rsidRPr="00BC0DCF">
        <w:rPr>
          <w:rFonts w:ascii="Arial" w:hAnsi="Arial" w:cs="Arial"/>
          <w:sz w:val="22"/>
          <w:szCs w:val="22"/>
        </w:rPr>
        <w:t>Finančni terminski plan investicije</w:t>
      </w:r>
      <w:bookmarkEnd w:id="280"/>
      <w:r w:rsidRPr="00BC0DCF">
        <w:rPr>
          <w:rFonts w:ascii="Arial" w:hAnsi="Arial" w:cs="Arial"/>
          <w:sz w:val="22"/>
          <w:szCs w:val="22"/>
        </w:rPr>
        <w:t xml:space="preserve"> v stalnih cenah</w:t>
      </w:r>
      <w:bookmarkEnd w:id="281"/>
      <w:bookmarkEnd w:id="282"/>
      <w:bookmarkEnd w:id="283"/>
      <w:r w:rsidRPr="00BC0DCF">
        <w:rPr>
          <w:rFonts w:ascii="Arial" w:hAnsi="Arial" w:cs="Arial"/>
          <w:sz w:val="22"/>
          <w:szCs w:val="22"/>
        </w:rPr>
        <w:t xml:space="preserve"> </w:t>
      </w:r>
    </w:p>
    <w:tbl>
      <w:tblPr>
        <w:tblW w:w="5112" w:type="pct"/>
        <w:tblLayout w:type="fixed"/>
        <w:tblCellMar>
          <w:left w:w="70" w:type="dxa"/>
          <w:right w:w="70" w:type="dxa"/>
        </w:tblCellMar>
        <w:tblLook w:val="04A0" w:firstRow="1" w:lastRow="0" w:firstColumn="1" w:lastColumn="0" w:noHBand="0" w:noVBand="1"/>
      </w:tblPr>
      <w:tblGrid>
        <w:gridCol w:w="3977"/>
        <w:gridCol w:w="1548"/>
        <w:gridCol w:w="932"/>
        <w:gridCol w:w="1334"/>
        <w:gridCol w:w="1419"/>
        <w:gridCol w:w="1276"/>
        <w:gridCol w:w="1276"/>
        <w:gridCol w:w="1559"/>
        <w:gridCol w:w="1276"/>
      </w:tblGrid>
      <w:tr w:rsidR="004725DB" w:rsidRPr="004725DB" w14:paraId="60479D30" w14:textId="77777777" w:rsidTr="002E10AB">
        <w:trPr>
          <w:trHeight w:val="227"/>
        </w:trPr>
        <w:tc>
          <w:tcPr>
            <w:tcW w:w="1362"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1DCBBA38" w14:textId="77777777" w:rsidR="004725DB" w:rsidRPr="004725DB" w:rsidRDefault="004725DB">
            <w:pPr>
              <w:rPr>
                <w:rFonts w:ascii="Arial" w:hAnsi="Arial" w:cs="Arial"/>
                <w:b/>
                <w:bCs/>
                <w:color w:val="FFFFFF"/>
                <w:sz w:val="20"/>
                <w:szCs w:val="20"/>
              </w:rPr>
            </w:pPr>
            <w:r w:rsidRPr="004725DB">
              <w:rPr>
                <w:rFonts w:ascii="Arial" w:hAnsi="Arial" w:cs="Arial"/>
                <w:b/>
                <w:bCs/>
                <w:color w:val="FFFFFF"/>
                <w:sz w:val="20"/>
                <w:szCs w:val="20"/>
              </w:rPr>
              <w:t>Postavka</w:t>
            </w:r>
          </w:p>
        </w:tc>
        <w:tc>
          <w:tcPr>
            <w:tcW w:w="530" w:type="pct"/>
            <w:tcBorders>
              <w:top w:val="single" w:sz="4" w:space="0" w:color="auto"/>
              <w:left w:val="nil"/>
              <w:bottom w:val="single" w:sz="4" w:space="0" w:color="auto"/>
              <w:right w:val="single" w:sz="4" w:space="0" w:color="auto"/>
            </w:tcBorders>
            <w:shd w:val="clear" w:color="000000" w:fill="153D64"/>
            <w:noWrap/>
            <w:vAlign w:val="bottom"/>
            <w:hideMark/>
          </w:tcPr>
          <w:p w14:paraId="2BB3AED7" w14:textId="77777777" w:rsidR="004725DB" w:rsidRPr="004725DB" w:rsidRDefault="004725DB">
            <w:pPr>
              <w:rPr>
                <w:rFonts w:ascii="Arial" w:hAnsi="Arial" w:cs="Arial"/>
                <w:b/>
                <w:bCs/>
                <w:color w:val="FFFFFF"/>
                <w:sz w:val="20"/>
                <w:szCs w:val="20"/>
              </w:rPr>
            </w:pPr>
            <w:r w:rsidRPr="004725DB">
              <w:rPr>
                <w:rFonts w:ascii="Arial" w:hAnsi="Arial" w:cs="Arial"/>
                <w:b/>
                <w:bCs/>
                <w:color w:val="FFFFFF"/>
                <w:sz w:val="20"/>
                <w:szCs w:val="20"/>
              </w:rPr>
              <w:t>Vrednost</w:t>
            </w:r>
          </w:p>
        </w:tc>
        <w:tc>
          <w:tcPr>
            <w:tcW w:w="319" w:type="pct"/>
            <w:tcBorders>
              <w:top w:val="single" w:sz="4" w:space="0" w:color="auto"/>
              <w:left w:val="nil"/>
              <w:bottom w:val="single" w:sz="4" w:space="0" w:color="auto"/>
              <w:right w:val="single" w:sz="4" w:space="0" w:color="auto"/>
            </w:tcBorders>
            <w:shd w:val="clear" w:color="000000" w:fill="153D64"/>
            <w:noWrap/>
            <w:vAlign w:val="bottom"/>
            <w:hideMark/>
          </w:tcPr>
          <w:p w14:paraId="2747464C" w14:textId="77777777" w:rsidR="004725DB" w:rsidRPr="004725DB" w:rsidRDefault="004725DB">
            <w:pPr>
              <w:rPr>
                <w:rFonts w:ascii="Arial" w:hAnsi="Arial" w:cs="Arial"/>
                <w:b/>
                <w:bCs/>
                <w:color w:val="FFFFFF"/>
                <w:sz w:val="20"/>
                <w:szCs w:val="20"/>
              </w:rPr>
            </w:pPr>
            <w:r w:rsidRPr="004725DB">
              <w:rPr>
                <w:rFonts w:ascii="Arial" w:hAnsi="Arial" w:cs="Arial"/>
                <w:b/>
                <w:bCs/>
                <w:color w:val="FFFFFF"/>
                <w:sz w:val="20"/>
                <w:szCs w:val="20"/>
              </w:rPr>
              <w:t>Delež</w:t>
            </w:r>
          </w:p>
        </w:tc>
        <w:tc>
          <w:tcPr>
            <w:tcW w:w="457" w:type="pct"/>
            <w:tcBorders>
              <w:top w:val="single" w:sz="4" w:space="0" w:color="auto"/>
              <w:left w:val="nil"/>
              <w:bottom w:val="single" w:sz="4" w:space="0" w:color="auto"/>
              <w:right w:val="single" w:sz="4" w:space="0" w:color="auto"/>
            </w:tcBorders>
            <w:shd w:val="clear" w:color="000000" w:fill="153D64"/>
            <w:noWrap/>
            <w:vAlign w:val="bottom"/>
            <w:hideMark/>
          </w:tcPr>
          <w:p w14:paraId="7460A36E"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2024</w:t>
            </w:r>
          </w:p>
        </w:tc>
        <w:tc>
          <w:tcPr>
            <w:tcW w:w="486" w:type="pct"/>
            <w:tcBorders>
              <w:top w:val="single" w:sz="4" w:space="0" w:color="auto"/>
              <w:left w:val="nil"/>
              <w:bottom w:val="single" w:sz="4" w:space="0" w:color="auto"/>
              <w:right w:val="single" w:sz="4" w:space="0" w:color="auto"/>
            </w:tcBorders>
            <w:shd w:val="clear" w:color="000000" w:fill="153D64"/>
            <w:noWrap/>
            <w:vAlign w:val="bottom"/>
            <w:hideMark/>
          </w:tcPr>
          <w:p w14:paraId="3A6A9A4A"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2025</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26ADCEF1"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2026</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74E8C705"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2027</w:t>
            </w:r>
          </w:p>
        </w:tc>
        <w:tc>
          <w:tcPr>
            <w:tcW w:w="534" w:type="pct"/>
            <w:tcBorders>
              <w:top w:val="single" w:sz="4" w:space="0" w:color="auto"/>
              <w:left w:val="nil"/>
              <w:bottom w:val="single" w:sz="4" w:space="0" w:color="auto"/>
              <w:right w:val="single" w:sz="4" w:space="0" w:color="auto"/>
            </w:tcBorders>
            <w:shd w:val="clear" w:color="000000" w:fill="153D64"/>
            <w:noWrap/>
            <w:vAlign w:val="bottom"/>
            <w:hideMark/>
          </w:tcPr>
          <w:p w14:paraId="2127F1FF"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2028</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147B7BC3" w14:textId="77777777" w:rsidR="004725DB" w:rsidRPr="004725DB" w:rsidRDefault="004725DB">
            <w:pPr>
              <w:jc w:val="right"/>
              <w:rPr>
                <w:rFonts w:ascii="Arial" w:hAnsi="Arial" w:cs="Arial"/>
                <w:b/>
                <w:bCs/>
                <w:color w:val="FFFFFF"/>
                <w:sz w:val="20"/>
                <w:szCs w:val="20"/>
              </w:rPr>
            </w:pPr>
            <w:r w:rsidRPr="004725DB">
              <w:rPr>
                <w:rFonts w:ascii="Arial" w:hAnsi="Arial" w:cs="Arial"/>
                <w:b/>
                <w:bCs/>
                <w:color w:val="FFFFFF"/>
                <w:sz w:val="20"/>
                <w:szCs w:val="20"/>
              </w:rPr>
              <w:t>2029</w:t>
            </w:r>
          </w:p>
        </w:tc>
      </w:tr>
      <w:tr w:rsidR="004725DB" w:rsidRPr="004725DB" w14:paraId="48FE0B82"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366620DE"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Govekarjeva cesta</w:t>
            </w:r>
          </w:p>
        </w:tc>
        <w:tc>
          <w:tcPr>
            <w:tcW w:w="530" w:type="pct"/>
            <w:tcBorders>
              <w:top w:val="nil"/>
              <w:left w:val="nil"/>
              <w:bottom w:val="single" w:sz="4" w:space="0" w:color="auto"/>
              <w:right w:val="single" w:sz="4" w:space="0" w:color="auto"/>
            </w:tcBorders>
            <w:noWrap/>
            <w:vAlign w:val="bottom"/>
            <w:hideMark/>
          </w:tcPr>
          <w:p w14:paraId="0707A3B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671.438,32</w:t>
            </w:r>
          </w:p>
        </w:tc>
        <w:tc>
          <w:tcPr>
            <w:tcW w:w="319" w:type="pct"/>
            <w:tcBorders>
              <w:top w:val="nil"/>
              <w:left w:val="nil"/>
              <w:bottom w:val="single" w:sz="4" w:space="0" w:color="auto"/>
              <w:right w:val="single" w:sz="4" w:space="0" w:color="auto"/>
            </w:tcBorders>
            <w:noWrap/>
            <w:vAlign w:val="bottom"/>
            <w:hideMark/>
          </w:tcPr>
          <w:p w14:paraId="4B21614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19,18%</w:t>
            </w:r>
          </w:p>
        </w:tc>
        <w:tc>
          <w:tcPr>
            <w:tcW w:w="457" w:type="pct"/>
            <w:tcBorders>
              <w:top w:val="nil"/>
              <w:left w:val="nil"/>
              <w:bottom w:val="single" w:sz="4" w:space="0" w:color="auto"/>
              <w:right w:val="single" w:sz="4" w:space="0" w:color="auto"/>
            </w:tcBorders>
            <w:noWrap/>
            <w:vAlign w:val="bottom"/>
            <w:hideMark/>
          </w:tcPr>
          <w:p w14:paraId="5A9CBB0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9C0C3A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31EC70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EC5CD2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250.000,00</w:t>
            </w:r>
          </w:p>
        </w:tc>
        <w:tc>
          <w:tcPr>
            <w:tcW w:w="534" w:type="pct"/>
            <w:tcBorders>
              <w:top w:val="nil"/>
              <w:left w:val="nil"/>
              <w:bottom w:val="single" w:sz="4" w:space="0" w:color="auto"/>
              <w:right w:val="single" w:sz="4" w:space="0" w:color="auto"/>
            </w:tcBorders>
            <w:noWrap/>
            <w:vAlign w:val="bottom"/>
            <w:hideMark/>
          </w:tcPr>
          <w:p w14:paraId="155B3B5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421.438,32</w:t>
            </w:r>
          </w:p>
        </w:tc>
        <w:tc>
          <w:tcPr>
            <w:tcW w:w="437" w:type="pct"/>
            <w:tcBorders>
              <w:top w:val="nil"/>
              <w:left w:val="nil"/>
              <w:bottom w:val="single" w:sz="4" w:space="0" w:color="auto"/>
              <w:right w:val="single" w:sz="4" w:space="0" w:color="auto"/>
            </w:tcBorders>
            <w:noWrap/>
            <w:vAlign w:val="bottom"/>
            <w:hideMark/>
          </w:tcPr>
          <w:p w14:paraId="67FF521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E2F90A8"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550C666C"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Troštova ulica</w:t>
            </w:r>
          </w:p>
        </w:tc>
        <w:tc>
          <w:tcPr>
            <w:tcW w:w="530" w:type="pct"/>
            <w:tcBorders>
              <w:top w:val="nil"/>
              <w:left w:val="nil"/>
              <w:bottom w:val="single" w:sz="4" w:space="0" w:color="auto"/>
              <w:right w:val="single" w:sz="4" w:space="0" w:color="auto"/>
            </w:tcBorders>
            <w:noWrap/>
            <w:vAlign w:val="bottom"/>
            <w:hideMark/>
          </w:tcPr>
          <w:p w14:paraId="57C2222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159.251,45</w:t>
            </w:r>
          </w:p>
        </w:tc>
        <w:tc>
          <w:tcPr>
            <w:tcW w:w="319" w:type="pct"/>
            <w:tcBorders>
              <w:top w:val="nil"/>
              <w:left w:val="nil"/>
              <w:bottom w:val="single" w:sz="4" w:space="0" w:color="auto"/>
              <w:right w:val="single" w:sz="4" w:space="0" w:color="auto"/>
            </w:tcBorders>
            <w:noWrap/>
            <w:vAlign w:val="bottom"/>
            <w:hideMark/>
          </w:tcPr>
          <w:p w14:paraId="4DA5726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4,55%</w:t>
            </w:r>
          </w:p>
        </w:tc>
        <w:tc>
          <w:tcPr>
            <w:tcW w:w="457" w:type="pct"/>
            <w:tcBorders>
              <w:top w:val="nil"/>
              <w:left w:val="nil"/>
              <w:bottom w:val="single" w:sz="4" w:space="0" w:color="auto"/>
              <w:right w:val="single" w:sz="4" w:space="0" w:color="auto"/>
            </w:tcBorders>
            <w:noWrap/>
            <w:vAlign w:val="bottom"/>
            <w:hideMark/>
          </w:tcPr>
          <w:p w14:paraId="5F23E99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FC5E4F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5EE4CD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205F3D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159.251,45</w:t>
            </w:r>
          </w:p>
        </w:tc>
        <w:tc>
          <w:tcPr>
            <w:tcW w:w="534" w:type="pct"/>
            <w:tcBorders>
              <w:top w:val="nil"/>
              <w:left w:val="nil"/>
              <w:bottom w:val="single" w:sz="4" w:space="0" w:color="auto"/>
              <w:right w:val="single" w:sz="4" w:space="0" w:color="auto"/>
            </w:tcBorders>
            <w:noWrap/>
            <w:vAlign w:val="bottom"/>
            <w:hideMark/>
          </w:tcPr>
          <w:p w14:paraId="3967AFD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9D1517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7FA87062"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1CD66FC"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Križišče Govekarjeva-Troštova</w:t>
            </w:r>
          </w:p>
        </w:tc>
        <w:tc>
          <w:tcPr>
            <w:tcW w:w="530" w:type="pct"/>
            <w:tcBorders>
              <w:top w:val="nil"/>
              <w:left w:val="nil"/>
              <w:bottom w:val="single" w:sz="4" w:space="0" w:color="auto"/>
              <w:right w:val="single" w:sz="4" w:space="0" w:color="auto"/>
            </w:tcBorders>
            <w:noWrap/>
            <w:vAlign w:val="bottom"/>
            <w:hideMark/>
          </w:tcPr>
          <w:p w14:paraId="0FF47EE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154.956,84</w:t>
            </w:r>
          </w:p>
        </w:tc>
        <w:tc>
          <w:tcPr>
            <w:tcW w:w="319" w:type="pct"/>
            <w:tcBorders>
              <w:top w:val="nil"/>
              <w:left w:val="nil"/>
              <w:bottom w:val="single" w:sz="4" w:space="0" w:color="auto"/>
              <w:right w:val="single" w:sz="4" w:space="0" w:color="auto"/>
            </w:tcBorders>
            <w:noWrap/>
            <w:vAlign w:val="bottom"/>
            <w:hideMark/>
          </w:tcPr>
          <w:p w14:paraId="31B4537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4,43%</w:t>
            </w:r>
          </w:p>
        </w:tc>
        <w:tc>
          <w:tcPr>
            <w:tcW w:w="457" w:type="pct"/>
            <w:tcBorders>
              <w:top w:val="nil"/>
              <w:left w:val="nil"/>
              <w:bottom w:val="single" w:sz="4" w:space="0" w:color="auto"/>
              <w:right w:val="single" w:sz="4" w:space="0" w:color="auto"/>
            </w:tcBorders>
            <w:noWrap/>
            <w:vAlign w:val="bottom"/>
            <w:hideMark/>
          </w:tcPr>
          <w:p w14:paraId="6DF2818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0B60D41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CB5567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3C3D4F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154.956,84</w:t>
            </w:r>
          </w:p>
        </w:tc>
        <w:tc>
          <w:tcPr>
            <w:tcW w:w="534" w:type="pct"/>
            <w:tcBorders>
              <w:top w:val="nil"/>
              <w:left w:val="nil"/>
              <w:bottom w:val="single" w:sz="4" w:space="0" w:color="auto"/>
              <w:right w:val="single" w:sz="4" w:space="0" w:color="auto"/>
            </w:tcBorders>
            <w:noWrap/>
            <w:vAlign w:val="bottom"/>
            <w:hideMark/>
          </w:tcPr>
          <w:p w14:paraId="3ACE2CF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29F2DB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E6AE62C"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7BEC4952"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Javni sistem izposoje koles</w:t>
            </w:r>
          </w:p>
        </w:tc>
        <w:tc>
          <w:tcPr>
            <w:tcW w:w="530" w:type="pct"/>
            <w:tcBorders>
              <w:top w:val="nil"/>
              <w:left w:val="nil"/>
              <w:bottom w:val="single" w:sz="4" w:space="0" w:color="auto"/>
              <w:right w:val="single" w:sz="4" w:space="0" w:color="auto"/>
            </w:tcBorders>
            <w:noWrap/>
            <w:vAlign w:val="bottom"/>
            <w:hideMark/>
          </w:tcPr>
          <w:p w14:paraId="32C5DA6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54.892,00</w:t>
            </w:r>
          </w:p>
        </w:tc>
        <w:tc>
          <w:tcPr>
            <w:tcW w:w="319" w:type="pct"/>
            <w:tcBorders>
              <w:top w:val="nil"/>
              <w:left w:val="nil"/>
              <w:bottom w:val="single" w:sz="4" w:space="0" w:color="auto"/>
              <w:right w:val="single" w:sz="4" w:space="0" w:color="auto"/>
            </w:tcBorders>
            <w:noWrap/>
            <w:vAlign w:val="bottom"/>
            <w:hideMark/>
          </w:tcPr>
          <w:p w14:paraId="6B57A45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1,57%</w:t>
            </w:r>
          </w:p>
        </w:tc>
        <w:tc>
          <w:tcPr>
            <w:tcW w:w="457" w:type="pct"/>
            <w:tcBorders>
              <w:top w:val="nil"/>
              <w:left w:val="nil"/>
              <w:bottom w:val="single" w:sz="4" w:space="0" w:color="auto"/>
              <w:right w:val="single" w:sz="4" w:space="0" w:color="auto"/>
            </w:tcBorders>
            <w:noWrap/>
            <w:vAlign w:val="bottom"/>
            <w:hideMark/>
          </w:tcPr>
          <w:p w14:paraId="1C49578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4B0BF6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BAC6E1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108831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54.892,00</w:t>
            </w:r>
          </w:p>
        </w:tc>
        <w:tc>
          <w:tcPr>
            <w:tcW w:w="534" w:type="pct"/>
            <w:tcBorders>
              <w:top w:val="nil"/>
              <w:left w:val="nil"/>
              <w:bottom w:val="single" w:sz="4" w:space="0" w:color="auto"/>
              <w:right w:val="single" w:sz="4" w:space="0" w:color="auto"/>
            </w:tcBorders>
            <w:noWrap/>
            <w:vAlign w:val="bottom"/>
            <w:hideMark/>
          </w:tcPr>
          <w:p w14:paraId="2E9999D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5AFA57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3820BEBF"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760D0511"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Parkirišča za kolesa - Govekarjeva cesta</w:t>
            </w:r>
          </w:p>
        </w:tc>
        <w:tc>
          <w:tcPr>
            <w:tcW w:w="530" w:type="pct"/>
            <w:tcBorders>
              <w:top w:val="nil"/>
              <w:left w:val="nil"/>
              <w:bottom w:val="single" w:sz="4" w:space="0" w:color="auto"/>
              <w:right w:val="single" w:sz="4" w:space="0" w:color="auto"/>
            </w:tcBorders>
            <w:noWrap/>
            <w:vAlign w:val="bottom"/>
            <w:hideMark/>
          </w:tcPr>
          <w:p w14:paraId="6C884A4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319" w:type="pct"/>
            <w:tcBorders>
              <w:top w:val="nil"/>
              <w:left w:val="nil"/>
              <w:bottom w:val="single" w:sz="4" w:space="0" w:color="auto"/>
              <w:right w:val="single" w:sz="4" w:space="0" w:color="auto"/>
            </w:tcBorders>
            <w:noWrap/>
            <w:vAlign w:val="bottom"/>
            <w:hideMark/>
          </w:tcPr>
          <w:p w14:paraId="439624E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0,18%</w:t>
            </w:r>
          </w:p>
        </w:tc>
        <w:tc>
          <w:tcPr>
            <w:tcW w:w="457" w:type="pct"/>
            <w:tcBorders>
              <w:top w:val="nil"/>
              <w:left w:val="nil"/>
              <w:bottom w:val="single" w:sz="4" w:space="0" w:color="auto"/>
              <w:right w:val="single" w:sz="4" w:space="0" w:color="auto"/>
            </w:tcBorders>
            <w:noWrap/>
            <w:vAlign w:val="bottom"/>
            <w:hideMark/>
          </w:tcPr>
          <w:p w14:paraId="721200F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7BCD2A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1EA74D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A910E9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534" w:type="pct"/>
            <w:tcBorders>
              <w:top w:val="nil"/>
              <w:left w:val="nil"/>
              <w:bottom w:val="single" w:sz="4" w:space="0" w:color="auto"/>
              <w:right w:val="single" w:sz="4" w:space="0" w:color="auto"/>
            </w:tcBorders>
            <w:noWrap/>
            <w:vAlign w:val="bottom"/>
            <w:hideMark/>
          </w:tcPr>
          <w:p w14:paraId="29EA3A7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9D2695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5A7BDF8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5B42746F"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Parkirišča za kolesa - staro župnišče</w:t>
            </w:r>
          </w:p>
        </w:tc>
        <w:tc>
          <w:tcPr>
            <w:tcW w:w="530" w:type="pct"/>
            <w:tcBorders>
              <w:top w:val="nil"/>
              <w:left w:val="nil"/>
              <w:bottom w:val="single" w:sz="4" w:space="0" w:color="auto"/>
              <w:right w:val="single" w:sz="4" w:space="0" w:color="auto"/>
            </w:tcBorders>
            <w:noWrap/>
            <w:vAlign w:val="bottom"/>
            <w:hideMark/>
          </w:tcPr>
          <w:p w14:paraId="1F79B85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319" w:type="pct"/>
            <w:tcBorders>
              <w:top w:val="nil"/>
              <w:left w:val="nil"/>
              <w:bottom w:val="single" w:sz="4" w:space="0" w:color="auto"/>
              <w:right w:val="single" w:sz="4" w:space="0" w:color="auto"/>
            </w:tcBorders>
            <w:noWrap/>
            <w:vAlign w:val="bottom"/>
            <w:hideMark/>
          </w:tcPr>
          <w:p w14:paraId="1BA2B32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0,18%</w:t>
            </w:r>
          </w:p>
        </w:tc>
        <w:tc>
          <w:tcPr>
            <w:tcW w:w="457" w:type="pct"/>
            <w:tcBorders>
              <w:top w:val="nil"/>
              <w:left w:val="nil"/>
              <w:bottom w:val="single" w:sz="4" w:space="0" w:color="auto"/>
              <w:right w:val="single" w:sz="4" w:space="0" w:color="auto"/>
            </w:tcBorders>
            <w:noWrap/>
            <w:vAlign w:val="bottom"/>
            <w:hideMark/>
          </w:tcPr>
          <w:p w14:paraId="4BBFEA8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1C955DE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940B32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2267EA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09D63E3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437" w:type="pct"/>
            <w:tcBorders>
              <w:top w:val="nil"/>
              <w:left w:val="nil"/>
              <w:bottom w:val="single" w:sz="4" w:space="0" w:color="auto"/>
              <w:right w:val="single" w:sz="4" w:space="0" w:color="auto"/>
            </w:tcBorders>
            <w:noWrap/>
            <w:vAlign w:val="bottom"/>
            <w:hideMark/>
          </w:tcPr>
          <w:p w14:paraId="7B1E750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3300E02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5D3B76E4"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Parkirišča za kolesa - trg (kolesarnica)</w:t>
            </w:r>
          </w:p>
        </w:tc>
        <w:tc>
          <w:tcPr>
            <w:tcW w:w="530" w:type="pct"/>
            <w:tcBorders>
              <w:top w:val="nil"/>
              <w:left w:val="nil"/>
              <w:bottom w:val="single" w:sz="4" w:space="0" w:color="auto"/>
              <w:right w:val="single" w:sz="4" w:space="0" w:color="auto"/>
            </w:tcBorders>
            <w:noWrap/>
            <w:vAlign w:val="bottom"/>
            <w:hideMark/>
          </w:tcPr>
          <w:p w14:paraId="4D4CE6C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60.946,04</w:t>
            </w:r>
          </w:p>
        </w:tc>
        <w:tc>
          <w:tcPr>
            <w:tcW w:w="319" w:type="pct"/>
            <w:tcBorders>
              <w:top w:val="nil"/>
              <w:left w:val="nil"/>
              <w:bottom w:val="single" w:sz="4" w:space="0" w:color="auto"/>
              <w:right w:val="single" w:sz="4" w:space="0" w:color="auto"/>
            </w:tcBorders>
            <w:noWrap/>
            <w:vAlign w:val="bottom"/>
            <w:hideMark/>
          </w:tcPr>
          <w:p w14:paraId="1A3EA4A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1,74%</w:t>
            </w:r>
          </w:p>
        </w:tc>
        <w:tc>
          <w:tcPr>
            <w:tcW w:w="457" w:type="pct"/>
            <w:tcBorders>
              <w:top w:val="nil"/>
              <w:left w:val="nil"/>
              <w:bottom w:val="single" w:sz="4" w:space="0" w:color="auto"/>
              <w:right w:val="single" w:sz="4" w:space="0" w:color="auto"/>
            </w:tcBorders>
            <w:noWrap/>
            <w:vAlign w:val="bottom"/>
            <w:hideMark/>
          </w:tcPr>
          <w:p w14:paraId="7040841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6197C1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ABA6EA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D34A11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715AD3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60.946,04</w:t>
            </w:r>
          </w:p>
        </w:tc>
        <w:tc>
          <w:tcPr>
            <w:tcW w:w="437" w:type="pct"/>
            <w:tcBorders>
              <w:top w:val="nil"/>
              <w:left w:val="nil"/>
              <w:bottom w:val="single" w:sz="4" w:space="0" w:color="auto"/>
              <w:right w:val="single" w:sz="4" w:space="0" w:color="auto"/>
            </w:tcBorders>
            <w:noWrap/>
            <w:vAlign w:val="bottom"/>
            <w:hideMark/>
          </w:tcPr>
          <w:p w14:paraId="35A26B7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1247AEF8"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43A46660"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Parkirišča za kolesa - telovadnica</w:t>
            </w:r>
          </w:p>
        </w:tc>
        <w:tc>
          <w:tcPr>
            <w:tcW w:w="530" w:type="pct"/>
            <w:tcBorders>
              <w:top w:val="nil"/>
              <w:left w:val="nil"/>
              <w:bottom w:val="single" w:sz="4" w:space="0" w:color="auto"/>
              <w:right w:val="single" w:sz="4" w:space="0" w:color="auto"/>
            </w:tcBorders>
            <w:noWrap/>
            <w:vAlign w:val="bottom"/>
            <w:hideMark/>
          </w:tcPr>
          <w:p w14:paraId="14F856C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319" w:type="pct"/>
            <w:tcBorders>
              <w:top w:val="nil"/>
              <w:left w:val="nil"/>
              <w:bottom w:val="single" w:sz="4" w:space="0" w:color="auto"/>
              <w:right w:val="single" w:sz="4" w:space="0" w:color="auto"/>
            </w:tcBorders>
            <w:noWrap/>
            <w:vAlign w:val="bottom"/>
            <w:hideMark/>
          </w:tcPr>
          <w:p w14:paraId="1625EB5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0,18%</w:t>
            </w:r>
          </w:p>
        </w:tc>
        <w:tc>
          <w:tcPr>
            <w:tcW w:w="457" w:type="pct"/>
            <w:tcBorders>
              <w:top w:val="nil"/>
              <w:left w:val="nil"/>
              <w:bottom w:val="single" w:sz="4" w:space="0" w:color="auto"/>
              <w:right w:val="single" w:sz="4" w:space="0" w:color="auto"/>
            </w:tcBorders>
            <w:noWrap/>
            <w:vAlign w:val="bottom"/>
            <w:hideMark/>
          </w:tcPr>
          <w:p w14:paraId="47C1E9F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53919D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AA0618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5C9985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534" w:type="pct"/>
            <w:tcBorders>
              <w:top w:val="nil"/>
              <w:left w:val="nil"/>
              <w:bottom w:val="single" w:sz="4" w:space="0" w:color="auto"/>
              <w:right w:val="single" w:sz="4" w:space="0" w:color="auto"/>
            </w:tcBorders>
            <w:noWrap/>
            <w:vAlign w:val="bottom"/>
            <w:hideMark/>
          </w:tcPr>
          <w:p w14:paraId="01E6DCF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0B8880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E0118CE"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63102793"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Parkirišča za kolesa - park</w:t>
            </w:r>
          </w:p>
        </w:tc>
        <w:tc>
          <w:tcPr>
            <w:tcW w:w="530" w:type="pct"/>
            <w:tcBorders>
              <w:top w:val="nil"/>
              <w:left w:val="nil"/>
              <w:bottom w:val="single" w:sz="4" w:space="0" w:color="auto"/>
              <w:right w:val="single" w:sz="4" w:space="0" w:color="auto"/>
            </w:tcBorders>
            <w:noWrap/>
            <w:vAlign w:val="bottom"/>
            <w:hideMark/>
          </w:tcPr>
          <w:p w14:paraId="7DCB172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319" w:type="pct"/>
            <w:tcBorders>
              <w:top w:val="nil"/>
              <w:left w:val="nil"/>
              <w:bottom w:val="single" w:sz="4" w:space="0" w:color="auto"/>
              <w:right w:val="single" w:sz="4" w:space="0" w:color="auto"/>
            </w:tcBorders>
            <w:noWrap/>
            <w:vAlign w:val="bottom"/>
            <w:hideMark/>
          </w:tcPr>
          <w:p w14:paraId="7345255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0,18%</w:t>
            </w:r>
          </w:p>
        </w:tc>
        <w:tc>
          <w:tcPr>
            <w:tcW w:w="457" w:type="pct"/>
            <w:tcBorders>
              <w:top w:val="nil"/>
              <w:left w:val="nil"/>
              <w:bottom w:val="single" w:sz="4" w:space="0" w:color="auto"/>
              <w:right w:val="single" w:sz="4" w:space="0" w:color="auto"/>
            </w:tcBorders>
            <w:noWrap/>
            <w:vAlign w:val="bottom"/>
            <w:hideMark/>
          </w:tcPr>
          <w:p w14:paraId="3EB5539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D54A67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383F30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81064A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6.250,00</w:t>
            </w:r>
          </w:p>
        </w:tc>
        <w:tc>
          <w:tcPr>
            <w:tcW w:w="534" w:type="pct"/>
            <w:tcBorders>
              <w:top w:val="nil"/>
              <w:left w:val="nil"/>
              <w:bottom w:val="single" w:sz="4" w:space="0" w:color="auto"/>
              <w:right w:val="single" w:sz="4" w:space="0" w:color="auto"/>
            </w:tcBorders>
            <w:noWrap/>
            <w:vAlign w:val="bottom"/>
            <w:hideMark/>
          </w:tcPr>
          <w:p w14:paraId="67F1810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6F0C6A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27993D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B217C84"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Merilniki, prikazovalniki in števci</w:t>
            </w:r>
          </w:p>
        </w:tc>
        <w:tc>
          <w:tcPr>
            <w:tcW w:w="530" w:type="pct"/>
            <w:tcBorders>
              <w:top w:val="nil"/>
              <w:left w:val="nil"/>
              <w:bottom w:val="single" w:sz="4" w:space="0" w:color="auto"/>
              <w:right w:val="single" w:sz="4" w:space="0" w:color="auto"/>
            </w:tcBorders>
            <w:noWrap/>
            <w:vAlign w:val="bottom"/>
            <w:hideMark/>
          </w:tcPr>
          <w:p w14:paraId="6EB29A1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47.399,00</w:t>
            </w:r>
          </w:p>
        </w:tc>
        <w:tc>
          <w:tcPr>
            <w:tcW w:w="319" w:type="pct"/>
            <w:tcBorders>
              <w:top w:val="nil"/>
              <w:left w:val="nil"/>
              <w:bottom w:val="single" w:sz="4" w:space="0" w:color="auto"/>
              <w:right w:val="single" w:sz="4" w:space="0" w:color="auto"/>
            </w:tcBorders>
            <w:noWrap/>
            <w:vAlign w:val="bottom"/>
            <w:hideMark/>
          </w:tcPr>
          <w:p w14:paraId="54CE186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1,35%</w:t>
            </w:r>
          </w:p>
        </w:tc>
        <w:tc>
          <w:tcPr>
            <w:tcW w:w="457" w:type="pct"/>
            <w:tcBorders>
              <w:top w:val="nil"/>
              <w:left w:val="nil"/>
              <w:bottom w:val="single" w:sz="4" w:space="0" w:color="auto"/>
              <w:right w:val="single" w:sz="4" w:space="0" w:color="auto"/>
            </w:tcBorders>
            <w:noWrap/>
            <w:vAlign w:val="bottom"/>
            <w:hideMark/>
          </w:tcPr>
          <w:p w14:paraId="018C171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65EB31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A0A064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D9F8D5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4CFEEBC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47.399,00</w:t>
            </w:r>
          </w:p>
        </w:tc>
        <w:tc>
          <w:tcPr>
            <w:tcW w:w="437" w:type="pct"/>
            <w:tcBorders>
              <w:top w:val="nil"/>
              <w:left w:val="nil"/>
              <w:bottom w:val="single" w:sz="4" w:space="0" w:color="auto"/>
              <w:right w:val="single" w:sz="4" w:space="0" w:color="auto"/>
            </w:tcBorders>
            <w:noWrap/>
            <w:vAlign w:val="bottom"/>
            <w:hideMark/>
          </w:tcPr>
          <w:p w14:paraId="6AA7CD3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08A2F534"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4D29BAE2" w14:textId="77777777" w:rsidR="004725DB" w:rsidRPr="004725DB" w:rsidRDefault="004725DB">
            <w:pPr>
              <w:rPr>
                <w:rFonts w:ascii="Roboto" w:hAnsi="Roboto"/>
                <w:color w:val="000000"/>
                <w:sz w:val="20"/>
                <w:szCs w:val="20"/>
              </w:rPr>
            </w:pPr>
            <w:r w:rsidRPr="004725DB">
              <w:rPr>
                <w:rFonts w:ascii="Roboto" w:hAnsi="Roboto"/>
                <w:color w:val="000000"/>
                <w:sz w:val="20"/>
                <w:szCs w:val="20"/>
              </w:rPr>
              <w:t>Avtobusno postajališče - nivo ceste</w:t>
            </w:r>
          </w:p>
        </w:tc>
        <w:tc>
          <w:tcPr>
            <w:tcW w:w="530" w:type="pct"/>
            <w:tcBorders>
              <w:top w:val="nil"/>
              <w:left w:val="nil"/>
              <w:bottom w:val="single" w:sz="4" w:space="0" w:color="auto"/>
              <w:right w:val="single" w:sz="4" w:space="0" w:color="auto"/>
            </w:tcBorders>
            <w:noWrap/>
            <w:vAlign w:val="bottom"/>
            <w:hideMark/>
          </w:tcPr>
          <w:p w14:paraId="54F33BC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303.506,81</w:t>
            </w:r>
          </w:p>
        </w:tc>
        <w:tc>
          <w:tcPr>
            <w:tcW w:w="319" w:type="pct"/>
            <w:tcBorders>
              <w:top w:val="nil"/>
              <w:left w:val="nil"/>
              <w:bottom w:val="single" w:sz="4" w:space="0" w:color="auto"/>
              <w:right w:val="single" w:sz="4" w:space="0" w:color="auto"/>
            </w:tcBorders>
            <w:noWrap/>
            <w:vAlign w:val="bottom"/>
            <w:hideMark/>
          </w:tcPr>
          <w:p w14:paraId="12492CA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8,67%</w:t>
            </w:r>
          </w:p>
        </w:tc>
        <w:tc>
          <w:tcPr>
            <w:tcW w:w="457" w:type="pct"/>
            <w:tcBorders>
              <w:top w:val="nil"/>
              <w:left w:val="nil"/>
              <w:bottom w:val="single" w:sz="4" w:space="0" w:color="auto"/>
              <w:right w:val="single" w:sz="4" w:space="0" w:color="auto"/>
            </w:tcBorders>
            <w:noWrap/>
            <w:vAlign w:val="bottom"/>
            <w:hideMark/>
          </w:tcPr>
          <w:p w14:paraId="1C435AC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5EFDBEF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794A2B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303.506,81</w:t>
            </w:r>
          </w:p>
        </w:tc>
        <w:tc>
          <w:tcPr>
            <w:tcW w:w="437" w:type="pct"/>
            <w:tcBorders>
              <w:top w:val="nil"/>
              <w:left w:val="nil"/>
              <w:bottom w:val="single" w:sz="4" w:space="0" w:color="auto"/>
              <w:right w:val="single" w:sz="4" w:space="0" w:color="auto"/>
            </w:tcBorders>
            <w:noWrap/>
            <w:vAlign w:val="bottom"/>
            <w:hideMark/>
          </w:tcPr>
          <w:p w14:paraId="2C32FFC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3B8C339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CA3F2B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1FF5815"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6EA5917F" w14:textId="77777777" w:rsidR="004725DB" w:rsidRPr="004725DB" w:rsidRDefault="004725DB">
            <w:pPr>
              <w:rPr>
                <w:rFonts w:ascii="Roboto" w:hAnsi="Roboto"/>
                <w:color w:val="000000"/>
                <w:sz w:val="20"/>
                <w:szCs w:val="20"/>
              </w:rPr>
            </w:pPr>
            <w:r w:rsidRPr="004725DB">
              <w:rPr>
                <w:rFonts w:ascii="Roboto" w:hAnsi="Roboto"/>
                <w:color w:val="000000"/>
                <w:sz w:val="20"/>
                <w:szCs w:val="20"/>
              </w:rPr>
              <w:t>Avtobusno postajališče - nadstrešnica</w:t>
            </w:r>
          </w:p>
        </w:tc>
        <w:tc>
          <w:tcPr>
            <w:tcW w:w="530" w:type="pct"/>
            <w:tcBorders>
              <w:top w:val="nil"/>
              <w:left w:val="nil"/>
              <w:bottom w:val="single" w:sz="4" w:space="0" w:color="auto"/>
              <w:right w:val="single" w:sz="4" w:space="0" w:color="auto"/>
            </w:tcBorders>
            <w:noWrap/>
            <w:vAlign w:val="bottom"/>
            <w:hideMark/>
          </w:tcPr>
          <w:p w14:paraId="60CBAB8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249.783,11</w:t>
            </w:r>
          </w:p>
        </w:tc>
        <w:tc>
          <w:tcPr>
            <w:tcW w:w="319" w:type="pct"/>
            <w:tcBorders>
              <w:top w:val="nil"/>
              <w:left w:val="nil"/>
              <w:bottom w:val="single" w:sz="4" w:space="0" w:color="auto"/>
              <w:right w:val="single" w:sz="4" w:space="0" w:color="auto"/>
            </w:tcBorders>
            <w:noWrap/>
            <w:vAlign w:val="bottom"/>
            <w:hideMark/>
          </w:tcPr>
          <w:p w14:paraId="00800D3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7,13%</w:t>
            </w:r>
          </w:p>
        </w:tc>
        <w:tc>
          <w:tcPr>
            <w:tcW w:w="457" w:type="pct"/>
            <w:tcBorders>
              <w:top w:val="nil"/>
              <w:left w:val="nil"/>
              <w:bottom w:val="single" w:sz="4" w:space="0" w:color="auto"/>
              <w:right w:val="single" w:sz="4" w:space="0" w:color="auto"/>
            </w:tcBorders>
            <w:noWrap/>
            <w:vAlign w:val="bottom"/>
            <w:hideMark/>
          </w:tcPr>
          <w:p w14:paraId="4B87F98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A7BB3B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6AB31D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249.783,11</w:t>
            </w:r>
          </w:p>
        </w:tc>
        <w:tc>
          <w:tcPr>
            <w:tcW w:w="437" w:type="pct"/>
            <w:tcBorders>
              <w:top w:val="nil"/>
              <w:left w:val="nil"/>
              <w:bottom w:val="single" w:sz="4" w:space="0" w:color="auto"/>
              <w:right w:val="single" w:sz="4" w:space="0" w:color="auto"/>
            </w:tcBorders>
            <w:noWrap/>
            <w:vAlign w:val="bottom"/>
            <w:hideMark/>
          </w:tcPr>
          <w:p w14:paraId="60A44A0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9B862C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1B258A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2A58C45F"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7BE2E28F" w14:textId="77777777" w:rsidR="004725DB" w:rsidRPr="004725DB" w:rsidRDefault="004725DB">
            <w:pPr>
              <w:rPr>
                <w:rFonts w:ascii="Roboto" w:hAnsi="Roboto"/>
                <w:color w:val="000000"/>
                <w:sz w:val="20"/>
                <w:szCs w:val="20"/>
              </w:rPr>
            </w:pPr>
            <w:r w:rsidRPr="004725DB">
              <w:rPr>
                <w:rFonts w:ascii="Roboto" w:hAnsi="Roboto"/>
                <w:color w:val="000000"/>
                <w:sz w:val="20"/>
                <w:szCs w:val="20"/>
              </w:rPr>
              <w:t>Parkirišče z vhodom v šolo</w:t>
            </w:r>
          </w:p>
        </w:tc>
        <w:tc>
          <w:tcPr>
            <w:tcW w:w="530" w:type="pct"/>
            <w:tcBorders>
              <w:top w:val="nil"/>
              <w:left w:val="nil"/>
              <w:bottom w:val="single" w:sz="4" w:space="0" w:color="auto"/>
              <w:right w:val="single" w:sz="4" w:space="0" w:color="auto"/>
            </w:tcBorders>
            <w:noWrap/>
            <w:vAlign w:val="bottom"/>
            <w:hideMark/>
          </w:tcPr>
          <w:p w14:paraId="4A1A8C5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666.582,43</w:t>
            </w:r>
          </w:p>
        </w:tc>
        <w:tc>
          <w:tcPr>
            <w:tcW w:w="319" w:type="pct"/>
            <w:tcBorders>
              <w:top w:val="nil"/>
              <w:left w:val="nil"/>
              <w:bottom w:val="single" w:sz="4" w:space="0" w:color="auto"/>
              <w:right w:val="single" w:sz="4" w:space="0" w:color="auto"/>
            </w:tcBorders>
            <w:noWrap/>
            <w:vAlign w:val="bottom"/>
            <w:hideMark/>
          </w:tcPr>
          <w:p w14:paraId="77870AA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19,04%</w:t>
            </w:r>
          </w:p>
        </w:tc>
        <w:tc>
          <w:tcPr>
            <w:tcW w:w="457" w:type="pct"/>
            <w:tcBorders>
              <w:top w:val="nil"/>
              <w:left w:val="nil"/>
              <w:bottom w:val="single" w:sz="4" w:space="0" w:color="auto"/>
              <w:right w:val="single" w:sz="4" w:space="0" w:color="auto"/>
            </w:tcBorders>
            <w:noWrap/>
            <w:vAlign w:val="bottom"/>
            <w:hideMark/>
          </w:tcPr>
          <w:p w14:paraId="12B1483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62D51C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3A6542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EF6F30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02D5F00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533.265,94</w:t>
            </w:r>
          </w:p>
        </w:tc>
        <w:tc>
          <w:tcPr>
            <w:tcW w:w="437" w:type="pct"/>
            <w:tcBorders>
              <w:top w:val="nil"/>
              <w:left w:val="nil"/>
              <w:bottom w:val="single" w:sz="4" w:space="0" w:color="auto"/>
              <w:right w:val="single" w:sz="4" w:space="0" w:color="auto"/>
            </w:tcBorders>
            <w:noWrap/>
            <w:vAlign w:val="bottom"/>
            <w:hideMark/>
          </w:tcPr>
          <w:p w14:paraId="6465A43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133.316,49</w:t>
            </w:r>
          </w:p>
        </w:tc>
      </w:tr>
      <w:tr w:rsidR="004725DB" w:rsidRPr="004725DB" w14:paraId="7060B433" w14:textId="77777777" w:rsidTr="002E10AB">
        <w:trPr>
          <w:trHeight w:val="227"/>
        </w:trPr>
        <w:tc>
          <w:tcPr>
            <w:tcW w:w="1362" w:type="pct"/>
            <w:tcBorders>
              <w:top w:val="nil"/>
              <w:left w:val="single" w:sz="4" w:space="0" w:color="auto"/>
              <w:bottom w:val="single" w:sz="4" w:space="0" w:color="auto"/>
              <w:right w:val="single" w:sz="4" w:space="0" w:color="auto"/>
            </w:tcBorders>
            <w:shd w:val="clear" w:color="000000" w:fill="D9D9D9"/>
            <w:vAlign w:val="bottom"/>
            <w:hideMark/>
          </w:tcPr>
          <w:p w14:paraId="2A722F74" w14:textId="77777777" w:rsidR="004725DB" w:rsidRPr="004725DB" w:rsidRDefault="004725DB">
            <w:pPr>
              <w:rPr>
                <w:rFonts w:ascii="Arial" w:hAnsi="Arial" w:cs="Arial"/>
                <w:i/>
                <w:iCs/>
                <w:color w:val="000000"/>
                <w:sz w:val="20"/>
                <w:szCs w:val="20"/>
              </w:rPr>
            </w:pPr>
            <w:r w:rsidRPr="004725DB">
              <w:rPr>
                <w:rFonts w:ascii="Arial" w:hAnsi="Arial" w:cs="Arial"/>
                <w:i/>
                <w:iCs/>
                <w:color w:val="000000"/>
                <w:sz w:val="20"/>
                <w:szCs w:val="20"/>
              </w:rPr>
              <w:t>Skupaj GOI dela</w:t>
            </w:r>
          </w:p>
        </w:tc>
        <w:tc>
          <w:tcPr>
            <w:tcW w:w="530" w:type="pct"/>
            <w:tcBorders>
              <w:top w:val="nil"/>
              <w:left w:val="nil"/>
              <w:bottom w:val="single" w:sz="4" w:space="0" w:color="auto"/>
              <w:right w:val="single" w:sz="4" w:space="0" w:color="auto"/>
            </w:tcBorders>
            <w:shd w:val="clear" w:color="000000" w:fill="D9D9D9"/>
            <w:noWrap/>
            <w:vAlign w:val="bottom"/>
            <w:hideMark/>
          </w:tcPr>
          <w:p w14:paraId="79933ECB"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2.393.756,00</w:t>
            </w:r>
          </w:p>
        </w:tc>
        <w:tc>
          <w:tcPr>
            <w:tcW w:w="319" w:type="pct"/>
            <w:tcBorders>
              <w:top w:val="nil"/>
              <w:left w:val="nil"/>
              <w:bottom w:val="single" w:sz="4" w:space="0" w:color="auto"/>
              <w:right w:val="single" w:sz="4" w:space="0" w:color="auto"/>
            </w:tcBorders>
            <w:shd w:val="clear" w:color="000000" w:fill="D9D9D9"/>
            <w:noWrap/>
            <w:vAlign w:val="bottom"/>
            <w:hideMark/>
          </w:tcPr>
          <w:p w14:paraId="20DCE0CB"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68,37%</w:t>
            </w:r>
          </w:p>
        </w:tc>
        <w:tc>
          <w:tcPr>
            <w:tcW w:w="457" w:type="pct"/>
            <w:tcBorders>
              <w:top w:val="nil"/>
              <w:left w:val="nil"/>
              <w:bottom w:val="single" w:sz="4" w:space="0" w:color="auto"/>
              <w:right w:val="single" w:sz="4" w:space="0" w:color="auto"/>
            </w:tcBorders>
            <w:shd w:val="clear" w:color="000000" w:fill="D9D9D9"/>
            <w:noWrap/>
            <w:vAlign w:val="bottom"/>
            <w:hideMark/>
          </w:tcPr>
          <w:p w14:paraId="54A886B7"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0,00</w:t>
            </w:r>
          </w:p>
        </w:tc>
        <w:tc>
          <w:tcPr>
            <w:tcW w:w="486" w:type="pct"/>
            <w:tcBorders>
              <w:top w:val="nil"/>
              <w:left w:val="nil"/>
              <w:bottom w:val="single" w:sz="4" w:space="0" w:color="auto"/>
              <w:right w:val="single" w:sz="4" w:space="0" w:color="auto"/>
            </w:tcBorders>
            <w:shd w:val="clear" w:color="000000" w:fill="D9D9D9"/>
            <w:noWrap/>
            <w:vAlign w:val="bottom"/>
            <w:hideMark/>
          </w:tcPr>
          <w:p w14:paraId="6044F272"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0,00</w:t>
            </w:r>
          </w:p>
        </w:tc>
        <w:tc>
          <w:tcPr>
            <w:tcW w:w="437" w:type="pct"/>
            <w:tcBorders>
              <w:top w:val="nil"/>
              <w:left w:val="nil"/>
              <w:bottom w:val="single" w:sz="4" w:space="0" w:color="auto"/>
              <w:right w:val="single" w:sz="4" w:space="0" w:color="auto"/>
            </w:tcBorders>
            <w:shd w:val="clear" w:color="000000" w:fill="D9D9D9"/>
            <w:noWrap/>
            <w:vAlign w:val="bottom"/>
            <w:hideMark/>
          </w:tcPr>
          <w:p w14:paraId="5015E2B2"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553.289,92</w:t>
            </w:r>
          </w:p>
        </w:tc>
        <w:tc>
          <w:tcPr>
            <w:tcW w:w="437" w:type="pct"/>
            <w:tcBorders>
              <w:top w:val="nil"/>
              <w:left w:val="nil"/>
              <w:bottom w:val="single" w:sz="4" w:space="0" w:color="auto"/>
              <w:right w:val="single" w:sz="4" w:space="0" w:color="auto"/>
            </w:tcBorders>
            <w:shd w:val="clear" w:color="000000" w:fill="D9D9D9"/>
            <w:noWrap/>
            <w:vAlign w:val="bottom"/>
            <w:hideMark/>
          </w:tcPr>
          <w:p w14:paraId="72A693FD"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637.850,29</w:t>
            </w:r>
          </w:p>
        </w:tc>
        <w:tc>
          <w:tcPr>
            <w:tcW w:w="534" w:type="pct"/>
            <w:tcBorders>
              <w:top w:val="nil"/>
              <w:left w:val="nil"/>
              <w:bottom w:val="single" w:sz="4" w:space="0" w:color="auto"/>
              <w:right w:val="single" w:sz="4" w:space="0" w:color="auto"/>
            </w:tcBorders>
            <w:shd w:val="clear" w:color="000000" w:fill="D9D9D9"/>
            <w:noWrap/>
            <w:vAlign w:val="bottom"/>
            <w:hideMark/>
          </w:tcPr>
          <w:p w14:paraId="7B883C21"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1.069.299,30</w:t>
            </w:r>
          </w:p>
        </w:tc>
        <w:tc>
          <w:tcPr>
            <w:tcW w:w="437" w:type="pct"/>
            <w:tcBorders>
              <w:top w:val="nil"/>
              <w:left w:val="nil"/>
              <w:bottom w:val="single" w:sz="4" w:space="0" w:color="auto"/>
              <w:right w:val="single" w:sz="4" w:space="0" w:color="auto"/>
            </w:tcBorders>
            <w:shd w:val="clear" w:color="000000" w:fill="D9D9D9"/>
            <w:noWrap/>
            <w:vAlign w:val="bottom"/>
            <w:hideMark/>
          </w:tcPr>
          <w:p w14:paraId="3477BB7F" w14:textId="77777777" w:rsidR="004725DB" w:rsidRPr="004725DB" w:rsidRDefault="004725DB">
            <w:pPr>
              <w:jc w:val="right"/>
              <w:rPr>
                <w:rFonts w:ascii="Arial" w:hAnsi="Arial" w:cs="Arial"/>
                <w:i/>
                <w:iCs/>
                <w:color w:val="000000"/>
                <w:sz w:val="20"/>
                <w:szCs w:val="20"/>
              </w:rPr>
            </w:pPr>
            <w:r w:rsidRPr="004725DB">
              <w:rPr>
                <w:rFonts w:ascii="Arial" w:hAnsi="Arial" w:cs="Arial"/>
                <w:i/>
                <w:iCs/>
                <w:color w:val="000000"/>
                <w:sz w:val="20"/>
                <w:szCs w:val="20"/>
              </w:rPr>
              <w:t>133.316,49</w:t>
            </w:r>
          </w:p>
        </w:tc>
      </w:tr>
      <w:tr w:rsidR="004725DB" w:rsidRPr="004725DB" w14:paraId="02506921"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48EE0A27"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Strokovni nadzor</w:t>
            </w:r>
          </w:p>
        </w:tc>
        <w:tc>
          <w:tcPr>
            <w:tcW w:w="530" w:type="pct"/>
            <w:tcBorders>
              <w:top w:val="nil"/>
              <w:left w:val="nil"/>
              <w:bottom w:val="single" w:sz="4" w:space="0" w:color="auto"/>
              <w:right w:val="single" w:sz="4" w:space="0" w:color="auto"/>
            </w:tcBorders>
            <w:noWrap/>
            <w:vAlign w:val="bottom"/>
            <w:hideMark/>
          </w:tcPr>
          <w:p w14:paraId="6F085D4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71.812,68</w:t>
            </w:r>
          </w:p>
        </w:tc>
        <w:tc>
          <w:tcPr>
            <w:tcW w:w="319" w:type="pct"/>
            <w:tcBorders>
              <w:top w:val="nil"/>
              <w:left w:val="nil"/>
              <w:bottom w:val="single" w:sz="4" w:space="0" w:color="auto"/>
              <w:right w:val="single" w:sz="4" w:space="0" w:color="auto"/>
            </w:tcBorders>
            <w:noWrap/>
            <w:vAlign w:val="bottom"/>
            <w:hideMark/>
          </w:tcPr>
          <w:p w14:paraId="2EF0125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2,05%</w:t>
            </w:r>
          </w:p>
        </w:tc>
        <w:tc>
          <w:tcPr>
            <w:tcW w:w="457" w:type="pct"/>
            <w:tcBorders>
              <w:top w:val="nil"/>
              <w:left w:val="nil"/>
              <w:bottom w:val="single" w:sz="4" w:space="0" w:color="auto"/>
              <w:right w:val="single" w:sz="4" w:space="0" w:color="auto"/>
            </w:tcBorders>
            <w:noWrap/>
            <w:vAlign w:val="bottom"/>
            <w:hideMark/>
          </w:tcPr>
          <w:p w14:paraId="4AFD470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19B088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3A2D7D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16.598,70</w:t>
            </w:r>
          </w:p>
        </w:tc>
        <w:tc>
          <w:tcPr>
            <w:tcW w:w="437" w:type="pct"/>
            <w:tcBorders>
              <w:top w:val="nil"/>
              <w:left w:val="nil"/>
              <w:bottom w:val="single" w:sz="4" w:space="0" w:color="auto"/>
              <w:right w:val="single" w:sz="4" w:space="0" w:color="auto"/>
            </w:tcBorders>
            <w:noWrap/>
            <w:vAlign w:val="bottom"/>
            <w:hideMark/>
          </w:tcPr>
          <w:p w14:paraId="79403BB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19.135,51</w:t>
            </w:r>
          </w:p>
        </w:tc>
        <w:tc>
          <w:tcPr>
            <w:tcW w:w="534" w:type="pct"/>
            <w:tcBorders>
              <w:top w:val="nil"/>
              <w:left w:val="nil"/>
              <w:bottom w:val="single" w:sz="4" w:space="0" w:color="auto"/>
              <w:right w:val="single" w:sz="4" w:space="0" w:color="auto"/>
            </w:tcBorders>
            <w:noWrap/>
            <w:vAlign w:val="bottom"/>
            <w:hideMark/>
          </w:tcPr>
          <w:p w14:paraId="30407E3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32.078,98</w:t>
            </w:r>
          </w:p>
        </w:tc>
        <w:tc>
          <w:tcPr>
            <w:tcW w:w="437" w:type="pct"/>
            <w:tcBorders>
              <w:top w:val="nil"/>
              <w:left w:val="nil"/>
              <w:bottom w:val="single" w:sz="4" w:space="0" w:color="auto"/>
              <w:right w:val="single" w:sz="4" w:space="0" w:color="auto"/>
            </w:tcBorders>
            <w:noWrap/>
            <w:vAlign w:val="bottom"/>
            <w:hideMark/>
          </w:tcPr>
          <w:p w14:paraId="353661B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3.999,49</w:t>
            </w:r>
          </w:p>
        </w:tc>
      </w:tr>
      <w:tr w:rsidR="004725DB" w:rsidRPr="004725DB" w14:paraId="078EB2B4"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61DDC5D1"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Projektna dokumentacija</w:t>
            </w:r>
          </w:p>
        </w:tc>
        <w:tc>
          <w:tcPr>
            <w:tcW w:w="530" w:type="pct"/>
            <w:tcBorders>
              <w:top w:val="nil"/>
              <w:left w:val="nil"/>
              <w:bottom w:val="single" w:sz="4" w:space="0" w:color="auto"/>
              <w:right w:val="single" w:sz="4" w:space="0" w:color="auto"/>
            </w:tcBorders>
            <w:noWrap/>
            <w:vAlign w:val="bottom"/>
            <w:hideMark/>
          </w:tcPr>
          <w:p w14:paraId="13FAD0E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97.145,33</w:t>
            </w:r>
          </w:p>
        </w:tc>
        <w:tc>
          <w:tcPr>
            <w:tcW w:w="319" w:type="pct"/>
            <w:tcBorders>
              <w:top w:val="nil"/>
              <w:left w:val="nil"/>
              <w:bottom w:val="single" w:sz="4" w:space="0" w:color="auto"/>
              <w:right w:val="single" w:sz="4" w:space="0" w:color="auto"/>
            </w:tcBorders>
            <w:noWrap/>
            <w:vAlign w:val="bottom"/>
            <w:hideMark/>
          </w:tcPr>
          <w:p w14:paraId="182DD11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2,77%</w:t>
            </w:r>
          </w:p>
        </w:tc>
        <w:tc>
          <w:tcPr>
            <w:tcW w:w="457" w:type="pct"/>
            <w:tcBorders>
              <w:top w:val="nil"/>
              <w:left w:val="nil"/>
              <w:bottom w:val="single" w:sz="4" w:space="0" w:color="auto"/>
              <w:right w:val="single" w:sz="4" w:space="0" w:color="auto"/>
            </w:tcBorders>
            <w:noWrap/>
            <w:vAlign w:val="bottom"/>
            <w:hideMark/>
          </w:tcPr>
          <w:p w14:paraId="30BB33A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7.200,00</w:t>
            </w:r>
          </w:p>
        </w:tc>
        <w:tc>
          <w:tcPr>
            <w:tcW w:w="486" w:type="pct"/>
            <w:tcBorders>
              <w:top w:val="nil"/>
              <w:left w:val="nil"/>
              <w:bottom w:val="single" w:sz="4" w:space="0" w:color="auto"/>
              <w:right w:val="single" w:sz="4" w:space="0" w:color="auto"/>
            </w:tcBorders>
            <w:noWrap/>
            <w:vAlign w:val="bottom"/>
            <w:hideMark/>
          </w:tcPr>
          <w:p w14:paraId="18B94E6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72.732,21</w:t>
            </w:r>
          </w:p>
        </w:tc>
        <w:tc>
          <w:tcPr>
            <w:tcW w:w="437" w:type="pct"/>
            <w:tcBorders>
              <w:top w:val="nil"/>
              <w:left w:val="nil"/>
              <w:bottom w:val="single" w:sz="4" w:space="0" w:color="auto"/>
              <w:right w:val="single" w:sz="4" w:space="0" w:color="auto"/>
            </w:tcBorders>
            <w:noWrap/>
            <w:vAlign w:val="bottom"/>
            <w:hideMark/>
          </w:tcPr>
          <w:p w14:paraId="1801C33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8.313,12</w:t>
            </w:r>
          </w:p>
        </w:tc>
        <w:tc>
          <w:tcPr>
            <w:tcW w:w="437" w:type="pct"/>
            <w:tcBorders>
              <w:top w:val="nil"/>
              <w:left w:val="nil"/>
              <w:bottom w:val="single" w:sz="4" w:space="0" w:color="auto"/>
              <w:right w:val="single" w:sz="4" w:space="0" w:color="auto"/>
            </w:tcBorders>
            <w:noWrap/>
            <w:vAlign w:val="bottom"/>
            <w:hideMark/>
          </w:tcPr>
          <w:p w14:paraId="16AB3A9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3.856,67</w:t>
            </w:r>
          </w:p>
        </w:tc>
        <w:tc>
          <w:tcPr>
            <w:tcW w:w="534" w:type="pct"/>
            <w:tcBorders>
              <w:top w:val="nil"/>
              <w:left w:val="nil"/>
              <w:bottom w:val="single" w:sz="4" w:space="0" w:color="auto"/>
              <w:right w:val="single" w:sz="4" w:space="0" w:color="auto"/>
            </w:tcBorders>
            <w:noWrap/>
            <w:vAlign w:val="bottom"/>
            <w:hideMark/>
          </w:tcPr>
          <w:p w14:paraId="41F2DD3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3.856,67</w:t>
            </w:r>
          </w:p>
        </w:tc>
        <w:tc>
          <w:tcPr>
            <w:tcW w:w="437" w:type="pct"/>
            <w:tcBorders>
              <w:top w:val="nil"/>
              <w:left w:val="nil"/>
              <w:bottom w:val="single" w:sz="4" w:space="0" w:color="auto"/>
              <w:right w:val="single" w:sz="4" w:space="0" w:color="auto"/>
            </w:tcBorders>
            <w:noWrap/>
            <w:vAlign w:val="bottom"/>
            <w:hideMark/>
          </w:tcPr>
          <w:p w14:paraId="1D1D493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1.186,67</w:t>
            </w:r>
          </w:p>
        </w:tc>
      </w:tr>
      <w:tr w:rsidR="004725DB" w:rsidRPr="004725DB" w14:paraId="300CFB4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086A5034"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Inženiring</w:t>
            </w:r>
          </w:p>
        </w:tc>
        <w:tc>
          <w:tcPr>
            <w:tcW w:w="530" w:type="pct"/>
            <w:tcBorders>
              <w:top w:val="nil"/>
              <w:left w:val="nil"/>
              <w:bottom w:val="single" w:sz="4" w:space="0" w:color="auto"/>
              <w:right w:val="single" w:sz="4" w:space="0" w:color="auto"/>
            </w:tcBorders>
            <w:noWrap/>
            <w:vAlign w:val="bottom"/>
            <w:hideMark/>
          </w:tcPr>
          <w:p w14:paraId="71937FD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23.937,56</w:t>
            </w:r>
          </w:p>
        </w:tc>
        <w:tc>
          <w:tcPr>
            <w:tcW w:w="319" w:type="pct"/>
            <w:tcBorders>
              <w:top w:val="nil"/>
              <w:left w:val="nil"/>
              <w:bottom w:val="single" w:sz="4" w:space="0" w:color="auto"/>
              <w:right w:val="single" w:sz="4" w:space="0" w:color="auto"/>
            </w:tcBorders>
            <w:noWrap/>
            <w:vAlign w:val="bottom"/>
            <w:hideMark/>
          </w:tcPr>
          <w:p w14:paraId="429BD6E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0,68%</w:t>
            </w:r>
          </w:p>
        </w:tc>
        <w:tc>
          <w:tcPr>
            <w:tcW w:w="457" w:type="pct"/>
            <w:tcBorders>
              <w:top w:val="nil"/>
              <w:left w:val="nil"/>
              <w:bottom w:val="single" w:sz="4" w:space="0" w:color="auto"/>
              <w:right w:val="single" w:sz="4" w:space="0" w:color="auto"/>
            </w:tcBorders>
            <w:noWrap/>
            <w:vAlign w:val="bottom"/>
            <w:hideMark/>
          </w:tcPr>
          <w:p w14:paraId="6F907BE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14EDAC1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CF0260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5.532,90</w:t>
            </w:r>
          </w:p>
        </w:tc>
        <w:tc>
          <w:tcPr>
            <w:tcW w:w="437" w:type="pct"/>
            <w:tcBorders>
              <w:top w:val="nil"/>
              <w:left w:val="nil"/>
              <w:bottom w:val="single" w:sz="4" w:space="0" w:color="auto"/>
              <w:right w:val="single" w:sz="4" w:space="0" w:color="auto"/>
            </w:tcBorders>
            <w:noWrap/>
            <w:vAlign w:val="bottom"/>
            <w:hideMark/>
          </w:tcPr>
          <w:p w14:paraId="23EED5E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6.378,50</w:t>
            </w:r>
          </w:p>
        </w:tc>
        <w:tc>
          <w:tcPr>
            <w:tcW w:w="534" w:type="pct"/>
            <w:tcBorders>
              <w:top w:val="nil"/>
              <w:left w:val="nil"/>
              <w:bottom w:val="single" w:sz="4" w:space="0" w:color="auto"/>
              <w:right w:val="single" w:sz="4" w:space="0" w:color="auto"/>
            </w:tcBorders>
            <w:noWrap/>
            <w:vAlign w:val="bottom"/>
            <w:hideMark/>
          </w:tcPr>
          <w:p w14:paraId="1C91856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10.692,99</w:t>
            </w:r>
          </w:p>
        </w:tc>
        <w:tc>
          <w:tcPr>
            <w:tcW w:w="437" w:type="pct"/>
            <w:tcBorders>
              <w:top w:val="nil"/>
              <w:left w:val="nil"/>
              <w:bottom w:val="single" w:sz="4" w:space="0" w:color="auto"/>
              <w:right w:val="single" w:sz="4" w:space="0" w:color="auto"/>
            </w:tcBorders>
            <w:noWrap/>
            <w:vAlign w:val="bottom"/>
            <w:hideMark/>
          </w:tcPr>
          <w:p w14:paraId="15B7322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1.333,16</w:t>
            </w:r>
          </w:p>
        </w:tc>
      </w:tr>
      <w:tr w:rsidR="004725DB" w:rsidRPr="004725DB" w14:paraId="449EDBDE"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7D10DA8F"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Obveščanje javnosti</w:t>
            </w:r>
          </w:p>
        </w:tc>
        <w:tc>
          <w:tcPr>
            <w:tcW w:w="530" w:type="pct"/>
            <w:tcBorders>
              <w:top w:val="nil"/>
              <w:left w:val="nil"/>
              <w:bottom w:val="single" w:sz="4" w:space="0" w:color="auto"/>
              <w:right w:val="single" w:sz="4" w:space="0" w:color="auto"/>
            </w:tcBorders>
            <w:noWrap/>
            <w:vAlign w:val="bottom"/>
            <w:hideMark/>
          </w:tcPr>
          <w:p w14:paraId="0A9DA54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4.098,36</w:t>
            </w:r>
          </w:p>
        </w:tc>
        <w:tc>
          <w:tcPr>
            <w:tcW w:w="319" w:type="pct"/>
            <w:tcBorders>
              <w:top w:val="nil"/>
              <w:left w:val="nil"/>
              <w:bottom w:val="single" w:sz="4" w:space="0" w:color="auto"/>
              <w:right w:val="single" w:sz="4" w:space="0" w:color="auto"/>
            </w:tcBorders>
            <w:noWrap/>
            <w:vAlign w:val="bottom"/>
            <w:hideMark/>
          </w:tcPr>
          <w:p w14:paraId="5CD9411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0,12%</w:t>
            </w:r>
          </w:p>
        </w:tc>
        <w:tc>
          <w:tcPr>
            <w:tcW w:w="457" w:type="pct"/>
            <w:tcBorders>
              <w:top w:val="nil"/>
              <w:left w:val="nil"/>
              <w:bottom w:val="single" w:sz="4" w:space="0" w:color="auto"/>
              <w:right w:val="single" w:sz="4" w:space="0" w:color="auto"/>
            </w:tcBorders>
            <w:noWrap/>
            <w:vAlign w:val="bottom"/>
            <w:hideMark/>
          </w:tcPr>
          <w:p w14:paraId="15A416E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53108C0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CD944D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1.639,34</w:t>
            </w:r>
          </w:p>
        </w:tc>
        <w:tc>
          <w:tcPr>
            <w:tcW w:w="437" w:type="pct"/>
            <w:tcBorders>
              <w:top w:val="nil"/>
              <w:left w:val="nil"/>
              <w:bottom w:val="single" w:sz="4" w:space="0" w:color="auto"/>
              <w:right w:val="single" w:sz="4" w:space="0" w:color="auto"/>
            </w:tcBorders>
            <w:noWrap/>
            <w:vAlign w:val="bottom"/>
            <w:hideMark/>
          </w:tcPr>
          <w:p w14:paraId="76327A1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409,84</w:t>
            </w:r>
          </w:p>
        </w:tc>
        <w:tc>
          <w:tcPr>
            <w:tcW w:w="534" w:type="pct"/>
            <w:tcBorders>
              <w:top w:val="nil"/>
              <w:left w:val="nil"/>
              <w:bottom w:val="single" w:sz="4" w:space="0" w:color="auto"/>
              <w:right w:val="single" w:sz="4" w:space="0" w:color="auto"/>
            </w:tcBorders>
            <w:noWrap/>
            <w:vAlign w:val="bottom"/>
            <w:hideMark/>
          </w:tcPr>
          <w:p w14:paraId="0983A97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409,84</w:t>
            </w:r>
          </w:p>
        </w:tc>
        <w:tc>
          <w:tcPr>
            <w:tcW w:w="437" w:type="pct"/>
            <w:tcBorders>
              <w:top w:val="nil"/>
              <w:left w:val="nil"/>
              <w:bottom w:val="single" w:sz="4" w:space="0" w:color="auto"/>
              <w:right w:val="single" w:sz="4" w:space="0" w:color="auto"/>
            </w:tcBorders>
            <w:noWrap/>
            <w:vAlign w:val="bottom"/>
            <w:hideMark/>
          </w:tcPr>
          <w:p w14:paraId="1B0908A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1.639,34</w:t>
            </w:r>
          </w:p>
        </w:tc>
      </w:tr>
      <w:tr w:rsidR="004725DB" w:rsidRPr="004725DB" w14:paraId="7FFCA7B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D65B9A1"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Investicijska in ostala dokumentacija</w:t>
            </w:r>
          </w:p>
        </w:tc>
        <w:tc>
          <w:tcPr>
            <w:tcW w:w="530" w:type="pct"/>
            <w:tcBorders>
              <w:top w:val="nil"/>
              <w:left w:val="nil"/>
              <w:bottom w:val="single" w:sz="4" w:space="0" w:color="auto"/>
              <w:right w:val="single" w:sz="4" w:space="0" w:color="auto"/>
            </w:tcBorders>
            <w:noWrap/>
            <w:vAlign w:val="bottom"/>
            <w:hideMark/>
          </w:tcPr>
          <w:p w14:paraId="628F112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14.265,88</w:t>
            </w:r>
          </w:p>
        </w:tc>
        <w:tc>
          <w:tcPr>
            <w:tcW w:w="319" w:type="pct"/>
            <w:tcBorders>
              <w:top w:val="nil"/>
              <w:left w:val="nil"/>
              <w:bottom w:val="single" w:sz="4" w:space="0" w:color="auto"/>
              <w:right w:val="single" w:sz="4" w:space="0" w:color="auto"/>
            </w:tcBorders>
            <w:noWrap/>
            <w:vAlign w:val="bottom"/>
            <w:hideMark/>
          </w:tcPr>
          <w:p w14:paraId="25910F4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0,41%</w:t>
            </w:r>
          </w:p>
        </w:tc>
        <w:tc>
          <w:tcPr>
            <w:tcW w:w="457" w:type="pct"/>
            <w:tcBorders>
              <w:top w:val="nil"/>
              <w:left w:val="nil"/>
              <w:bottom w:val="single" w:sz="4" w:space="0" w:color="auto"/>
              <w:right w:val="single" w:sz="4" w:space="0" w:color="auto"/>
            </w:tcBorders>
            <w:noWrap/>
            <w:vAlign w:val="bottom"/>
            <w:hideMark/>
          </w:tcPr>
          <w:p w14:paraId="490507E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700,00</w:t>
            </w:r>
          </w:p>
        </w:tc>
        <w:tc>
          <w:tcPr>
            <w:tcW w:w="486" w:type="pct"/>
            <w:tcBorders>
              <w:top w:val="nil"/>
              <w:left w:val="nil"/>
              <w:bottom w:val="single" w:sz="4" w:space="0" w:color="auto"/>
              <w:right w:val="single" w:sz="4" w:space="0" w:color="auto"/>
            </w:tcBorders>
            <w:noWrap/>
            <w:vAlign w:val="bottom"/>
            <w:hideMark/>
          </w:tcPr>
          <w:p w14:paraId="610C868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13.565,88</w:t>
            </w:r>
          </w:p>
        </w:tc>
        <w:tc>
          <w:tcPr>
            <w:tcW w:w="437" w:type="pct"/>
            <w:tcBorders>
              <w:top w:val="nil"/>
              <w:left w:val="nil"/>
              <w:bottom w:val="single" w:sz="4" w:space="0" w:color="auto"/>
              <w:right w:val="single" w:sz="4" w:space="0" w:color="auto"/>
            </w:tcBorders>
            <w:noWrap/>
            <w:vAlign w:val="bottom"/>
            <w:hideMark/>
          </w:tcPr>
          <w:p w14:paraId="3891B49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8C9227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73C693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39CC34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90ADADB"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ABB6D1B"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Stroški varnosti pri delu</w:t>
            </w:r>
          </w:p>
        </w:tc>
        <w:tc>
          <w:tcPr>
            <w:tcW w:w="530" w:type="pct"/>
            <w:tcBorders>
              <w:top w:val="nil"/>
              <w:left w:val="nil"/>
              <w:bottom w:val="single" w:sz="4" w:space="0" w:color="auto"/>
              <w:right w:val="single" w:sz="4" w:space="0" w:color="auto"/>
            </w:tcBorders>
            <w:noWrap/>
            <w:vAlign w:val="bottom"/>
            <w:hideMark/>
          </w:tcPr>
          <w:p w14:paraId="235552E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6.694,90</w:t>
            </w:r>
          </w:p>
        </w:tc>
        <w:tc>
          <w:tcPr>
            <w:tcW w:w="319" w:type="pct"/>
            <w:tcBorders>
              <w:top w:val="nil"/>
              <w:left w:val="nil"/>
              <w:bottom w:val="single" w:sz="4" w:space="0" w:color="auto"/>
              <w:right w:val="single" w:sz="4" w:space="0" w:color="auto"/>
            </w:tcBorders>
            <w:noWrap/>
            <w:vAlign w:val="bottom"/>
            <w:hideMark/>
          </w:tcPr>
          <w:p w14:paraId="1B59C38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0,19%</w:t>
            </w:r>
          </w:p>
        </w:tc>
        <w:tc>
          <w:tcPr>
            <w:tcW w:w="457" w:type="pct"/>
            <w:tcBorders>
              <w:top w:val="nil"/>
              <w:left w:val="nil"/>
              <w:bottom w:val="single" w:sz="4" w:space="0" w:color="auto"/>
              <w:right w:val="single" w:sz="4" w:space="0" w:color="auto"/>
            </w:tcBorders>
            <w:noWrap/>
            <w:vAlign w:val="bottom"/>
            <w:hideMark/>
          </w:tcPr>
          <w:p w14:paraId="5DADFB1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6856E6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7EA2EB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1.986,86</w:t>
            </w:r>
          </w:p>
        </w:tc>
        <w:tc>
          <w:tcPr>
            <w:tcW w:w="437" w:type="pct"/>
            <w:tcBorders>
              <w:top w:val="nil"/>
              <w:left w:val="nil"/>
              <w:bottom w:val="single" w:sz="4" w:space="0" w:color="auto"/>
              <w:right w:val="single" w:sz="4" w:space="0" w:color="auto"/>
            </w:tcBorders>
            <w:noWrap/>
            <w:vAlign w:val="bottom"/>
            <w:hideMark/>
          </w:tcPr>
          <w:p w14:paraId="6E0F7B6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1.545,33</w:t>
            </w:r>
          </w:p>
        </w:tc>
        <w:tc>
          <w:tcPr>
            <w:tcW w:w="534" w:type="pct"/>
            <w:tcBorders>
              <w:top w:val="nil"/>
              <w:left w:val="nil"/>
              <w:bottom w:val="single" w:sz="4" w:space="0" w:color="auto"/>
              <w:right w:val="single" w:sz="4" w:space="0" w:color="auto"/>
            </w:tcBorders>
            <w:noWrap/>
            <w:vAlign w:val="bottom"/>
            <w:hideMark/>
          </w:tcPr>
          <w:p w14:paraId="62FDCC3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1.545,33</w:t>
            </w:r>
          </w:p>
        </w:tc>
        <w:tc>
          <w:tcPr>
            <w:tcW w:w="437" w:type="pct"/>
            <w:tcBorders>
              <w:top w:val="nil"/>
              <w:left w:val="nil"/>
              <w:bottom w:val="single" w:sz="4" w:space="0" w:color="auto"/>
              <w:right w:val="single" w:sz="4" w:space="0" w:color="auto"/>
            </w:tcBorders>
            <w:noWrap/>
            <w:vAlign w:val="bottom"/>
            <w:hideMark/>
          </w:tcPr>
          <w:p w14:paraId="3D8F99C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1.617,38</w:t>
            </w:r>
          </w:p>
        </w:tc>
      </w:tr>
      <w:tr w:rsidR="004725DB" w:rsidRPr="004725DB" w14:paraId="767AB265"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407AD78E"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Arheologija</w:t>
            </w:r>
          </w:p>
        </w:tc>
        <w:tc>
          <w:tcPr>
            <w:tcW w:w="530" w:type="pct"/>
            <w:tcBorders>
              <w:top w:val="nil"/>
              <w:left w:val="nil"/>
              <w:bottom w:val="single" w:sz="4" w:space="0" w:color="auto"/>
              <w:right w:val="single" w:sz="4" w:space="0" w:color="auto"/>
            </w:tcBorders>
            <w:noWrap/>
            <w:vAlign w:val="bottom"/>
            <w:hideMark/>
          </w:tcPr>
          <w:p w14:paraId="43AC2DD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15.011,81</w:t>
            </w:r>
          </w:p>
        </w:tc>
        <w:tc>
          <w:tcPr>
            <w:tcW w:w="319" w:type="pct"/>
            <w:tcBorders>
              <w:top w:val="nil"/>
              <w:left w:val="nil"/>
              <w:bottom w:val="single" w:sz="4" w:space="0" w:color="auto"/>
              <w:right w:val="single" w:sz="4" w:space="0" w:color="auto"/>
            </w:tcBorders>
            <w:noWrap/>
            <w:vAlign w:val="bottom"/>
            <w:hideMark/>
          </w:tcPr>
          <w:p w14:paraId="3F666C7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0,43%</w:t>
            </w:r>
          </w:p>
        </w:tc>
        <w:tc>
          <w:tcPr>
            <w:tcW w:w="457" w:type="pct"/>
            <w:tcBorders>
              <w:top w:val="nil"/>
              <w:left w:val="nil"/>
              <w:bottom w:val="single" w:sz="4" w:space="0" w:color="auto"/>
              <w:right w:val="single" w:sz="4" w:space="0" w:color="auto"/>
            </w:tcBorders>
            <w:noWrap/>
            <w:vAlign w:val="bottom"/>
            <w:hideMark/>
          </w:tcPr>
          <w:p w14:paraId="575CCEC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1E757A3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BDD71B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3.727,39</w:t>
            </w:r>
          </w:p>
        </w:tc>
        <w:tc>
          <w:tcPr>
            <w:tcW w:w="437" w:type="pct"/>
            <w:tcBorders>
              <w:top w:val="nil"/>
              <w:left w:val="nil"/>
              <w:bottom w:val="single" w:sz="4" w:space="0" w:color="auto"/>
              <w:right w:val="single" w:sz="4" w:space="0" w:color="auto"/>
            </w:tcBorders>
            <w:noWrap/>
            <w:vAlign w:val="bottom"/>
            <w:hideMark/>
          </w:tcPr>
          <w:p w14:paraId="1960FB2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3.968,98</w:t>
            </w:r>
          </w:p>
        </w:tc>
        <w:tc>
          <w:tcPr>
            <w:tcW w:w="534" w:type="pct"/>
            <w:tcBorders>
              <w:top w:val="nil"/>
              <w:left w:val="nil"/>
              <w:bottom w:val="single" w:sz="4" w:space="0" w:color="auto"/>
              <w:right w:val="single" w:sz="4" w:space="0" w:color="auto"/>
            </w:tcBorders>
            <w:noWrap/>
            <w:vAlign w:val="bottom"/>
            <w:hideMark/>
          </w:tcPr>
          <w:p w14:paraId="389020C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6.386,92</w:t>
            </w:r>
          </w:p>
        </w:tc>
        <w:tc>
          <w:tcPr>
            <w:tcW w:w="437" w:type="pct"/>
            <w:tcBorders>
              <w:top w:val="nil"/>
              <w:left w:val="nil"/>
              <w:bottom w:val="single" w:sz="4" w:space="0" w:color="auto"/>
              <w:right w:val="single" w:sz="4" w:space="0" w:color="auto"/>
            </w:tcBorders>
            <w:noWrap/>
            <w:vAlign w:val="bottom"/>
            <w:hideMark/>
          </w:tcPr>
          <w:p w14:paraId="0C460D5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928,52</w:t>
            </w:r>
          </w:p>
        </w:tc>
      </w:tr>
      <w:tr w:rsidR="004725DB" w:rsidRPr="004725DB" w14:paraId="6A56BB6F"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5C1ACD31"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Čiščenje in pregled kanalizacije</w:t>
            </w:r>
          </w:p>
        </w:tc>
        <w:tc>
          <w:tcPr>
            <w:tcW w:w="530" w:type="pct"/>
            <w:tcBorders>
              <w:top w:val="nil"/>
              <w:left w:val="nil"/>
              <w:bottom w:val="single" w:sz="4" w:space="0" w:color="auto"/>
              <w:right w:val="single" w:sz="4" w:space="0" w:color="auto"/>
            </w:tcBorders>
            <w:noWrap/>
            <w:vAlign w:val="bottom"/>
            <w:hideMark/>
          </w:tcPr>
          <w:p w14:paraId="0B3EBE6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3.280,00</w:t>
            </w:r>
          </w:p>
        </w:tc>
        <w:tc>
          <w:tcPr>
            <w:tcW w:w="319" w:type="pct"/>
            <w:tcBorders>
              <w:top w:val="nil"/>
              <w:left w:val="nil"/>
              <w:bottom w:val="single" w:sz="4" w:space="0" w:color="auto"/>
              <w:right w:val="single" w:sz="4" w:space="0" w:color="auto"/>
            </w:tcBorders>
            <w:noWrap/>
            <w:vAlign w:val="bottom"/>
            <w:hideMark/>
          </w:tcPr>
          <w:p w14:paraId="011C051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0,09%</w:t>
            </w:r>
          </w:p>
        </w:tc>
        <w:tc>
          <w:tcPr>
            <w:tcW w:w="457" w:type="pct"/>
            <w:tcBorders>
              <w:top w:val="nil"/>
              <w:left w:val="nil"/>
              <w:bottom w:val="single" w:sz="4" w:space="0" w:color="auto"/>
              <w:right w:val="single" w:sz="4" w:space="0" w:color="auto"/>
            </w:tcBorders>
            <w:noWrap/>
            <w:vAlign w:val="bottom"/>
            <w:hideMark/>
          </w:tcPr>
          <w:p w14:paraId="2AFCCEC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F95665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183BF8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3.280,00</w:t>
            </w:r>
          </w:p>
        </w:tc>
        <w:tc>
          <w:tcPr>
            <w:tcW w:w="437" w:type="pct"/>
            <w:tcBorders>
              <w:top w:val="nil"/>
              <w:left w:val="nil"/>
              <w:bottom w:val="single" w:sz="4" w:space="0" w:color="auto"/>
              <w:right w:val="single" w:sz="4" w:space="0" w:color="auto"/>
            </w:tcBorders>
            <w:noWrap/>
            <w:vAlign w:val="bottom"/>
            <w:hideMark/>
          </w:tcPr>
          <w:p w14:paraId="16569A5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36B093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C4C68A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2C1D9EAC"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C616E17"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Nakup nepremičnine</w:t>
            </w:r>
          </w:p>
        </w:tc>
        <w:tc>
          <w:tcPr>
            <w:tcW w:w="530" w:type="pct"/>
            <w:tcBorders>
              <w:top w:val="nil"/>
              <w:left w:val="nil"/>
              <w:bottom w:val="single" w:sz="4" w:space="0" w:color="auto"/>
              <w:right w:val="single" w:sz="4" w:space="0" w:color="auto"/>
            </w:tcBorders>
            <w:noWrap/>
            <w:vAlign w:val="bottom"/>
            <w:hideMark/>
          </w:tcPr>
          <w:p w14:paraId="60C916E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280.000,00</w:t>
            </w:r>
          </w:p>
        </w:tc>
        <w:tc>
          <w:tcPr>
            <w:tcW w:w="319" w:type="pct"/>
            <w:tcBorders>
              <w:top w:val="nil"/>
              <w:left w:val="nil"/>
              <w:bottom w:val="single" w:sz="4" w:space="0" w:color="auto"/>
              <w:right w:val="single" w:sz="4" w:space="0" w:color="auto"/>
            </w:tcBorders>
            <w:noWrap/>
            <w:vAlign w:val="bottom"/>
            <w:hideMark/>
          </w:tcPr>
          <w:p w14:paraId="1D7FD49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8,00%</w:t>
            </w:r>
          </w:p>
        </w:tc>
        <w:tc>
          <w:tcPr>
            <w:tcW w:w="457" w:type="pct"/>
            <w:tcBorders>
              <w:top w:val="nil"/>
              <w:left w:val="nil"/>
              <w:bottom w:val="single" w:sz="4" w:space="0" w:color="auto"/>
              <w:right w:val="single" w:sz="4" w:space="0" w:color="auto"/>
            </w:tcBorders>
            <w:noWrap/>
            <w:vAlign w:val="bottom"/>
            <w:hideMark/>
          </w:tcPr>
          <w:p w14:paraId="4C0B5B5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280.000,00</w:t>
            </w:r>
          </w:p>
        </w:tc>
        <w:tc>
          <w:tcPr>
            <w:tcW w:w="486" w:type="pct"/>
            <w:tcBorders>
              <w:top w:val="nil"/>
              <w:left w:val="nil"/>
              <w:bottom w:val="single" w:sz="4" w:space="0" w:color="auto"/>
              <w:right w:val="single" w:sz="4" w:space="0" w:color="auto"/>
            </w:tcBorders>
            <w:noWrap/>
            <w:vAlign w:val="bottom"/>
            <w:hideMark/>
          </w:tcPr>
          <w:p w14:paraId="6ABB816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65F343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D63E55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7C6345D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77B9C0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059AE290"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075CF611" w14:textId="77777777" w:rsidR="004725DB" w:rsidRPr="004725DB" w:rsidRDefault="004725DB">
            <w:pPr>
              <w:rPr>
                <w:rFonts w:ascii="Roboto" w:hAnsi="Roboto"/>
                <w:color w:val="000000"/>
                <w:sz w:val="20"/>
                <w:szCs w:val="20"/>
              </w:rPr>
            </w:pPr>
            <w:r w:rsidRPr="004725DB">
              <w:rPr>
                <w:rFonts w:ascii="Roboto" w:hAnsi="Roboto"/>
                <w:color w:val="000000"/>
                <w:sz w:val="20"/>
                <w:szCs w:val="20"/>
              </w:rPr>
              <w:t>Druga dela ob rušenju objekta (neobdavčeno)</w:t>
            </w:r>
          </w:p>
        </w:tc>
        <w:tc>
          <w:tcPr>
            <w:tcW w:w="530" w:type="pct"/>
            <w:tcBorders>
              <w:top w:val="nil"/>
              <w:left w:val="nil"/>
              <w:bottom w:val="single" w:sz="4" w:space="0" w:color="auto"/>
              <w:right w:val="single" w:sz="4" w:space="0" w:color="auto"/>
            </w:tcBorders>
            <w:noWrap/>
            <w:vAlign w:val="bottom"/>
            <w:hideMark/>
          </w:tcPr>
          <w:p w14:paraId="1458ABE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776,00</w:t>
            </w:r>
          </w:p>
        </w:tc>
        <w:tc>
          <w:tcPr>
            <w:tcW w:w="319" w:type="pct"/>
            <w:tcBorders>
              <w:top w:val="nil"/>
              <w:left w:val="nil"/>
              <w:bottom w:val="single" w:sz="4" w:space="0" w:color="auto"/>
              <w:right w:val="single" w:sz="4" w:space="0" w:color="auto"/>
            </w:tcBorders>
            <w:noWrap/>
            <w:vAlign w:val="bottom"/>
            <w:hideMark/>
          </w:tcPr>
          <w:p w14:paraId="28C708C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0,02%</w:t>
            </w:r>
          </w:p>
        </w:tc>
        <w:tc>
          <w:tcPr>
            <w:tcW w:w="457" w:type="pct"/>
            <w:tcBorders>
              <w:top w:val="nil"/>
              <w:left w:val="nil"/>
              <w:bottom w:val="single" w:sz="4" w:space="0" w:color="auto"/>
              <w:right w:val="single" w:sz="4" w:space="0" w:color="auto"/>
            </w:tcBorders>
            <w:noWrap/>
            <w:vAlign w:val="bottom"/>
            <w:hideMark/>
          </w:tcPr>
          <w:p w14:paraId="76A8373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776,00</w:t>
            </w:r>
          </w:p>
        </w:tc>
        <w:tc>
          <w:tcPr>
            <w:tcW w:w="486" w:type="pct"/>
            <w:tcBorders>
              <w:top w:val="nil"/>
              <w:left w:val="nil"/>
              <w:bottom w:val="single" w:sz="4" w:space="0" w:color="auto"/>
              <w:right w:val="single" w:sz="4" w:space="0" w:color="auto"/>
            </w:tcBorders>
            <w:noWrap/>
            <w:vAlign w:val="bottom"/>
            <w:hideMark/>
          </w:tcPr>
          <w:p w14:paraId="2E5B4E6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FDB0D4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199F49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5A488ED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C9C5CA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68877378"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21F25FC4" w14:textId="77777777" w:rsidR="004725DB" w:rsidRPr="004725DB" w:rsidRDefault="004725DB">
            <w:pPr>
              <w:rPr>
                <w:rFonts w:ascii="Roboto" w:hAnsi="Roboto"/>
                <w:color w:val="000000"/>
                <w:sz w:val="20"/>
                <w:szCs w:val="20"/>
              </w:rPr>
            </w:pPr>
            <w:r w:rsidRPr="004725DB">
              <w:rPr>
                <w:rFonts w:ascii="Roboto" w:hAnsi="Roboto"/>
                <w:color w:val="000000"/>
                <w:sz w:val="20"/>
                <w:szCs w:val="20"/>
              </w:rPr>
              <w:t>Druga dela ob rušenju objekta (9,5% DDV)</w:t>
            </w:r>
          </w:p>
        </w:tc>
        <w:tc>
          <w:tcPr>
            <w:tcW w:w="530" w:type="pct"/>
            <w:tcBorders>
              <w:top w:val="nil"/>
              <w:left w:val="nil"/>
              <w:bottom w:val="single" w:sz="4" w:space="0" w:color="auto"/>
              <w:right w:val="single" w:sz="4" w:space="0" w:color="auto"/>
            </w:tcBorders>
            <w:noWrap/>
            <w:vAlign w:val="bottom"/>
            <w:hideMark/>
          </w:tcPr>
          <w:p w14:paraId="6A50B78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545,96</w:t>
            </w:r>
          </w:p>
        </w:tc>
        <w:tc>
          <w:tcPr>
            <w:tcW w:w="319" w:type="pct"/>
            <w:tcBorders>
              <w:top w:val="nil"/>
              <w:left w:val="nil"/>
              <w:bottom w:val="single" w:sz="4" w:space="0" w:color="auto"/>
              <w:right w:val="single" w:sz="4" w:space="0" w:color="auto"/>
            </w:tcBorders>
            <w:noWrap/>
            <w:vAlign w:val="bottom"/>
            <w:hideMark/>
          </w:tcPr>
          <w:p w14:paraId="359E4B6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0,02%</w:t>
            </w:r>
          </w:p>
        </w:tc>
        <w:tc>
          <w:tcPr>
            <w:tcW w:w="457" w:type="pct"/>
            <w:tcBorders>
              <w:top w:val="nil"/>
              <w:left w:val="nil"/>
              <w:bottom w:val="single" w:sz="4" w:space="0" w:color="auto"/>
              <w:right w:val="single" w:sz="4" w:space="0" w:color="auto"/>
            </w:tcBorders>
            <w:noWrap/>
            <w:vAlign w:val="bottom"/>
            <w:hideMark/>
          </w:tcPr>
          <w:p w14:paraId="14C07F1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545,96</w:t>
            </w:r>
          </w:p>
        </w:tc>
        <w:tc>
          <w:tcPr>
            <w:tcW w:w="486" w:type="pct"/>
            <w:tcBorders>
              <w:top w:val="nil"/>
              <w:left w:val="nil"/>
              <w:bottom w:val="single" w:sz="4" w:space="0" w:color="auto"/>
              <w:right w:val="single" w:sz="4" w:space="0" w:color="auto"/>
            </w:tcBorders>
            <w:noWrap/>
            <w:vAlign w:val="bottom"/>
            <w:hideMark/>
          </w:tcPr>
          <w:p w14:paraId="37D7B3A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913C68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6B470C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43584C0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D6A77E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40A2FE34"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2F65C186" w14:textId="77777777" w:rsidR="004725DB" w:rsidRPr="004725DB" w:rsidRDefault="004725DB">
            <w:pPr>
              <w:rPr>
                <w:rFonts w:ascii="Roboto" w:hAnsi="Roboto"/>
                <w:color w:val="000000"/>
                <w:sz w:val="20"/>
                <w:szCs w:val="20"/>
              </w:rPr>
            </w:pPr>
            <w:r w:rsidRPr="004725DB">
              <w:rPr>
                <w:rFonts w:ascii="Roboto" w:hAnsi="Roboto"/>
                <w:color w:val="000000"/>
                <w:sz w:val="20"/>
                <w:szCs w:val="20"/>
              </w:rPr>
              <w:t>Druga dela ob rušenju objekta</w:t>
            </w:r>
          </w:p>
        </w:tc>
        <w:tc>
          <w:tcPr>
            <w:tcW w:w="530" w:type="pct"/>
            <w:tcBorders>
              <w:top w:val="nil"/>
              <w:left w:val="nil"/>
              <w:bottom w:val="single" w:sz="4" w:space="0" w:color="auto"/>
              <w:right w:val="single" w:sz="4" w:space="0" w:color="auto"/>
            </w:tcBorders>
            <w:noWrap/>
            <w:vAlign w:val="bottom"/>
            <w:hideMark/>
          </w:tcPr>
          <w:p w14:paraId="6DBDFFF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5.483,07</w:t>
            </w:r>
          </w:p>
        </w:tc>
        <w:tc>
          <w:tcPr>
            <w:tcW w:w="319" w:type="pct"/>
            <w:tcBorders>
              <w:top w:val="nil"/>
              <w:left w:val="nil"/>
              <w:bottom w:val="single" w:sz="4" w:space="0" w:color="auto"/>
              <w:right w:val="single" w:sz="4" w:space="0" w:color="auto"/>
            </w:tcBorders>
            <w:noWrap/>
            <w:vAlign w:val="bottom"/>
            <w:hideMark/>
          </w:tcPr>
          <w:p w14:paraId="2D1212E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0,16%</w:t>
            </w:r>
          </w:p>
        </w:tc>
        <w:tc>
          <w:tcPr>
            <w:tcW w:w="457" w:type="pct"/>
            <w:tcBorders>
              <w:top w:val="nil"/>
              <w:left w:val="nil"/>
              <w:bottom w:val="single" w:sz="4" w:space="0" w:color="auto"/>
              <w:right w:val="single" w:sz="4" w:space="0" w:color="auto"/>
            </w:tcBorders>
            <w:noWrap/>
            <w:vAlign w:val="bottom"/>
            <w:hideMark/>
          </w:tcPr>
          <w:p w14:paraId="296C162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5.483,07</w:t>
            </w:r>
          </w:p>
        </w:tc>
        <w:tc>
          <w:tcPr>
            <w:tcW w:w="486" w:type="pct"/>
            <w:tcBorders>
              <w:top w:val="nil"/>
              <w:left w:val="nil"/>
              <w:bottom w:val="single" w:sz="4" w:space="0" w:color="auto"/>
              <w:right w:val="single" w:sz="4" w:space="0" w:color="auto"/>
            </w:tcBorders>
            <w:noWrap/>
            <w:vAlign w:val="bottom"/>
            <w:hideMark/>
          </w:tcPr>
          <w:p w14:paraId="329A1DF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D7CAA7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2A40B8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3A5BA07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827242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3C457A77"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47FEEB67"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Vpis v kataster</w:t>
            </w:r>
          </w:p>
        </w:tc>
        <w:tc>
          <w:tcPr>
            <w:tcW w:w="530" w:type="pct"/>
            <w:tcBorders>
              <w:top w:val="nil"/>
              <w:left w:val="nil"/>
              <w:bottom w:val="single" w:sz="4" w:space="0" w:color="auto"/>
              <w:right w:val="single" w:sz="4" w:space="0" w:color="auto"/>
            </w:tcBorders>
            <w:noWrap/>
            <w:vAlign w:val="bottom"/>
            <w:hideMark/>
          </w:tcPr>
          <w:p w14:paraId="1999B87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892,65</w:t>
            </w:r>
          </w:p>
        </w:tc>
        <w:tc>
          <w:tcPr>
            <w:tcW w:w="319" w:type="pct"/>
            <w:tcBorders>
              <w:top w:val="nil"/>
              <w:left w:val="nil"/>
              <w:bottom w:val="single" w:sz="4" w:space="0" w:color="auto"/>
              <w:right w:val="single" w:sz="4" w:space="0" w:color="auto"/>
            </w:tcBorders>
            <w:noWrap/>
            <w:vAlign w:val="bottom"/>
            <w:hideMark/>
          </w:tcPr>
          <w:p w14:paraId="3945A1B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0,03%</w:t>
            </w:r>
          </w:p>
        </w:tc>
        <w:tc>
          <w:tcPr>
            <w:tcW w:w="457" w:type="pct"/>
            <w:tcBorders>
              <w:top w:val="nil"/>
              <w:left w:val="nil"/>
              <w:bottom w:val="single" w:sz="4" w:space="0" w:color="auto"/>
              <w:right w:val="single" w:sz="4" w:space="0" w:color="auto"/>
            </w:tcBorders>
            <w:noWrap/>
            <w:vAlign w:val="bottom"/>
            <w:hideMark/>
          </w:tcPr>
          <w:p w14:paraId="3F59BB1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06AC0A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A6EF24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D51A5F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05917E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4F7AA1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892,65</w:t>
            </w:r>
          </w:p>
        </w:tc>
      </w:tr>
      <w:tr w:rsidR="004725DB" w:rsidRPr="004725DB" w14:paraId="11F4F939"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50780AF6"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Notar, zemljiška knjiga</w:t>
            </w:r>
          </w:p>
        </w:tc>
        <w:tc>
          <w:tcPr>
            <w:tcW w:w="530" w:type="pct"/>
            <w:tcBorders>
              <w:top w:val="nil"/>
              <w:left w:val="nil"/>
              <w:bottom w:val="single" w:sz="4" w:space="0" w:color="auto"/>
              <w:right w:val="single" w:sz="4" w:space="0" w:color="auto"/>
            </w:tcBorders>
            <w:noWrap/>
            <w:vAlign w:val="bottom"/>
            <w:hideMark/>
          </w:tcPr>
          <w:p w14:paraId="2849502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319" w:type="pct"/>
            <w:tcBorders>
              <w:top w:val="nil"/>
              <w:left w:val="nil"/>
              <w:bottom w:val="single" w:sz="4" w:space="0" w:color="auto"/>
              <w:right w:val="single" w:sz="4" w:space="0" w:color="auto"/>
            </w:tcBorders>
            <w:noWrap/>
            <w:vAlign w:val="bottom"/>
            <w:hideMark/>
          </w:tcPr>
          <w:p w14:paraId="1F94479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57" w:type="pct"/>
            <w:tcBorders>
              <w:top w:val="nil"/>
              <w:left w:val="nil"/>
              <w:bottom w:val="single" w:sz="4" w:space="0" w:color="auto"/>
              <w:right w:val="single" w:sz="4" w:space="0" w:color="auto"/>
            </w:tcBorders>
            <w:noWrap/>
            <w:vAlign w:val="bottom"/>
            <w:hideMark/>
          </w:tcPr>
          <w:p w14:paraId="168AABB8"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60EA791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E34AA5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576D76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B31FBB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7931E0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6BF09A93"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7E09B607"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Geodetski načrt</w:t>
            </w:r>
          </w:p>
        </w:tc>
        <w:tc>
          <w:tcPr>
            <w:tcW w:w="530" w:type="pct"/>
            <w:tcBorders>
              <w:top w:val="nil"/>
              <w:left w:val="nil"/>
              <w:bottom w:val="single" w:sz="4" w:space="0" w:color="auto"/>
              <w:right w:val="single" w:sz="4" w:space="0" w:color="auto"/>
            </w:tcBorders>
            <w:noWrap/>
            <w:vAlign w:val="bottom"/>
            <w:hideMark/>
          </w:tcPr>
          <w:p w14:paraId="55991ED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2.032,66</w:t>
            </w:r>
          </w:p>
        </w:tc>
        <w:tc>
          <w:tcPr>
            <w:tcW w:w="319" w:type="pct"/>
            <w:tcBorders>
              <w:top w:val="nil"/>
              <w:left w:val="nil"/>
              <w:bottom w:val="single" w:sz="4" w:space="0" w:color="auto"/>
              <w:right w:val="single" w:sz="4" w:space="0" w:color="auto"/>
            </w:tcBorders>
            <w:noWrap/>
            <w:vAlign w:val="bottom"/>
            <w:hideMark/>
          </w:tcPr>
          <w:p w14:paraId="6E40A79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0,06%</w:t>
            </w:r>
          </w:p>
        </w:tc>
        <w:tc>
          <w:tcPr>
            <w:tcW w:w="457" w:type="pct"/>
            <w:tcBorders>
              <w:top w:val="nil"/>
              <w:left w:val="nil"/>
              <w:bottom w:val="single" w:sz="4" w:space="0" w:color="auto"/>
              <w:right w:val="single" w:sz="4" w:space="0" w:color="auto"/>
            </w:tcBorders>
            <w:noWrap/>
            <w:vAlign w:val="bottom"/>
            <w:hideMark/>
          </w:tcPr>
          <w:p w14:paraId="416B5B3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E97793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2.032,66</w:t>
            </w:r>
          </w:p>
        </w:tc>
        <w:tc>
          <w:tcPr>
            <w:tcW w:w="437" w:type="pct"/>
            <w:tcBorders>
              <w:top w:val="nil"/>
              <w:left w:val="nil"/>
              <w:bottom w:val="single" w:sz="4" w:space="0" w:color="auto"/>
              <w:right w:val="single" w:sz="4" w:space="0" w:color="auto"/>
            </w:tcBorders>
            <w:noWrap/>
            <w:vAlign w:val="bottom"/>
            <w:hideMark/>
          </w:tcPr>
          <w:p w14:paraId="241309B4"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968117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7873ACB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8B6E80B"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7E2F0001"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0866FC88"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Baza cestnih podatkov</w:t>
            </w:r>
          </w:p>
        </w:tc>
        <w:tc>
          <w:tcPr>
            <w:tcW w:w="530" w:type="pct"/>
            <w:tcBorders>
              <w:top w:val="nil"/>
              <w:left w:val="nil"/>
              <w:bottom w:val="single" w:sz="4" w:space="0" w:color="auto"/>
              <w:right w:val="single" w:sz="4" w:space="0" w:color="auto"/>
            </w:tcBorders>
            <w:noWrap/>
            <w:vAlign w:val="bottom"/>
            <w:hideMark/>
          </w:tcPr>
          <w:p w14:paraId="71F29C15"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819,67</w:t>
            </w:r>
          </w:p>
        </w:tc>
        <w:tc>
          <w:tcPr>
            <w:tcW w:w="319" w:type="pct"/>
            <w:tcBorders>
              <w:top w:val="nil"/>
              <w:left w:val="nil"/>
              <w:bottom w:val="single" w:sz="4" w:space="0" w:color="auto"/>
              <w:right w:val="single" w:sz="4" w:space="0" w:color="auto"/>
            </w:tcBorders>
            <w:noWrap/>
            <w:vAlign w:val="bottom"/>
            <w:hideMark/>
          </w:tcPr>
          <w:p w14:paraId="035AD80E"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0,02%</w:t>
            </w:r>
          </w:p>
        </w:tc>
        <w:tc>
          <w:tcPr>
            <w:tcW w:w="457" w:type="pct"/>
            <w:tcBorders>
              <w:top w:val="nil"/>
              <w:left w:val="nil"/>
              <w:bottom w:val="single" w:sz="4" w:space="0" w:color="auto"/>
              <w:right w:val="single" w:sz="4" w:space="0" w:color="auto"/>
            </w:tcBorders>
            <w:noWrap/>
            <w:vAlign w:val="bottom"/>
            <w:hideMark/>
          </w:tcPr>
          <w:p w14:paraId="4F1F3F77"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CD2A2C6"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7BB915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1C4C4B3"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4BAE30A"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819,67</w:t>
            </w:r>
          </w:p>
        </w:tc>
        <w:tc>
          <w:tcPr>
            <w:tcW w:w="437" w:type="pct"/>
            <w:tcBorders>
              <w:top w:val="nil"/>
              <w:left w:val="nil"/>
              <w:bottom w:val="single" w:sz="4" w:space="0" w:color="auto"/>
              <w:right w:val="single" w:sz="4" w:space="0" w:color="auto"/>
            </w:tcBorders>
            <w:noWrap/>
            <w:vAlign w:val="bottom"/>
            <w:hideMark/>
          </w:tcPr>
          <w:p w14:paraId="70A4D291"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0,00</w:t>
            </w:r>
          </w:p>
        </w:tc>
      </w:tr>
      <w:tr w:rsidR="004725DB" w:rsidRPr="004725DB" w14:paraId="39E147EA" w14:textId="77777777" w:rsidTr="002E10AB">
        <w:trPr>
          <w:trHeight w:val="227"/>
        </w:trPr>
        <w:tc>
          <w:tcPr>
            <w:tcW w:w="1362" w:type="pct"/>
            <w:tcBorders>
              <w:top w:val="nil"/>
              <w:left w:val="single" w:sz="4" w:space="0" w:color="auto"/>
              <w:bottom w:val="single" w:sz="4" w:space="0" w:color="auto"/>
              <w:right w:val="single" w:sz="4" w:space="0" w:color="auto"/>
            </w:tcBorders>
            <w:shd w:val="clear" w:color="000000" w:fill="D9D9D9"/>
            <w:vAlign w:val="bottom"/>
            <w:hideMark/>
          </w:tcPr>
          <w:p w14:paraId="6C2025F7" w14:textId="77777777" w:rsidR="004725DB" w:rsidRPr="004725DB" w:rsidRDefault="004725DB">
            <w:pPr>
              <w:rPr>
                <w:rFonts w:ascii="Arial" w:hAnsi="Arial" w:cs="Arial"/>
                <w:b/>
                <w:bCs/>
                <w:color w:val="000000"/>
                <w:sz w:val="20"/>
                <w:szCs w:val="20"/>
              </w:rPr>
            </w:pPr>
            <w:r w:rsidRPr="004725DB">
              <w:rPr>
                <w:rFonts w:ascii="Arial" w:hAnsi="Arial" w:cs="Arial"/>
                <w:b/>
                <w:bCs/>
                <w:color w:val="000000"/>
                <w:sz w:val="20"/>
                <w:szCs w:val="20"/>
              </w:rPr>
              <w:t>Skupaj brez DDV</w:t>
            </w:r>
          </w:p>
        </w:tc>
        <w:tc>
          <w:tcPr>
            <w:tcW w:w="530" w:type="pct"/>
            <w:tcBorders>
              <w:top w:val="nil"/>
              <w:left w:val="nil"/>
              <w:bottom w:val="single" w:sz="4" w:space="0" w:color="auto"/>
              <w:right w:val="single" w:sz="4" w:space="0" w:color="auto"/>
            </w:tcBorders>
            <w:shd w:val="clear" w:color="000000" w:fill="D9D9D9"/>
            <w:noWrap/>
            <w:vAlign w:val="bottom"/>
            <w:hideMark/>
          </w:tcPr>
          <w:p w14:paraId="285D5B75"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2.920.552,53</w:t>
            </w:r>
          </w:p>
        </w:tc>
        <w:tc>
          <w:tcPr>
            <w:tcW w:w="319" w:type="pct"/>
            <w:tcBorders>
              <w:top w:val="nil"/>
              <w:left w:val="nil"/>
              <w:bottom w:val="single" w:sz="4" w:space="0" w:color="auto"/>
              <w:right w:val="single" w:sz="4" w:space="0" w:color="auto"/>
            </w:tcBorders>
            <w:shd w:val="clear" w:color="000000" w:fill="D9D9D9"/>
            <w:noWrap/>
            <w:vAlign w:val="bottom"/>
            <w:hideMark/>
          </w:tcPr>
          <w:p w14:paraId="208A728B"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83,41%</w:t>
            </w:r>
          </w:p>
        </w:tc>
        <w:tc>
          <w:tcPr>
            <w:tcW w:w="457" w:type="pct"/>
            <w:tcBorders>
              <w:top w:val="nil"/>
              <w:left w:val="nil"/>
              <w:bottom w:val="single" w:sz="4" w:space="0" w:color="auto"/>
              <w:right w:val="single" w:sz="4" w:space="0" w:color="auto"/>
            </w:tcBorders>
            <w:shd w:val="clear" w:color="000000" w:fill="D9D9D9"/>
            <w:noWrap/>
            <w:vAlign w:val="bottom"/>
            <w:hideMark/>
          </w:tcPr>
          <w:p w14:paraId="7A590C91"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294.705,03</w:t>
            </w:r>
          </w:p>
        </w:tc>
        <w:tc>
          <w:tcPr>
            <w:tcW w:w="486" w:type="pct"/>
            <w:tcBorders>
              <w:top w:val="nil"/>
              <w:left w:val="nil"/>
              <w:bottom w:val="single" w:sz="4" w:space="0" w:color="auto"/>
              <w:right w:val="single" w:sz="4" w:space="0" w:color="auto"/>
            </w:tcBorders>
            <w:shd w:val="clear" w:color="000000" w:fill="D9D9D9"/>
            <w:noWrap/>
            <w:vAlign w:val="bottom"/>
            <w:hideMark/>
          </w:tcPr>
          <w:p w14:paraId="45442138"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88.330,75</w:t>
            </w:r>
          </w:p>
        </w:tc>
        <w:tc>
          <w:tcPr>
            <w:tcW w:w="437" w:type="pct"/>
            <w:tcBorders>
              <w:top w:val="nil"/>
              <w:left w:val="nil"/>
              <w:bottom w:val="single" w:sz="4" w:space="0" w:color="auto"/>
              <w:right w:val="single" w:sz="4" w:space="0" w:color="auto"/>
            </w:tcBorders>
            <w:shd w:val="clear" w:color="000000" w:fill="D9D9D9"/>
            <w:noWrap/>
            <w:vAlign w:val="bottom"/>
            <w:hideMark/>
          </w:tcPr>
          <w:p w14:paraId="61BB35A3"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594.368,22</w:t>
            </w:r>
          </w:p>
        </w:tc>
        <w:tc>
          <w:tcPr>
            <w:tcW w:w="437" w:type="pct"/>
            <w:tcBorders>
              <w:top w:val="nil"/>
              <w:left w:val="nil"/>
              <w:bottom w:val="single" w:sz="4" w:space="0" w:color="auto"/>
              <w:right w:val="single" w:sz="4" w:space="0" w:color="auto"/>
            </w:tcBorders>
            <w:shd w:val="clear" w:color="000000" w:fill="D9D9D9"/>
            <w:noWrap/>
            <w:vAlign w:val="bottom"/>
            <w:hideMark/>
          </w:tcPr>
          <w:p w14:paraId="66059550"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673.145,12</w:t>
            </w:r>
          </w:p>
        </w:tc>
        <w:tc>
          <w:tcPr>
            <w:tcW w:w="534" w:type="pct"/>
            <w:tcBorders>
              <w:top w:val="nil"/>
              <w:left w:val="nil"/>
              <w:bottom w:val="single" w:sz="4" w:space="0" w:color="auto"/>
              <w:right w:val="single" w:sz="4" w:space="0" w:color="auto"/>
            </w:tcBorders>
            <w:shd w:val="clear" w:color="000000" w:fill="D9D9D9"/>
            <w:noWrap/>
            <w:vAlign w:val="bottom"/>
            <w:hideMark/>
          </w:tcPr>
          <w:p w14:paraId="7F3E1BDD"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1.125.089,70</w:t>
            </w:r>
          </w:p>
        </w:tc>
        <w:tc>
          <w:tcPr>
            <w:tcW w:w="437" w:type="pct"/>
            <w:tcBorders>
              <w:top w:val="nil"/>
              <w:left w:val="nil"/>
              <w:bottom w:val="single" w:sz="4" w:space="0" w:color="auto"/>
              <w:right w:val="single" w:sz="4" w:space="0" w:color="auto"/>
            </w:tcBorders>
            <w:shd w:val="clear" w:color="000000" w:fill="D9D9D9"/>
            <w:noWrap/>
            <w:vAlign w:val="bottom"/>
            <w:hideMark/>
          </w:tcPr>
          <w:p w14:paraId="0CBFEC84"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144.913,70</w:t>
            </w:r>
          </w:p>
        </w:tc>
      </w:tr>
      <w:tr w:rsidR="004725DB" w:rsidRPr="004725DB" w14:paraId="1D13CE2E" w14:textId="77777777" w:rsidTr="002E10AB">
        <w:trPr>
          <w:trHeight w:val="227"/>
        </w:trPr>
        <w:tc>
          <w:tcPr>
            <w:tcW w:w="1362" w:type="pct"/>
            <w:tcBorders>
              <w:top w:val="nil"/>
              <w:left w:val="single" w:sz="4" w:space="0" w:color="auto"/>
              <w:bottom w:val="single" w:sz="4" w:space="0" w:color="auto"/>
              <w:right w:val="single" w:sz="4" w:space="0" w:color="auto"/>
            </w:tcBorders>
            <w:vAlign w:val="bottom"/>
            <w:hideMark/>
          </w:tcPr>
          <w:p w14:paraId="1290AC2F" w14:textId="77777777" w:rsidR="004725DB" w:rsidRPr="004725DB" w:rsidRDefault="004725DB">
            <w:pPr>
              <w:rPr>
                <w:rFonts w:ascii="Arial" w:hAnsi="Arial" w:cs="Arial"/>
                <w:color w:val="000000"/>
                <w:sz w:val="20"/>
                <w:szCs w:val="20"/>
              </w:rPr>
            </w:pPr>
            <w:r w:rsidRPr="004725DB">
              <w:rPr>
                <w:rFonts w:ascii="Arial" w:hAnsi="Arial" w:cs="Arial"/>
                <w:color w:val="000000"/>
                <w:sz w:val="20"/>
                <w:szCs w:val="20"/>
              </w:rPr>
              <w:t>Davek na dodano vrednost</w:t>
            </w:r>
          </w:p>
        </w:tc>
        <w:tc>
          <w:tcPr>
            <w:tcW w:w="530" w:type="pct"/>
            <w:tcBorders>
              <w:top w:val="nil"/>
              <w:left w:val="nil"/>
              <w:bottom w:val="single" w:sz="4" w:space="0" w:color="auto"/>
              <w:right w:val="single" w:sz="4" w:space="0" w:color="auto"/>
            </w:tcBorders>
            <w:noWrap/>
            <w:vAlign w:val="bottom"/>
            <w:hideMark/>
          </w:tcPr>
          <w:p w14:paraId="532A483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580.682,59</w:t>
            </w:r>
          </w:p>
        </w:tc>
        <w:tc>
          <w:tcPr>
            <w:tcW w:w="319" w:type="pct"/>
            <w:tcBorders>
              <w:top w:val="nil"/>
              <w:left w:val="nil"/>
              <w:bottom w:val="single" w:sz="4" w:space="0" w:color="auto"/>
              <w:right w:val="single" w:sz="4" w:space="0" w:color="auto"/>
            </w:tcBorders>
            <w:noWrap/>
            <w:vAlign w:val="bottom"/>
            <w:hideMark/>
          </w:tcPr>
          <w:p w14:paraId="18202D5C"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16,59%</w:t>
            </w:r>
          </w:p>
        </w:tc>
        <w:tc>
          <w:tcPr>
            <w:tcW w:w="457" w:type="pct"/>
            <w:tcBorders>
              <w:top w:val="nil"/>
              <w:left w:val="nil"/>
              <w:bottom w:val="single" w:sz="4" w:space="0" w:color="auto"/>
              <w:right w:val="single" w:sz="4" w:space="0" w:color="auto"/>
            </w:tcBorders>
            <w:noWrap/>
            <w:vAlign w:val="bottom"/>
            <w:hideMark/>
          </w:tcPr>
          <w:p w14:paraId="2578E6AF"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2.996,14</w:t>
            </w:r>
          </w:p>
        </w:tc>
        <w:tc>
          <w:tcPr>
            <w:tcW w:w="486" w:type="pct"/>
            <w:tcBorders>
              <w:top w:val="nil"/>
              <w:left w:val="nil"/>
              <w:bottom w:val="single" w:sz="4" w:space="0" w:color="auto"/>
              <w:right w:val="single" w:sz="4" w:space="0" w:color="auto"/>
            </w:tcBorders>
            <w:noWrap/>
            <w:vAlign w:val="bottom"/>
            <w:hideMark/>
          </w:tcPr>
          <w:p w14:paraId="2A368D4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19.432,77</w:t>
            </w:r>
          </w:p>
        </w:tc>
        <w:tc>
          <w:tcPr>
            <w:tcW w:w="437" w:type="pct"/>
            <w:tcBorders>
              <w:top w:val="nil"/>
              <w:left w:val="nil"/>
              <w:bottom w:val="single" w:sz="4" w:space="0" w:color="auto"/>
              <w:right w:val="single" w:sz="4" w:space="0" w:color="auto"/>
            </w:tcBorders>
            <w:noWrap/>
            <w:vAlign w:val="bottom"/>
            <w:hideMark/>
          </w:tcPr>
          <w:p w14:paraId="09D5F3F9"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130.761,01</w:t>
            </w:r>
          </w:p>
        </w:tc>
        <w:tc>
          <w:tcPr>
            <w:tcW w:w="437" w:type="pct"/>
            <w:tcBorders>
              <w:top w:val="nil"/>
              <w:left w:val="nil"/>
              <w:bottom w:val="single" w:sz="4" w:space="0" w:color="auto"/>
              <w:right w:val="single" w:sz="4" w:space="0" w:color="auto"/>
            </w:tcBorders>
            <w:noWrap/>
            <w:vAlign w:val="bottom"/>
            <w:hideMark/>
          </w:tcPr>
          <w:p w14:paraId="6FFD4682"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148.091,93</w:t>
            </w:r>
          </w:p>
        </w:tc>
        <w:tc>
          <w:tcPr>
            <w:tcW w:w="534" w:type="pct"/>
            <w:tcBorders>
              <w:top w:val="nil"/>
              <w:left w:val="nil"/>
              <w:bottom w:val="single" w:sz="4" w:space="0" w:color="auto"/>
              <w:right w:val="single" w:sz="4" w:space="0" w:color="auto"/>
            </w:tcBorders>
            <w:noWrap/>
            <w:vAlign w:val="bottom"/>
            <w:hideMark/>
          </w:tcPr>
          <w:p w14:paraId="6286EC20"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247.519,73</w:t>
            </w:r>
          </w:p>
        </w:tc>
        <w:tc>
          <w:tcPr>
            <w:tcW w:w="437" w:type="pct"/>
            <w:tcBorders>
              <w:top w:val="nil"/>
              <w:left w:val="nil"/>
              <w:bottom w:val="single" w:sz="4" w:space="0" w:color="auto"/>
              <w:right w:val="single" w:sz="4" w:space="0" w:color="auto"/>
            </w:tcBorders>
            <w:noWrap/>
            <w:vAlign w:val="bottom"/>
            <w:hideMark/>
          </w:tcPr>
          <w:p w14:paraId="6D1D6E0D" w14:textId="77777777" w:rsidR="004725DB" w:rsidRPr="004725DB" w:rsidRDefault="004725DB">
            <w:pPr>
              <w:jc w:val="right"/>
              <w:rPr>
                <w:rFonts w:ascii="Arial" w:hAnsi="Arial" w:cs="Arial"/>
                <w:color w:val="000000"/>
                <w:sz w:val="20"/>
                <w:szCs w:val="20"/>
              </w:rPr>
            </w:pPr>
            <w:r w:rsidRPr="004725DB">
              <w:rPr>
                <w:rFonts w:ascii="Arial" w:hAnsi="Arial" w:cs="Arial"/>
                <w:color w:val="000000"/>
                <w:sz w:val="20"/>
                <w:szCs w:val="20"/>
              </w:rPr>
              <w:t>31.881,01</w:t>
            </w:r>
          </w:p>
        </w:tc>
      </w:tr>
      <w:tr w:rsidR="004725DB" w:rsidRPr="004725DB" w14:paraId="031C552A" w14:textId="77777777" w:rsidTr="002E10AB">
        <w:trPr>
          <w:trHeight w:val="227"/>
        </w:trPr>
        <w:tc>
          <w:tcPr>
            <w:tcW w:w="1362" w:type="pct"/>
            <w:tcBorders>
              <w:top w:val="nil"/>
              <w:left w:val="single" w:sz="4" w:space="0" w:color="auto"/>
              <w:bottom w:val="single" w:sz="4" w:space="0" w:color="auto"/>
              <w:right w:val="single" w:sz="4" w:space="0" w:color="auto"/>
            </w:tcBorders>
            <w:shd w:val="clear" w:color="000000" w:fill="D9D9D9"/>
            <w:vAlign w:val="bottom"/>
            <w:hideMark/>
          </w:tcPr>
          <w:p w14:paraId="1BD96C17" w14:textId="77777777" w:rsidR="004725DB" w:rsidRPr="004725DB" w:rsidRDefault="004725DB">
            <w:pPr>
              <w:rPr>
                <w:rFonts w:ascii="Arial" w:hAnsi="Arial" w:cs="Arial"/>
                <w:b/>
                <w:bCs/>
                <w:color w:val="000000"/>
                <w:sz w:val="20"/>
                <w:szCs w:val="20"/>
              </w:rPr>
            </w:pPr>
            <w:r w:rsidRPr="004725DB">
              <w:rPr>
                <w:rFonts w:ascii="Arial" w:hAnsi="Arial" w:cs="Arial"/>
                <w:b/>
                <w:bCs/>
                <w:color w:val="000000"/>
                <w:sz w:val="20"/>
                <w:szCs w:val="20"/>
              </w:rPr>
              <w:t>Skupaj z davkom na dodano vrednost</w:t>
            </w:r>
          </w:p>
        </w:tc>
        <w:tc>
          <w:tcPr>
            <w:tcW w:w="530" w:type="pct"/>
            <w:tcBorders>
              <w:top w:val="nil"/>
              <w:left w:val="nil"/>
              <w:bottom w:val="single" w:sz="4" w:space="0" w:color="auto"/>
              <w:right w:val="single" w:sz="4" w:space="0" w:color="auto"/>
            </w:tcBorders>
            <w:shd w:val="clear" w:color="000000" w:fill="D9D9D9"/>
            <w:noWrap/>
            <w:vAlign w:val="bottom"/>
            <w:hideMark/>
          </w:tcPr>
          <w:p w14:paraId="7F147CBA"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3.501.235,12</w:t>
            </w:r>
          </w:p>
        </w:tc>
        <w:tc>
          <w:tcPr>
            <w:tcW w:w="319" w:type="pct"/>
            <w:tcBorders>
              <w:top w:val="nil"/>
              <w:left w:val="nil"/>
              <w:bottom w:val="single" w:sz="4" w:space="0" w:color="auto"/>
              <w:right w:val="single" w:sz="4" w:space="0" w:color="auto"/>
            </w:tcBorders>
            <w:shd w:val="clear" w:color="000000" w:fill="D9D9D9"/>
            <w:noWrap/>
            <w:vAlign w:val="bottom"/>
            <w:hideMark/>
          </w:tcPr>
          <w:p w14:paraId="5001EB9F"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100,00%</w:t>
            </w:r>
          </w:p>
        </w:tc>
        <w:tc>
          <w:tcPr>
            <w:tcW w:w="457" w:type="pct"/>
            <w:tcBorders>
              <w:top w:val="nil"/>
              <w:left w:val="nil"/>
              <w:bottom w:val="single" w:sz="4" w:space="0" w:color="auto"/>
              <w:right w:val="single" w:sz="4" w:space="0" w:color="auto"/>
            </w:tcBorders>
            <w:shd w:val="clear" w:color="000000" w:fill="D9D9D9"/>
            <w:noWrap/>
            <w:vAlign w:val="bottom"/>
            <w:hideMark/>
          </w:tcPr>
          <w:p w14:paraId="74B91CEF"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297.701,17</w:t>
            </w:r>
          </w:p>
        </w:tc>
        <w:tc>
          <w:tcPr>
            <w:tcW w:w="486" w:type="pct"/>
            <w:tcBorders>
              <w:top w:val="nil"/>
              <w:left w:val="nil"/>
              <w:bottom w:val="single" w:sz="4" w:space="0" w:color="auto"/>
              <w:right w:val="single" w:sz="4" w:space="0" w:color="auto"/>
            </w:tcBorders>
            <w:shd w:val="clear" w:color="000000" w:fill="D9D9D9"/>
            <w:noWrap/>
            <w:vAlign w:val="bottom"/>
            <w:hideMark/>
          </w:tcPr>
          <w:p w14:paraId="7C97E56C"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107.763,52</w:t>
            </w:r>
          </w:p>
        </w:tc>
        <w:tc>
          <w:tcPr>
            <w:tcW w:w="437" w:type="pct"/>
            <w:tcBorders>
              <w:top w:val="nil"/>
              <w:left w:val="nil"/>
              <w:bottom w:val="single" w:sz="4" w:space="0" w:color="auto"/>
              <w:right w:val="single" w:sz="4" w:space="0" w:color="auto"/>
            </w:tcBorders>
            <w:shd w:val="clear" w:color="000000" w:fill="D9D9D9"/>
            <w:noWrap/>
            <w:vAlign w:val="bottom"/>
            <w:hideMark/>
          </w:tcPr>
          <w:p w14:paraId="6A494FF3"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725.129,23</w:t>
            </w:r>
          </w:p>
        </w:tc>
        <w:tc>
          <w:tcPr>
            <w:tcW w:w="437" w:type="pct"/>
            <w:tcBorders>
              <w:top w:val="nil"/>
              <w:left w:val="nil"/>
              <w:bottom w:val="single" w:sz="4" w:space="0" w:color="auto"/>
              <w:right w:val="single" w:sz="4" w:space="0" w:color="auto"/>
            </w:tcBorders>
            <w:shd w:val="clear" w:color="000000" w:fill="D9D9D9"/>
            <w:noWrap/>
            <w:vAlign w:val="bottom"/>
            <w:hideMark/>
          </w:tcPr>
          <w:p w14:paraId="198D16E3"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821.237,05</w:t>
            </w:r>
          </w:p>
        </w:tc>
        <w:tc>
          <w:tcPr>
            <w:tcW w:w="534" w:type="pct"/>
            <w:tcBorders>
              <w:top w:val="nil"/>
              <w:left w:val="nil"/>
              <w:bottom w:val="single" w:sz="4" w:space="0" w:color="auto"/>
              <w:right w:val="single" w:sz="4" w:space="0" w:color="auto"/>
            </w:tcBorders>
            <w:shd w:val="clear" w:color="000000" w:fill="D9D9D9"/>
            <w:noWrap/>
            <w:vAlign w:val="bottom"/>
            <w:hideMark/>
          </w:tcPr>
          <w:p w14:paraId="54B3D4BC"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1.372.609,43</w:t>
            </w:r>
          </w:p>
        </w:tc>
        <w:tc>
          <w:tcPr>
            <w:tcW w:w="437" w:type="pct"/>
            <w:tcBorders>
              <w:top w:val="nil"/>
              <w:left w:val="nil"/>
              <w:bottom w:val="single" w:sz="4" w:space="0" w:color="auto"/>
              <w:right w:val="single" w:sz="4" w:space="0" w:color="auto"/>
            </w:tcBorders>
            <w:shd w:val="clear" w:color="000000" w:fill="D9D9D9"/>
            <w:noWrap/>
            <w:vAlign w:val="bottom"/>
            <w:hideMark/>
          </w:tcPr>
          <w:p w14:paraId="11F51B13" w14:textId="77777777" w:rsidR="004725DB" w:rsidRPr="004725DB" w:rsidRDefault="004725DB">
            <w:pPr>
              <w:jc w:val="right"/>
              <w:rPr>
                <w:rFonts w:ascii="Arial" w:hAnsi="Arial" w:cs="Arial"/>
                <w:b/>
                <w:bCs/>
                <w:color w:val="000000"/>
                <w:sz w:val="20"/>
                <w:szCs w:val="20"/>
              </w:rPr>
            </w:pPr>
            <w:r w:rsidRPr="004725DB">
              <w:rPr>
                <w:rFonts w:ascii="Arial" w:hAnsi="Arial" w:cs="Arial"/>
                <w:b/>
                <w:bCs/>
                <w:color w:val="000000"/>
                <w:sz w:val="20"/>
                <w:szCs w:val="20"/>
              </w:rPr>
              <w:t>176.794,71</w:t>
            </w:r>
          </w:p>
        </w:tc>
      </w:tr>
    </w:tbl>
    <w:p w14:paraId="4CBF26D5" w14:textId="77777777" w:rsidR="004725DB" w:rsidRDefault="004725DB" w:rsidP="006154DD">
      <w:pPr>
        <w:spacing w:after="120" w:line="276" w:lineRule="auto"/>
        <w:ind w:left="1410" w:hanging="1410"/>
        <w:jc w:val="both"/>
        <w:rPr>
          <w:rFonts w:ascii="Arial" w:hAnsi="Arial" w:cs="Arial"/>
          <w:sz w:val="22"/>
          <w:szCs w:val="22"/>
        </w:rPr>
      </w:pPr>
    </w:p>
    <w:p w14:paraId="1EB1FABA" w14:textId="685A74DB" w:rsidR="006154DD" w:rsidRDefault="006154DD" w:rsidP="006154DD">
      <w:pPr>
        <w:spacing w:line="276" w:lineRule="auto"/>
        <w:jc w:val="both"/>
        <w:rPr>
          <w:rFonts w:ascii="Arial" w:hAnsi="Arial" w:cs="Arial"/>
          <w:sz w:val="22"/>
          <w:szCs w:val="22"/>
        </w:rPr>
      </w:pPr>
      <w:bookmarkStart w:id="284" w:name="_Toc1955846"/>
      <w:bookmarkStart w:id="285" w:name="_Toc209029185"/>
      <w:bookmarkStart w:id="286" w:name="_Toc209277217"/>
      <w:bookmarkStart w:id="287" w:name="_Toc209528301"/>
      <w:r w:rsidRPr="00BC0DCF">
        <w:rPr>
          <w:rFonts w:ascii="Arial" w:hAnsi="Arial" w:cs="Arial"/>
          <w:b/>
          <w:sz w:val="22"/>
          <w:szCs w:val="22"/>
        </w:rPr>
        <w:lastRenderedPageBreak/>
        <w:t xml:space="preserve">Tabela </w:t>
      </w:r>
      <w:r w:rsidRPr="00BC0DCF">
        <w:rPr>
          <w:rFonts w:ascii="Arial" w:hAnsi="Arial" w:cs="Arial"/>
          <w:b/>
          <w:sz w:val="22"/>
          <w:szCs w:val="22"/>
        </w:rPr>
        <w:fldChar w:fldCharType="begin"/>
      </w:r>
      <w:r w:rsidRPr="00BC0DCF">
        <w:rPr>
          <w:rFonts w:ascii="Arial" w:hAnsi="Arial" w:cs="Arial"/>
          <w:b/>
          <w:sz w:val="22"/>
          <w:szCs w:val="22"/>
        </w:rPr>
        <w:instrText xml:space="preserve"> SEQ Tabela \* ARABIC </w:instrText>
      </w:r>
      <w:r w:rsidRPr="00BC0DCF">
        <w:rPr>
          <w:rFonts w:ascii="Arial" w:hAnsi="Arial" w:cs="Arial"/>
          <w:b/>
          <w:sz w:val="22"/>
          <w:szCs w:val="22"/>
        </w:rPr>
        <w:fldChar w:fldCharType="separate"/>
      </w:r>
      <w:r w:rsidR="00E74D26">
        <w:rPr>
          <w:rFonts w:ascii="Arial" w:hAnsi="Arial" w:cs="Arial"/>
          <w:b/>
          <w:noProof/>
          <w:sz w:val="22"/>
          <w:szCs w:val="22"/>
        </w:rPr>
        <w:t>15</w:t>
      </w:r>
      <w:r w:rsidRPr="00BC0DCF">
        <w:rPr>
          <w:rFonts w:ascii="Arial" w:hAnsi="Arial" w:cs="Arial"/>
          <w:b/>
          <w:sz w:val="22"/>
          <w:szCs w:val="22"/>
        </w:rPr>
        <w:fldChar w:fldCharType="end"/>
      </w:r>
      <w:r w:rsidRPr="00BC0DCF">
        <w:rPr>
          <w:rFonts w:ascii="Arial" w:hAnsi="Arial" w:cs="Arial"/>
          <w:b/>
          <w:sz w:val="22"/>
          <w:szCs w:val="22"/>
        </w:rPr>
        <w:t xml:space="preserve">: </w:t>
      </w:r>
      <w:bookmarkEnd w:id="284"/>
      <w:r w:rsidRPr="00BC0DCF">
        <w:rPr>
          <w:rFonts w:ascii="Arial" w:hAnsi="Arial" w:cs="Arial"/>
          <w:sz w:val="22"/>
          <w:szCs w:val="22"/>
        </w:rPr>
        <w:t>Dinamika financiranja v stalnih cenah</w:t>
      </w:r>
      <w:bookmarkEnd w:id="285"/>
      <w:bookmarkEnd w:id="286"/>
      <w:bookmarkEnd w:id="287"/>
    </w:p>
    <w:tbl>
      <w:tblPr>
        <w:tblW w:w="5000" w:type="pct"/>
        <w:tblCellMar>
          <w:left w:w="70" w:type="dxa"/>
          <w:right w:w="70" w:type="dxa"/>
        </w:tblCellMar>
        <w:tblLook w:val="04A0" w:firstRow="1" w:lastRow="0" w:firstColumn="1" w:lastColumn="0" w:noHBand="0" w:noVBand="1"/>
      </w:tblPr>
      <w:tblGrid>
        <w:gridCol w:w="2976"/>
        <w:gridCol w:w="1433"/>
        <w:gridCol w:w="1293"/>
        <w:gridCol w:w="1416"/>
        <w:gridCol w:w="1593"/>
        <w:gridCol w:w="1365"/>
        <w:gridCol w:w="1331"/>
        <w:gridCol w:w="1505"/>
        <w:gridCol w:w="1365"/>
      </w:tblGrid>
      <w:tr w:rsidR="002E10AB" w:rsidRPr="002E10AB" w14:paraId="3D5B4738" w14:textId="77777777" w:rsidTr="002E10AB">
        <w:trPr>
          <w:trHeight w:val="300"/>
        </w:trPr>
        <w:tc>
          <w:tcPr>
            <w:tcW w:w="1042" w:type="pct"/>
            <w:tcBorders>
              <w:top w:val="single" w:sz="4" w:space="0" w:color="auto"/>
              <w:left w:val="single" w:sz="4" w:space="0" w:color="auto"/>
              <w:bottom w:val="single" w:sz="4" w:space="0" w:color="auto"/>
              <w:right w:val="single" w:sz="4" w:space="0" w:color="auto"/>
            </w:tcBorders>
            <w:shd w:val="clear" w:color="000000" w:fill="0B3040"/>
            <w:vAlign w:val="bottom"/>
            <w:hideMark/>
          </w:tcPr>
          <w:p w14:paraId="33218C96"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VIRI FINANCIRANJA</w:t>
            </w:r>
          </w:p>
        </w:tc>
        <w:tc>
          <w:tcPr>
            <w:tcW w:w="502" w:type="pct"/>
            <w:tcBorders>
              <w:top w:val="single" w:sz="4" w:space="0" w:color="auto"/>
              <w:left w:val="nil"/>
              <w:bottom w:val="single" w:sz="4" w:space="0" w:color="auto"/>
              <w:right w:val="single" w:sz="4" w:space="0" w:color="auto"/>
            </w:tcBorders>
            <w:shd w:val="clear" w:color="000000" w:fill="0B3040"/>
            <w:noWrap/>
            <w:vAlign w:val="bottom"/>
            <w:hideMark/>
          </w:tcPr>
          <w:p w14:paraId="291B20F9"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SKUPAJ</w:t>
            </w:r>
          </w:p>
        </w:tc>
        <w:tc>
          <w:tcPr>
            <w:tcW w:w="453" w:type="pct"/>
            <w:tcBorders>
              <w:top w:val="single" w:sz="4" w:space="0" w:color="auto"/>
              <w:left w:val="nil"/>
              <w:bottom w:val="single" w:sz="4" w:space="0" w:color="auto"/>
              <w:right w:val="single" w:sz="4" w:space="0" w:color="auto"/>
            </w:tcBorders>
            <w:shd w:val="clear" w:color="000000" w:fill="0B3040"/>
            <w:noWrap/>
            <w:vAlign w:val="bottom"/>
            <w:hideMark/>
          </w:tcPr>
          <w:p w14:paraId="10CCB911"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DELEŽ</w:t>
            </w:r>
          </w:p>
        </w:tc>
        <w:tc>
          <w:tcPr>
            <w:tcW w:w="496" w:type="pct"/>
            <w:tcBorders>
              <w:top w:val="single" w:sz="4" w:space="0" w:color="auto"/>
              <w:left w:val="nil"/>
              <w:bottom w:val="single" w:sz="4" w:space="0" w:color="auto"/>
              <w:right w:val="single" w:sz="4" w:space="0" w:color="auto"/>
            </w:tcBorders>
            <w:shd w:val="clear" w:color="000000" w:fill="0B3040"/>
            <w:noWrap/>
            <w:vAlign w:val="bottom"/>
            <w:hideMark/>
          </w:tcPr>
          <w:p w14:paraId="18E47507"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2024</w:t>
            </w:r>
          </w:p>
        </w:tc>
        <w:tc>
          <w:tcPr>
            <w:tcW w:w="558" w:type="pct"/>
            <w:tcBorders>
              <w:top w:val="single" w:sz="4" w:space="0" w:color="auto"/>
              <w:left w:val="nil"/>
              <w:bottom w:val="single" w:sz="4" w:space="0" w:color="auto"/>
              <w:right w:val="single" w:sz="4" w:space="0" w:color="auto"/>
            </w:tcBorders>
            <w:shd w:val="clear" w:color="000000" w:fill="0B3040"/>
            <w:noWrap/>
            <w:vAlign w:val="bottom"/>
            <w:hideMark/>
          </w:tcPr>
          <w:p w14:paraId="0F6A5BB2"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2025</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7E4C8072"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2026</w:t>
            </w:r>
          </w:p>
        </w:tc>
        <w:tc>
          <w:tcPr>
            <w:tcW w:w="466" w:type="pct"/>
            <w:tcBorders>
              <w:top w:val="single" w:sz="4" w:space="0" w:color="auto"/>
              <w:left w:val="nil"/>
              <w:bottom w:val="single" w:sz="4" w:space="0" w:color="auto"/>
              <w:right w:val="single" w:sz="4" w:space="0" w:color="auto"/>
            </w:tcBorders>
            <w:shd w:val="clear" w:color="000000" w:fill="0B3040"/>
            <w:noWrap/>
            <w:vAlign w:val="bottom"/>
            <w:hideMark/>
          </w:tcPr>
          <w:p w14:paraId="57E88BE0"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2027</w:t>
            </w:r>
          </w:p>
        </w:tc>
        <w:tc>
          <w:tcPr>
            <w:tcW w:w="527" w:type="pct"/>
            <w:tcBorders>
              <w:top w:val="single" w:sz="4" w:space="0" w:color="auto"/>
              <w:left w:val="nil"/>
              <w:bottom w:val="single" w:sz="4" w:space="0" w:color="auto"/>
              <w:right w:val="single" w:sz="4" w:space="0" w:color="auto"/>
            </w:tcBorders>
            <w:shd w:val="clear" w:color="000000" w:fill="0B3040"/>
            <w:noWrap/>
            <w:vAlign w:val="bottom"/>
            <w:hideMark/>
          </w:tcPr>
          <w:p w14:paraId="0F4AF0F6"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2028</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490AC603"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2029</w:t>
            </w:r>
          </w:p>
        </w:tc>
      </w:tr>
      <w:tr w:rsidR="002E10AB" w:rsidRPr="002E10AB" w14:paraId="1C221CAF"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71C7F8EC"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1FA55DD0"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2.371.097,85</w:t>
            </w:r>
          </w:p>
        </w:tc>
        <w:tc>
          <w:tcPr>
            <w:tcW w:w="453" w:type="pct"/>
            <w:tcBorders>
              <w:top w:val="nil"/>
              <w:left w:val="nil"/>
              <w:bottom w:val="single" w:sz="4" w:space="0" w:color="auto"/>
              <w:right w:val="single" w:sz="4" w:space="0" w:color="auto"/>
            </w:tcBorders>
            <w:shd w:val="clear" w:color="000000" w:fill="D9D9D9"/>
            <w:noWrap/>
            <w:vAlign w:val="bottom"/>
            <w:hideMark/>
          </w:tcPr>
          <w:p w14:paraId="260CB394"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67,72%</w:t>
            </w:r>
          </w:p>
        </w:tc>
        <w:tc>
          <w:tcPr>
            <w:tcW w:w="496" w:type="pct"/>
            <w:tcBorders>
              <w:top w:val="nil"/>
              <w:left w:val="nil"/>
              <w:bottom w:val="single" w:sz="4" w:space="0" w:color="auto"/>
              <w:right w:val="single" w:sz="4" w:space="0" w:color="auto"/>
            </w:tcBorders>
            <w:shd w:val="clear" w:color="000000" w:fill="D9D9D9"/>
            <w:noWrap/>
            <w:vAlign w:val="bottom"/>
            <w:hideMark/>
          </w:tcPr>
          <w:p w14:paraId="50520563"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9.638,00</w:t>
            </w:r>
          </w:p>
        </w:tc>
        <w:tc>
          <w:tcPr>
            <w:tcW w:w="558" w:type="pct"/>
            <w:tcBorders>
              <w:top w:val="nil"/>
              <w:left w:val="nil"/>
              <w:bottom w:val="single" w:sz="4" w:space="0" w:color="auto"/>
              <w:right w:val="single" w:sz="4" w:space="0" w:color="auto"/>
            </w:tcBorders>
            <w:shd w:val="clear" w:color="000000" w:fill="D9D9D9"/>
            <w:noWrap/>
            <w:vAlign w:val="bottom"/>
            <w:hideMark/>
          </w:tcPr>
          <w:p w14:paraId="75A591E2"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105.283,67</w:t>
            </w:r>
          </w:p>
        </w:tc>
        <w:tc>
          <w:tcPr>
            <w:tcW w:w="478" w:type="pct"/>
            <w:tcBorders>
              <w:top w:val="nil"/>
              <w:left w:val="nil"/>
              <w:bottom w:val="single" w:sz="4" w:space="0" w:color="auto"/>
              <w:right w:val="single" w:sz="4" w:space="0" w:color="auto"/>
            </w:tcBorders>
            <w:shd w:val="clear" w:color="000000" w:fill="D9D9D9"/>
            <w:noWrap/>
            <w:vAlign w:val="bottom"/>
            <w:hideMark/>
          </w:tcPr>
          <w:p w14:paraId="6BDA9305"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725.129,23</w:t>
            </w:r>
          </w:p>
        </w:tc>
        <w:tc>
          <w:tcPr>
            <w:tcW w:w="466" w:type="pct"/>
            <w:tcBorders>
              <w:top w:val="nil"/>
              <w:left w:val="nil"/>
              <w:bottom w:val="single" w:sz="4" w:space="0" w:color="auto"/>
              <w:right w:val="single" w:sz="4" w:space="0" w:color="auto"/>
            </w:tcBorders>
            <w:shd w:val="clear" w:color="000000" w:fill="D9D9D9"/>
            <w:noWrap/>
            <w:vAlign w:val="bottom"/>
            <w:hideMark/>
          </w:tcPr>
          <w:p w14:paraId="3B4713D6"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808.599,72</w:t>
            </w:r>
          </w:p>
        </w:tc>
        <w:tc>
          <w:tcPr>
            <w:tcW w:w="527" w:type="pct"/>
            <w:tcBorders>
              <w:top w:val="nil"/>
              <w:left w:val="nil"/>
              <w:bottom w:val="single" w:sz="4" w:space="0" w:color="auto"/>
              <w:right w:val="single" w:sz="4" w:space="0" w:color="auto"/>
            </w:tcBorders>
            <w:shd w:val="clear" w:color="000000" w:fill="D9D9D9"/>
            <w:noWrap/>
            <w:vAlign w:val="bottom"/>
            <w:hideMark/>
          </w:tcPr>
          <w:p w14:paraId="30D0DDA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709.387,66</w:t>
            </w:r>
          </w:p>
        </w:tc>
        <w:tc>
          <w:tcPr>
            <w:tcW w:w="478" w:type="pct"/>
            <w:tcBorders>
              <w:top w:val="nil"/>
              <w:left w:val="nil"/>
              <w:bottom w:val="single" w:sz="4" w:space="0" w:color="auto"/>
              <w:right w:val="single" w:sz="4" w:space="0" w:color="auto"/>
            </w:tcBorders>
            <w:shd w:val="clear" w:color="000000" w:fill="D9D9D9"/>
            <w:noWrap/>
            <w:vAlign w:val="bottom"/>
            <w:hideMark/>
          </w:tcPr>
          <w:p w14:paraId="57D4DCA9"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13.059,57</w:t>
            </w:r>
          </w:p>
        </w:tc>
      </w:tr>
      <w:tr w:rsidR="002E10AB" w:rsidRPr="002E10AB" w14:paraId="2F6D96BB"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63B31E85"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69A6AFF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1.612.346,55</w:t>
            </w:r>
          </w:p>
        </w:tc>
        <w:tc>
          <w:tcPr>
            <w:tcW w:w="453" w:type="pct"/>
            <w:tcBorders>
              <w:top w:val="nil"/>
              <w:left w:val="nil"/>
              <w:bottom w:val="single" w:sz="4" w:space="0" w:color="auto"/>
              <w:right w:val="single" w:sz="4" w:space="0" w:color="auto"/>
            </w:tcBorders>
            <w:noWrap/>
            <w:vAlign w:val="bottom"/>
            <w:hideMark/>
          </w:tcPr>
          <w:p w14:paraId="3AB9031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46,05%</w:t>
            </w:r>
          </w:p>
        </w:tc>
        <w:tc>
          <w:tcPr>
            <w:tcW w:w="496" w:type="pct"/>
            <w:tcBorders>
              <w:top w:val="nil"/>
              <w:left w:val="nil"/>
              <w:bottom w:val="single" w:sz="4" w:space="0" w:color="auto"/>
              <w:right w:val="single" w:sz="4" w:space="0" w:color="auto"/>
            </w:tcBorders>
            <w:noWrap/>
            <w:vAlign w:val="bottom"/>
            <w:hideMark/>
          </w:tcPr>
          <w:p w14:paraId="66B8BFA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589D673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298EC63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493.087,88</w:t>
            </w:r>
          </w:p>
        </w:tc>
        <w:tc>
          <w:tcPr>
            <w:tcW w:w="466" w:type="pct"/>
            <w:tcBorders>
              <w:top w:val="nil"/>
              <w:left w:val="nil"/>
              <w:bottom w:val="single" w:sz="4" w:space="0" w:color="auto"/>
              <w:right w:val="single" w:sz="4" w:space="0" w:color="auto"/>
            </w:tcBorders>
            <w:noWrap/>
            <w:vAlign w:val="bottom"/>
            <w:hideMark/>
          </w:tcPr>
          <w:p w14:paraId="6556D5C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549.847,81</w:t>
            </w:r>
          </w:p>
        </w:tc>
        <w:tc>
          <w:tcPr>
            <w:tcW w:w="527" w:type="pct"/>
            <w:tcBorders>
              <w:top w:val="nil"/>
              <w:left w:val="nil"/>
              <w:bottom w:val="single" w:sz="4" w:space="0" w:color="auto"/>
              <w:right w:val="single" w:sz="4" w:space="0" w:color="auto"/>
            </w:tcBorders>
            <w:noWrap/>
            <w:vAlign w:val="bottom"/>
            <w:hideMark/>
          </w:tcPr>
          <w:p w14:paraId="4F548DD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482.383,61</w:t>
            </w:r>
          </w:p>
        </w:tc>
        <w:tc>
          <w:tcPr>
            <w:tcW w:w="478" w:type="pct"/>
            <w:tcBorders>
              <w:top w:val="nil"/>
              <w:left w:val="nil"/>
              <w:bottom w:val="single" w:sz="4" w:space="0" w:color="auto"/>
              <w:right w:val="single" w:sz="4" w:space="0" w:color="auto"/>
            </w:tcBorders>
            <w:noWrap/>
            <w:vAlign w:val="bottom"/>
            <w:hideMark/>
          </w:tcPr>
          <w:p w14:paraId="79D304D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8.880,51</w:t>
            </w:r>
          </w:p>
        </w:tc>
      </w:tr>
      <w:tr w:rsidR="002E10AB" w:rsidRPr="002E10AB" w14:paraId="3D2D9EF2"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1A3C49B2"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15E3E94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284.531,75</w:t>
            </w:r>
          </w:p>
        </w:tc>
        <w:tc>
          <w:tcPr>
            <w:tcW w:w="453" w:type="pct"/>
            <w:tcBorders>
              <w:top w:val="nil"/>
              <w:left w:val="nil"/>
              <w:bottom w:val="single" w:sz="4" w:space="0" w:color="auto"/>
              <w:right w:val="single" w:sz="4" w:space="0" w:color="auto"/>
            </w:tcBorders>
            <w:noWrap/>
            <w:vAlign w:val="bottom"/>
            <w:hideMark/>
          </w:tcPr>
          <w:p w14:paraId="637880A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8,13%</w:t>
            </w:r>
          </w:p>
        </w:tc>
        <w:tc>
          <w:tcPr>
            <w:tcW w:w="496" w:type="pct"/>
            <w:tcBorders>
              <w:top w:val="nil"/>
              <w:left w:val="nil"/>
              <w:bottom w:val="single" w:sz="4" w:space="0" w:color="auto"/>
              <w:right w:val="single" w:sz="4" w:space="0" w:color="auto"/>
            </w:tcBorders>
            <w:noWrap/>
            <w:vAlign w:val="bottom"/>
            <w:hideMark/>
          </w:tcPr>
          <w:p w14:paraId="20EBCA2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10B6107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33A2226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87.015,51</w:t>
            </w:r>
          </w:p>
        </w:tc>
        <w:tc>
          <w:tcPr>
            <w:tcW w:w="466" w:type="pct"/>
            <w:tcBorders>
              <w:top w:val="nil"/>
              <w:left w:val="nil"/>
              <w:bottom w:val="single" w:sz="4" w:space="0" w:color="auto"/>
              <w:right w:val="single" w:sz="4" w:space="0" w:color="auto"/>
            </w:tcBorders>
            <w:noWrap/>
            <w:vAlign w:val="bottom"/>
            <w:hideMark/>
          </w:tcPr>
          <w:p w14:paraId="6E0DE72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97.031,97</w:t>
            </w:r>
          </w:p>
        </w:tc>
        <w:tc>
          <w:tcPr>
            <w:tcW w:w="527" w:type="pct"/>
            <w:tcBorders>
              <w:top w:val="nil"/>
              <w:left w:val="nil"/>
              <w:bottom w:val="single" w:sz="4" w:space="0" w:color="auto"/>
              <w:right w:val="single" w:sz="4" w:space="0" w:color="auto"/>
            </w:tcBorders>
            <w:noWrap/>
            <w:vAlign w:val="bottom"/>
            <w:hideMark/>
          </w:tcPr>
          <w:p w14:paraId="266AF14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85.126,52</w:t>
            </w:r>
          </w:p>
        </w:tc>
        <w:tc>
          <w:tcPr>
            <w:tcW w:w="478" w:type="pct"/>
            <w:tcBorders>
              <w:top w:val="nil"/>
              <w:left w:val="nil"/>
              <w:bottom w:val="single" w:sz="4" w:space="0" w:color="auto"/>
              <w:right w:val="single" w:sz="4" w:space="0" w:color="auto"/>
            </w:tcBorders>
            <w:noWrap/>
            <w:vAlign w:val="bottom"/>
            <w:hideMark/>
          </w:tcPr>
          <w:p w14:paraId="6FB63C2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1.567,15</w:t>
            </w:r>
          </w:p>
        </w:tc>
      </w:tr>
      <w:tr w:rsidR="002E10AB" w:rsidRPr="002E10AB" w14:paraId="47B30DCE"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1A37858E"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5F0B51A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474.219,55</w:t>
            </w:r>
          </w:p>
        </w:tc>
        <w:tc>
          <w:tcPr>
            <w:tcW w:w="453" w:type="pct"/>
            <w:tcBorders>
              <w:top w:val="nil"/>
              <w:left w:val="nil"/>
              <w:bottom w:val="single" w:sz="4" w:space="0" w:color="auto"/>
              <w:right w:val="single" w:sz="4" w:space="0" w:color="auto"/>
            </w:tcBorders>
            <w:noWrap/>
            <w:vAlign w:val="bottom"/>
            <w:hideMark/>
          </w:tcPr>
          <w:p w14:paraId="504969C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13,54%</w:t>
            </w:r>
          </w:p>
        </w:tc>
        <w:tc>
          <w:tcPr>
            <w:tcW w:w="496" w:type="pct"/>
            <w:tcBorders>
              <w:top w:val="nil"/>
              <w:left w:val="nil"/>
              <w:bottom w:val="single" w:sz="4" w:space="0" w:color="auto"/>
              <w:right w:val="single" w:sz="4" w:space="0" w:color="auto"/>
            </w:tcBorders>
            <w:noWrap/>
            <w:vAlign w:val="bottom"/>
            <w:hideMark/>
          </w:tcPr>
          <w:p w14:paraId="2B6C1B3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1.927,60</w:t>
            </w:r>
          </w:p>
        </w:tc>
        <w:tc>
          <w:tcPr>
            <w:tcW w:w="558" w:type="pct"/>
            <w:tcBorders>
              <w:top w:val="nil"/>
              <w:left w:val="nil"/>
              <w:bottom w:val="single" w:sz="4" w:space="0" w:color="auto"/>
              <w:right w:val="single" w:sz="4" w:space="0" w:color="auto"/>
            </w:tcBorders>
            <w:noWrap/>
            <w:vAlign w:val="bottom"/>
            <w:hideMark/>
          </w:tcPr>
          <w:p w14:paraId="6D5DB71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21.056,73</w:t>
            </w:r>
          </w:p>
        </w:tc>
        <w:tc>
          <w:tcPr>
            <w:tcW w:w="478" w:type="pct"/>
            <w:tcBorders>
              <w:top w:val="nil"/>
              <w:left w:val="nil"/>
              <w:bottom w:val="single" w:sz="4" w:space="0" w:color="auto"/>
              <w:right w:val="single" w:sz="4" w:space="0" w:color="auto"/>
            </w:tcBorders>
            <w:noWrap/>
            <w:vAlign w:val="bottom"/>
            <w:hideMark/>
          </w:tcPr>
          <w:p w14:paraId="3F46F06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145.025,84</w:t>
            </w:r>
          </w:p>
        </w:tc>
        <w:tc>
          <w:tcPr>
            <w:tcW w:w="466" w:type="pct"/>
            <w:tcBorders>
              <w:top w:val="nil"/>
              <w:left w:val="nil"/>
              <w:bottom w:val="single" w:sz="4" w:space="0" w:color="auto"/>
              <w:right w:val="single" w:sz="4" w:space="0" w:color="auto"/>
            </w:tcBorders>
            <w:noWrap/>
            <w:vAlign w:val="bottom"/>
            <w:hideMark/>
          </w:tcPr>
          <w:p w14:paraId="1F82B9F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161.719,94</w:t>
            </w:r>
          </w:p>
        </w:tc>
        <w:tc>
          <w:tcPr>
            <w:tcW w:w="527" w:type="pct"/>
            <w:tcBorders>
              <w:top w:val="nil"/>
              <w:left w:val="nil"/>
              <w:bottom w:val="single" w:sz="4" w:space="0" w:color="auto"/>
              <w:right w:val="single" w:sz="4" w:space="0" w:color="auto"/>
            </w:tcBorders>
            <w:noWrap/>
            <w:vAlign w:val="bottom"/>
            <w:hideMark/>
          </w:tcPr>
          <w:p w14:paraId="7524812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141.877,53</w:t>
            </w:r>
          </w:p>
        </w:tc>
        <w:tc>
          <w:tcPr>
            <w:tcW w:w="478" w:type="pct"/>
            <w:tcBorders>
              <w:top w:val="nil"/>
              <w:left w:val="nil"/>
              <w:bottom w:val="single" w:sz="4" w:space="0" w:color="auto"/>
              <w:right w:val="single" w:sz="4" w:space="0" w:color="auto"/>
            </w:tcBorders>
            <w:noWrap/>
            <w:vAlign w:val="bottom"/>
            <w:hideMark/>
          </w:tcPr>
          <w:p w14:paraId="147AD7B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2.611,91</w:t>
            </w:r>
          </w:p>
        </w:tc>
      </w:tr>
      <w:tr w:rsidR="002E10AB" w:rsidRPr="002E10AB" w14:paraId="7D98679B" w14:textId="77777777" w:rsidTr="002E10AB">
        <w:trPr>
          <w:trHeight w:val="468"/>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3B256EC1"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 xml:space="preserve">NEUPRAVIČENI STROŠKI BREZ POVRATNEGA </w:t>
            </w:r>
            <w:proofErr w:type="spellStart"/>
            <w:r w:rsidRPr="002E10AB">
              <w:rPr>
                <w:rFonts w:ascii="Arial" w:hAnsi="Arial" w:cs="Arial"/>
                <w:b/>
                <w:bCs/>
                <w:color w:val="000000"/>
                <w:sz w:val="20"/>
                <w:szCs w:val="20"/>
              </w:rPr>
              <w:t>DDVja</w:t>
            </w:r>
            <w:proofErr w:type="spellEnd"/>
          </w:p>
        </w:tc>
        <w:tc>
          <w:tcPr>
            <w:tcW w:w="502" w:type="pct"/>
            <w:tcBorders>
              <w:top w:val="nil"/>
              <w:left w:val="nil"/>
              <w:bottom w:val="single" w:sz="4" w:space="0" w:color="auto"/>
              <w:right w:val="single" w:sz="4" w:space="0" w:color="auto"/>
            </w:tcBorders>
            <w:shd w:val="clear" w:color="000000" w:fill="D9D9D9"/>
            <w:noWrap/>
            <w:vAlign w:val="bottom"/>
            <w:hideMark/>
          </w:tcPr>
          <w:p w14:paraId="2616B091"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1.104.862,61</w:t>
            </w:r>
          </w:p>
        </w:tc>
        <w:tc>
          <w:tcPr>
            <w:tcW w:w="453" w:type="pct"/>
            <w:tcBorders>
              <w:top w:val="nil"/>
              <w:left w:val="nil"/>
              <w:bottom w:val="single" w:sz="4" w:space="0" w:color="auto"/>
              <w:right w:val="single" w:sz="4" w:space="0" w:color="auto"/>
            </w:tcBorders>
            <w:shd w:val="clear" w:color="000000" w:fill="D9D9D9"/>
            <w:noWrap/>
            <w:vAlign w:val="bottom"/>
            <w:hideMark/>
          </w:tcPr>
          <w:p w14:paraId="4F8064F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31,56%</w:t>
            </w:r>
          </w:p>
        </w:tc>
        <w:tc>
          <w:tcPr>
            <w:tcW w:w="496" w:type="pct"/>
            <w:tcBorders>
              <w:top w:val="nil"/>
              <w:left w:val="nil"/>
              <w:bottom w:val="single" w:sz="4" w:space="0" w:color="auto"/>
              <w:right w:val="single" w:sz="4" w:space="0" w:color="auto"/>
            </w:tcBorders>
            <w:shd w:val="clear" w:color="000000" w:fill="D9D9D9"/>
            <w:noWrap/>
            <w:vAlign w:val="bottom"/>
            <w:hideMark/>
          </w:tcPr>
          <w:p w14:paraId="0BAE6413"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288.063,17</w:t>
            </w:r>
          </w:p>
        </w:tc>
        <w:tc>
          <w:tcPr>
            <w:tcW w:w="558" w:type="pct"/>
            <w:tcBorders>
              <w:top w:val="nil"/>
              <w:left w:val="nil"/>
              <w:bottom w:val="single" w:sz="4" w:space="0" w:color="auto"/>
              <w:right w:val="single" w:sz="4" w:space="0" w:color="auto"/>
            </w:tcBorders>
            <w:shd w:val="clear" w:color="000000" w:fill="D9D9D9"/>
            <w:noWrap/>
            <w:vAlign w:val="bottom"/>
            <w:hideMark/>
          </w:tcPr>
          <w:p w14:paraId="3C41E88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2.479,85</w:t>
            </w:r>
          </w:p>
        </w:tc>
        <w:tc>
          <w:tcPr>
            <w:tcW w:w="478" w:type="pct"/>
            <w:tcBorders>
              <w:top w:val="nil"/>
              <w:left w:val="nil"/>
              <w:bottom w:val="single" w:sz="4" w:space="0" w:color="auto"/>
              <w:right w:val="single" w:sz="4" w:space="0" w:color="auto"/>
            </w:tcBorders>
            <w:shd w:val="clear" w:color="000000" w:fill="D9D9D9"/>
            <w:noWrap/>
            <w:vAlign w:val="bottom"/>
            <w:hideMark/>
          </w:tcPr>
          <w:p w14:paraId="47830CD0"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098F6C1F"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27" w:type="pct"/>
            <w:tcBorders>
              <w:top w:val="nil"/>
              <w:left w:val="nil"/>
              <w:bottom w:val="single" w:sz="4" w:space="0" w:color="auto"/>
              <w:right w:val="single" w:sz="4" w:space="0" w:color="auto"/>
            </w:tcBorders>
            <w:shd w:val="clear" w:color="000000" w:fill="D9D9D9"/>
            <w:noWrap/>
            <w:vAlign w:val="bottom"/>
            <w:hideMark/>
          </w:tcPr>
          <w:p w14:paraId="5E338B9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650.584,44</w:t>
            </w:r>
          </w:p>
        </w:tc>
        <w:tc>
          <w:tcPr>
            <w:tcW w:w="478" w:type="pct"/>
            <w:tcBorders>
              <w:top w:val="nil"/>
              <w:left w:val="nil"/>
              <w:bottom w:val="single" w:sz="4" w:space="0" w:color="auto"/>
              <w:right w:val="single" w:sz="4" w:space="0" w:color="auto"/>
            </w:tcBorders>
            <w:shd w:val="clear" w:color="000000" w:fill="D9D9D9"/>
            <w:noWrap/>
            <w:vAlign w:val="bottom"/>
            <w:hideMark/>
          </w:tcPr>
          <w:p w14:paraId="7A7F381B"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163.735,15</w:t>
            </w:r>
          </w:p>
        </w:tc>
      </w:tr>
      <w:tr w:rsidR="002E10AB" w:rsidRPr="002E10AB" w14:paraId="72BE85C7"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5ACB92A1"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4EC504E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775ADB2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39645F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70672F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D743E2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6F8207C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6A716FC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1CDA035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3F06B6E3"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121F2273"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4F7952B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7C6643F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A4B2C2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30E8EB7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29F243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5E3CBA2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5ABE4D4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51A8425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6C10F957"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7FA2F8C7"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2A2EF41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1.104.862,61</w:t>
            </w:r>
          </w:p>
        </w:tc>
        <w:tc>
          <w:tcPr>
            <w:tcW w:w="453" w:type="pct"/>
            <w:tcBorders>
              <w:top w:val="nil"/>
              <w:left w:val="nil"/>
              <w:bottom w:val="single" w:sz="4" w:space="0" w:color="auto"/>
              <w:right w:val="single" w:sz="4" w:space="0" w:color="auto"/>
            </w:tcBorders>
            <w:noWrap/>
            <w:vAlign w:val="bottom"/>
            <w:hideMark/>
          </w:tcPr>
          <w:p w14:paraId="6656CB5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31,56%</w:t>
            </w:r>
          </w:p>
        </w:tc>
        <w:tc>
          <w:tcPr>
            <w:tcW w:w="496" w:type="pct"/>
            <w:tcBorders>
              <w:top w:val="nil"/>
              <w:left w:val="nil"/>
              <w:bottom w:val="single" w:sz="4" w:space="0" w:color="auto"/>
              <w:right w:val="single" w:sz="4" w:space="0" w:color="auto"/>
            </w:tcBorders>
            <w:noWrap/>
            <w:vAlign w:val="bottom"/>
            <w:hideMark/>
          </w:tcPr>
          <w:p w14:paraId="2AC33F7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288.063,17</w:t>
            </w:r>
          </w:p>
        </w:tc>
        <w:tc>
          <w:tcPr>
            <w:tcW w:w="558" w:type="pct"/>
            <w:tcBorders>
              <w:top w:val="nil"/>
              <w:left w:val="nil"/>
              <w:bottom w:val="single" w:sz="4" w:space="0" w:color="auto"/>
              <w:right w:val="single" w:sz="4" w:space="0" w:color="auto"/>
            </w:tcBorders>
            <w:noWrap/>
            <w:vAlign w:val="bottom"/>
            <w:hideMark/>
          </w:tcPr>
          <w:p w14:paraId="1F668BE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2.479,85</w:t>
            </w:r>
          </w:p>
        </w:tc>
        <w:tc>
          <w:tcPr>
            <w:tcW w:w="478" w:type="pct"/>
            <w:tcBorders>
              <w:top w:val="nil"/>
              <w:left w:val="nil"/>
              <w:bottom w:val="single" w:sz="4" w:space="0" w:color="auto"/>
              <w:right w:val="single" w:sz="4" w:space="0" w:color="auto"/>
            </w:tcBorders>
            <w:noWrap/>
            <w:vAlign w:val="bottom"/>
            <w:hideMark/>
          </w:tcPr>
          <w:p w14:paraId="3C12D8D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3A149BF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43B0755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650.584,44</w:t>
            </w:r>
          </w:p>
        </w:tc>
        <w:tc>
          <w:tcPr>
            <w:tcW w:w="478" w:type="pct"/>
            <w:tcBorders>
              <w:top w:val="nil"/>
              <w:left w:val="nil"/>
              <w:bottom w:val="single" w:sz="4" w:space="0" w:color="auto"/>
              <w:right w:val="single" w:sz="4" w:space="0" w:color="auto"/>
            </w:tcBorders>
            <w:noWrap/>
            <w:vAlign w:val="bottom"/>
            <w:hideMark/>
          </w:tcPr>
          <w:p w14:paraId="6391D12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163.735,15</w:t>
            </w:r>
          </w:p>
        </w:tc>
      </w:tr>
      <w:tr w:rsidR="002E10AB" w:rsidRPr="002E10AB" w14:paraId="3F0921A6"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623A5F56"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POVRATNI DDV</w:t>
            </w:r>
          </w:p>
        </w:tc>
        <w:tc>
          <w:tcPr>
            <w:tcW w:w="502" w:type="pct"/>
            <w:tcBorders>
              <w:top w:val="nil"/>
              <w:left w:val="nil"/>
              <w:bottom w:val="single" w:sz="4" w:space="0" w:color="auto"/>
              <w:right w:val="single" w:sz="4" w:space="0" w:color="auto"/>
            </w:tcBorders>
            <w:shd w:val="clear" w:color="000000" w:fill="D9D9D9"/>
            <w:noWrap/>
            <w:vAlign w:val="bottom"/>
            <w:hideMark/>
          </w:tcPr>
          <w:p w14:paraId="74685343"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25.274,65</w:t>
            </w:r>
          </w:p>
        </w:tc>
        <w:tc>
          <w:tcPr>
            <w:tcW w:w="453" w:type="pct"/>
            <w:tcBorders>
              <w:top w:val="nil"/>
              <w:left w:val="nil"/>
              <w:bottom w:val="single" w:sz="4" w:space="0" w:color="auto"/>
              <w:right w:val="single" w:sz="4" w:space="0" w:color="auto"/>
            </w:tcBorders>
            <w:shd w:val="clear" w:color="000000" w:fill="D9D9D9"/>
            <w:noWrap/>
            <w:vAlign w:val="bottom"/>
            <w:hideMark/>
          </w:tcPr>
          <w:p w14:paraId="614F1631"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0,72%</w:t>
            </w:r>
          </w:p>
        </w:tc>
        <w:tc>
          <w:tcPr>
            <w:tcW w:w="496" w:type="pct"/>
            <w:tcBorders>
              <w:top w:val="nil"/>
              <w:left w:val="nil"/>
              <w:bottom w:val="single" w:sz="4" w:space="0" w:color="auto"/>
              <w:right w:val="single" w:sz="4" w:space="0" w:color="auto"/>
            </w:tcBorders>
            <w:shd w:val="clear" w:color="000000" w:fill="D9D9D9"/>
            <w:noWrap/>
            <w:vAlign w:val="bottom"/>
            <w:hideMark/>
          </w:tcPr>
          <w:p w14:paraId="32134286"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58" w:type="pct"/>
            <w:tcBorders>
              <w:top w:val="nil"/>
              <w:left w:val="nil"/>
              <w:bottom w:val="single" w:sz="4" w:space="0" w:color="auto"/>
              <w:right w:val="single" w:sz="4" w:space="0" w:color="auto"/>
            </w:tcBorders>
            <w:shd w:val="clear" w:color="000000" w:fill="D9D9D9"/>
            <w:noWrap/>
            <w:vAlign w:val="bottom"/>
            <w:hideMark/>
          </w:tcPr>
          <w:p w14:paraId="27EBD7A9"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78" w:type="pct"/>
            <w:tcBorders>
              <w:top w:val="nil"/>
              <w:left w:val="nil"/>
              <w:bottom w:val="single" w:sz="4" w:space="0" w:color="auto"/>
              <w:right w:val="single" w:sz="4" w:space="0" w:color="auto"/>
            </w:tcBorders>
            <w:shd w:val="clear" w:color="000000" w:fill="D9D9D9"/>
            <w:noWrap/>
            <w:vAlign w:val="bottom"/>
            <w:hideMark/>
          </w:tcPr>
          <w:p w14:paraId="1DBD4517"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01103CE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12.637,33</w:t>
            </w:r>
          </w:p>
        </w:tc>
        <w:tc>
          <w:tcPr>
            <w:tcW w:w="527" w:type="pct"/>
            <w:tcBorders>
              <w:top w:val="nil"/>
              <w:left w:val="nil"/>
              <w:bottom w:val="single" w:sz="4" w:space="0" w:color="auto"/>
              <w:right w:val="single" w:sz="4" w:space="0" w:color="auto"/>
            </w:tcBorders>
            <w:shd w:val="clear" w:color="000000" w:fill="D9D9D9"/>
            <w:noWrap/>
            <w:vAlign w:val="bottom"/>
            <w:hideMark/>
          </w:tcPr>
          <w:p w14:paraId="66FD3093"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12.637,33</w:t>
            </w:r>
          </w:p>
        </w:tc>
        <w:tc>
          <w:tcPr>
            <w:tcW w:w="478" w:type="pct"/>
            <w:tcBorders>
              <w:top w:val="nil"/>
              <w:left w:val="nil"/>
              <w:bottom w:val="single" w:sz="4" w:space="0" w:color="auto"/>
              <w:right w:val="single" w:sz="4" w:space="0" w:color="auto"/>
            </w:tcBorders>
            <w:shd w:val="clear" w:color="000000" w:fill="D9D9D9"/>
            <w:noWrap/>
            <w:vAlign w:val="bottom"/>
            <w:hideMark/>
          </w:tcPr>
          <w:p w14:paraId="1A3D5C42"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r>
      <w:tr w:rsidR="002E10AB" w:rsidRPr="002E10AB" w14:paraId="6F66AF0B"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5C5CB6B1"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6BD998E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15CB2E9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2EC6D62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1D138A9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11B786B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48B7CA2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4DD2684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1BF70AD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196BB005"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51561EE6"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6FEC389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5443ED4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4CF33A9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2A1AFB8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683174D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4C5C386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08ED325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0EB0384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5EB8E14A"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534C7A72"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38023DF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25.274,65</w:t>
            </w:r>
          </w:p>
        </w:tc>
        <w:tc>
          <w:tcPr>
            <w:tcW w:w="453" w:type="pct"/>
            <w:tcBorders>
              <w:top w:val="nil"/>
              <w:left w:val="nil"/>
              <w:bottom w:val="single" w:sz="4" w:space="0" w:color="auto"/>
              <w:right w:val="single" w:sz="4" w:space="0" w:color="auto"/>
            </w:tcBorders>
            <w:noWrap/>
            <w:vAlign w:val="bottom"/>
            <w:hideMark/>
          </w:tcPr>
          <w:p w14:paraId="490FB1F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0,72%</w:t>
            </w:r>
          </w:p>
        </w:tc>
        <w:tc>
          <w:tcPr>
            <w:tcW w:w="496" w:type="pct"/>
            <w:tcBorders>
              <w:top w:val="nil"/>
              <w:left w:val="nil"/>
              <w:bottom w:val="single" w:sz="4" w:space="0" w:color="auto"/>
              <w:right w:val="single" w:sz="4" w:space="0" w:color="auto"/>
            </w:tcBorders>
            <w:noWrap/>
            <w:vAlign w:val="bottom"/>
            <w:hideMark/>
          </w:tcPr>
          <w:p w14:paraId="7A2B92B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74A880F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F67B78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48F89A5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12.637,33</w:t>
            </w:r>
          </w:p>
        </w:tc>
        <w:tc>
          <w:tcPr>
            <w:tcW w:w="527" w:type="pct"/>
            <w:tcBorders>
              <w:top w:val="nil"/>
              <w:left w:val="nil"/>
              <w:bottom w:val="single" w:sz="4" w:space="0" w:color="auto"/>
              <w:right w:val="single" w:sz="4" w:space="0" w:color="auto"/>
            </w:tcBorders>
            <w:noWrap/>
            <w:vAlign w:val="bottom"/>
            <w:hideMark/>
          </w:tcPr>
          <w:p w14:paraId="044710B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12.637,33</w:t>
            </w:r>
          </w:p>
        </w:tc>
        <w:tc>
          <w:tcPr>
            <w:tcW w:w="478" w:type="pct"/>
            <w:tcBorders>
              <w:top w:val="nil"/>
              <w:left w:val="nil"/>
              <w:bottom w:val="single" w:sz="4" w:space="0" w:color="auto"/>
              <w:right w:val="single" w:sz="4" w:space="0" w:color="auto"/>
            </w:tcBorders>
            <w:noWrap/>
            <w:vAlign w:val="bottom"/>
            <w:hideMark/>
          </w:tcPr>
          <w:p w14:paraId="355A27E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28A12979"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75A7CC11"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SKUPAJ</w:t>
            </w:r>
          </w:p>
        </w:tc>
        <w:tc>
          <w:tcPr>
            <w:tcW w:w="502" w:type="pct"/>
            <w:tcBorders>
              <w:top w:val="nil"/>
              <w:left w:val="nil"/>
              <w:bottom w:val="single" w:sz="4" w:space="0" w:color="auto"/>
              <w:right w:val="single" w:sz="4" w:space="0" w:color="auto"/>
            </w:tcBorders>
            <w:shd w:val="clear" w:color="000000" w:fill="D9D9D9"/>
            <w:noWrap/>
            <w:vAlign w:val="bottom"/>
            <w:hideMark/>
          </w:tcPr>
          <w:p w14:paraId="414C8F81"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3.501.235,12</w:t>
            </w:r>
          </w:p>
        </w:tc>
        <w:tc>
          <w:tcPr>
            <w:tcW w:w="453" w:type="pct"/>
            <w:tcBorders>
              <w:top w:val="nil"/>
              <w:left w:val="nil"/>
              <w:bottom w:val="single" w:sz="4" w:space="0" w:color="auto"/>
              <w:right w:val="single" w:sz="4" w:space="0" w:color="auto"/>
            </w:tcBorders>
            <w:shd w:val="clear" w:color="000000" w:fill="D9D9D9"/>
            <w:noWrap/>
            <w:vAlign w:val="bottom"/>
            <w:hideMark/>
          </w:tcPr>
          <w:p w14:paraId="312A0DE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100,00%</w:t>
            </w:r>
          </w:p>
        </w:tc>
        <w:tc>
          <w:tcPr>
            <w:tcW w:w="496" w:type="pct"/>
            <w:tcBorders>
              <w:top w:val="nil"/>
              <w:left w:val="nil"/>
              <w:bottom w:val="single" w:sz="4" w:space="0" w:color="auto"/>
              <w:right w:val="single" w:sz="4" w:space="0" w:color="auto"/>
            </w:tcBorders>
            <w:shd w:val="clear" w:color="000000" w:fill="D9D9D9"/>
            <w:noWrap/>
            <w:vAlign w:val="bottom"/>
            <w:hideMark/>
          </w:tcPr>
          <w:p w14:paraId="3564EA35"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297.701,17</w:t>
            </w:r>
          </w:p>
        </w:tc>
        <w:tc>
          <w:tcPr>
            <w:tcW w:w="558" w:type="pct"/>
            <w:tcBorders>
              <w:top w:val="nil"/>
              <w:left w:val="nil"/>
              <w:bottom w:val="single" w:sz="4" w:space="0" w:color="auto"/>
              <w:right w:val="single" w:sz="4" w:space="0" w:color="auto"/>
            </w:tcBorders>
            <w:shd w:val="clear" w:color="000000" w:fill="D9D9D9"/>
            <w:noWrap/>
            <w:vAlign w:val="bottom"/>
            <w:hideMark/>
          </w:tcPr>
          <w:p w14:paraId="7B79B410"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107.763,52</w:t>
            </w:r>
          </w:p>
        </w:tc>
        <w:tc>
          <w:tcPr>
            <w:tcW w:w="478" w:type="pct"/>
            <w:tcBorders>
              <w:top w:val="nil"/>
              <w:left w:val="nil"/>
              <w:bottom w:val="single" w:sz="4" w:space="0" w:color="auto"/>
              <w:right w:val="single" w:sz="4" w:space="0" w:color="auto"/>
            </w:tcBorders>
            <w:shd w:val="clear" w:color="000000" w:fill="D9D9D9"/>
            <w:noWrap/>
            <w:vAlign w:val="bottom"/>
            <w:hideMark/>
          </w:tcPr>
          <w:p w14:paraId="06FDCE97"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725.129,23</w:t>
            </w:r>
          </w:p>
        </w:tc>
        <w:tc>
          <w:tcPr>
            <w:tcW w:w="466" w:type="pct"/>
            <w:tcBorders>
              <w:top w:val="nil"/>
              <w:left w:val="nil"/>
              <w:bottom w:val="single" w:sz="4" w:space="0" w:color="auto"/>
              <w:right w:val="single" w:sz="4" w:space="0" w:color="auto"/>
            </w:tcBorders>
            <w:shd w:val="clear" w:color="000000" w:fill="D9D9D9"/>
            <w:noWrap/>
            <w:vAlign w:val="bottom"/>
            <w:hideMark/>
          </w:tcPr>
          <w:p w14:paraId="51EB253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821.237,05</w:t>
            </w:r>
          </w:p>
        </w:tc>
        <w:tc>
          <w:tcPr>
            <w:tcW w:w="527" w:type="pct"/>
            <w:tcBorders>
              <w:top w:val="nil"/>
              <w:left w:val="nil"/>
              <w:bottom w:val="single" w:sz="4" w:space="0" w:color="auto"/>
              <w:right w:val="single" w:sz="4" w:space="0" w:color="auto"/>
            </w:tcBorders>
            <w:shd w:val="clear" w:color="000000" w:fill="D9D9D9"/>
            <w:noWrap/>
            <w:vAlign w:val="bottom"/>
            <w:hideMark/>
          </w:tcPr>
          <w:p w14:paraId="4500595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1.372.609,43</w:t>
            </w:r>
          </w:p>
        </w:tc>
        <w:tc>
          <w:tcPr>
            <w:tcW w:w="478" w:type="pct"/>
            <w:tcBorders>
              <w:top w:val="nil"/>
              <w:left w:val="nil"/>
              <w:bottom w:val="single" w:sz="4" w:space="0" w:color="auto"/>
              <w:right w:val="single" w:sz="4" w:space="0" w:color="auto"/>
            </w:tcBorders>
            <w:shd w:val="clear" w:color="000000" w:fill="D9D9D9"/>
            <w:noWrap/>
            <w:vAlign w:val="bottom"/>
            <w:hideMark/>
          </w:tcPr>
          <w:p w14:paraId="39706A0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176.794,71</w:t>
            </w:r>
          </w:p>
        </w:tc>
      </w:tr>
      <w:tr w:rsidR="002E10AB" w:rsidRPr="002E10AB" w14:paraId="7436F13A"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49C0DC00"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06C4CC1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1.612.346,55</w:t>
            </w:r>
          </w:p>
        </w:tc>
        <w:tc>
          <w:tcPr>
            <w:tcW w:w="453" w:type="pct"/>
            <w:tcBorders>
              <w:top w:val="nil"/>
              <w:left w:val="nil"/>
              <w:bottom w:val="single" w:sz="4" w:space="0" w:color="auto"/>
              <w:right w:val="single" w:sz="4" w:space="0" w:color="auto"/>
            </w:tcBorders>
            <w:noWrap/>
            <w:vAlign w:val="bottom"/>
            <w:hideMark/>
          </w:tcPr>
          <w:p w14:paraId="46D5300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46,05%</w:t>
            </w:r>
          </w:p>
        </w:tc>
        <w:tc>
          <w:tcPr>
            <w:tcW w:w="496" w:type="pct"/>
            <w:tcBorders>
              <w:top w:val="nil"/>
              <w:left w:val="nil"/>
              <w:bottom w:val="single" w:sz="4" w:space="0" w:color="auto"/>
              <w:right w:val="single" w:sz="4" w:space="0" w:color="auto"/>
            </w:tcBorders>
            <w:noWrap/>
            <w:vAlign w:val="bottom"/>
            <w:hideMark/>
          </w:tcPr>
          <w:p w14:paraId="7BA0F29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688811A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471927E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493.087,88</w:t>
            </w:r>
          </w:p>
        </w:tc>
        <w:tc>
          <w:tcPr>
            <w:tcW w:w="466" w:type="pct"/>
            <w:tcBorders>
              <w:top w:val="nil"/>
              <w:left w:val="nil"/>
              <w:bottom w:val="single" w:sz="4" w:space="0" w:color="auto"/>
              <w:right w:val="single" w:sz="4" w:space="0" w:color="auto"/>
            </w:tcBorders>
            <w:noWrap/>
            <w:vAlign w:val="bottom"/>
            <w:hideMark/>
          </w:tcPr>
          <w:p w14:paraId="2B1D922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549.847,81</w:t>
            </w:r>
          </w:p>
        </w:tc>
        <w:tc>
          <w:tcPr>
            <w:tcW w:w="527" w:type="pct"/>
            <w:tcBorders>
              <w:top w:val="nil"/>
              <w:left w:val="nil"/>
              <w:bottom w:val="single" w:sz="4" w:space="0" w:color="auto"/>
              <w:right w:val="single" w:sz="4" w:space="0" w:color="auto"/>
            </w:tcBorders>
            <w:noWrap/>
            <w:vAlign w:val="bottom"/>
            <w:hideMark/>
          </w:tcPr>
          <w:p w14:paraId="287CC0F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482.383,61</w:t>
            </w:r>
          </w:p>
        </w:tc>
        <w:tc>
          <w:tcPr>
            <w:tcW w:w="478" w:type="pct"/>
            <w:tcBorders>
              <w:top w:val="nil"/>
              <w:left w:val="nil"/>
              <w:bottom w:val="single" w:sz="4" w:space="0" w:color="auto"/>
              <w:right w:val="single" w:sz="4" w:space="0" w:color="auto"/>
            </w:tcBorders>
            <w:noWrap/>
            <w:vAlign w:val="bottom"/>
            <w:hideMark/>
          </w:tcPr>
          <w:p w14:paraId="550321D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8.880,51</w:t>
            </w:r>
          </w:p>
        </w:tc>
      </w:tr>
      <w:tr w:rsidR="002E10AB" w:rsidRPr="002E10AB" w14:paraId="2236992A"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7AD12505"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448620D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284.531,75</w:t>
            </w:r>
          </w:p>
        </w:tc>
        <w:tc>
          <w:tcPr>
            <w:tcW w:w="453" w:type="pct"/>
            <w:tcBorders>
              <w:top w:val="nil"/>
              <w:left w:val="nil"/>
              <w:bottom w:val="single" w:sz="4" w:space="0" w:color="auto"/>
              <w:right w:val="single" w:sz="4" w:space="0" w:color="auto"/>
            </w:tcBorders>
            <w:noWrap/>
            <w:vAlign w:val="bottom"/>
            <w:hideMark/>
          </w:tcPr>
          <w:p w14:paraId="68A67A7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8,13%</w:t>
            </w:r>
          </w:p>
        </w:tc>
        <w:tc>
          <w:tcPr>
            <w:tcW w:w="496" w:type="pct"/>
            <w:tcBorders>
              <w:top w:val="nil"/>
              <w:left w:val="nil"/>
              <w:bottom w:val="single" w:sz="4" w:space="0" w:color="auto"/>
              <w:right w:val="single" w:sz="4" w:space="0" w:color="auto"/>
            </w:tcBorders>
            <w:noWrap/>
            <w:vAlign w:val="bottom"/>
            <w:hideMark/>
          </w:tcPr>
          <w:p w14:paraId="55B6424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4C19D6C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1651EF4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87.015,51</w:t>
            </w:r>
          </w:p>
        </w:tc>
        <w:tc>
          <w:tcPr>
            <w:tcW w:w="466" w:type="pct"/>
            <w:tcBorders>
              <w:top w:val="nil"/>
              <w:left w:val="nil"/>
              <w:bottom w:val="single" w:sz="4" w:space="0" w:color="auto"/>
              <w:right w:val="single" w:sz="4" w:space="0" w:color="auto"/>
            </w:tcBorders>
            <w:noWrap/>
            <w:vAlign w:val="bottom"/>
            <w:hideMark/>
          </w:tcPr>
          <w:p w14:paraId="6055663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97.031,97</w:t>
            </w:r>
          </w:p>
        </w:tc>
        <w:tc>
          <w:tcPr>
            <w:tcW w:w="527" w:type="pct"/>
            <w:tcBorders>
              <w:top w:val="nil"/>
              <w:left w:val="nil"/>
              <w:bottom w:val="single" w:sz="4" w:space="0" w:color="auto"/>
              <w:right w:val="single" w:sz="4" w:space="0" w:color="auto"/>
            </w:tcBorders>
            <w:noWrap/>
            <w:vAlign w:val="bottom"/>
            <w:hideMark/>
          </w:tcPr>
          <w:p w14:paraId="473F034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85.126,52</w:t>
            </w:r>
          </w:p>
        </w:tc>
        <w:tc>
          <w:tcPr>
            <w:tcW w:w="478" w:type="pct"/>
            <w:tcBorders>
              <w:top w:val="nil"/>
              <w:left w:val="nil"/>
              <w:bottom w:val="single" w:sz="4" w:space="0" w:color="auto"/>
              <w:right w:val="single" w:sz="4" w:space="0" w:color="auto"/>
            </w:tcBorders>
            <w:noWrap/>
            <w:vAlign w:val="bottom"/>
            <w:hideMark/>
          </w:tcPr>
          <w:p w14:paraId="576D969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1.567,15</w:t>
            </w:r>
          </w:p>
        </w:tc>
      </w:tr>
      <w:tr w:rsidR="002E10AB" w:rsidRPr="002E10AB" w14:paraId="3E33F704"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239E9B3A"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16B5D80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1.604.356,82</w:t>
            </w:r>
          </w:p>
        </w:tc>
        <w:tc>
          <w:tcPr>
            <w:tcW w:w="453" w:type="pct"/>
            <w:tcBorders>
              <w:top w:val="nil"/>
              <w:left w:val="nil"/>
              <w:bottom w:val="single" w:sz="4" w:space="0" w:color="auto"/>
              <w:right w:val="single" w:sz="4" w:space="0" w:color="auto"/>
            </w:tcBorders>
            <w:noWrap/>
            <w:vAlign w:val="bottom"/>
            <w:hideMark/>
          </w:tcPr>
          <w:p w14:paraId="592DB48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45,82%</w:t>
            </w:r>
          </w:p>
        </w:tc>
        <w:tc>
          <w:tcPr>
            <w:tcW w:w="496" w:type="pct"/>
            <w:tcBorders>
              <w:top w:val="nil"/>
              <w:left w:val="nil"/>
              <w:bottom w:val="single" w:sz="4" w:space="0" w:color="auto"/>
              <w:right w:val="single" w:sz="4" w:space="0" w:color="auto"/>
            </w:tcBorders>
            <w:noWrap/>
            <w:vAlign w:val="bottom"/>
            <w:hideMark/>
          </w:tcPr>
          <w:p w14:paraId="4974528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289.990,77</w:t>
            </w:r>
          </w:p>
        </w:tc>
        <w:tc>
          <w:tcPr>
            <w:tcW w:w="558" w:type="pct"/>
            <w:tcBorders>
              <w:top w:val="nil"/>
              <w:left w:val="nil"/>
              <w:bottom w:val="single" w:sz="4" w:space="0" w:color="auto"/>
              <w:right w:val="single" w:sz="4" w:space="0" w:color="auto"/>
            </w:tcBorders>
            <w:noWrap/>
            <w:vAlign w:val="bottom"/>
            <w:hideMark/>
          </w:tcPr>
          <w:p w14:paraId="0E8FB01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23.536,58</w:t>
            </w:r>
          </w:p>
        </w:tc>
        <w:tc>
          <w:tcPr>
            <w:tcW w:w="478" w:type="pct"/>
            <w:tcBorders>
              <w:top w:val="nil"/>
              <w:left w:val="nil"/>
              <w:bottom w:val="single" w:sz="4" w:space="0" w:color="auto"/>
              <w:right w:val="single" w:sz="4" w:space="0" w:color="auto"/>
            </w:tcBorders>
            <w:noWrap/>
            <w:vAlign w:val="bottom"/>
            <w:hideMark/>
          </w:tcPr>
          <w:p w14:paraId="3962ECB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145.025,84</w:t>
            </w:r>
          </w:p>
        </w:tc>
        <w:tc>
          <w:tcPr>
            <w:tcW w:w="466" w:type="pct"/>
            <w:tcBorders>
              <w:top w:val="nil"/>
              <w:left w:val="nil"/>
              <w:bottom w:val="single" w:sz="4" w:space="0" w:color="auto"/>
              <w:right w:val="single" w:sz="4" w:space="0" w:color="auto"/>
            </w:tcBorders>
            <w:noWrap/>
            <w:vAlign w:val="bottom"/>
            <w:hideMark/>
          </w:tcPr>
          <w:p w14:paraId="231F450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174.357,27</w:t>
            </w:r>
          </w:p>
        </w:tc>
        <w:tc>
          <w:tcPr>
            <w:tcW w:w="527" w:type="pct"/>
            <w:tcBorders>
              <w:top w:val="nil"/>
              <w:left w:val="nil"/>
              <w:bottom w:val="single" w:sz="4" w:space="0" w:color="auto"/>
              <w:right w:val="single" w:sz="4" w:space="0" w:color="auto"/>
            </w:tcBorders>
            <w:noWrap/>
            <w:vAlign w:val="bottom"/>
            <w:hideMark/>
          </w:tcPr>
          <w:p w14:paraId="01A8DC2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805.099,30</w:t>
            </w:r>
          </w:p>
        </w:tc>
        <w:tc>
          <w:tcPr>
            <w:tcW w:w="478" w:type="pct"/>
            <w:tcBorders>
              <w:top w:val="nil"/>
              <w:left w:val="nil"/>
              <w:bottom w:val="single" w:sz="4" w:space="0" w:color="auto"/>
              <w:right w:val="single" w:sz="4" w:space="0" w:color="auto"/>
            </w:tcBorders>
            <w:noWrap/>
            <w:vAlign w:val="bottom"/>
            <w:hideMark/>
          </w:tcPr>
          <w:p w14:paraId="4612117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166.347,05</w:t>
            </w:r>
          </w:p>
        </w:tc>
      </w:tr>
    </w:tbl>
    <w:p w14:paraId="755848A0" w14:textId="77777777" w:rsidR="002E10AB" w:rsidRDefault="002E10AB" w:rsidP="006154DD">
      <w:pPr>
        <w:spacing w:line="276" w:lineRule="auto"/>
        <w:jc w:val="both"/>
        <w:rPr>
          <w:rFonts w:ascii="Arial" w:hAnsi="Arial" w:cs="Arial"/>
          <w:sz w:val="22"/>
          <w:szCs w:val="22"/>
        </w:rPr>
      </w:pPr>
    </w:p>
    <w:p w14:paraId="0DD16958" w14:textId="77777777" w:rsidR="002E10AB" w:rsidRDefault="002E10AB" w:rsidP="006154DD">
      <w:pPr>
        <w:spacing w:line="276" w:lineRule="auto"/>
        <w:jc w:val="both"/>
        <w:rPr>
          <w:rFonts w:ascii="Arial" w:hAnsi="Arial" w:cs="Arial"/>
          <w:sz w:val="22"/>
          <w:szCs w:val="22"/>
        </w:rPr>
      </w:pPr>
    </w:p>
    <w:p w14:paraId="0E879341" w14:textId="1D921115" w:rsidR="006154DD" w:rsidRDefault="006154DD" w:rsidP="006154DD">
      <w:pPr>
        <w:spacing w:after="120" w:line="276" w:lineRule="auto"/>
        <w:ind w:left="1410" w:hanging="1410"/>
        <w:jc w:val="both"/>
        <w:rPr>
          <w:rFonts w:ascii="Arial" w:hAnsi="Arial" w:cs="Arial"/>
          <w:sz w:val="22"/>
          <w:szCs w:val="22"/>
        </w:rPr>
      </w:pPr>
      <w:bookmarkStart w:id="288" w:name="_Toc209029186"/>
      <w:bookmarkStart w:id="289" w:name="_Toc209277218"/>
      <w:bookmarkStart w:id="290" w:name="_Toc209528302"/>
      <w:r w:rsidRPr="00BC0DCF">
        <w:rPr>
          <w:rFonts w:ascii="Arial" w:hAnsi="Arial" w:cs="Arial"/>
          <w:b/>
          <w:sz w:val="22"/>
          <w:szCs w:val="22"/>
        </w:rPr>
        <w:t xml:space="preserve">Tabela </w:t>
      </w:r>
      <w:r w:rsidRPr="00BC0DCF">
        <w:rPr>
          <w:rFonts w:ascii="Arial" w:hAnsi="Arial" w:cs="Arial"/>
          <w:b/>
          <w:sz w:val="22"/>
          <w:szCs w:val="22"/>
        </w:rPr>
        <w:fldChar w:fldCharType="begin"/>
      </w:r>
      <w:r w:rsidRPr="00BC0DCF">
        <w:rPr>
          <w:rFonts w:ascii="Arial" w:hAnsi="Arial" w:cs="Arial"/>
          <w:b/>
          <w:sz w:val="22"/>
          <w:szCs w:val="22"/>
        </w:rPr>
        <w:instrText xml:space="preserve"> SEQ Tabela \* ARABIC </w:instrText>
      </w:r>
      <w:r w:rsidRPr="00BC0DCF">
        <w:rPr>
          <w:rFonts w:ascii="Arial" w:hAnsi="Arial" w:cs="Arial"/>
          <w:b/>
          <w:sz w:val="22"/>
          <w:szCs w:val="22"/>
        </w:rPr>
        <w:fldChar w:fldCharType="separate"/>
      </w:r>
      <w:r w:rsidR="00E74D26">
        <w:rPr>
          <w:rFonts w:ascii="Arial" w:hAnsi="Arial" w:cs="Arial"/>
          <w:b/>
          <w:noProof/>
          <w:sz w:val="22"/>
          <w:szCs w:val="22"/>
        </w:rPr>
        <w:t>16</w:t>
      </w:r>
      <w:r w:rsidRPr="00BC0DCF">
        <w:rPr>
          <w:rFonts w:ascii="Arial" w:hAnsi="Arial" w:cs="Arial"/>
          <w:b/>
          <w:sz w:val="22"/>
          <w:szCs w:val="22"/>
        </w:rPr>
        <w:fldChar w:fldCharType="end"/>
      </w:r>
      <w:r w:rsidRPr="00BC0DCF">
        <w:rPr>
          <w:rFonts w:ascii="Arial" w:hAnsi="Arial" w:cs="Arial"/>
          <w:b/>
          <w:sz w:val="22"/>
          <w:szCs w:val="22"/>
        </w:rPr>
        <w:t xml:space="preserve">: </w:t>
      </w:r>
      <w:r w:rsidRPr="00BC0DCF">
        <w:rPr>
          <w:rFonts w:ascii="Arial" w:hAnsi="Arial" w:cs="Arial"/>
          <w:sz w:val="22"/>
          <w:szCs w:val="22"/>
        </w:rPr>
        <w:t>Finančni terminski plan investicije v tekočih cenah</w:t>
      </w:r>
      <w:bookmarkEnd w:id="288"/>
      <w:bookmarkEnd w:id="289"/>
      <w:bookmarkEnd w:id="290"/>
    </w:p>
    <w:tbl>
      <w:tblPr>
        <w:tblW w:w="5112" w:type="pct"/>
        <w:tblCellMar>
          <w:left w:w="70" w:type="dxa"/>
          <w:right w:w="70" w:type="dxa"/>
        </w:tblCellMar>
        <w:tblLook w:val="04A0" w:firstRow="1" w:lastRow="0" w:firstColumn="1" w:lastColumn="0" w:noHBand="0" w:noVBand="1"/>
      </w:tblPr>
      <w:tblGrid>
        <w:gridCol w:w="3964"/>
        <w:gridCol w:w="1561"/>
        <w:gridCol w:w="990"/>
        <w:gridCol w:w="1276"/>
        <w:gridCol w:w="1276"/>
        <w:gridCol w:w="1276"/>
        <w:gridCol w:w="1419"/>
        <w:gridCol w:w="1559"/>
        <w:gridCol w:w="1276"/>
      </w:tblGrid>
      <w:tr w:rsidR="004A6E4D" w:rsidRPr="004A6E4D" w14:paraId="52F41B5D" w14:textId="77777777" w:rsidTr="004A6E4D">
        <w:trPr>
          <w:trHeight w:val="227"/>
          <w:tblHeader/>
        </w:trPr>
        <w:tc>
          <w:tcPr>
            <w:tcW w:w="1358"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05CBAB28"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Postavka</w:t>
            </w:r>
          </w:p>
        </w:tc>
        <w:tc>
          <w:tcPr>
            <w:tcW w:w="535" w:type="pct"/>
            <w:tcBorders>
              <w:top w:val="single" w:sz="4" w:space="0" w:color="auto"/>
              <w:left w:val="nil"/>
              <w:bottom w:val="single" w:sz="4" w:space="0" w:color="auto"/>
              <w:right w:val="single" w:sz="4" w:space="0" w:color="auto"/>
            </w:tcBorders>
            <w:shd w:val="clear" w:color="000000" w:fill="153D64"/>
            <w:noWrap/>
            <w:vAlign w:val="bottom"/>
            <w:hideMark/>
          </w:tcPr>
          <w:p w14:paraId="7171C5B1"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Vrednost</w:t>
            </w:r>
          </w:p>
        </w:tc>
        <w:tc>
          <w:tcPr>
            <w:tcW w:w="339" w:type="pct"/>
            <w:tcBorders>
              <w:top w:val="single" w:sz="4" w:space="0" w:color="auto"/>
              <w:left w:val="nil"/>
              <w:bottom w:val="single" w:sz="4" w:space="0" w:color="auto"/>
              <w:right w:val="single" w:sz="4" w:space="0" w:color="auto"/>
            </w:tcBorders>
            <w:shd w:val="clear" w:color="000000" w:fill="153D64"/>
            <w:noWrap/>
            <w:vAlign w:val="bottom"/>
            <w:hideMark/>
          </w:tcPr>
          <w:p w14:paraId="34B9FEED"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Delež</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5E75AC07"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2024</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635571E4"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2025</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5FFF2080"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2026</w:t>
            </w:r>
          </w:p>
        </w:tc>
        <w:tc>
          <w:tcPr>
            <w:tcW w:w="486" w:type="pct"/>
            <w:tcBorders>
              <w:top w:val="single" w:sz="4" w:space="0" w:color="auto"/>
              <w:left w:val="nil"/>
              <w:bottom w:val="single" w:sz="4" w:space="0" w:color="auto"/>
              <w:right w:val="single" w:sz="4" w:space="0" w:color="auto"/>
            </w:tcBorders>
            <w:shd w:val="clear" w:color="000000" w:fill="153D64"/>
            <w:noWrap/>
            <w:vAlign w:val="bottom"/>
            <w:hideMark/>
          </w:tcPr>
          <w:p w14:paraId="598EC52F"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2027</w:t>
            </w:r>
          </w:p>
        </w:tc>
        <w:tc>
          <w:tcPr>
            <w:tcW w:w="534" w:type="pct"/>
            <w:tcBorders>
              <w:top w:val="single" w:sz="4" w:space="0" w:color="auto"/>
              <w:left w:val="nil"/>
              <w:bottom w:val="single" w:sz="4" w:space="0" w:color="auto"/>
              <w:right w:val="single" w:sz="4" w:space="0" w:color="auto"/>
            </w:tcBorders>
            <w:shd w:val="clear" w:color="000000" w:fill="153D64"/>
            <w:noWrap/>
            <w:vAlign w:val="bottom"/>
            <w:hideMark/>
          </w:tcPr>
          <w:p w14:paraId="552F917C"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2028</w:t>
            </w:r>
          </w:p>
        </w:tc>
        <w:tc>
          <w:tcPr>
            <w:tcW w:w="437" w:type="pct"/>
            <w:tcBorders>
              <w:top w:val="single" w:sz="4" w:space="0" w:color="auto"/>
              <w:left w:val="nil"/>
              <w:bottom w:val="single" w:sz="4" w:space="0" w:color="auto"/>
              <w:right w:val="single" w:sz="4" w:space="0" w:color="auto"/>
            </w:tcBorders>
            <w:shd w:val="clear" w:color="000000" w:fill="153D64"/>
            <w:noWrap/>
            <w:vAlign w:val="bottom"/>
            <w:hideMark/>
          </w:tcPr>
          <w:p w14:paraId="1CED3417"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2029</w:t>
            </w:r>
          </w:p>
        </w:tc>
      </w:tr>
      <w:tr w:rsidR="004A6E4D" w:rsidRPr="004A6E4D" w14:paraId="3C9C4AB7"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79CAA3C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Govekarjeva cesta</w:t>
            </w:r>
          </w:p>
        </w:tc>
        <w:tc>
          <w:tcPr>
            <w:tcW w:w="535" w:type="pct"/>
            <w:tcBorders>
              <w:top w:val="nil"/>
              <w:left w:val="nil"/>
              <w:bottom w:val="single" w:sz="4" w:space="0" w:color="auto"/>
              <w:right w:val="single" w:sz="4" w:space="0" w:color="auto"/>
            </w:tcBorders>
            <w:noWrap/>
            <w:vAlign w:val="bottom"/>
            <w:hideMark/>
          </w:tcPr>
          <w:p w14:paraId="6DFA508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710.549,80</w:t>
            </w:r>
          </w:p>
        </w:tc>
        <w:tc>
          <w:tcPr>
            <w:tcW w:w="339" w:type="pct"/>
            <w:tcBorders>
              <w:top w:val="nil"/>
              <w:left w:val="nil"/>
              <w:bottom w:val="single" w:sz="4" w:space="0" w:color="auto"/>
              <w:right w:val="single" w:sz="4" w:space="0" w:color="auto"/>
            </w:tcBorders>
            <w:noWrap/>
            <w:vAlign w:val="bottom"/>
            <w:hideMark/>
          </w:tcPr>
          <w:p w14:paraId="36F0244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19,41%</w:t>
            </w:r>
          </w:p>
        </w:tc>
        <w:tc>
          <w:tcPr>
            <w:tcW w:w="437" w:type="pct"/>
            <w:tcBorders>
              <w:top w:val="nil"/>
              <w:left w:val="nil"/>
              <w:bottom w:val="single" w:sz="4" w:space="0" w:color="auto"/>
              <w:right w:val="single" w:sz="4" w:space="0" w:color="auto"/>
            </w:tcBorders>
            <w:noWrap/>
            <w:vAlign w:val="bottom"/>
            <w:hideMark/>
          </w:tcPr>
          <w:p w14:paraId="35ACC4E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009ED1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7D86C4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24BEEE7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261.120,75</w:t>
            </w:r>
          </w:p>
        </w:tc>
        <w:tc>
          <w:tcPr>
            <w:tcW w:w="534" w:type="pct"/>
            <w:tcBorders>
              <w:top w:val="nil"/>
              <w:left w:val="nil"/>
              <w:bottom w:val="single" w:sz="4" w:space="0" w:color="auto"/>
              <w:right w:val="single" w:sz="4" w:space="0" w:color="auto"/>
            </w:tcBorders>
            <w:noWrap/>
            <w:vAlign w:val="bottom"/>
            <w:hideMark/>
          </w:tcPr>
          <w:p w14:paraId="4BCED25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449.429,05</w:t>
            </w:r>
          </w:p>
        </w:tc>
        <w:tc>
          <w:tcPr>
            <w:tcW w:w="437" w:type="pct"/>
            <w:tcBorders>
              <w:top w:val="nil"/>
              <w:left w:val="nil"/>
              <w:bottom w:val="single" w:sz="4" w:space="0" w:color="auto"/>
              <w:right w:val="single" w:sz="4" w:space="0" w:color="auto"/>
            </w:tcBorders>
            <w:noWrap/>
            <w:vAlign w:val="bottom"/>
            <w:hideMark/>
          </w:tcPr>
          <w:p w14:paraId="586883F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FFF3C24"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52EB251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Troštova ulica</w:t>
            </w:r>
          </w:p>
        </w:tc>
        <w:tc>
          <w:tcPr>
            <w:tcW w:w="535" w:type="pct"/>
            <w:tcBorders>
              <w:top w:val="nil"/>
              <w:left w:val="nil"/>
              <w:bottom w:val="single" w:sz="4" w:space="0" w:color="auto"/>
              <w:right w:val="single" w:sz="4" w:space="0" w:color="auto"/>
            </w:tcBorders>
            <w:noWrap/>
            <w:vAlign w:val="bottom"/>
            <w:hideMark/>
          </w:tcPr>
          <w:p w14:paraId="21FB090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166.335,43</w:t>
            </w:r>
          </w:p>
        </w:tc>
        <w:tc>
          <w:tcPr>
            <w:tcW w:w="339" w:type="pct"/>
            <w:tcBorders>
              <w:top w:val="nil"/>
              <w:left w:val="nil"/>
              <w:bottom w:val="single" w:sz="4" w:space="0" w:color="auto"/>
              <w:right w:val="single" w:sz="4" w:space="0" w:color="auto"/>
            </w:tcBorders>
            <w:noWrap/>
            <w:vAlign w:val="bottom"/>
            <w:hideMark/>
          </w:tcPr>
          <w:p w14:paraId="3695F5F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4,54%</w:t>
            </w:r>
          </w:p>
        </w:tc>
        <w:tc>
          <w:tcPr>
            <w:tcW w:w="437" w:type="pct"/>
            <w:tcBorders>
              <w:top w:val="nil"/>
              <w:left w:val="nil"/>
              <w:bottom w:val="single" w:sz="4" w:space="0" w:color="auto"/>
              <w:right w:val="single" w:sz="4" w:space="0" w:color="auto"/>
            </w:tcBorders>
            <w:noWrap/>
            <w:vAlign w:val="bottom"/>
            <w:hideMark/>
          </w:tcPr>
          <w:p w14:paraId="32099C7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5C50AC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33B43F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3AA519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166.335,43</w:t>
            </w:r>
          </w:p>
        </w:tc>
        <w:tc>
          <w:tcPr>
            <w:tcW w:w="534" w:type="pct"/>
            <w:tcBorders>
              <w:top w:val="nil"/>
              <w:left w:val="nil"/>
              <w:bottom w:val="single" w:sz="4" w:space="0" w:color="auto"/>
              <w:right w:val="single" w:sz="4" w:space="0" w:color="auto"/>
            </w:tcBorders>
            <w:noWrap/>
            <w:vAlign w:val="bottom"/>
            <w:hideMark/>
          </w:tcPr>
          <w:p w14:paraId="6809BE7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8DBB6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95D8E0C"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7DB32118"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Križišče Govekarjeva-Troštova</w:t>
            </w:r>
          </w:p>
        </w:tc>
        <w:tc>
          <w:tcPr>
            <w:tcW w:w="535" w:type="pct"/>
            <w:tcBorders>
              <w:top w:val="nil"/>
              <w:left w:val="nil"/>
              <w:bottom w:val="single" w:sz="4" w:space="0" w:color="auto"/>
              <w:right w:val="single" w:sz="4" w:space="0" w:color="auto"/>
            </w:tcBorders>
            <w:noWrap/>
            <w:vAlign w:val="bottom"/>
            <w:hideMark/>
          </w:tcPr>
          <w:p w14:paraId="5C0984D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161.849,79</w:t>
            </w:r>
          </w:p>
        </w:tc>
        <w:tc>
          <w:tcPr>
            <w:tcW w:w="339" w:type="pct"/>
            <w:tcBorders>
              <w:top w:val="nil"/>
              <w:left w:val="nil"/>
              <w:bottom w:val="single" w:sz="4" w:space="0" w:color="auto"/>
              <w:right w:val="single" w:sz="4" w:space="0" w:color="auto"/>
            </w:tcBorders>
            <w:noWrap/>
            <w:vAlign w:val="bottom"/>
            <w:hideMark/>
          </w:tcPr>
          <w:p w14:paraId="7439ED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4,42%</w:t>
            </w:r>
          </w:p>
        </w:tc>
        <w:tc>
          <w:tcPr>
            <w:tcW w:w="437" w:type="pct"/>
            <w:tcBorders>
              <w:top w:val="nil"/>
              <w:left w:val="nil"/>
              <w:bottom w:val="single" w:sz="4" w:space="0" w:color="auto"/>
              <w:right w:val="single" w:sz="4" w:space="0" w:color="auto"/>
            </w:tcBorders>
            <w:noWrap/>
            <w:vAlign w:val="bottom"/>
            <w:hideMark/>
          </w:tcPr>
          <w:p w14:paraId="6D6B0FF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F50850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F0BE84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56DA04D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161.849,79</w:t>
            </w:r>
          </w:p>
        </w:tc>
        <w:tc>
          <w:tcPr>
            <w:tcW w:w="534" w:type="pct"/>
            <w:tcBorders>
              <w:top w:val="nil"/>
              <w:left w:val="nil"/>
              <w:bottom w:val="single" w:sz="4" w:space="0" w:color="auto"/>
              <w:right w:val="single" w:sz="4" w:space="0" w:color="auto"/>
            </w:tcBorders>
            <w:noWrap/>
            <w:vAlign w:val="bottom"/>
            <w:hideMark/>
          </w:tcPr>
          <w:p w14:paraId="04F8964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FAA0A6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A23EB43"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251F3588"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Javni sistem izposoje koles</w:t>
            </w:r>
          </w:p>
        </w:tc>
        <w:tc>
          <w:tcPr>
            <w:tcW w:w="535" w:type="pct"/>
            <w:tcBorders>
              <w:top w:val="nil"/>
              <w:left w:val="nil"/>
              <w:bottom w:val="single" w:sz="4" w:space="0" w:color="auto"/>
              <w:right w:val="single" w:sz="4" w:space="0" w:color="auto"/>
            </w:tcBorders>
            <w:noWrap/>
            <w:vAlign w:val="bottom"/>
            <w:hideMark/>
          </w:tcPr>
          <w:p w14:paraId="39556DB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57.333,76</w:t>
            </w:r>
          </w:p>
        </w:tc>
        <w:tc>
          <w:tcPr>
            <w:tcW w:w="339" w:type="pct"/>
            <w:tcBorders>
              <w:top w:val="nil"/>
              <w:left w:val="nil"/>
              <w:bottom w:val="single" w:sz="4" w:space="0" w:color="auto"/>
              <w:right w:val="single" w:sz="4" w:space="0" w:color="auto"/>
            </w:tcBorders>
            <w:noWrap/>
            <w:vAlign w:val="bottom"/>
            <w:hideMark/>
          </w:tcPr>
          <w:p w14:paraId="1D5EA7A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1,57%</w:t>
            </w:r>
          </w:p>
        </w:tc>
        <w:tc>
          <w:tcPr>
            <w:tcW w:w="437" w:type="pct"/>
            <w:tcBorders>
              <w:top w:val="nil"/>
              <w:left w:val="nil"/>
              <w:bottom w:val="single" w:sz="4" w:space="0" w:color="auto"/>
              <w:right w:val="single" w:sz="4" w:space="0" w:color="auto"/>
            </w:tcBorders>
            <w:noWrap/>
            <w:vAlign w:val="bottom"/>
            <w:hideMark/>
          </w:tcPr>
          <w:p w14:paraId="53525E8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A02197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D98E18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D118B7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57.333,76</w:t>
            </w:r>
          </w:p>
        </w:tc>
        <w:tc>
          <w:tcPr>
            <w:tcW w:w="534" w:type="pct"/>
            <w:tcBorders>
              <w:top w:val="nil"/>
              <w:left w:val="nil"/>
              <w:bottom w:val="single" w:sz="4" w:space="0" w:color="auto"/>
              <w:right w:val="single" w:sz="4" w:space="0" w:color="auto"/>
            </w:tcBorders>
            <w:noWrap/>
            <w:vAlign w:val="bottom"/>
            <w:hideMark/>
          </w:tcPr>
          <w:p w14:paraId="3520BC6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3E9C4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3DAE72C"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4F05733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Govekarjeva cesta</w:t>
            </w:r>
          </w:p>
        </w:tc>
        <w:tc>
          <w:tcPr>
            <w:tcW w:w="535" w:type="pct"/>
            <w:tcBorders>
              <w:top w:val="nil"/>
              <w:left w:val="nil"/>
              <w:bottom w:val="single" w:sz="4" w:space="0" w:color="auto"/>
              <w:right w:val="single" w:sz="4" w:space="0" w:color="auto"/>
            </w:tcBorders>
            <w:noWrap/>
            <w:vAlign w:val="bottom"/>
            <w:hideMark/>
          </w:tcPr>
          <w:p w14:paraId="1F219A7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339" w:type="pct"/>
            <w:tcBorders>
              <w:top w:val="nil"/>
              <w:left w:val="nil"/>
              <w:bottom w:val="single" w:sz="4" w:space="0" w:color="auto"/>
              <w:right w:val="single" w:sz="4" w:space="0" w:color="auto"/>
            </w:tcBorders>
            <w:noWrap/>
            <w:vAlign w:val="bottom"/>
            <w:hideMark/>
          </w:tcPr>
          <w:p w14:paraId="673065E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0,18%</w:t>
            </w:r>
          </w:p>
        </w:tc>
        <w:tc>
          <w:tcPr>
            <w:tcW w:w="437" w:type="pct"/>
            <w:tcBorders>
              <w:top w:val="nil"/>
              <w:left w:val="nil"/>
              <w:bottom w:val="single" w:sz="4" w:space="0" w:color="auto"/>
              <w:right w:val="single" w:sz="4" w:space="0" w:color="auto"/>
            </w:tcBorders>
            <w:noWrap/>
            <w:vAlign w:val="bottom"/>
            <w:hideMark/>
          </w:tcPr>
          <w:p w14:paraId="46C24D7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722ECC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1E275A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67C71AB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534" w:type="pct"/>
            <w:tcBorders>
              <w:top w:val="nil"/>
              <w:left w:val="nil"/>
              <w:bottom w:val="single" w:sz="4" w:space="0" w:color="auto"/>
              <w:right w:val="single" w:sz="4" w:space="0" w:color="auto"/>
            </w:tcBorders>
            <w:noWrap/>
            <w:vAlign w:val="bottom"/>
            <w:hideMark/>
          </w:tcPr>
          <w:p w14:paraId="5C59DDE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EA24F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024EB27"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FE35C3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staro župnišče</w:t>
            </w:r>
          </w:p>
        </w:tc>
        <w:tc>
          <w:tcPr>
            <w:tcW w:w="535" w:type="pct"/>
            <w:tcBorders>
              <w:top w:val="nil"/>
              <w:left w:val="nil"/>
              <w:bottom w:val="single" w:sz="4" w:space="0" w:color="auto"/>
              <w:right w:val="single" w:sz="4" w:space="0" w:color="auto"/>
            </w:tcBorders>
            <w:noWrap/>
            <w:vAlign w:val="bottom"/>
            <w:hideMark/>
          </w:tcPr>
          <w:p w14:paraId="0055DD5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6.665,11</w:t>
            </w:r>
          </w:p>
        </w:tc>
        <w:tc>
          <w:tcPr>
            <w:tcW w:w="339" w:type="pct"/>
            <w:tcBorders>
              <w:top w:val="nil"/>
              <w:left w:val="nil"/>
              <w:bottom w:val="single" w:sz="4" w:space="0" w:color="auto"/>
              <w:right w:val="single" w:sz="4" w:space="0" w:color="auto"/>
            </w:tcBorders>
            <w:noWrap/>
            <w:vAlign w:val="bottom"/>
            <w:hideMark/>
          </w:tcPr>
          <w:p w14:paraId="7919E69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0,18%</w:t>
            </w:r>
          </w:p>
        </w:tc>
        <w:tc>
          <w:tcPr>
            <w:tcW w:w="437" w:type="pct"/>
            <w:tcBorders>
              <w:top w:val="nil"/>
              <w:left w:val="nil"/>
              <w:bottom w:val="single" w:sz="4" w:space="0" w:color="auto"/>
              <w:right w:val="single" w:sz="4" w:space="0" w:color="auto"/>
            </w:tcBorders>
            <w:noWrap/>
            <w:vAlign w:val="bottom"/>
            <w:hideMark/>
          </w:tcPr>
          <w:p w14:paraId="71AF21D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6B2232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AFC48B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1B7F81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058D96F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6.665,11</w:t>
            </w:r>
          </w:p>
        </w:tc>
        <w:tc>
          <w:tcPr>
            <w:tcW w:w="437" w:type="pct"/>
            <w:tcBorders>
              <w:top w:val="nil"/>
              <w:left w:val="nil"/>
              <w:bottom w:val="single" w:sz="4" w:space="0" w:color="auto"/>
              <w:right w:val="single" w:sz="4" w:space="0" w:color="auto"/>
            </w:tcBorders>
            <w:noWrap/>
            <w:vAlign w:val="bottom"/>
            <w:hideMark/>
          </w:tcPr>
          <w:p w14:paraId="23E5561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C09554B"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135E0A7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trg (kolesarnica)</w:t>
            </w:r>
          </w:p>
        </w:tc>
        <w:tc>
          <w:tcPr>
            <w:tcW w:w="535" w:type="pct"/>
            <w:tcBorders>
              <w:top w:val="nil"/>
              <w:left w:val="nil"/>
              <w:bottom w:val="single" w:sz="4" w:space="0" w:color="auto"/>
              <w:right w:val="single" w:sz="4" w:space="0" w:color="auto"/>
            </w:tcBorders>
            <w:noWrap/>
            <w:vAlign w:val="bottom"/>
            <w:hideMark/>
          </w:tcPr>
          <w:p w14:paraId="19C536A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64.993,90</w:t>
            </w:r>
          </w:p>
        </w:tc>
        <w:tc>
          <w:tcPr>
            <w:tcW w:w="339" w:type="pct"/>
            <w:tcBorders>
              <w:top w:val="nil"/>
              <w:left w:val="nil"/>
              <w:bottom w:val="single" w:sz="4" w:space="0" w:color="auto"/>
              <w:right w:val="single" w:sz="4" w:space="0" w:color="auto"/>
            </w:tcBorders>
            <w:noWrap/>
            <w:vAlign w:val="bottom"/>
            <w:hideMark/>
          </w:tcPr>
          <w:p w14:paraId="3DCE64F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1,78%</w:t>
            </w:r>
          </w:p>
        </w:tc>
        <w:tc>
          <w:tcPr>
            <w:tcW w:w="437" w:type="pct"/>
            <w:tcBorders>
              <w:top w:val="nil"/>
              <w:left w:val="nil"/>
              <w:bottom w:val="single" w:sz="4" w:space="0" w:color="auto"/>
              <w:right w:val="single" w:sz="4" w:space="0" w:color="auto"/>
            </w:tcBorders>
            <w:noWrap/>
            <w:vAlign w:val="bottom"/>
            <w:hideMark/>
          </w:tcPr>
          <w:p w14:paraId="3203DF0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98ECE3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68A6EF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17D1040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48936C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64.993,90</w:t>
            </w:r>
          </w:p>
        </w:tc>
        <w:tc>
          <w:tcPr>
            <w:tcW w:w="437" w:type="pct"/>
            <w:tcBorders>
              <w:top w:val="nil"/>
              <w:left w:val="nil"/>
              <w:bottom w:val="single" w:sz="4" w:space="0" w:color="auto"/>
              <w:right w:val="single" w:sz="4" w:space="0" w:color="auto"/>
            </w:tcBorders>
            <w:noWrap/>
            <w:vAlign w:val="bottom"/>
            <w:hideMark/>
          </w:tcPr>
          <w:p w14:paraId="5AAD0E4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2302592D"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4D19EB1F"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telovadnica</w:t>
            </w:r>
          </w:p>
        </w:tc>
        <w:tc>
          <w:tcPr>
            <w:tcW w:w="535" w:type="pct"/>
            <w:tcBorders>
              <w:top w:val="nil"/>
              <w:left w:val="nil"/>
              <w:bottom w:val="single" w:sz="4" w:space="0" w:color="auto"/>
              <w:right w:val="single" w:sz="4" w:space="0" w:color="auto"/>
            </w:tcBorders>
            <w:noWrap/>
            <w:vAlign w:val="bottom"/>
            <w:hideMark/>
          </w:tcPr>
          <w:p w14:paraId="765DEC0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339" w:type="pct"/>
            <w:tcBorders>
              <w:top w:val="nil"/>
              <w:left w:val="nil"/>
              <w:bottom w:val="single" w:sz="4" w:space="0" w:color="auto"/>
              <w:right w:val="single" w:sz="4" w:space="0" w:color="auto"/>
            </w:tcBorders>
            <w:noWrap/>
            <w:vAlign w:val="bottom"/>
            <w:hideMark/>
          </w:tcPr>
          <w:p w14:paraId="0C35051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0,18%</w:t>
            </w:r>
          </w:p>
        </w:tc>
        <w:tc>
          <w:tcPr>
            <w:tcW w:w="437" w:type="pct"/>
            <w:tcBorders>
              <w:top w:val="nil"/>
              <w:left w:val="nil"/>
              <w:bottom w:val="single" w:sz="4" w:space="0" w:color="auto"/>
              <w:right w:val="single" w:sz="4" w:space="0" w:color="auto"/>
            </w:tcBorders>
            <w:noWrap/>
            <w:vAlign w:val="bottom"/>
            <w:hideMark/>
          </w:tcPr>
          <w:p w14:paraId="691010F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86727D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86F928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0B5647A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534" w:type="pct"/>
            <w:tcBorders>
              <w:top w:val="nil"/>
              <w:left w:val="nil"/>
              <w:bottom w:val="single" w:sz="4" w:space="0" w:color="auto"/>
              <w:right w:val="single" w:sz="4" w:space="0" w:color="auto"/>
            </w:tcBorders>
            <w:noWrap/>
            <w:vAlign w:val="bottom"/>
            <w:hideMark/>
          </w:tcPr>
          <w:p w14:paraId="0808758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7910F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5467781"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2C23C7CD"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park</w:t>
            </w:r>
          </w:p>
        </w:tc>
        <w:tc>
          <w:tcPr>
            <w:tcW w:w="535" w:type="pct"/>
            <w:tcBorders>
              <w:top w:val="nil"/>
              <w:left w:val="nil"/>
              <w:bottom w:val="single" w:sz="4" w:space="0" w:color="auto"/>
              <w:right w:val="single" w:sz="4" w:space="0" w:color="auto"/>
            </w:tcBorders>
            <w:noWrap/>
            <w:vAlign w:val="bottom"/>
            <w:hideMark/>
          </w:tcPr>
          <w:p w14:paraId="73B4BCA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339" w:type="pct"/>
            <w:tcBorders>
              <w:top w:val="nil"/>
              <w:left w:val="nil"/>
              <w:bottom w:val="single" w:sz="4" w:space="0" w:color="auto"/>
              <w:right w:val="single" w:sz="4" w:space="0" w:color="auto"/>
            </w:tcBorders>
            <w:noWrap/>
            <w:vAlign w:val="bottom"/>
            <w:hideMark/>
          </w:tcPr>
          <w:p w14:paraId="77B5D01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0,18%</w:t>
            </w:r>
          </w:p>
        </w:tc>
        <w:tc>
          <w:tcPr>
            <w:tcW w:w="437" w:type="pct"/>
            <w:tcBorders>
              <w:top w:val="nil"/>
              <w:left w:val="nil"/>
              <w:bottom w:val="single" w:sz="4" w:space="0" w:color="auto"/>
              <w:right w:val="single" w:sz="4" w:space="0" w:color="auto"/>
            </w:tcBorders>
            <w:noWrap/>
            <w:vAlign w:val="bottom"/>
            <w:hideMark/>
          </w:tcPr>
          <w:p w14:paraId="14FE088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099359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0A913C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168AF4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6.528,02</w:t>
            </w:r>
          </w:p>
        </w:tc>
        <w:tc>
          <w:tcPr>
            <w:tcW w:w="534" w:type="pct"/>
            <w:tcBorders>
              <w:top w:val="nil"/>
              <w:left w:val="nil"/>
              <w:bottom w:val="single" w:sz="4" w:space="0" w:color="auto"/>
              <w:right w:val="single" w:sz="4" w:space="0" w:color="auto"/>
            </w:tcBorders>
            <w:noWrap/>
            <w:vAlign w:val="bottom"/>
            <w:hideMark/>
          </w:tcPr>
          <w:p w14:paraId="181A206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D59B37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E6BEF4F"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B636E3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Merilniki, prikazovalniki in števci</w:t>
            </w:r>
          </w:p>
        </w:tc>
        <w:tc>
          <w:tcPr>
            <w:tcW w:w="535" w:type="pct"/>
            <w:tcBorders>
              <w:top w:val="nil"/>
              <w:left w:val="nil"/>
              <w:bottom w:val="single" w:sz="4" w:space="0" w:color="auto"/>
              <w:right w:val="single" w:sz="4" w:space="0" w:color="auto"/>
            </w:tcBorders>
            <w:noWrap/>
            <w:vAlign w:val="bottom"/>
            <w:hideMark/>
          </w:tcPr>
          <w:p w14:paraId="6087684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50.547,11</w:t>
            </w:r>
          </w:p>
        </w:tc>
        <w:tc>
          <w:tcPr>
            <w:tcW w:w="339" w:type="pct"/>
            <w:tcBorders>
              <w:top w:val="nil"/>
              <w:left w:val="nil"/>
              <w:bottom w:val="single" w:sz="4" w:space="0" w:color="auto"/>
              <w:right w:val="single" w:sz="4" w:space="0" w:color="auto"/>
            </w:tcBorders>
            <w:noWrap/>
            <w:vAlign w:val="bottom"/>
            <w:hideMark/>
          </w:tcPr>
          <w:p w14:paraId="45B940C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1,38%</w:t>
            </w:r>
          </w:p>
        </w:tc>
        <w:tc>
          <w:tcPr>
            <w:tcW w:w="437" w:type="pct"/>
            <w:tcBorders>
              <w:top w:val="nil"/>
              <w:left w:val="nil"/>
              <w:bottom w:val="single" w:sz="4" w:space="0" w:color="auto"/>
              <w:right w:val="single" w:sz="4" w:space="0" w:color="auto"/>
            </w:tcBorders>
            <w:noWrap/>
            <w:vAlign w:val="bottom"/>
            <w:hideMark/>
          </w:tcPr>
          <w:p w14:paraId="6EF7780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6C4549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4ED4F8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2F1032B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B75DC4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50.547,11</w:t>
            </w:r>
          </w:p>
        </w:tc>
        <w:tc>
          <w:tcPr>
            <w:tcW w:w="437" w:type="pct"/>
            <w:tcBorders>
              <w:top w:val="nil"/>
              <w:left w:val="nil"/>
              <w:bottom w:val="single" w:sz="4" w:space="0" w:color="auto"/>
              <w:right w:val="single" w:sz="4" w:space="0" w:color="auto"/>
            </w:tcBorders>
            <w:noWrap/>
            <w:vAlign w:val="bottom"/>
            <w:hideMark/>
          </w:tcPr>
          <w:p w14:paraId="138FCB0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524A94B"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5DC86C89" w14:textId="77777777" w:rsidR="004A6E4D" w:rsidRPr="004A6E4D" w:rsidRDefault="004A6E4D">
            <w:pPr>
              <w:rPr>
                <w:rFonts w:ascii="Roboto" w:hAnsi="Roboto"/>
                <w:color w:val="000000"/>
                <w:sz w:val="20"/>
                <w:szCs w:val="20"/>
              </w:rPr>
            </w:pPr>
            <w:r w:rsidRPr="004A6E4D">
              <w:rPr>
                <w:rFonts w:ascii="Roboto" w:hAnsi="Roboto"/>
                <w:color w:val="000000"/>
                <w:sz w:val="20"/>
                <w:szCs w:val="20"/>
              </w:rPr>
              <w:lastRenderedPageBreak/>
              <w:t>Avtobusno postajališče - nivo ceste</w:t>
            </w:r>
          </w:p>
        </w:tc>
        <w:tc>
          <w:tcPr>
            <w:tcW w:w="535" w:type="pct"/>
            <w:tcBorders>
              <w:top w:val="nil"/>
              <w:left w:val="nil"/>
              <w:bottom w:val="single" w:sz="4" w:space="0" w:color="auto"/>
              <w:right w:val="single" w:sz="4" w:space="0" w:color="auto"/>
            </w:tcBorders>
            <w:noWrap/>
            <w:vAlign w:val="bottom"/>
            <w:hideMark/>
          </w:tcPr>
          <w:p w14:paraId="6CF89E8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310.487,47</w:t>
            </w:r>
          </w:p>
        </w:tc>
        <w:tc>
          <w:tcPr>
            <w:tcW w:w="339" w:type="pct"/>
            <w:tcBorders>
              <w:top w:val="nil"/>
              <w:left w:val="nil"/>
              <w:bottom w:val="single" w:sz="4" w:space="0" w:color="auto"/>
              <w:right w:val="single" w:sz="4" w:space="0" w:color="auto"/>
            </w:tcBorders>
            <w:noWrap/>
            <w:vAlign w:val="bottom"/>
            <w:hideMark/>
          </w:tcPr>
          <w:p w14:paraId="18E5B9C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8,48%</w:t>
            </w:r>
          </w:p>
        </w:tc>
        <w:tc>
          <w:tcPr>
            <w:tcW w:w="437" w:type="pct"/>
            <w:tcBorders>
              <w:top w:val="nil"/>
              <w:left w:val="nil"/>
              <w:bottom w:val="single" w:sz="4" w:space="0" w:color="auto"/>
              <w:right w:val="single" w:sz="4" w:space="0" w:color="auto"/>
            </w:tcBorders>
            <w:noWrap/>
            <w:vAlign w:val="bottom"/>
            <w:hideMark/>
          </w:tcPr>
          <w:p w14:paraId="40156F3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157B1D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C4DAB4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310.487,47</w:t>
            </w:r>
          </w:p>
        </w:tc>
        <w:tc>
          <w:tcPr>
            <w:tcW w:w="486" w:type="pct"/>
            <w:tcBorders>
              <w:top w:val="nil"/>
              <w:left w:val="nil"/>
              <w:bottom w:val="single" w:sz="4" w:space="0" w:color="auto"/>
              <w:right w:val="single" w:sz="4" w:space="0" w:color="auto"/>
            </w:tcBorders>
            <w:noWrap/>
            <w:vAlign w:val="bottom"/>
            <w:hideMark/>
          </w:tcPr>
          <w:p w14:paraId="7AB031B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546FDD1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280E02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EAD8B0E"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A7F434A" w14:textId="77777777" w:rsidR="004A6E4D" w:rsidRPr="004A6E4D" w:rsidRDefault="004A6E4D">
            <w:pPr>
              <w:rPr>
                <w:rFonts w:ascii="Roboto" w:hAnsi="Roboto"/>
                <w:color w:val="000000"/>
                <w:sz w:val="20"/>
                <w:szCs w:val="20"/>
              </w:rPr>
            </w:pPr>
            <w:r w:rsidRPr="004A6E4D">
              <w:rPr>
                <w:rFonts w:ascii="Roboto" w:hAnsi="Roboto"/>
                <w:color w:val="000000"/>
                <w:sz w:val="20"/>
                <w:szCs w:val="20"/>
              </w:rPr>
              <w:t>Avtobusno postajališče - nadstrešnica</w:t>
            </w:r>
          </w:p>
        </w:tc>
        <w:tc>
          <w:tcPr>
            <w:tcW w:w="535" w:type="pct"/>
            <w:tcBorders>
              <w:top w:val="nil"/>
              <w:left w:val="nil"/>
              <w:bottom w:val="single" w:sz="4" w:space="0" w:color="auto"/>
              <w:right w:val="single" w:sz="4" w:space="0" w:color="auto"/>
            </w:tcBorders>
            <w:noWrap/>
            <w:vAlign w:val="bottom"/>
            <w:hideMark/>
          </w:tcPr>
          <w:p w14:paraId="2F454BB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255.528,12</w:t>
            </w:r>
          </w:p>
        </w:tc>
        <w:tc>
          <w:tcPr>
            <w:tcW w:w="339" w:type="pct"/>
            <w:tcBorders>
              <w:top w:val="nil"/>
              <w:left w:val="nil"/>
              <w:bottom w:val="single" w:sz="4" w:space="0" w:color="auto"/>
              <w:right w:val="single" w:sz="4" w:space="0" w:color="auto"/>
            </w:tcBorders>
            <w:noWrap/>
            <w:vAlign w:val="bottom"/>
            <w:hideMark/>
          </w:tcPr>
          <w:p w14:paraId="1075AF0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6,98%</w:t>
            </w:r>
          </w:p>
        </w:tc>
        <w:tc>
          <w:tcPr>
            <w:tcW w:w="437" w:type="pct"/>
            <w:tcBorders>
              <w:top w:val="nil"/>
              <w:left w:val="nil"/>
              <w:bottom w:val="single" w:sz="4" w:space="0" w:color="auto"/>
              <w:right w:val="single" w:sz="4" w:space="0" w:color="auto"/>
            </w:tcBorders>
            <w:noWrap/>
            <w:vAlign w:val="bottom"/>
            <w:hideMark/>
          </w:tcPr>
          <w:p w14:paraId="0DC85E5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AD7C4F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2ABE24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255.528,12</w:t>
            </w:r>
          </w:p>
        </w:tc>
        <w:tc>
          <w:tcPr>
            <w:tcW w:w="486" w:type="pct"/>
            <w:tcBorders>
              <w:top w:val="nil"/>
              <w:left w:val="nil"/>
              <w:bottom w:val="single" w:sz="4" w:space="0" w:color="auto"/>
              <w:right w:val="single" w:sz="4" w:space="0" w:color="auto"/>
            </w:tcBorders>
            <w:noWrap/>
            <w:vAlign w:val="bottom"/>
            <w:hideMark/>
          </w:tcPr>
          <w:p w14:paraId="3715115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3E4621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37FF38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0BF9751"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2BC8734" w14:textId="77777777" w:rsidR="004A6E4D" w:rsidRPr="004A6E4D" w:rsidRDefault="004A6E4D">
            <w:pPr>
              <w:rPr>
                <w:rFonts w:ascii="Roboto" w:hAnsi="Roboto"/>
                <w:color w:val="000000"/>
                <w:sz w:val="20"/>
                <w:szCs w:val="20"/>
              </w:rPr>
            </w:pPr>
            <w:r w:rsidRPr="004A6E4D">
              <w:rPr>
                <w:rFonts w:ascii="Roboto" w:hAnsi="Roboto"/>
                <w:color w:val="000000"/>
                <w:sz w:val="20"/>
                <w:szCs w:val="20"/>
              </w:rPr>
              <w:t>Parkirišče z vhodom v šolo</w:t>
            </w:r>
          </w:p>
        </w:tc>
        <w:tc>
          <w:tcPr>
            <w:tcW w:w="535" w:type="pct"/>
            <w:tcBorders>
              <w:top w:val="nil"/>
              <w:left w:val="nil"/>
              <w:bottom w:val="single" w:sz="4" w:space="0" w:color="auto"/>
              <w:right w:val="single" w:sz="4" w:space="0" w:color="auto"/>
            </w:tcBorders>
            <w:noWrap/>
            <w:vAlign w:val="bottom"/>
            <w:hideMark/>
          </w:tcPr>
          <w:p w14:paraId="759BBE1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713.840,52</w:t>
            </w:r>
          </w:p>
        </w:tc>
        <w:tc>
          <w:tcPr>
            <w:tcW w:w="339" w:type="pct"/>
            <w:tcBorders>
              <w:top w:val="nil"/>
              <w:left w:val="nil"/>
              <w:bottom w:val="single" w:sz="4" w:space="0" w:color="auto"/>
              <w:right w:val="single" w:sz="4" w:space="0" w:color="auto"/>
            </w:tcBorders>
            <w:noWrap/>
            <w:vAlign w:val="bottom"/>
            <w:hideMark/>
          </w:tcPr>
          <w:p w14:paraId="72D951C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19,50%</w:t>
            </w:r>
          </w:p>
        </w:tc>
        <w:tc>
          <w:tcPr>
            <w:tcW w:w="437" w:type="pct"/>
            <w:tcBorders>
              <w:top w:val="nil"/>
              <w:left w:val="nil"/>
              <w:bottom w:val="single" w:sz="4" w:space="0" w:color="auto"/>
              <w:right w:val="single" w:sz="4" w:space="0" w:color="auto"/>
            </w:tcBorders>
            <w:noWrap/>
            <w:vAlign w:val="bottom"/>
            <w:hideMark/>
          </w:tcPr>
          <w:p w14:paraId="162300D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7E4A90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A343DD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136317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57143E2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568.683,94</w:t>
            </w:r>
          </w:p>
        </w:tc>
        <w:tc>
          <w:tcPr>
            <w:tcW w:w="437" w:type="pct"/>
            <w:tcBorders>
              <w:top w:val="nil"/>
              <w:left w:val="nil"/>
              <w:bottom w:val="single" w:sz="4" w:space="0" w:color="auto"/>
              <w:right w:val="single" w:sz="4" w:space="0" w:color="auto"/>
            </w:tcBorders>
            <w:noWrap/>
            <w:vAlign w:val="bottom"/>
            <w:hideMark/>
          </w:tcPr>
          <w:p w14:paraId="3EA23B0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145.156,58</w:t>
            </w:r>
          </w:p>
        </w:tc>
      </w:tr>
      <w:tr w:rsidR="004A6E4D" w:rsidRPr="004A6E4D" w14:paraId="79FBEEBC" w14:textId="77777777" w:rsidTr="004A6E4D">
        <w:trPr>
          <w:trHeight w:val="227"/>
        </w:trPr>
        <w:tc>
          <w:tcPr>
            <w:tcW w:w="1358" w:type="pct"/>
            <w:tcBorders>
              <w:top w:val="nil"/>
              <w:left w:val="single" w:sz="4" w:space="0" w:color="auto"/>
              <w:bottom w:val="single" w:sz="4" w:space="0" w:color="auto"/>
              <w:right w:val="single" w:sz="4" w:space="0" w:color="auto"/>
            </w:tcBorders>
            <w:shd w:val="clear" w:color="000000" w:fill="D9D9D9"/>
            <w:vAlign w:val="bottom"/>
            <w:hideMark/>
          </w:tcPr>
          <w:p w14:paraId="011CF079" w14:textId="77777777" w:rsidR="004A6E4D" w:rsidRPr="004A6E4D" w:rsidRDefault="004A6E4D">
            <w:pPr>
              <w:rPr>
                <w:rFonts w:ascii="Arial" w:hAnsi="Arial" w:cs="Arial"/>
                <w:i/>
                <w:iCs/>
                <w:color w:val="000000"/>
                <w:sz w:val="20"/>
                <w:szCs w:val="20"/>
              </w:rPr>
            </w:pPr>
            <w:r w:rsidRPr="004A6E4D">
              <w:rPr>
                <w:rFonts w:ascii="Arial" w:hAnsi="Arial" w:cs="Arial"/>
                <w:i/>
                <w:iCs/>
                <w:color w:val="000000"/>
                <w:sz w:val="20"/>
                <w:szCs w:val="20"/>
              </w:rPr>
              <w:t>Skupaj GOI dela</w:t>
            </w:r>
          </w:p>
        </w:tc>
        <w:tc>
          <w:tcPr>
            <w:tcW w:w="535" w:type="pct"/>
            <w:tcBorders>
              <w:top w:val="nil"/>
              <w:left w:val="nil"/>
              <w:bottom w:val="single" w:sz="4" w:space="0" w:color="auto"/>
              <w:right w:val="single" w:sz="4" w:space="0" w:color="auto"/>
            </w:tcBorders>
            <w:shd w:val="clear" w:color="000000" w:fill="D9D9D9"/>
            <w:noWrap/>
            <w:vAlign w:val="bottom"/>
            <w:hideMark/>
          </w:tcPr>
          <w:p w14:paraId="4E41F0C1"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2.517.715,06</w:t>
            </w:r>
          </w:p>
        </w:tc>
        <w:tc>
          <w:tcPr>
            <w:tcW w:w="339" w:type="pct"/>
            <w:tcBorders>
              <w:top w:val="nil"/>
              <w:left w:val="nil"/>
              <w:bottom w:val="single" w:sz="4" w:space="0" w:color="auto"/>
              <w:right w:val="single" w:sz="4" w:space="0" w:color="auto"/>
            </w:tcBorders>
            <w:shd w:val="clear" w:color="000000" w:fill="D9D9D9"/>
            <w:noWrap/>
            <w:vAlign w:val="bottom"/>
            <w:hideMark/>
          </w:tcPr>
          <w:p w14:paraId="52BDE8B1"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68,77%</w:t>
            </w:r>
          </w:p>
        </w:tc>
        <w:tc>
          <w:tcPr>
            <w:tcW w:w="437" w:type="pct"/>
            <w:tcBorders>
              <w:top w:val="nil"/>
              <w:left w:val="nil"/>
              <w:bottom w:val="single" w:sz="4" w:space="0" w:color="auto"/>
              <w:right w:val="single" w:sz="4" w:space="0" w:color="auto"/>
            </w:tcBorders>
            <w:shd w:val="clear" w:color="000000" w:fill="D9D9D9"/>
            <w:noWrap/>
            <w:vAlign w:val="bottom"/>
            <w:hideMark/>
          </w:tcPr>
          <w:p w14:paraId="5A94A5AA"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437" w:type="pct"/>
            <w:tcBorders>
              <w:top w:val="nil"/>
              <w:left w:val="nil"/>
              <w:bottom w:val="single" w:sz="4" w:space="0" w:color="auto"/>
              <w:right w:val="single" w:sz="4" w:space="0" w:color="auto"/>
            </w:tcBorders>
            <w:shd w:val="clear" w:color="000000" w:fill="D9D9D9"/>
            <w:noWrap/>
            <w:vAlign w:val="bottom"/>
            <w:hideMark/>
          </w:tcPr>
          <w:p w14:paraId="13A46305"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437" w:type="pct"/>
            <w:tcBorders>
              <w:top w:val="nil"/>
              <w:left w:val="nil"/>
              <w:bottom w:val="single" w:sz="4" w:space="0" w:color="auto"/>
              <w:right w:val="single" w:sz="4" w:space="0" w:color="auto"/>
            </w:tcBorders>
            <w:shd w:val="clear" w:color="000000" w:fill="D9D9D9"/>
            <w:noWrap/>
            <w:vAlign w:val="bottom"/>
            <w:hideMark/>
          </w:tcPr>
          <w:p w14:paraId="24777EC0"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566.015,59</w:t>
            </w:r>
          </w:p>
        </w:tc>
        <w:tc>
          <w:tcPr>
            <w:tcW w:w="486" w:type="pct"/>
            <w:tcBorders>
              <w:top w:val="nil"/>
              <w:left w:val="nil"/>
              <w:bottom w:val="single" w:sz="4" w:space="0" w:color="auto"/>
              <w:right w:val="single" w:sz="4" w:space="0" w:color="auto"/>
            </w:tcBorders>
            <w:shd w:val="clear" w:color="000000" w:fill="D9D9D9"/>
            <w:noWrap/>
            <w:vAlign w:val="bottom"/>
            <w:hideMark/>
          </w:tcPr>
          <w:p w14:paraId="17464D9D"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666.223,79</w:t>
            </w:r>
          </w:p>
        </w:tc>
        <w:tc>
          <w:tcPr>
            <w:tcW w:w="534" w:type="pct"/>
            <w:tcBorders>
              <w:top w:val="nil"/>
              <w:left w:val="nil"/>
              <w:bottom w:val="single" w:sz="4" w:space="0" w:color="auto"/>
              <w:right w:val="single" w:sz="4" w:space="0" w:color="auto"/>
            </w:tcBorders>
            <w:shd w:val="clear" w:color="000000" w:fill="D9D9D9"/>
            <w:noWrap/>
            <w:vAlign w:val="bottom"/>
            <w:hideMark/>
          </w:tcPr>
          <w:p w14:paraId="7F1C4CE8"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1.140.319,11</w:t>
            </w:r>
          </w:p>
        </w:tc>
        <w:tc>
          <w:tcPr>
            <w:tcW w:w="437" w:type="pct"/>
            <w:tcBorders>
              <w:top w:val="nil"/>
              <w:left w:val="nil"/>
              <w:bottom w:val="single" w:sz="4" w:space="0" w:color="auto"/>
              <w:right w:val="single" w:sz="4" w:space="0" w:color="auto"/>
            </w:tcBorders>
            <w:shd w:val="clear" w:color="000000" w:fill="D9D9D9"/>
            <w:noWrap/>
            <w:vAlign w:val="bottom"/>
            <w:hideMark/>
          </w:tcPr>
          <w:p w14:paraId="7BBF6E6B"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145.156,58</w:t>
            </w:r>
          </w:p>
        </w:tc>
      </w:tr>
      <w:tr w:rsidR="004A6E4D" w:rsidRPr="004A6E4D" w14:paraId="6C7793A8"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5102A9D7"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Strokovni nadzor</w:t>
            </w:r>
          </w:p>
        </w:tc>
        <w:tc>
          <w:tcPr>
            <w:tcW w:w="535" w:type="pct"/>
            <w:tcBorders>
              <w:top w:val="nil"/>
              <w:left w:val="nil"/>
              <w:bottom w:val="single" w:sz="4" w:space="0" w:color="auto"/>
              <w:right w:val="single" w:sz="4" w:space="0" w:color="auto"/>
            </w:tcBorders>
            <w:noWrap/>
            <w:vAlign w:val="bottom"/>
            <w:hideMark/>
          </w:tcPr>
          <w:p w14:paraId="6E3A8D9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75.531,45</w:t>
            </w:r>
          </w:p>
        </w:tc>
        <w:tc>
          <w:tcPr>
            <w:tcW w:w="339" w:type="pct"/>
            <w:tcBorders>
              <w:top w:val="nil"/>
              <w:left w:val="nil"/>
              <w:bottom w:val="single" w:sz="4" w:space="0" w:color="auto"/>
              <w:right w:val="single" w:sz="4" w:space="0" w:color="auto"/>
            </w:tcBorders>
            <w:noWrap/>
            <w:vAlign w:val="bottom"/>
            <w:hideMark/>
          </w:tcPr>
          <w:p w14:paraId="57560C8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2,06%</w:t>
            </w:r>
          </w:p>
        </w:tc>
        <w:tc>
          <w:tcPr>
            <w:tcW w:w="437" w:type="pct"/>
            <w:tcBorders>
              <w:top w:val="nil"/>
              <w:left w:val="nil"/>
              <w:bottom w:val="single" w:sz="4" w:space="0" w:color="auto"/>
              <w:right w:val="single" w:sz="4" w:space="0" w:color="auto"/>
            </w:tcBorders>
            <w:noWrap/>
            <w:vAlign w:val="bottom"/>
            <w:hideMark/>
          </w:tcPr>
          <w:p w14:paraId="1B2B85D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FBB3B8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CE8D9B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16.980,47</w:t>
            </w:r>
          </w:p>
        </w:tc>
        <w:tc>
          <w:tcPr>
            <w:tcW w:w="486" w:type="pct"/>
            <w:tcBorders>
              <w:top w:val="nil"/>
              <w:left w:val="nil"/>
              <w:bottom w:val="single" w:sz="4" w:space="0" w:color="auto"/>
              <w:right w:val="single" w:sz="4" w:space="0" w:color="auto"/>
            </w:tcBorders>
            <w:noWrap/>
            <w:vAlign w:val="bottom"/>
            <w:hideMark/>
          </w:tcPr>
          <w:p w14:paraId="0BF4B8D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19.986,71</w:t>
            </w:r>
          </w:p>
        </w:tc>
        <w:tc>
          <w:tcPr>
            <w:tcW w:w="534" w:type="pct"/>
            <w:tcBorders>
              <w:top w:val="nil"/>
              <w:left w:val="nil"/>
              <w:bottom w:val="single" w:sz="4" w:space="0" w:color="auto"/>
              <w:right w:val="single" w:sz="4" w:space="0" w:color="auto"/>
            </w:tcBorders>
            <w:noWrap/>
            <w:vAlign w:val="bottom"/>
            <w:hideMark/>
          </w:tcPr>
          <w:p w14:paraId="4664D4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34.209,57</w:t>
            </w:r>
          </w:p>
        </w:tc>
        <w:tc>
          <w:tcPr>
            <w:tcW w:w="437" w:type="pct"/>
            <w:tcBorders>
              <w:top w:val="nil"/>
              <w:left w:val="nil"/>
              <w:bottom w:val="single" w:sz="4" w:space="0" w:color="auto"/>
              <w:right w:val="single" w:sz="4" w:space="0" w:color="auto"/>
            </w:tcBorders>
            <w:noWrap/>
            <w:vAlign w:val="bottom"/>
            <w:hideMark/>
          </w:tcPr>
          <w:p w14:paraId="2537E5C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4.354,70</w:t>
            </w:r>
          </w:p>
        </w:tc>
      </w:tr>
      <w:tr w:rsidR="004A6E4D" w:rsidRPr="004A6E4D" w14:paraId="001C528C"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426877F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Projektna dokumentacija</w:t>
            </w:r>
          </w:p>
        </w:tc>
        <w:tc>
          <w:tcPr>
            <w:tcW w:w="535" w:type="pct"/>
            <w:tcBorders>
              <w:top w:val="nil"/>
              <w:left w:val="nil"/>
              <w:bottom w:val="single" w:sz="4" w:space="0" w:color="auto"/>
              <w:right w:val="single" w:sz="4" w:space="0" w:color="auto"/>
            </w:tcBorders>
            <w:noWrap/>
            <w:vAlign w:val="bottom"/>
            <w:hideMark/>
          </w:tcPr>
          <w:p w14:paraId="3CCFE46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97.869,62</w:t>
            </w:r>
          </w:p>
        </w:tc>
        <w:tc>
          <w:tcPr>
            <w:tcW w:w="339" w:type="pct"/>
            <w:tcBorders>
              <w:top w:val="nil"/>
              <w:left w:val="nil"/>
              <w:bottom w:val="single" w:sz="4" w:space="0" w:color="auto"/>
              <w:right w:val="single" w:sz="4" w:space="0" w:color="auto"/>
            </w:tcBorders>
            <w:noWrap/>
            <w:vAlign w:val="bottom"/>
            <w:hideMark/>
          </w:tcPr>
          <w:p w14:paraId="0E790AF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2,67%</w:t>
            </w:r>
          </w:p>
        </w:tc>
        <w:tc>
          <w:tcPr>
            <w:tcW w:w="437" w:type="pct"/>
            <w:tcBorders>
              <w:top w:val="nil"/>
              <w:left w:val="nil"/>
              <w:bottom w:val="single" w:sz="4" w:space="0" w:color="auto"/>
              <w:right w:val="single" w:sz="4" w:space="0" w:color="auto"/>
            </w:tcBorders>
            <w:noWrap/>
            <w:vAlign w:val="bottom"/>
            <w:hideMark/>
          </w:tcPr>
          <w:p w14:paraId="54A5B81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7.200,00</w:t>
            </w:r>
          </w:p>
        </w:tc>
        <w:tc>
          <w:tcPr>
            <w:tcW w:w="437" w:type="pct"/>
            <w:tcBorders>
              <w:top w:val="nil"/>
              <w:left w:val="nil"/>
              <w:bottom w:val="single" w:sz="4" w:space="0" w:color="auto"/>
              <w:right w:val="single" w:sz="4" w:space="0" w:color="auto"/>
            </w:tcBorders>
            <w:noWrap/>
            <w:vAlign w:val="bottom"/>
            <w:hideMark/>
          </w:tcPr>
          <w:p w14:paraId="7494EDF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72.732,21</w:t>
            </w:r>
          </w:p>
        </w:tc>
        <w:tc>
          <w:tcPr>
            <w:tcW w:w="437" w:type="pct"/>
            <w:tcBorders>
              <w:top w:val="nil"/>
              <w:left w:val="nil"/>
              <w:bottom w:val="single" w:sz="4" w:space="0" w:color="auto"/>
              <w:right w:val="single" w:sz="4" w:space="0" w:color="auto"/>
            </w:tcBorders>
            <w:noWrap/>
            <w:vAlign w:val="bottom"/>
            <w:hideMark/>
          </w:tcPr>
          <w:p w14:paraId="107A679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8.504,32</w:t>
            </w:r>
          </w:p>
        </w:tc>
        <w:tc>
          <w:tcPr>
            <w:tcW w:w="486" w:type="pct"/>
            <w:tcBorders>
              <w:top w:val="nil"/>
              <w:left w:val="nil"/>
              <w:bottom w:val="single" w:sz="4" w:space="0" w:color="auto"/>
              <w:right w:val="single" w:sz="4" w:space="0" w:color="auto"/>
            </w:tcBorders>
            <w:noWrap/>
            <w:vAlign w:val="bottom"/>
            <w:hideMark/>
          </w:tcPr>
          <w:p w14:paraId="42E3CD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4.028,22</w:t>
            </w:r>
          </w:p>
        </w:tc>
        <w:tc>
          <w:tcPr>
            <w:tcW w:w="534" w:type="pct"/>
            <w:tcBorders>
              <w:top w:val="nil"/>
              <w:left w:val="nil"/>
              <w:bottom w:val="single" w:sz="4" w:space="0" w:color="auto"/>
              <w:right w:val="single" w:sz="4" w:space="0" w:color="auto"/>
            </w:tcBorders>
            <w:noWrap/>
            <w:vAlign w:val="bottom"/>
            <w:hideMark/>
          </w:tcPr>
          <w:p w14:paraId="385992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4.112,82</w:t>
            </w:r>
          </w:p>
        </w:tc>
        <w:tc>
          <w:tcPr>
            <w:tcW w:w="437" w:type="pct"/>
            <w:tcBorders>
              <w:top w:val="nil"/>
              <w:left w:val="nil"/>
              <w:bottom w:val="single" w:sz="4" w:space="0" w:color="auto"/>
              <w:right w:val="single" w:sz="4" w:space="0" w:color="auto"/>
            </w:tcBorders>
            <w:noWrap/>
            <w:vAlign w:val="bottom"/>
            <w:hideMark/>
          </w:tcPr>
          <w:p w14:paraId="5F55F81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1.292,06</w:t>
            </w:r>
          </w:p>
        </w:tc>
      </w:tr>
      <w:tr w:rsidR="004A6E4D" w:rsidRPr="004A6E4D" w14:paraId="0875831F"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59976873"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Inženiring</w:t>
            </w:r>
          </w:p>
        </w:tc>
        <w:tc>
          <w:tcPr>
            <w:tcW w:w="535" w:type="pct"/>
            <w:tcBorders>
              <w:top w:val="nil"/>
              <w:left w:val="nil"/>
              <w:bottom w:val="single" w:sz="4" w:space="0" w:color="auto"/>
              <w:right w:val="single" w:sz="4" w:space="0" w:color="auto"/>
            </w:tcBorders>
            <w:noWrap/>
            <w:vAlign w:val="bottom"/>
            <w:hideMark/>
          </w:tcPr>
          <w:p w14:paraId="208EE85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25.177,15</w:t>
            </w:r>
          </w:p>
        </w:tc>
        <w:tc>
          <w:tcPr>
            <w:tcW w:w="339" w:type="pct"/>
            <w:tcBorders>
              <w:top w:val="nil"/>
              <w:left w:val="nil"/>
              <w:bottom w:val="single" w:sz="4" w:space="0" w:color="auto"/>
              <w:right w:val="single" w:sz="4" w:space="0" w:color="auto"/>
            </w:tcBorders>
            <w:noWrap/>
            <w:vAlign w:val="bottom"/>
            <w:hideMark/>
          </w:tcPr>
          <w:p w14:paraId="2573E3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0,69%</w:t>
            </w:r>
          </w:p>
        </w:tc>
        <w:tc>
          <w:tcPr>
            <w:tcW w:w="437" w:type="pct"/>
            <w:tcBorders>
              <w:top w:val="nil"/>
              <w:left w:val="nil"/>
              <w:bottom w:val="single" w:sz="4" w:space="0" w:color="auto"/>
              <w:right w:val="single" w:sz="4" w:space="0" w:color="auto"/>
            </w:tcBorders>
            <w:noWrap/>
            <w:vAlign w:val="bottom"/>
            <w:hideMark/>
          </w:tcPr>
          <w:p w14:paraId="69FD417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3C537B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FF6436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5.660,16</w:t>
            </w:r>
          </w:p>
        </w:tc>
        <w:tc>
          <w:tcPr>
            <w:tcW w:w="486" w:type="pct"/>
            <w:tcBorders>
              <w:top w:val="nil"/>
              <w:left w:val="nil"/>
              <w:bottom w:val="single" w:sz="4" w:space="0" w:color="auto"/>
              <w:right w:val="single" w:sz="4" w:space="0" w:color="auto"/>
            </w:tcBorders>
            <w:noWrap/>
            <w:vAlign w:val="bottom"/>
            <w:hideMark/>
          </w:tcPr>
          <w:p w14:paraId="15840EC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6.662,24</w:t>
            </w:r>
          </w:p>
        </w:tc>
        <w:tc>
          <w:tcPr>
            <w:tcW w:w="534" w:type="pct"/>
            <w:tcBorders>
              <w:top w:val="nil"/>
              <w:left w:val="nil"/>
              <w:bottom w:val="single" w:sz="4" w:space="0" w:color="auto"/>
              <w:right w:val="single" w:sz="4" w:space="0" w:color="auto"/>
            </w:tcBorders>
            <w:noWrap/>
            <w:vAlign w:val="bottom"/>
            <w:hideMark/>
          </w:tcPr>
          <w:p w14:paraId="063690C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11.403,19</w:t>
            </w:r>
          </w:p>
        </w:tc>
        <w:tc>
          <w:tcPr>
            <w:tcW w:w="437" w:type="pct"/>
            <w:tcBorders>
              <w:top w:val="nil"/>
              <w:left w:val="nil"/>
              <w:bottom w:val="single" w:sz="4" w:space="0" w:color="auto"/>
              <w:right w:val="single" w:sz="4" w:space="0" w:color="auto"/>
            </w:tcBorders>
            <w:noWrap/>
            <w:vAlign w:val="bottom"/>
            <w:hideMark/>
          </w:tcPr>
          <w:p w14:paraId="765DD30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1.451,57</w:t>
            </w:r>
          </w:p>
        </w:tc>
      </w:tr>
      <w:tr w:rsidR="004A6E4D" w:rsidRPr="004A6E4D" w14:paraId="377B4525"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1F33EC2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Obveščanje javnosti</w:t>
            </w:r>
          </w:p>
        </w:tc>
        <w:tc>
          <w:tcPr>
            <w:tcW w:w="535" w:type="pct"/>
            <w:tcBorders>
              <w:top w:val="nil"/>
              <w:left w:val="nil"/>
              <w:bottom w:val="single" w:sz="4" w:space="0" w:color="auto"/>
              <w:right w:val="single" w:sz="4" w:space="0" w:color="auto"/>
            </w:tcBorders>
            <w:noWrap/>
            <w:vAlign w:val="bottom"/>
            <w:hideMark/>
          </w:tcPr>
          <w:p w14:paraId="25F6FD8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4.327,11</w:t>
            </w:r>
          </w:p>
        </w:tc>
        <w:tc>
          <w:tcPr>
            <w:tcW w:w="339" w:type="pct"/>
            <w:tcBorders>
              <w:top w:val="nil"/>
              <w:left w:val="nil"/>
              <w:bottom w:val="single" w:sz="4" w:space="0" w:color="auto"/>
              <w:right w:val="single" w:sz="4" w:space="0" w:color="auto"/>
            </w:tcBorders>
            <w:noWrap/>
            <w:vAlign w:val="bottom"/>
            <w:hideMark/>
          </w:tcPr>
          <w:p w14:paraId="0F69768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0,12%</w:t>
            </w:r>
          </w:p>
        </w:tc>
        <w:tc>
          <w:tcPr>
            <w:tcW w:w="437" w:type="pct"/>
            <w:tcBorders>
              <w:top w:val="nil"/>
              <w:left w:val="nil"/>
              <w:bottom w:val="single" w:sz="4" w:space="0" w:color="auto"/>
              <w:right w:val="single" w:sz="4" w:space="0" w:color="auto"/>
            </w:tcBorders>
            <w:noWrap/>
            <w:vAlign w:val="bottom"/>
            <w:hideMark/>
          </w:tcPr>
          <w:p w14:paraId="5BF4888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F27B14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0C927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1.677,04</w:t>
            </w:r>
          </w:p>
        </w:tc>
        <w:tc>
          <w:tcPr>
            <w:tcW w:w="486" w:type="pct"/>
            <w:tcBorders>
              <w:top w:val="nil"/>
              <w:left w:val="nil"/>
              <w:bottom w:val="single" w:sz="4" w:space="0" w:color="auto"/>
              <w:right w:val="single" w:sz="4" w:space="0" w:color="auto"/>
            </w:tcBorders>
            <w:noWrap/>
            <w:vAlign w:val="bottom"/>
            <w:hideMark/>
          </w:tcPr>
          <w:p w14:paraId="7FFBFA4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428,07</w:t>
            </w:r>
          </w:p>
        </w:tc>
        <w:tc>
          <w:tcPr>
            <w:tcW w:w="534" w:type="pct"/>
            <w:tcBorders>
              <w:top w:val="nil"/>
              <w:left w:val="nil"/>
              <w:bottom w:val="single" w:sz="4" w:space="0" w:color="auto"/>
              <w:right w:val="single" w:sz="4" w:space="0" w:color="auto"/>
            </w:tcBorders>
            <w:noWrap/>
            <w:vAlign w:val="bottom"/>
            <w:hideMark/>
          </w:tcPr>
          <w:p w14:paraId="00BDBE9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437,06</w:t>
            </w:r>
          </w:p>
        </w:tc>
        <w:tc>
          <w:tcPr>
            <w:tcW w:w="437" w:type="pct"/>
            <w:tcBorders>
              <w:top w:val="nil"/>
              <w:left w:val="nil"/>
              <w:bottom w:val="single" w:sz="4" w:space="0" w:color="auto"/>
              <w:right w:val="single" w:sz="4" w:space="0" w:color="auto"/>
            </w:tcBorders>
            <w:noWrap/>
            <w:vAlign w:val="bottom"/>
            <w:hideMark/>
          </w:tcPr>
          <w:p w14:paraId="0A45EBF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1.784,93</w:t>
            </w:r>
          </w:p>
        </w:tc>
      </w:tr>
      <w:tr w:rsidR="004A6E4D" w:rsidRPr="004A6E4D" w14:paraId="6C2F1D87"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0F186191"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Investicijska in ostala dokumentacija</w:t>
            </w:r>
          </w:p>
        </w:tc>
        <w:tc>
          <w:tcPr>
            <w:tcW w:w="535" w:type="pct"/>
            <w:tcBorders>
              <w:top w:val="nil"/>
              <w:left w:val="nil"/>
              <w:bottom w:val="single" w:sz="4" w:space="0" w:color="auto"/>
              <w:right w:val="single" w:sz="4" w:space="0" w:color="auto"/>
            </w:tcBorders>
            <w:noWrap/>
            <w:vAlign w:val="bottom"/>
            <w:hideMark/>
          </w:tcPr>
          <w:p w14:paraId="3563ADA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14.265,88</w:t>
            </w:r>
          </w:p>
        </w:tc>
        <w:tc>
          <w:tcPr>
            <w:tcW w:w="339" w:type="pct"/>
            <w:tcBorders>
              <w:top w:val="nil"/>
              <w:left w:val="nil"/>
              <w:bottom w:val="single" w:sz="4" w:space="0" w:color="auto"/>
              <w:right w:val="single" w:sz="4" w:space="0" w:color="auto"/>
            </w:tcBorders>
            <w:noWrap/>
            <w:vAlign w:val="bottom"/>
            <w:hideMark/>
          </w:tcPr>
          <w:p w14:paraId="4C08A49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0,39%</w:t>
            </w:r>
          </w:p>
        </w:tc>
        <w:tc>
          <w:tcPr>
            <w:tcW w:w="437" w:type="pct"/>
            <w:tcBorders>
              <w:top w:val="nil"/>
              <w:left w:val="nil"/>
              <w:bottom w:val="single" w:sz="4" w:space="0" w:color="auto"/>
              <w:right w:val="single" w:sz="4" w:space="0" w:color="auto"/>
            </w:tcBorders>
            <w:noWrap/>
            <w:vAlign w:val="bottom"/>
            <w:hideMark/>
          </w:tcPr>
          <w:p w14:paraId="029E5FE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700,00</w:t>
            </w:r>
          </w:p>
        </w:tc>
        <w:tc>
          <w:tcPr>
            <w:tcW w:w="437" w:type="pct"/>
            <w:tcBorders>
              <w:top w:val="nil"/>
              <w:left w:val="nil"/>
              <w:bottom w:val="single" w:sz="4" w:space="0" w:color="auto"/>
              <w:right w:val="single" w:sz="4" w:space="0" w:color="auto"/>
            </w:tcBorders>
            <w:noWrap/>
            <w:vAlign w:val="bottom"/>
            <w:hideMark/>
          </w:tcPr>
          <w:p w14:paraId="10D1620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13.565,88</w:t>
            </w:r>
          </w:p>
        </w:tc>
        <w:tc>
          <w:tcPr>
            <w:tcW w:w="437" w:type="pct"/>
            <w:tcBorders>
              <w:top w:val="nil"/>
              <w:left w:val="nil"/>
              <w:bottom w:val="single" w:sz="4" w:space="0" w:color="auto"/>
              <w:right w:val="single" w:sz="4" w:space="0" w:color="auto"/>
            </w:tcBorders>
            <w:noWrap/>
            <w:vAlign w:val="bottom"/>
            <w:hideMark/>
          </w:tcPr>
          <w:p w14:paraId="4BAB7DB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0D02C30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3E00AC7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AE487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45D25DB"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68CB0B0"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Stroški varnosti pri delu</w:t>
            </w:r>
          </w:p>
        </w:tc>
        <w:tc>
          <w:tcPr>
            <w:tcW w:w="535" w:type="pct"/>
            <w:tcBorders>
              <w:top w:val="nil"/>
              <w:left w:val="nil"/>
              <w:bottom w:val="single" w:sz="4" w:space="0" w:color="auto"/>
              <w:right w:val="single" w:sz="4" w:space="0" w:color="auto"/>
            </w:tcBorders>
            <w:noWrap/>
            <w:vAlign w:val="bottom"/>
            <w:hideMark/>
          </w:tcPr>
          <w:p w14:paraId="3E63387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7.055,62</w:t>
            </w:r>
          </w:p>
        </w:tc>
        <w:tc>
          <w:tcPr>
            <w:tcW w:w="339" w:type="pct"/>
            <w:tcBorders>
              <w:top w:val="nil"/>
              <w:left w:val="nil"/>
              <w:bottom w:val="single" w:sz="4" w:space="0" w:color="auto"/>
              <w:right w:val="single" w:sz="4" w:space="0" w:color="auto"/>
            </w:tcBorders>
            <w:noWrap/>
            <w:vAlign w:val="bottom"/>
            <w:hideMark/>
          </w:tcPr>
          <w:p w14:paraId="7F79EF9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0,19%</w:t>
            </w:r>
          </w:p>
        </w:tc>
        <w:tc>
          <w:tcPr>
            <w:tcW w:w="437" w:type="pct"/>
            <w:tcBorders>
              <w:top w:val="nil"/>
              <w:left w:val="nil"/>
              <w:bottom w:val="single" w:sz="4" w:space="0" w:color="auto"/>
              <w:right w:val="single" w:sz="4" w:space="0" w:color="auto"/>
            </w:tcBorders>
            <w:noWrap/>
            <w:vAlign w:val="bottom"/>
            <w:hideMark/>
          </w:tcPr>
          <w:p w14:paraId="03EA57B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032EC4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CA03F5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2.032,56</w:t>
            </w:r>
          </w:p>
        </w:tc>
        <w:tc>
          <w:tcPr>
            <w:tcW w:w="486" w:type="pct"/>
            <w:tcBorders>
              <w:top w:val="nil"/>
              <w:left w:val="nil"/>
              <w:bottom w:val="single" w:sz="4" w:space="0" w:color="auto"/>
              <w:right w:val="single" w:sz="4" w:space="0" w:color="auto"/>
            </w:tcBorders>
            <w:noWrap/>
            <w:vAlign w:val="bottom"/>
            <w:hideMark/>
          </w:tcPr>
          <w:p w14:paraId="3AAB69C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1.614,07</w:t>
            </w:r>
          </w:p>
        </w:tc>
        <w:tc>
          <w:tcPr>
            <w:tcW w:w="534" w:type="pct"/>
            <w:tcBorders>
              <w:top w:val="nil"/>
              <w:left w:val="nil"/>
              <w:bottom w:val="single" w:sz="4" w:space="0" w:color="auto"/>
              <w:right w:val="single" w:sz="4" w:space="0" w:color="auto"/>
            </w:tcBorders>
            <w:noWrap/>
            <w:vAlign w:val="bottom"/>
            <w:hideMark/>
          </w:tcPr>
          <w:p w14:paraId="5D063B2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1.647,97</w:t>
            </w:r>
          </w:p>
        </w:tc>
        <w:tc>
          <w:tcPr>
            <w:tcW w:w="437" w:type="pct"/>
            <w:tcBorders>
              <w:top w:val="nil"/>
              <w:left w:val="nil"/>
              <w:bottom w:val="single" w:sz="4" w:space="0" w:color="auto"/>
              <w:right w:val="single" w:sz="4" w:space="0" w:color="auto"/>
            </w:tcBorders>
            <w:noWrap/>
            <w:vAlign w:val="bottom"/>
            <w:hideMark/>
          </w:tcPr>
          <w:p w14:paraId="5318400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1.761,02</w:t>
            </w:r>
          </w:p>
        </w:tc>
      </w:tr>
      <w:tr w:rsidR="004A6E4D" w:rsidRPr="004A6E4D" w14:paraId="33246025"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482302D"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Arheologija</w:t>
            </w:r>
          </w:p>
        </w:tc>
        <w:tc>
          <w:tcPr>
            <w:tcW w:w="535" w:type="pct"/>
            <w:tcBorders>
              <w:top w:val="nil"/>
              <w:left w:val="nil"/>
              <w:bottom w:val="single" w:sz="4" w:space="0" w:color="auto"/>
              <w:right w:val="single" w:sz="4" w:space="0" w:color="auto"/>
            </w:tcBorders>
            <w:noWrap/>
            <w:vAlign w:val="bottom"/>
            <w:hideMark/>
          </w:tcPr>
          <w:p w14:paraId="717F249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15.780,75</w:t>
            </w:r>
          </w:p>
        </w:tc>
        <w:tc>
          <w:tcPr>
            <w:tcW w:w="339" w:type="pct"/>
            <w:tcBorders>
              <w:top w:val="nil"/>
              <w:left w:val="nil"/>
              <w:bottom w:val="single" w:sz="4" w:space="0" w:color="auto"/>
              <w:right w:val="single" w:sz="4" w:space="0" w:color="auto"/>
            </w:tcBorders>
            <w:noWrap/>
            <w:vAlign w:val="bottom"/>
            <w:hideMark/>
          </w:tcPr>
          <w:p w14:paraId="35AB5A1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0,43%</w:t>
            </w:r>
          </w:p>
        </w:tc>
        <w:tc>
          <w:tcPr>
            <w:tcW w:w="437" w:type="pct"/>
            <w:tcBorders>
              <w:top w:val="nil"/>
              <w:left w:val="nil"/>
              <w:bottom w:val="single" w:sz="4" w:space="0" w:color="auto"/>
              <w:right w:val="single" w:sz="4" w:space="0" w:color="auto"/>
            </w:tcBorders>
            <w:noWrap/>
            <w:vAlign w:val="bottom"/>
            <w:hideMark/>
          </w:tcPr>
          <w:p w14:paraId="09AC2F3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D9B81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1BA90A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3.813,12</w:t>
            </w:r>
          </w:p>
        </w:tc>
        <w:tc>
          <w:tcPr>
            <w:tcW w:w="486" w:type="pct"/>
            <w:tcBorders>
              <w:top w:val="nil"/>
              <w:left w:val="nil"/>
              <w:bottom w:val="single" w:sz="4" w:space="0" w:color="auto"/>
              <w:right w:val="single" w:sz="4" w:space="0" w:color="auto"/>
            </w:tcBorders>
            <w:noWrap/>
            <w:vAlign w:val="bottom"/>
            <w:hideMark/>
          </w:tcPr>
          <w:p w14:paraId="2D4B273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4.145,53</w:t>
            </w:r>
          </w:p>
        </w:tc>
        <w:tc>
          <w:tcPr>
            <w:tcW w:w="534" w:type="pct"/>
            <w:tcBorders>
              <w:top w:val="nil"/>
              <w:left w:val="nil"/>
              <w:bottom w:val="single" w:sz="4" w:space="0" w:color="auto"/>
              <w:right w:val="single" w:sz="4" w:space="0" w:color="auto"/>
            </w:tcBorders>
            <w:noWrap/>
            <w:vAlign w:val="bottom"/>
            <w:hideMark/>
          </w:tcPr>
          <w:p w14:paraId="372B26D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6.811,12</w:t>
            </w:r>
          </w:p>
        </w:tc>
        <w:tc>
          <w:tcPr>
            <w:tcW w:w="437" w:type="pct"/>
            <w:tcBorders>
              <w:top w:val="nil"/>
              <w:left w:val="nil"/>
              <w:bottom w:val="single" w:sz="4" w:space="0" w:color="auto"/>
              <w:right w:val="single" w:sz="4" w:space="0" w:color="auto"/>
            </w:tcBorders>
            <w:noWrap/>
            <w:vAlign w:val="bottom"/>
            <w:hideMark/>
          </w:tcPr>
          <w:p w14:paraId="0D7DEE1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1.010,98</w:t>
            </w:r>
          </w:p>
        </w:tc>
      </w:tr>
      <w:tr w:rsidR="004A6E4D" w:rsidRPr="004A6E4D" w14:paraId="1E245071"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15893938"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Čiščenje in pregled kanalizacije</w:t>
            </w:r>
          </w:p>
        </w:tc>
        <w:tc>
          <w:tcPr>
            <w:tcW w:w="535" w:type="pct"/>
            <w:tcBorders>
              <w:top w:val="nil"/>
              <w:left w:val="nil"/>
              <w:bottom w:val="single" w:sz="4" w:space="0" w:color="auto"/>
              <w:right w:val="single" w:sz="4" w:space="0" w:color="auto"/>
            </w:tcBorders>
            <w:noWrap/>
            <w:vAlign w:val="bottom"/>
            <w:hideMark/>
          </w:tcPr>
          <w:p w14:paraId="4C64E1A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3.355,44</w:t>
            </w:r>
          </w:p>
        </w:tc>
        <w:tc>
          <w:tcPr>
            <w:tcW w:w="339" w:type="pct"/>
            <w:tcBorders>
              <w:top w:val="nil"/>
              <w:left w:val="nil"/>
              <w:bottom w:val="single" w:sz="4" w:space="0" w:color="auto"/>
              <w:right w:val="single" w:sz="4" w:space="0" w:color="auto"/>
            </w:tcBorders>
            <w:noWrap/>
            <w:vAlign w:val="bottom"/>
            <w:hideMark/>
          </w:tcPr>
          <w:p w14:paraId="5531820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0,09%</w:t>
            </w:r>
          </w:p>
        </w:tc>
        <w:tc>
          <w:tcPr>
            <w:tcW w:w="437" w:type="pct"/>
            <w:tcBorders>
              <w:top w:val="nil"/>
              <w:left w:val="nil"/>
              <w:bottom w:val="single" w:sz="4" w:space="0" w:color="auto"/>
              <w:right w:val="single" w:sz="4" w:space="0" w:color="auto"/>
            </w:tcBorders>
            <w:noWrap/>
            <w:vAlign w:val="bottom"/>
            <w:hideMark/>
          </w:tcPr>
          <w:p w14:paraId="6755655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21E641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72F1E4B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3.355,44</w:t>
            </w:r>
          </w:p>
        </w:tc>
        <w:tc>
          <w:tcPr>
            <w:tcW w:w="486" w:type="pct"/>
            <w:tcBorders>
              <w:top w:val="nil"/>
              <w:left w:val="nil"/>
              <w:bottom w:val="single" w:sz="4" w:space="0" w:color="auto"/>
              <w:right w:val="single" w:sz="4" w:space="0" w:color="auto"/>
            </w:tcBorders>
            <w:noWrap/>
            <w:vAlign w:val="bottom"/>
            <w:hideMark/>
          </w:tcPr>
          <w:p w14:paraId="44E0736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71B853B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476F914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284C853"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722ED31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Nakup nepremičnine</w:t>
            </w:r>
          </w:p>
        </w:tc>
        <w:tc>
          <w:tcPr>
            <w:tcW w:w="535" w:type="pct"/>
            <w:tcBorders>
              <w:top w:val="nil"/>
              <w:left w:val="nil"/>
              <w:bottom w:val="single" w:sz="4" w:space="0" w:color="auto"/>
              <w:right w:val="single" w:sz="4" w:space="0" w:color="auto"/>
            </w:tcBorders>
            <w:noWrap/>
            <w:vAlign w:val="bottom"/>
            <w:hideMark/>
          </w:tcPr>
          <w:p w14:paraId="09661E7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280.000,00</w:t>
            </w:r>
          </w:p>
        </w:tc>
        <w:tc>
          <w:tcPr>
            <w:tcW w:w="339" w:type="pct"/>
            <w:tcBorders>
              <w:top w:val="nil"/>
              <w:left w:val="nil"/>
              <w:bottom w:val="single" w:sz="4" w:space="0" w:color="auto"/>
              <w:right w:val="single" w:sz="4" w:space="0" w:color="auto"/>
            </w:tcBorders>
            <w:noWrap/>
            <w:vAlign w:val="bottom"/>
            <w:hideMark/>
          </w:tcPr>
          <w:p w14:paraId="2DAB526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7,65%</w:t>
            </w:r>
          </w:p>
        </w:tc>
        <w:tc>
          <w:tcPr>
            <w:tcW w:w="437" w:type="pct"/>
            <w:tcBorders>
              <w:top w:val="nil"/>
              <w:left w:val="nil"/>
              <w:bottom w:val="single" w:sz="4" w:space="0" w:color="auto"/>
              <w:right w:val="single" w:sz="4" w:space="0" w:color="auto"/>
            </w:tcBorders>
            <w:noWrap/>
            <w:vAlign w:val="bottom"/>
            <w:hideMark/>
          </w:tcPr>
          <w:p w14:paraId="2084585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280.000,00</w:t>
            </w:r>
          </w:p>
        </w:tc>
        <w:tc>
          <w:tcPr>
            <w:tcW w:w="437" w:type="pct"/>
            <w:tcBorders>
              <w:top w:val="nil"/>
              <w:left w:val="nil"/>
              <w:bottom w:val="single" w:sz="4" w:space="0" w:color="auto"/>
              <w:right w:val="single" w:sz="4" w:space="0" w:color="auto"/>
            </w:tcBorders>
            <w:noWrap/>
            <w:vAlign w:val="bottom"/>
            <w:hideMark/>
          </w:tcPr>
          <w:p w14:paraId="103CBF5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58460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27681F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576593E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EE92D8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C74C432"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3B05CCD4"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(neobdavčeno)</w:t>
            </w:r>
          </w:p>
        </w:tc>
        <w:tc>
          <w:tcPr>
            <w:tcW w:w="535" w:type="pct"/>
            <w:tcBorders>
              <w:top w:val="nil"/>
              <w:left w:val="nil"/>
              <w:bottom w:val="single" w:sz="4" w:space="0" w:color="auto"/>
              <w:right w:val="single" w:sz="4" w:space="0" w:color="auto"/>
            </w:tcBorders>
            <w:noWrap/>
            <w:vAlign w:val="bottom"/>
            <w:hideMark/>
          </w:tcPr>
          <w:p w14:paraId="688FAF1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776,00</w:t>
            </w:r>
          </w:p>
        </w:tc>
        <w:tc>
          <w:tcPr>
            <w:tcW w:w="339" w:type="pct"/>
            <w:tcBorders>
              <w:top w:val="nil"/>
              <w:left w:val="nil"/>
              <w:bottom w:val="single" w:sz="4" w:space="0" w:color="auto"/>
              <w:right w:val="single" w:sz="4" w:space="0" w:color="auto"/>
            </w:tcBorders>
            <w:noWrap/>
            <w:vAlign w:val="bottom"/>
            <w:hideMark/>
          </w:tcPr>
          <w:p w14:paraId="6B3D008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0,02%</w:t>
            </w:r>
          </w:p>
        </w:tc>
        <w:tc>
          <w:tcPr>
            <w:tcW w:w="437" w:type="pct"/>
            <w:tcBorders>
              <w:top w:val="nil"/>
              <w:left w:val="nil"/>
              <w:bottom w:val="single" w:sz="4" w:space="0" w:color="auto"/>
              <w:right w:val="single" w:sz="4" w:space="0" w:color="auto"/>
            </w:tcBorders>
            <w:noWrap/>
            <w:vAlign w:val="bottom"/>
            <w:hideMark/>
          </w:tcPr>
          <w:p w14:paraId="1E4A794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776,00</w:t>
            </w:r>
          </w:p>
        </w:tc>
        <w:tc>
          <w:tcPr>
            <w:tcW w:w="437" w:type="pct"/>
            <w:tcBorders>
              <w:top w:val="nil"/>
              <w:left w:val="nil"/>
              <w:bottom w:val="single" w:sz="4" w:space="0" w:color="auto"/>
              <w:right w:val="single" w:sz="4" w:space="0" w:color="auto"/>
            </w:tcBorders>
            <w:noWrap/>
            <w:vAlign w:val="bottom"/>
            <w:hideMark/>
          </w:tcPr>
          <w:p w14:paraId="2A1BC68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69CF1A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DF06D9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BA9EBD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0CA503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B7631E3"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3697870F"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(9,5% DDV)</w:t>
            </w:r>
          </w:p>
        </w:tc>
        <w:tc>
          <w:tcPr>
            <w:tcW w:w="535" w:type="pct"/>
            <w:tcBorders>
              <w:top w:val="nil"/>
              <w:left w:val="nil"/>
              <w:bottom w:val="single" w:sz="4" w:space="0" w:color="auto"/>
              <w:right w:val="single" w:sz="4" w:space="0" w:color="auto"/>
            </w:tcBorders>
            <w:noWrap/>
            <w:vAlign w:val="bottom"/>
            <w:hideMark/>
          </w:tcPr>
          <w:p w14:paraId="6E251C9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545,96</w:t>
            </w:r>
          </w:p>
        </w:tc>
        <w:tc>
          <w:tcPr>
            <w:tcW w:w="339" w:type="pct"/>
            <w:tcBorders>
              <w:top w:val="nil"/>
              <w:left w:val="nil"/>
              <w:bottom w:val="single" w:sz="4" w:space="0" w:color="auto"/>
              <w:right w:val="single" w:sz="4" w:space="0" w:color="auto"/>
            </w:tcBorders>
            <w:noWrap/>
            <w:vAlign w:val="bottom"/>
            <w:hideMark/>
          </w:tcPr>
          <w:p w14:paraId="20C5E9E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0,01%</w:t>
            </w:r>
          </w:p>
        </w:tc>
        <w:tc>
          <w:tcPr>
            <w:tcW w:w="437" w:type="pct"/>
            <w:tcBorders>
              <w:top w:val="nil"/>
              <w:left w:val="nil"/>
              <w:bottom w:val="single" w:sz="4" w:space="0" w:color="auto"/>
              <w:right w:val="single" w:sz="4" w:space="0" w:color="auto"/>
            </w:tcBorders>
            <w:noWrap/>
            <w:vAlign w:val="bottom"/>
            <w:hideMark/>
          </w:tcPr>
          <w:p w14:paraId="63AA12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545,96</w:t>
            </w:r>
          </w:p>
        </w:tc>
        <w:tc>
          <w:tcPr>
            <w:tcW w:w="437" w:type="pct"/>
            <w:tcBorders>
              <w:top w:val="nil"/>
              <w:left w:val="nil"/>
              <w:bottom w:val="single" w:sz="4" w:space="0" w:color="auto"/>
              <w:right w:val="single" w:sz="4" w:space="0" w:color="auto"/>
            </w:tcBorders>
            <w:noWrap/>
            <w:vAlign w:val="bottom"/>
            <w:hideMark/>
          </w:tcPr>
          <w:p w14:paraId="0E8D5C0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01077F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72D84A5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EA93AE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D46AD6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8BB6B5E"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1064AE9B"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w:t>
            </w:r>
          </w:p>
        </w:tc>
        <w:tc>
          <w:tcPr>
            <w:tcW w:w="535" w:type="pct"/>
            <w:tcBorders>
              <w:top w:val="nil"/>
              <w:left w:val="nil"/>
              <w:bottom w:val="single" w:sz="4" w:space="0" w:color="auto"/>
              <w:right w:val="single" w:sz="4" w:space="0" w:color="auto"/>
            </w:tcBorders>
            <w:noWrap/>
            <w:vAlign w:val="bottom"/>
            <w:hideMark/>
          </w:tcPr>
          <w:p w14:paraId="018B1B5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5.483,07</w:t>
            </w:r>
          </w:p>
        </w:tc>
        <w:tc>
          <w:tcPr>
            <w:tcW w:w="339" w:type="pct"/>
            <w:tcBorders>
              <w:top w:val="nil"/>
              <w:left w:val="nil"/>
              <w:bottom w:val="single" w:sz="4" w:space="0" w:color="auto"/>
              <w:right w:val="single" w:sz="4" w:space="0" w:color="auto"/>
            </w:tcBorders>
            <w:noWrap/>
            <w:vAlign w:val="bottom"/>
            <w:hideMark/>
          </w:tcPr>
          <w:p w14:paraId="50A3D64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0,15%</w:t>
            </w:r>
          </w:p>
        </w:tc>
        <w:tc>
          <w:tcPr>
            <w:tcW w:w="437" w:type="pct"/>
            <w:tcBorders>
              <w:top w:val="nil"/>
              <w:left w:val="nil"/>
              <w:bottom w:val="single" w:sz="4" w:space="0" w:color="auto"/>
              <w:right w:val="single" w:sz="4" w:space="0" w:color="auto"/>
            </w:tcBorders>
            <w:noWrap/>
            <w:vAlign w:val="bottom"/>
            <w:hideMark/>
          </w:tcPr>
          <w:p w14:paraId="38614D0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5.483,07</w:t>
            </w:r>
          </w:p>
        </w:tc>
        <w:tc>
          <w:tcPr>
            <w:tcW w:w="437" w:type="pct"/>
            <w:tcBorders>
              <w:top w:val="nil"/>
              <w:left w:val="nil"/>
              <w:bottom w:val="single" w:sz="4" w:space="0" w:color="auto"/>
              <w:right w:val="single" w:sz="4" w:space="0" w:color="auto"/>
            </w:tcBorders>
            <w:noWrap/>
            <w:vAlign w:val="bottom"/>
            <w:hideMark/>
          </w:tcPr>
          <w:p w14:paraId="07D59B1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28AB205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80372E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475CF47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41A870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F2A582F"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912BBBB"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Vpis v kataster</w:t>
            </w:r>
          </w:p>
        </w:tc>
        <w:tc>
          <w:tcPr>
            <w:tcW w:w="535" w:type="pct"/>
            <w:tcBorders>
              <w:top w:val="nil"/>
              <w:left w:val="nil"/>
              <w:bottom w:val="single" w:sz="4" w:space="0" w:color="auto"/>
              <w:right w:val="single" w:sz="4" w:space="0" w:color="auto"/>
            </w:tcBorders>
            <w:noWrap/>
            <w:vAlign w:val="bottom"/>
            <w:hideMark/>
          </w:tcPr>
          <w:p w14:paraId="0EB8D2D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971,93</w:t>
            </w:r>
          </w:p>
        </w:tc>
        <w:tc>
          <w:tcPr>
            <w:tcW w:w="339" w:type="pct"/>
            <w:tcBorders>
              <w:top w:val="nil"/>
              <w:left w:val="nil"/>
              <w:bottom w:val="single" w:sz="4" w:space="0" w:color="auto"/>
              <w:right w:val="single" w:sz="4" w:space="0" w:color="auto"/>
            </w:tcBorders>
            <w:noWrap/>
            <w:vAlign w:val="bottom"/>
            <w:hideMark/>
          </w:tcPr>
          <w:p w14:paraId="637C8C9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0,03%</w:t>
            </w:r>
          </w:p>
        </w:tc>
        <w:tc>
          <w:tcPr>
            <w:tcW w:w="437" w:type="pct"/>
            <w:tcBorders>
              <w:top w:val="nil"/>
              <w:left w:val="nil"/>
              <w:bottom w:val="single" w:sz="4" w:space="0" w:color="auto"/>
              <w:right w:val="single" w:sz="4" w:space="0" w:color="auto"/>
            </w:tcBorders>
            <w:noWrap/>
            <w:vAlign w:val="bottom"/>
            <w:hideMark/>
          </w:tcPr>
          <w:p w14:paraId="3C2B6A6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89EE06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214364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4C72E7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F1EA1E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536B7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971,93</w:t>
            </w:r>
          </w:p>
        </w:tc>
      </w:tr>
      <w:tr w:rsidR="004A6E4D" w:rsidRPr="004A6E4D" w14:paraId="717A6A01"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3685BCC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Notar, zemljiška knjiga</w:t>
            </w:r>
          </w:p>
        </w:tc>
        <w:tc>
          <w:tcPr>
            <w:tcW w:w="535" w:type="pct"/>
            <w:tcBorders>
              <w:top w:val="nil"/>
              <w:left w:val="nil"/>
              <w:bottom w:val="single" w:sz="4" w:space="0" w:color="auto"/>
              <w:right w:val="single" w:sz="4" w:space="0" w:color="auto"/>
            </w:tcBorders>
            <w:noWrap/>
            <w:vAlign w:val="bottom"/>
            <w:hideMark/>
          </w:tcPr>
          <w:p w14:paraId="43A7A62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339" w:type="pct"/>
            <w:tcBorders>
              <w:top w:val="nil"/>
              <w:left w:val="nil"/>
              <w:bottom w:val="single" w:sz="4" w:space="0" w:color="auto"/>
              <w:right w:val="single" w:sz="4" w:space="0" w:color="auto"/>
            </w:tcBorders>
            <w:noWrap/>
            <w:vAlign w:val="bottom"/>
            <w:hideMark/>
          </w:tcPr>
          <w:p w14:paraId="119E4F8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015CF53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636E67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33332C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E2FC44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498A86C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262559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3C94878"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004194A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Geodetski načrt</w:t>
            </w:r>
          </w:p>
        </w:tc>
        <w:tc>
          <w:tcPr>
            <w:tcW w:w="535" w:type="pct"/>
            <w:tcBorders>
              <w:top w:val="nil"/>
              <w:left w:val="nil"/>
              <w:bottom w:val="single" w:sz="4" w:space="0" w:color="auto"/>
              <w:right w:val="single" w:sz="4" w:space="0" w:color="auto"/>
            </w:tcBorders>
            <w:noWrap/>
            <w:vAlign w:val="bottom"/>
            <w:hideMark/>
          </w:tcPr>
          <w:p w14:paraId="6EEFF6D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2.032,66</w:t>
            </w:r>
          </w:p>
        </w:tc>
        <w:tc>
          <w:tcPr>
            <w:tcW w:w="339" w:type="pct"/>
            <w:tcBorders>
              <w:top w:val="nil"/>
              <w:left w:val="nil"/>
              <w:bottom w:val="single" w:sz="4" w:space="0" w:color="auto"/>
              <w:right w:val="single" w:sz="4" w:space="0" w:color="auto"/>
            </w:tcBorders>
            <w:noWrap/>
            <w:vAlign w:val="bottom"/>
            <w:hideMark/>
          </w:tcPr>
          <w:p w14:paraId="06DCCCA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0,06%</w:t>
            </w:r>
          </w:p>
        </w:tc>
        <w:tc>
          <w:tcPr>
            <w:tcW w:w="437" w:type="pct"/>
            <w:tcBorders>
              <w:top w:val="nil"/>
              <w:left w:val="nil"/>
              <w:bottom w:val="single" w:sz="4" w:space="0" w:color="auto"/>
              <w:right w:val="single" w:sz="4" w:space="0" w:color="auto"/>
            </w:tcBorders>
            <w:noWrap/>
            <w:vAlign w:val="bottom"/>
            <w:hideMark/>
          </w:tcPr>
          <w:p w14:paraId="5FA4F0C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5B5B34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2.032,66</w:t>
            </w:r>
          </w:p>
        </w:tc>
        <w:tc>
          <w:tcPr>
            <w:tcW w:w="437" w:type="pct"/>
            <w:tcBorders>
              <w:top w:val="nil"/>
              <w:left w:val="nil"/>
              <w:bottom w:val="single" w:sz="4" w:space="0" w:color="auto"/>
              <w:right w:val="single" w:sz="4" w:space="0" w:color="auto"/>
            </w:tcBorders>
            <w:noWrap/>
            <w:vAlign w:val="bottom"/>
            <w:hideMark/>
          </w:tcPr>
          <w:p w14:paraId="36AC3C8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089A0F2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194459C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6E34345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2D0B5589"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3BEE1376"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Baza cestnih podatkov</w:t>
            </w:r>
          </w:p>
        </w:tc>
        <w:tc>
          <w:tcPr>
            <w:tcW w:w="535" w:type="pct"/>
            <w:tcBorders>
              <w:top w:val="nil"/>
              <w:left w:val="nil"/>
              <w:bottom w:val="single" w:sz="4" w:space="0" w:color="auto"/>
              <w:right w:val="single" w:sz="4" w:space="0" w:color="auto"/>
            </w:tcBorders>
            <w:noWrap/>
            <w:vAlign w:val="bottom"/>
            <w:hideMark/>
          </w:tcPr>
          <w:p w14:paraId="376D76F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874,11</w:t>
            </w:r>
          </w:p>
        </w:tc>
        <w:tc>
          <w:tcPr>
            <w:tcW w:w="339" w:type="pct"/>
            <w:tcBorders>
              <w:top w:val="nil"/>
              <w:left w:val="nil"/>
              <w:bottom w:val="single" w:sz="4" w:space="0" w:color="auto"/>
              <w:right w:val="single" w:sz="4" w:space="0" w:color="auto"/>
            </w:tcBorders>
            <w:noWrap/>
            <w:vAlign w:val="bottom"/>
            <w:hideMark/>
          </w:tcPr>
          <w:p w14:paraId="7D7A17E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0,02%</w:t>
            </w:r>
          </w:p>
        </w:tc>
        <w:tc>
          <w:tcPr>
            <w:tcW w:w="437" w:type="pct"/>
            <w:tcBorders>
              <w:top w:val="nil"/>
              <w:left w:val="nil"/>
              <w:bottom w:val="single" w:sz="4" w:space="0" w:color="auto"/>
              <w:right w:val="single" w:sz="4" w:space="0" w:color="auto"/>
            </w:tcBorders>
            <w:noWrap/>
            <w:vAlign w:val="bottom"/>
            <w:hideMark/>
          </w:tcPr>
          <w:p w14:paraId="4FF3026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8AF35F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34B5AF0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3907794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534" w:type="pct"/>
            <w:tcBorders>
              <w:top w:val="nil"/>
              <w:left w:val="nil"/>
              <w:bottom w:val="single" w:sz="4" w:space="0" w:color="auto"/>
              <w:right w:val="single" w:sz="4" w:space="0" w:color="auto"/>
            </w:tcBorders>
            <w:noWrap/>
            <w:vAlign w:val="bottom"/>
            <w:hideMark/>
          </w:tcPr>
          <w:p w14:paraId="6EC470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874,11</w:t>
            </w:r>
          </w:p>
        </w:tc>
        <w:tc>
          <w:tcPr>
            <w:tcW w:w="437" w:type="pct"/>
            <w:tcBorders>
              <w:top w:val="nil"/>
              <w:left w:val="nil"/>
              <w:bottom w:val="single" w:sz="4" w:space="0" w:color="auto"/>
              <w:right w:val="single" w:sz="4" w:space="0" w:color="auto"/>
            </w:tcBorders>
            <w:noWrap/>
            <w:vAlign w:val="bottom"/>
            <w:hideMark/>
          </w:tcPr>
          <w:p w14:paraId="0115668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F062D61" w14:textId="77777777" w:rsidTr="004A6E4D">
        <w:trPr>
          <w:trHeight w:val="227"/>
        </w:trPr>
        <w:tc>
          <w:tcPr>
            <w:tcW w:w="1358" w:type="pct"/>
            <w:tcBorders>
              <w:top w:val="nil"/>
              <w:left w:val="single" w:sz="4" w:space="0" w:color="auto"/>
              <w:bottom w:val="single" w:sz="4" w:space="0" w:color="auto"/>
              <w:right w:val="single" w:sz="4" w:space="0" w:color="auto"/>
            </w:tcBorders>
            <w:shd w:val="clear" w:color="000000" w:fill="D9D9D9"/>
            <w:vAlign w:val="bottom"/>
            <w:hideMark/>
          </w:tcPr>
          <w:p w14:paraId="26DD325A"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brez DDV</w:t>
            </w:r>
          </w:p>
        </w:tc>
        <w:tc>
          <w:tcPr>
            <w:tcW w:w="535" w:type="pct"/>
            <w:tcBorders>
              <w:top w:val="nil"/>
              <w:left w:val="nil"/>
              <w:bottom w:val="single" w:sz="4" w:space="0" w:color="auto"/>
              <w:right w:val="single" w:sz="4" w:space="0" w:color="auto"/>
            </w:tcBorders>
            <w:shd w:val="clear" w:color="000000" w:fill="D9D9D9"/>
            <w:noWrap/>
            <w:vAlign w:val="bottom"/>
            <w:hideMark/>
          </w:tcPr>
          <w:p w14:paraId="0EE173EA"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3.051.761,81</w:t>
            </w:r>
          </w:p>
        </w:tc>
        <w:tc>
          <w:tcPr>
            <w:tcW w:w="339" w:type="pct"/>
            <w:tcBorders>
              <w:top w:val="nil"/>
              <w:left w:val="nil"/>
              <w:bottom w:val="single" w:sz="4" w:space="0" w:color="auto"/>
              <w:right w:val="single" w:sz="4" w:space="0" w:color="auto"/>
            </w:tcBorders>
            <w:shd w:val="clear" w:color="000000" w:fill="D9D9D9"/>
            <w:noWrap/>
            <w:vAlign w:val="bottom"/>
            <w:hideMark/>
          </w:tcPr>
          <w:p w14:paraId="7A287F3B"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83,35%</w:t>
            </w:r>
          </w:p>
        </w:tc>
        <w:tc>
          <w:tcPr>
            <w:tcW w:w="437" w:type="pct"/>
            <w:tcBorders>
              <w:top w:val="nil"/>
              <w:left w:val="nil"/>
              <w:bottom w:val="single" w:sz="4" w:space="0" w:color="auto"/>
              <w:right w:val="single" w:sz="4" w:space="0" w:color="auto"/>
            </w:tcBorders>
            <w:shd w:val="clear" w:color="000000" w:fill="D9D9D9"/>
            <w:noWrap/>
            <w:vAlign w:val="bottom"/>
            <w:hideMark/>
          </w:tcPr>
          <w:p w14:paraId="7EA5EAD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294.705,03</w:t>
            </w:r>
          </w:p>
        </w:tc>
        <w:tc>
          <w:tcPr>
            <w:tcW w:w="437" w:type="pct"/>
            <w:tcBorders>
              <w:top w:val="nil"/>
              <w:left w:val="nil"/>
              <w:bottom w:val="single" w:sz="4" w:space="0" w:color="auto"/>
              <w:right w:val="single" w:sz="4" w:space="0" w:color="auto"/>
            </w:tcBorders>
            <w:shd w:val="clear" w:color="000000" w:fill="D9D9D9"/>
            <w:noWrap/>
            <w:vAlign w:val="bottom"/>
            <w:hideMark/>
          </w:tcPr>
          <w:p w14:paraId="3E2FFC39"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88.330,75</w:t>
            </w:r>
          </w:p>
        </w:tc>
        <w:tc>
          <w:tcPr>
            <w:tcW w:w="437" w:type="pct"/>
            <w:tcBorders>
              <w:top w:val="nil"/>
              <w:left w:val="nil"/>
              <w:bottom w:val="single" w:sz="4" w:space="0" w:color="auto"/>
              <w:right w:val="single" w:sz="4" w:space="0" w:color="auto"/>
            </w:tcBorders>
            <w:shd w:val="clear" w:color="000000" w:fill="D9D9D9"/>
            <w:noWrap/>
            <w:vAlign w:val="bottom"/>
            <w:hideMark/>
          </w:tcPr>
          <w:p w14:paraId="51EBEBC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608.038,69</w:t>
            </w:r>
          </w:p>
        </w:tc>
        <w:tc>
          <w:tcPr>
            <w:tcW w:w="486" w:type="pct"/>
            <w:tcBorders>
              <w:top w:val="nil"/>
              <w:left w:val="nil"/>
              <w:bottom w:val="single" w:sz="4" w:space="0" w:color="auto"/>
              <w:right w:val="single" w:sz="4" w:space="0" w:color="auto"/>
            </w:tcBorders>
            <w:shd w:val="clear" w:color="000000" w:fill="D9D9D9"/>
            <w:noWrap/>
            <w:vAlign w:val="bottom"/>
            <w:hideMark/>
          </w:tcPr>
          <w:p w14:paraId="62C004CE"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703.088,63</w:t>
            </w:r>
          </w:p>
        </w:tc>
        <w:tc>
          <w:tcPr>
            <w:tcW w:w="534" w:type="pct"/>
            <w:tcBorders>
              <w:top w:val="nil"/>
              <w:left w:val="nil"/>
              <w:bottom w:val="single" w:sz="4" w:space="0" w:color="auto"/>
              <w:right w:val="single" w:sz="4" w:space="0" w:color="auto"/>
            </w:tcBorders>
            <w:shd w:val="clear" w:color="000000" w:fill="D9D9D9"/>
            <w:noWrap/>
            <w:vAlign w:val="bottom"/>
            <w:hideMark/>
          </w:tcPr>
          <w:p w14:paraId="7B854DCA"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1.199.814,94</w:t>
            </w:r>
          </w:p>
        </w:tc>
        <w:tc>
          <w:tcPr>
            <w:tcW w:w="437" w:type="pct"/>
            <w:tcBorders>
              <w:top w:val="nil"/>
              <w:left w:val="nil"/>
              <w:bottom w:val="single" w:sz="4" w:space="0" w:color="auto"/>
              <w:right w:val="single" w:sz="4" w:space="0" w:color="auto"/>
            </w:tcBorders>
            <w:shd w:val="clear" w:color="000000" w:fill="D9D9D9"/>
            <w:noWrap/>
            <w:vAlign w:val="bottom"/>
            <w:hideMark/>
          </w:tcPr>
          <w:p w14:paraId="4406415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157.783,76</w:t>
            </w:r>
          </w:p>
        </w:tc>
      </w:tr>
      <w:tr w:rsidR="004A6E4D" w:rsidRPr="004A6E4D" w14:paraId="667F4EB1"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6B07BC9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Davek na dodano vrednost</w:t>
            </w:r>
          </w:p>
        </w:tc>
        <w:tc>
          <w:tcPr>
            <w:tcW w:w="535" w:type="pct"/>
            <w:tcBorders>
              <w:top w:val="nil"/>
              <w:left w:val="nil"/>
              <w:bottom w:val="single" w:sz="4" w:space="0" w:color="auto"/>
              <w:right w:val="single" w:sz="4" w:space="0" w:color="auto"/>
            </w:tcBorders>
            <w:noWrap/>
            <w:vAlign w:val="bottom"/>
            <w:hideMark/>
          </w:tcPr>
          <w:p w14:paraId="22DB3C0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609.548,62</w:t>
            </w:r>
          </w:p>
        </w:tc>
        <w:tc>
          <w:tcPr>
            <w:tcW w:w="339" w:type="pct"/>
            <w:tcBorders>
              <w:top w:val="nil"/>
              <w:left w:val="nil"/>
              <w:bottom w:val="single" w:sz="4" w:space="0" w:color="auto"/>
              <w:right w:val="single" w:sz="4" w:space="0" w:color="auto"/>
            </w:tcBorders>
            <w:noWrap/>
            <w:vAlign w:val="bottom"/>
            <w:hideMark/>
          </w:tcPr>
          <w:p w14:paraId="4F9AE1E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16,65%</w:t>
            </w:r>
          </w:p>
        </w:tc>
        <w:tc>
          <w:tcPr>
            <w:tcW w:w="437" w:type="pct"/>
            <w:tcBorders>
              <w:top w:val="nil"/>
              <w:left w:val="nil"/>
              <w:bottom w:val="single" w:sz="4" w:space="0" w:color="auto"/>
              <w:right w:val="single" w:sz="4" w:space="0" w:color="auto"/>
            </w:tcBorders>
            <w:noWrap/>
            <w:vAlign w:val="bottom"/>
            <w:hideMark/>
          </w:tcPr>
          <w:p w14:paraId="03D8994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2.996,14</w:t>
            </w:r>
          </w:p>
        </w:tc>
        <w:tc>
          <w:tcPr>
            <w:tcW w:w="437" w:type="pct"/>
            <w:tcBorders>
              <w:top w:val="nil"/>
              <w:left w:val="nil"/>
              <w:bottom w:val="single" w:sz="4" w:space="0" w:color="auto"/>
              <w:right w:val="single" w:sz="4" w:space="0" w:color="auto"/>
            </w:tcBorders>
            <w:noWrap/>
            <w:vAlign w:val="bottom"/>
            <w:hideMark/>
          </w:tcPr>
          <w:p w14:paraId="277D34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19.432,77</w:t>
            </w:r>
          </w:p>
        </w:tc>
        <w:tc>
          <w:tcPr>
            <w:tcW w:w="437" w:type="pct"/>
            <w:tcBorders>
              <w:top w:val="nil"/>
              <w:left w:val="nil"/>
              <w:bottom w:val="single" w:sz="4" w:space="0" w:color="auto"/>
              <w:right w:val="single" w:sz="4" w:space="0" w:color="auto"/>
            </w:tcBorders>
            <w:noWrap/>
            <w:vAlign w:val="bottom"/>
            <w:hideMark/>
          </w:tcPr>
          <w:p w14:paraId="0953E81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133.768,51</w:t>
            </w:r>
          </w:p>
        </w:tc>
        <w:tc>
          <w:tcPr>
            <w:tcW w:w="486" w:type="pct"/>
            <w:tcBorders>
              <w:top w:val="nil"/>
              <w:left w:val="nil"/>
              <w:bottom w:val="single" w:sz="4" w:space="0" w:color="auto"/>
              <w:right w:val="single" w:sz="4" w:space="0" w:color="auto"/>
            </w:tcBorders>
            <w:noWrap/>
            <w:vAlign w:val="bottom"/>
            <w:hideMark/>
          </w:tcPr>
          <w:p w14:paraId="72FABEA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154.679,50</w:t>
            </w:r>
          </w:p>
        </w:tc>
        <w:tc>
          <w:tcPr>
            <w:tcW w:w="534" w:type="pct"/>
            <w:tcBorders>
              <w:top w:val="nil"/>
              <w:left w:val="nil"/>
              <w:bottom w:val="single" w:sz="4" w:space="0" w:color="auto"/>
              <w:right w:val="single" w:sz="4" w:space="0" w:color="auto"/>
            </w:tcBorders>
            <w:noWrap/>
            <w:vAlign w:val="bottom"/>
            <w:hideMark/>
          </w:tcPr>
          <w:p w14:paraId="1870C46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263.959,28</w:t>
            </w:r>
          </w:p>
        </w:tc>
        <w:tc>
          <w:tcPr>
            <w:tcW w:w="437" w:type="pct"/>
            <w:tcBorders>
              <w:top w:val="nil"/>
              <w:left w:val="nil"/>
              <w:bottom w:val="single" w:sz="4" w:space="0" w:color="auto"/>
              <w:right w:val="single" w:sz="4" w:space="0" w:color="auto"/>
            </w:tcBorders>
            <w:noWrap/>
            <w:vAlign w:val="bottom"/>
            <w:hideMark/>
          </w:tcPr>
          <w:p w14:paraId="392BF5B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34.712,42</w:t>
            </w:r>
          </w:p>
        </w:tc>
      </w:tr>
      <w:tr w:rsidR="004A6E4D" w:rsidRPr="004A6E4D" w14:paraId="73ED3A35" w14:textId="77777777" w:rsidTr="004A6E4D">
        <w:trPr>
          <w:trHeight w:val="227"/>
        </w:trPr>
        <w:tc>
          <w:tcPr>
            <w:tcW w:w="1358" w:type="pct"/>
            <w:tcBorders>
              <w:top w:val="nil"/>
              <w:left w:val="single" w:sz="4" w:space="0" w:color="auto"/>
              <w:bottom w:val="single" w:sz="4" w:space="0" w:color="auto"/>
              <w:right w:val="single" w:sz="4" w:space="0" w:color="auto"/>
            </w:tcBorders>
            <w:vAlign w:val="bottom"/>
            <w:hideMark/>
          </w:tcPr>
          <w:p w14:paraId="3CFABFE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Povračljiv davek na dodano vrednost</w:t>
            </w:r>
          </w:p>
        </w:tc>
        <w:tc>
          <w:tcPr>
            <w:tcW w:w="535" w:type="pct"/>
            <w:tcBorders>
              <w:top w:val="nil"/>
              <w:left w:val="nil"/>
              <w:bottom w:val="single" w:sz="4" w:space="0" w:color="auto"/>
              <w:right w:val="single" w:sz="4" w:space="0" w:color="auto"/>
            </w:tcBorders>
            <w:noWrap/>
            <w:vAlign w:val="bottom"/>
            <w:hideMark/>
          </w:tcPr>
          <w:p w14:paraId="7AA003E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26.676,13</w:t>
            </w:r>
          </w:p>
        </w:tc>
        <w:tc>
          <w:tcPr>
            <w:tcW w:w="339" w:type="pct"/>
            <w:tcBorders>
              <w:top w:val="nil"/>
              <w:left w:val="nil"/>
              <w:bottom w:val="single" w:sz="4" w:space="0" w:color="auto"/>
              <w:right w:val="single" w:sz="4" w:space="0" w:color="auto"/>
            </w:tcBorders>
            <w:noWrap/>
            <w:vAlign w:val="bottom"/>
            <w:hideMark/>
          </w:tcPr>
          <w:p w14:paraId="67C3E8E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0,73%</w:t>
            </w:r>
          </w:p>
        </w:tc>
        <w:tc>
          <w:tcPr>
            <w:tcW w:w="437" w:type="pct"/>
            <w:tcBorders>
              <w:top w:val="nil"/>
              <w:left w:val="nil"/>
              <w:bottom w:val="single" w:sz="4" w:space="0" w:color="auto"/>
              <w:right w:val="single" w:sz="4" w:space="0" w:color="auto"/>
            </w:tcBorders>
            <w:noWrap/>
            <w:vAlign w:val="bottom"/>
            <w:hideMark/>
          </w:tcPr>
          <w:p w14:paraId="61CBA4B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5C7BBBE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37" w:type="pct"/>
            <w:tcBorders>
              <w:top w:val="nil"/>
              <w:left w:val="nil"/>
              <w:bottom w:val="single" w:sz="4" w:space="0" w:color="auto"/>
              <w:right w:val="single" w:sz="4" w:space="0" w:color="auto"/>
            </w:tcBorders>
            <w:noWrap/>
            <w:vAlign w:val="bottom"/>
            <w:hideMark/>
          </w:tcPr>
          <w:p w14:paraId="11E5681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6" w:type="pct"/>
            <w:tcBorders>
              <w:top w:val="nil"/>
              <w:left w:val="nil"/>
              <w:bottom w:val="single" w:sz="4" w:space="0" w:color="auto"/>
              <w:right w:val="single" w:sz="4" w:space="0" w:color="auto"/>
            </w:tcBorders>
            <w:noWrap/>
            <w:vAlign w:val="bottom"/>
            <w:hideMark/>
          </w:tcPr>
          <w:p w14:paraId="28D5F60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13.199,47</w:t>
            </w:r>
          </w:p>
        </w:tc>
        <w:tc>
          <w:tcPr>
            <w:tcW w:w="534" w:type="pct"/>
            <w:tcBorders>
              <w:top w:val="nil"/>
              <w:left w:val="nil"/>
              <w:bottom w:val="single" w:sz="4" w:space="0" w:color="auto"/>
              <w:right w:val="single" w:sz="4" w:space="0" w:color="auto"/>
            </w:tcBorders>
            <w:noWrap/>
            <w:vAlign w:val="bottom"/>
            <w:hideMark/>
          </w:tcPr>
          <w:p w14:paraId="334CE1B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13.476,66</w:t>
            </w:r>
          </w:p>
        </w:tc>
        <w:tc>
          <w:tcPr>
            <w:tcW w:w="437" w:type="pct"/>
            <w:tcBorders>
              <w:top w:val="nil"/>
              <w:left w:val="nil"/>
              <w:bottom w:val="single" w:sz="4" w:space="0" w:color="auto"/>
              <w:right w:val="single" w:sz="4" w:space="0" w:color="auto"/>
            </w:tcBorders>
            <w:noWrap/>
            <w:vAlign w:val="bottom"/>
            <w:hideMark/>
          </w:tcPr>
          <w:p w14:paraId="277CA5B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AF14A51" w14:textId="77777777" w:rsidTr="004A6E4D">
        <w:trPr>
          <w:trHeight w:val="227"/>
        </w:trPr>
        <w:tc>
          <w:tcPr>
            <w:tcW w:w="1358" w:type="pct"/>
            <w:tcBorders>
              <w:top w:val="nil"/>
              <w:left w:val="single" w:sz="4" w:space="0" w:color="auto"/>
              <w:bottom w:val="single" w:sz="4" w:space="0" w:color="auto"/>
              <w:right w:val="single" w:sz="4" w:space="0" w:color="auto"/>
            </w:tcBorders>
            <w:shd w:val="clear" w:color="000000" w:fill="D9D9D9"/>
            <w:vAlign w:val="bottom"/>
            <w:hideMark/>
          </w:tcPr>
          <w:p w14:paraId="6EDF0B52"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z davkom na dodano vrednost</w:t>
            </w:r>
          </w:p>
        </w:tc>
        <w:tc>
          <w:tcPr>
            <w:tcW w:w="535" w:type="pct"/>
            <w:tcBorders>
              <w:top w:val="nil"/>
              <w:left w:val="nil"/>
              <w:bottom w:val="single" w:sz="4" w:space="0" w:color="auto"/>
              <w:right w:val="single" w:sz="4" w:space="0" w:color="auto"/>
            </w:tcBorders>
            <w:shd w:val="clear" w:color="000000" w:fill="D9D9D9"/>
            <w:noWrap/>
            <w:vAlign w:val="bottom"/>
            <w:hideMark/>
          </w:tcPr>
          <w:p w14:paraId="7DC24398"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3.661.310,43</w:t>
            </w:r>
          </w:p>
        </w:tc>
        <w:tc>
          <w:tcPr>
            <w:tcW w:w="339" w:type="pct"/>
            <w:tcBorders>
              <w:top w:val="nil"/>
              <w:left w:val="nil"/>
              <w:bottom w:val="single" w:sz="4" w:space="0" w:color="auto"/>
              <w:right w:val="single" w:sz="4" w:space="0" w:color="auto"/>
            </w:tcBorders>
            <w:shd w:val="clear" w:color="000000" w:fill="D9D9D9"/>
            <w:noWrap/>
            <w:vAlign w:val="bottom"/>
            <w:hideMark/>
          </w:tcPr>
          <w:p w14:paraId="20A81355"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100,00%</w:t>
            </w:r>
          </w:p>
        </w:tc>
        <w:tc>
          <w:tcPr>
            <w:tcW w:w="437" w:type="pct"/>
            <w:tcBorders>
              <w:top w:val="nil"/>
              <w:left w:val="nil"/>
              <w:bottom w:val="single" w:sz="4" w:space="0" w:color="auto"/>
              <w:right w:val="single" w:sz="4" w:space="0" w:color="auto"/>
            </w:tcBorders>
            <w:shd w:val="clear" w:color="000000" w:fill="D9D9D9"/>
            <w:noWrap/>
            <w:vAlign w:val="bottom"/>
            <w:hideMark/>
          </w:tcPr>
          <w:p w14:paraId="6AFA7A1E"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437" w:type="pct"/>
            <w:tcBorders>
              <w:top w:val="nil"/>
              <w:left w:val="nil"/>
              <w:bottom w:val="single" w:sz="4" w:space="0" w:color="auto"/>
              <w:right w:val="single" w:sz="4" w:space="0" w:color="auto"/>
            </w:tcBorders>
            <w:shd w:val="clear" w:color="000000" w:fill="D9D9D9"/>
            <w:noWrap/>
            <w:vAlign w:val="bottom"/>
            <w:hideMark/>
          </w:tcPr>
          <w:p w14:paraId="262BD3BA"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37" w:type="pct"/>
            <w:tcBorders>
              <w:top w:val="nil"/>
              <w:left w:val="nil"/>
              <w:bottom w:val="single" w:sz="4" w:space="0" w:color="auto"/>
              <w:right w:val="single" w:sz="4" w:space="0" w:color="auto"/>
            </w:tcBorders>
            <w:shd w:val="clear" w:color="000000" w:fill="D9D9D9"/>
            <w:noWrap/>
            <w:vAlign w:val="bottom"/>
            <w:hideMark/>
          </w:tcPr>
          <w:p w14:paraId="7A663FBD"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741.807,21</w:t>
            </w:r>
          </w:p>
        </w:tc>
        <w:tc>
          <w:tcPr>
            <w:tcW w:w="486" w:type="pct"/>
            <w:tcBorders>
              <w:top w:val="nil"/>
              <w:left w:val="nil"/>
              <w:bottom w:val="single" w:sz="4" w:space="0" w:color="auto"/>
              <w:right w:val="single" w:sz="4" w:space="0" w:color="auto"/>
            </w:tcBorders>
            <w:shd w:val="clear" w:color="000000" w:fill="D9D9D9"/>
            <w:noWrap/>
            <w:vAlign w:val="bottom"/>
            <w:hideMark/>
          </w:tcPr>
          <w:p w14:paraId="3FA8263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857.768,13</w:t>
            </w:r>
          </w:p>
        </w:tc>
        <w:tc>
          <w:tcPr>
            <w:tcW w:w="534" w:type="pct"/>
            <w:tcBorders>
              <w:top w:val="nil"/>
              <w:left w:val="nil"/>
              <w:bottom w:val="single" w:sz="4" w:space="0" w:color="auto"/>
              <w:right w:val="single" w:sz="4" w:space="0" w:color="auto"/>
            </w:tcBorders>
            <w:shd w:val="clear" w:color="000000" w:fill="D9D9D9"/>
            <w:noWrap/>
            <w:vAlign w:val="bottom"/>
            <w:hideMark/>
          </w:tcPr>
          <w:p w14:paraId="30CE6C23"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1.463.774,22</w:t>
            </w:r>
          </w:p>
        </w:tc>
        <w:tc>
          <w:tcPr>
            <w:tcW w:w="437" w:type="pct"/>
            <w:tcBorders>
              <w:top w:val="nil"/>
              <w:left w:val="nil"/>
              <w:bottom w:val="single" w:sz="4" w:space="0" w:color="auto"/>
              <w:right w:val="single" w:sz="4" w:space="0" w:color="auto"/>
            </w:tcBorders>
            <w:shd w:val="clear" w:color="000000" w:fill="D9D9D9"/>
            <w:noWrap/>
            <w:vAlign w:val="bottom"/>
            <w:hideMark/>
          </w:tcPr>
          <w:p w14:paraId="7A174CF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192.496,18</w:t>
            </w:r>
          </w:p>
        </w:tc>
      </w:tr>
      <w:tr w:rsidR="004A6E4D" w:rsidRPr="004A6E4D" w14:paraId="6FA3C1D7" w14:textId="77777777" w:rsidTr="004A6E4D">
        <w:trPr>
          <w:trHeight w:val="227"/>
        </w:trPr>
        <w:tc>
          <w:tcPr>
            <w:tcW w:w="1358" w:type="pct"/>
            <w:tcBorders>
              <w:top w:val="nil"/>
              <w:left w:val="single" w:sz="4" w:space="0" w:color="auto"/>
              <w:bottom w:val="single" w:sz="4" w:space="0" w:color="auto"/>
              <w:right w:val="single" w:sz="4" w:space="0" w:color="auto"/>
            </w:tcBorders>
            <w:shd w:val="clear" w:color="000000" w:fill="D9D9D9"/>
            <w:vAlign w:val="bottom"/>
            <w:hideMark/>
          </w:tcPr>
          <w:p w14:paraId="45BCFF7C"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 xml:space="preserve">Skupaj z </w:t>
            </w:r>
            <w:proofErr w:type="spellStart"/>
            <w:r w:rsidRPr="004A6E4D">
              <w:rPr>
                <w:rFonts w:ascii="Arial" w:hAnsi="Arial" w:cs="Arial"/>
                <w:b/>
                <w:bCs/>
                <w:color w:val="000000"/>
                <w:sz w:val="20"/>
                <w:szCs w:val="20"/>
              </w:rPr>
              <w:t>nepovračljivim</w:t>
            </w:r>
            <w:proofErr w:type="spellEnd"/>
            <w:r w:rsidRPr="004A6E4D">
              <w:rPr>
                <w:rFonts w:ascii="Arial" w:hAnsi="Arial" w:cs="Arial"/>
                <w:b/>
                <w:bCs/>
                <w:color w:val="000000"/>
                <w:sz w:val="20"/>
                <w:szCs w:val="20"/>
              </w:rPr>
              <w:t xml:space="preserve"> davkom na dodano vrednost</w:t>
            </w:r>
          </w:p>
        </w:tc>
        <w:tc>
          <w:tcPr>
            <w:tcW w:w="535" w:type="pct"/>
            <w:tcBorders>
              <w:top w:val="nil"/>
              <w:left w:val="nil"/>
              <w:bottom w:val="single" w:sz="4" w:space="0" w:color="auto"/>
              <w:right w:val="single" w:sz="4" w:space="0" w:color="auto"/>
            </w:tcBorders>
            <w:shd w:val="clear" w:color="000000" w:fill="D9D9D9"/>
            <w:noWrap/>
            <w:vAlign w:val="bottom"/>
            <w:hideMark/>
          </w:tcPr>
          <w:p w14:paraId="7EA20DD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3.634.634,30</w:t>
            </w:r>
          </w:p>
        </w:tc>
        <w:tc>
          <w:tcPr>
            <w:tcW w:w="339" w:type="pct"/>
            <w:tcBorders>
              <w:top w:val="nil"/>
              <w:left w:val="nil"/>
              <w:bottom w:val="single" w:sz="4" w:space="0" w:color="auto"/>
              <w:right w:val="single" w:sz="4" w:space="0" w:color="auto"/>
            </w:tcBorders>
            <w:shd w:val="clear" w:color="000000" w:fill="D9D9D9"/>
            <w:noWrap/>
            <w:vAlign w:val="bottom"/>
            <w:hideMark/>
          </w:tcPr>
          <w:p w14:paraId="29F9CA1F"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99,27%</w:t>
            </w:r>
          </w:p>
        </w:tc>
        <w:tc>
          <w:tcPr>
            <w:tcW w:w="437" w:type="pct"/>
            <w:tcBorders>
              <w:top w:val="nil"/>
              <w:left w:val="nil"/>
              <w:bottom w:val="single" w:sz="4" w:space="0" w:color="auto"/>
              <w:right w:val="single" w:sz="4" w:space="0" w:color="auto"/>
            </w:tcBorders>
            <w:shd w:val="clear" w:color="000000" w:fill="D9D9D9"/>
            <w:noWrap/>
            <w:vAlign w:val="bottom"/>
            <w:hideMark/>
          </w:tcPr>
          <w:p w14:paraId="6ECBD902"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437" w:type="pct"/>
            <w:tcBorders>
              <w:top w:val="nil"/>
              <w:left w:val="nil"/>
              <w:bottom w:val="single" w:sz="4" w:space="0" w:color="auto"/>
              <w:right w:val="single" w:sz="4" w:space="0" w:color="auto"/>
            </w:tcBorders>
            <w:shd w:val="clear" w:color="000000" w:fill="D9D9D9"/>
            <w:noWrap/>
            <w:vAlign w:val="bottom"/>
            <w:hideMark/>
          </w:tcPr>
          <w:p w14:paraId="1D51021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37" w:type="pct"/>
            <w:tcBorders>
              <w:top w:val="nil"/>
              <w:left w:val="nil"/>
              <w:bottom w:val="single" w:sz="4" w:space="0" w:color="auto"/>
              <w:right w:val="single" w:sz="4" w:space="0" w:color="auto"/>
            </w:tcBorders>
            <w:shd w:val="clear" w:color="000000" w:fill="D9D9D9"/>
            <w:noWrap/>
            <w:vAlign w:val="bottom"/>
            <w:hideMark/>
          </w:tcPr>
          <w:p w14:paraId="47C9D03F"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741.807,21</w:t>
            </w:r>
          </w:p>
        </w:tc>
        <w:tc>
          <w:tcPr>
            <w:tcW w:w="486" w:type="pct"/>
            <w:tcBorders>
              <w:top w:val="nil"/>
              <w:left w:val="nil"/>
              <w:bottom w:val="single" w:sz="4" w:space="0" w:color="auto"/>
              <w:right w:val="single" w:sz="4" w:space="0" w:color="auto"/>
            </w:tcBorders>
            <w:shd w:val="clear" w:color="000000" w:fill="D9D9D9"/>
            <w:noWrap/>
            <w:vAlign w:val="bottom"/>
            <w:hideMark/>
          </w:tcPr>
          <w:p w14:paraId="2446DAF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844.568,66</w:t>
            </w:r>
          </w:p>
        </w:tc>
        <w:tc>
          <w:tcPr>
            <w:tcW w:w="534" w:type="pct"/>
            <w:tcBorders>
              <w:top w:val="nil"/>
              <w:left w:val="nil"/>
              <w:bottom w:val="single" w:sz="4" w:space="0" w:color="auto"/>
              <w:right w:val="single" w:sz="4" w:space="0" w:color="auto"/>
            </w:tcBorders>
            <w:shd w:val="clear" w:color="000000" w:fill="D9D9D9"/>
            <w:noWrap/>
            <w:vAlign w:val="bottom"/>
            <w:hideMark/>
          </w:tcPr>
          <w:p w14:paraId="4D4A82DB"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1.450.297,56</w:t>
            </w:r>
          </w:p>
        </w:tc>
        <w:tc>
          <w:tcPr>
            <w:tcW w:w="437" w:type="pct"/>
            <w:tcBorders>
              <w:top w:val="nil"/>
              <w:left w:val="nil"/>
              <w:bottom w:val="single" w:sz="4" w:space="0" w:color="auto"/>
              <w:right w:val="single" w:sz="4" w:space="0" w:color="auto"/>
            </w:tcBorders>
            <w:shd w:val="clear" w:color="000000" w:fill="D9D9D9"/>
            <w:noWrap/>
            <w:vAlign w:val="bottom"/>
            <w:hideMark/>
          </w:tcPr>
          <w:p w14:paraId="3E8AD89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192.496,18</w:t>
            </w:r>
          </w:p>
        </w:tc>
      </w:tr>
    </w:tbl>
    <w:p w14:paraId="577D1B74" w14:textId="77777777" w:rsidR="004A6E4D" w:rsidRDefault="004A6E4D" w:rsidP="006154DD">
      <w:pPr>
        <w:spacing w:after="120" w:line="276" w:lineRule="auto"/>
        <w:ind w:left="1410" w:hanging="1410"/>
        <w:jc w:val="both"/>
        <w:rPr>
          <w:rFonts w:ascii="Arial" w:hAnsi="Arial" w:cs="Arial"/>
          <w:sz w:val="22"/>
          <w:szCs w:val="22"/>
        </w:rPr>
      </w:pPr>
    </w:p>
    <w:p w14:paraId="363552AE" w14:textId="77777777" w:rsidR="004A6E4D" w:rsidRDefault="004A6E4D" w:rsidP="006154DD">
      <w:pPr>
        <w:spacing w:after="120" w:line="276" w:lineRule="auto"/>
        <w:ind w:left="1410" w:hanging="1410"/>
        <w:jc w:val="both"/>
        <w:rPr>
          <w:rFonts w:ascii="Arial" w:hAnsi="Arial" w:cs="Arial"/>
          <w:sz w:val="22"/>
          <w:szCs w:val="22"/>
        </w:rPr>
      </w:pPr>
    </w:p>
    <w:p w14:paraId="14341D62" w14:textId="77777777" w:rsidR="004A6E4D" w:rsidRDefault="004A6E4D" w:rsidP="006154DD">
      <w:pPr>
        <w:spacing w:after="120" w:line="276" w:lineRule="auto"/>
        <w:ind w:left="1410" w:hanging="1410"/>
        <w:jc w:val="both"/>
        <w:rPr>
          <w:rFonts w:ascii="Arial" w:hAnsi="Arial" w:cs="Arial"/>
          <w:sz w:val="22"/>
          <w:szCs w:val="22"/>
        </w:rPr>
      </w:pPr>
    </w:p>
    <w:p w14:paraId="6DF56BF4" w14:textId="77777777" w:rsidR="004A6E4D" w:rsidRDefault="004A6E4D" w:rsidP="006154DD">
      <w:pPr>
        <w:spacing w:after="120" w:line="276" w:lineRule="auto"/>
        <w:ind w:left="1410" w:hanging="1410"/>
        <w:jc w:val="both"/>
        <w:rPr>
          <w:rFonts w:ascii="Arial" w:hAnsi="Arial" w:cs="Arial"/>
          <w:sz w:val="22"/>
          <w:szCs w:val="22"/>
        </w:rPr>
      </w:pPr>
    </w:p>
    <w:p w14:paraId="7C767956" w14:textId="77777777" w:rsidR="004A6E4D" w:rsidRDefault="004A6E4D" w:rsidP="006154DD">
      <w:pPr>
        <w:spacing w:after="120" w:line="276" w:lineRule="auto"/>
        <w:ind w:left="1410" w:hanging="1410"/>
        <w:jc w:val="both"/>
        <w:rPr>
          <w:rFonts w:ascii="Arial" w:hAnsi="Arial" w:cs="Arial"/>
          <w:sz w:val="22"/>
          <w:szCs w:val="22"/>
        </w:rPr>
      </w:pPr>
    </w:p>
    <w:p w14:paraId="01BABE26" w14:textId="77777777" w:rsidR="004A6E4D" w:rsidRDefault="004A6E4D" w:rsidP="006154DD">
      <w:pPr>
        <w:spacing w:after="120" w:line="276" w:lineRule="auto"/>
        <w:ind w:left="1410" w:hanging="1410"/>
        <w:jc w:val="both"/>
        <w:rPr>
          <w:rFonts w:ascii="Arial" w:hAnsi="Arial" w:cs="Arial"/>
          <w:sz w:val="22"/>
          <w:szCs w:val="22"/>
        </w:rPr>
      </w:pPr>
    </w:p>
    <w:p w14:paraId="5A6A40F7" w14:textId="25CD3B9C" w:rsidR="006154DD" w:rsidRDefault="006154DD" w:rsidP="006154DD">
      <w:pPr>
        <w:spacing w:after="200" w:line="276" w:lineRule="auto"/>
        <w:rPr>
          <w:rFonts w:ascii="Arial" w:hAnsi="Arial" w:cs="Arial"/>
          <w:sz w:val="22"/>
          <w:szCs w:val="22"/>
        </w:rPr>
      </w:pPr>
      <w:bookmarkStart w:id="291" w:name="_Toc209029187"/>
      <w:bookmarkStart w:id="292" w:name="_Toc209277219"/>
      <w:bookmarkStart w:id="293" w:name="_Toc209528303"/>
      <w:r w:rsidRPr="00BC0DCF">
        <w:rPr>
          <w:rFonts w:ascii="Arial" w:hAnsi="Arial" w:cs="Arial"/>
          <w:b/>
          <w:sz w:val="22"/>
          <w:szCs w:val="22"/>
        </w:rPr>
        <w:lastRenderedPageBreak/>
        <w:t xml:space="preserve">Tabela </w:t>
      </w:r>
      <w:r w:rsidRPr="00BC0DCF">
        <w:rPr>
          <w:rFonts w:ascii="Arial" w:hAnsi="Arial" w:cs="Arial"/>
          <w:b/>
          <w:sz w:val="22"/>
          <w:szCs w:val="22"/>
        </w:rPr>
        <w:fldChar w:fldCharType="begin"/>
      </w:r>
      <w:r w:rsidRPr="00BC0DCF">
        <w:rPr>
          <w:rFonts w:ascii="Arial" w:hAnsi="Arial" w:cs="Arial"/>
          <w:b/>
          <w:sz w:val="22"/>
          <w:szCs w:val="22"/>
        </w:rPr>
        <w:instrText xml:space="preserve"> SEQ Tabela \* ARABIC </w:instrText>
      </w:r>
      <w:r w:rsidRPr="00BC0DCF">
        <w:rPr>
          <w:rFonts w:ascii="Arial" w:hAnsi="Arial" w:cs="Arial"/>
          <w:b/>
          <w:sz w:val="22"/>
          <w:szCs w:val="22"/>
        </w:rPr>
        <w:fldChar w:fldCharType="separate"/>
      </w:r>
      <w:r w:rsidR="00E74D26">
        <w:rPr>
          <w:rFonts w:ascii="Arial" w:hAnsi="Arial" w:cs="Arial"/>
          <w:b/>
          <w:noProof/>
          <w:sz w:val="22"/>
          <w:szCs w:val="22"/>
        </w:rPr>
        <w:t>17</w:t>
      </w:r>
      <w:r w:rsidRPr="00BC0DCF">
        <w:rPr>
          <w:rFonts w:ascii="Arial" w:hAnsi="Arial" w:cs="Arial"/>
          <w:b/>
          <w:sz w:val="22"/>
          <w:szCs w:val="22"/>
        </w:rPr>
        <w:fldChar w:fldCharType="end"/>
      </w:r>
      <w:r w:rsidRPr="00BC0DCF">
        <w:rPr>
          <w:rFonts w:ascii="Arial" w:hAnsi="Arial" w:cs="Arial"/>
          <w:b/>
          <w:sz w:val="22"/>
          <w:szCs w:val="22"/>
        </w:rPr>
        <w:t xml:space="preserve">: </w:t>
      </w:r>
      <w:r w:rsidRPr="00BC0DCF">
        <w:rPr>
          <w:rFonts w:ascii="Arial" w:hAnsi="Arial" w:cs="Arial"/>
          <w:sz w:val="22"/>
          <w:szCs w:val="22"/>
        </w:rPr>
        <w:t>Dinamika financiranja v tekočih cenah</w:t>
      </w:r>
      <w:bookmarkEnd w:id="291"/>
      <w:bookmarkEnd w:id="292"/>
      <w:bookmarkEnd w:id="293"/>
    </w:p>
    <w:tbl>
      <w:tblPr>
        <w:tblW w:w="5000" w:type="pct"/>
        <w:tblCellMar>
          <w:left w:w="70" w:type="dxa"/>
          <w:right w:w="70" w:type="dxa"/>
        </w:tblCellMar>
        <w:tblLook w:val="04A0" w:firstRow="1" w:lastRow="0" w:firstColumn="1" w:lastColumn="0" w:noHBand="0" w:noVBand="1"/>
      </w:tblPr>
      <w:tblGrid>
        <w:gridCol w:w="2976"/>
        <w:gridCol w:w="1433"/>
        <w:gridCol w:w="1293"/>
        <w:gridCol w:w="1416"/>
        <w:gridCol w:w="1593"/>
        <w:gridCol w:w="1365"/>
        <w:gridCol w:w="1331"/>
        <w:gridCol w:w="1505"/>
        <w:gridCol w:w="1365"/>
      </w:tblGrid>
      <w:tr w:rsidR="002E10AB" w:rsidRPr="002E10AB" w14:paraId="2F4143CA" w14:textId="77777777" w:rsidTr="002E10AB">
        <w:trPr>
          <w:trHeight w:val="300"/>
        </w:trPr>
        <w:tc>
          <w:tcPr>
            <w:tcW w:w="1042" w:type="pct"/>
            <w:tcBorders>
              <w:top w:val="single" w:sz="4" w:space="0" w:color="auto"/>
              <w:left w:val="single" w:sz="4" w:space="0" w:color="auto"/>
              <w:bottom w:val="single" w:sz="4" w:space="0" w:color="auto"/>
              <w:right w:val="single" w:sz="4" w:space="0" w:color="auto"/>
            </w:tcBorders>
            <w:shd w:val="clear" w:color="000000" w:fill="0B3040"/>
            <w:vAlign w:val="bottom"/>
            <w:hideMark/>
          </w:tcPr>
          <w:p w14:paraId="521DCC6A"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VIRI FINANCIRANJA</w:t>
            </w:r>
          </w:p>
        </w:tc>
        <w:tc>
          <w:tcPr>
            <w:tcW w:w="502" w:type="pct"/>
            <w:tcBorders>
              <w:top w:val="single" w:sz="4" w:space="0" w:color="auto"/>
              <w:left w:val="nil"/>
              <w:bottom w:val="single" w:sz="4" w:space="0" w:color="auto"/>
              <w:right w:val="single" w:sz="4" w:space="0" w:color="auto"/>
            </w:tcBorders>
            <w:shd w:val="clear" w:color="000000" w:fill="0B3040"/>
            <w:noWrap/>
            <w:vAlign w:val="bottom"/>
            <w:hideMark/>
          </w:tcPr>
          <w:p w14:paraId="5C37ED53"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SKUPAJ</w:t>
            </w:r>
          </w:p>
        </w:tc>
        <w:tc>
          <w:tcPr>
            <w:tcW w:w="453" w:type="pct"/>
            <w:tcBorders>
              <w:top w:val="single" w:sz="4" w:space="0" w:color="auto"/>
              <w:left w:val="nil"/>
              <w:bottom w:val="single" w:sz="4" w:space="0" w:color="auto"/>
              <w:right w:val="single" w:sz="4" w:space="0" w:color="auto"/>
            </w:tcBorders>
            <w:shd w:val="clear" w:color="000000" w:fill="0B3040"/>
            <w:noWrap/>
            <w:vAlign w:val="bottom"/>
            <w:hideMark/>
          </w:tcPr>
          <w:p w14:paraId="68987BCA" w14:textId="77777777" w:rsidR="002E10AB" w:rsidRPr="002E10AB" w:rsidRDefault="002E10AB">
            <w:pPr>
              <w:rPr>
                <w:rFonts w:ascii="Arial" w:hAnsi="Arial" w:cs="Arial"/>
                <w:b/>
                <w:bCs/>
                <w:color w:val="FFFFFF"/>
                <w:sz w:val="20"/>
                <w:szCs w:val="20"/>
              </w:rPr>
            </w:pPr>
            <w:r w:rsidRPr="002E10AB">
              <w:rPr>
                <w:rFonts w:ascii="Arial" w:hAnsi="Arial" w:cs="Arial"/>
                <w:b/>
                <w:bCs/>
                <w:color w:val="FFFFFF"/>
                <w:sz w:val="20"/>
                <w:szCs w:val="20"/>
              </w:rPr>
              <w:t>DELEŽ</w:t>
            </w:r>
          </w:p>
        </w:tc>
        <w:tc>
          <w:tcPr>
            <w:tcW w:w="496" w:type="pct"/>
            <w:tcBorders>
              <w:top w:val="single" w:sz="4" w:space="0" w:color="auto"/>
              <w:left w:val="nil"/>
              <w:bottom w:val="single" w:sz="4" w:space="0" w:color="auto"/>
              <w:right w:val="single" w:sz="4" w:space="0" w:color="auto"/>
            </w:tcBorders>
            <w:shd w:val="clear" w:color="000000" w:fill="0B3040"/>
            <w:noWrap/>
            <w:vAlign w:val="bottom"/>
            <w:hideMark/>
          </w:tcPr>
          <w:p w14:paraId="3CD1F124"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2024</w:t>
            </w:r>
          </w:p>
        </w:tc>
        <w:tc>
          <w:tcPr>
            <w:tcW w:w="558" w:type="pct"/>
            <w:tcBorders>
              <w:top w:val="single" w:sz="4" w:space="0" w:color="auto"/>
              <w:left w:val="nil"/>
              <w:bottom w:val="single" w:sz="4" w:space="0" w:color="auto"/>
              <w:right w:val="single" w:sz="4" w:space="0" w:color="auto"/>
            </w:tcBorders>
            <w:shd w:val="clear" w:color="000000" w:fill="0B3040"/>
            <w:noWrap/>
            <w:vAlign w:val="bottom"/>
            <w:hideMark/>
          </w:tcPr>
          <w:p w14:paraId="5D1CB61D"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2025</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31834DAE"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2026</w:t>
            </w:r>
          </w:p>
        </w:tc>
        <w:tc>
          <w:tcPr>
            <w:tcW w:w="466" w:type="pct"/>
            <w:tcBorders>
              <w:top w:val="single" w:sz="4" w:space="0" w:color="auto"/>
              <w:left w:val="nil"/>
              <w:bottom w:val="single" w:sz="4" w:space="0" w:color="auto"/>
              <w:right w:val="single" w:sz="4" w:space="0" w:color="auto"/>
            </w:tcBorders>
            <w:shd w:val="clear" w:color="000000" w:fill="0B3040"/>
            <w:noWrap/>
            <w:vAlign w:val="bottom"/>
            <w:hideMark/>
          </w:tcPr>
          <w:p w14:paraId="1547C935"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2027</w:t>
            </w:r>
          </w:p>
        </w:tc>
        <w:tc>
          <w:tcPr>
            <w:tcW w:w="527" w:type="pct"/>
            <w:tcBorders>
              <w:top w:val="single" w:sz="4" w:space="0" w:color="auto"/>
              <w:left w:val="nil"/>
              <w:bottom w:val="single" w:sz="4" w:space="0" w:color="auto"/>
              <w:right w:val="single" w:sz="4" w:space="0" w:color="auto"/>
            </w:tcBorders>
            <w:shd w:val="clear" w:color="000000" w:fill="0B3040"/>
            <w:noWrap/>
            <w:vAlign w:val="bottom"/>
            <w:hideMark/>
          </w:tcPr>
          <w:p w14:paraId="7DFEA42E"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2028</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2CED862D" w14:textId="77777777" w:rsidR="002E10AB" w:rsidRPr="002E10AB" w:rsidRDefault="002E10AB">
            <w:pPr>
              <w:jc w:val="right"/>
              <w:rPr>
                <w:rFonts w:ascii="Arial" w:hAnsi="Arial" w:cs="Arial"/>
                <w:b/>
                <w:bCs/>
                <w:color w:val="FFFFFF"/>
                <w:sz w:val="20"/>
                <w:szCs w:val="20"/>
              </w:rPr>
            </w:pPr>
            <w:r w:rsidRPr="002E10AB">
              <w:rPr>
                <w:rFonts w:ascii="Arial" w:hAnsi="Arial" w:cs="Arial"/>
                <w:b/>
                <w:bCs/>
                <w:color w:val="FFFFFF"/>
                <w:sz w:val="20"/>
                <w:szCs w:val="20"/>
              </w:rPr>
              <w:t>2029</w:t>
            </w:r>
          </w:p>
        </w:tc>
      </w:tr>
      <w:tr w:rsidR="002E10AB" w:rsidRPr="002E10AB" w14:paraId="09B15F81"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75D2753F"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25E8DC10"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2.472.020,11</w:t>
            </w:r>
          </w:p>
        </w:tc>
        <w:tc>
          <w:tcPr>
            <w:tcW w:w="453" w:type="pct"/>
            <w:tcBorders>
              <w:top w:val="nil"/>
              <w:left w:val="nil"/>
              <w:bottom w:val="single" w:sz="4" w:space="0" w:color="auto"/>
              <w:right w:val="single" w:sz="4" w:space="0" w:color="auto"/>
            </w:tcBorders>
            <w:shd w:val="clear" w:color="000000" w:fill="D9D9D9"/>
            <w:noWrap/>
            <w:vAlign w:val="bottom"/>
            <w:hideMark/>
          </w:tcPr>
          <w:p w14:paraId="714F141F"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67,52%</w:t>
            </w:r>
          </w:p>
        </w:tc>
        <w:tc>
          <w:tcPr>
            <w:tcW w:w="496" w:type="pct"/>
            <w:tcBorders>
              <w:top w:val="nil"/>
              <w:left w:val="nil"/>
              <w:bottom w:val="single" w:sz="4" w:space="0" w:color="auto"/>
              <w:right w:val="single" w:sz="4" w:space="0" w:color="auto"/>
            </w:tcBorders>
            <w:shd w:val="clear" w:color="000000" w:fill="D9D9D9"/>
            <w:noWrap/>
            <w:vAlign w:val="bottom"/>
            <w:hideMark/>
          </w:tcPr>
          <w:p w14:paraId="01C3DFF4"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9.638,00</w:t>
            </w:r>
          </w:p>
        </w:tc>
        <w:tc>
          <w:tcPr>
            <w:tcW w:w="558" w:type="pct"/>
            <w:tcBorders>
              <w:top w:val="nil"/>
              <w:left w:val="nil"/>
              <w:bottom w:val="single" w:sz="4" w:space="0" w:color="auto"/>
              <w:right w:val="single" w:sz="4" w:space="0" w:color="auto"/>
            </w:tcBorders>
            <w:shd w:val="clear" w:color="000000" w:fill="D9D9D9"/>
            <w:noWrap/>
            <w:vAlign w:val="bottom"/>
            <w:hideMark/>
          </w:tcPr>
          <w:p w14:paraId="52733C53"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105.283,67</w:t>
            </w:r>
          </w:p>
        </w:tc>
        <w:tc>
          <w:tcPr>
            <w:tcW w:w="478" w:type="pct"/>
            <w:tcBorders>
              <w:top w:val="nil"/>
              <w:left w:val="nil"/>
              <w:bottom w:val="single" w:sz="4" w:space="0" w:color="auto"/>
              <w:right w:val="single" w:sz="4" w:space="0" w:color="auto"/>
            </w:tcBorders>
            <w:shd w:val="clear" w:color="000000" w:fill="D9D9D9"/>
            <w:noWrap/>
            <w:vAlign w:val="bottom"/>
            <w:hideMark/>
          </w:tcPr>
          <w:p w14:paraId="29DE2E32"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741.807,21</w:t>
            </w:r>
          </w:p>
        </w:tc>
        <w:tc>
          <w:tcPr>
            <w:tcW w:w="466" w:type="pct"/>
            <w:tcBorders>
              <w:top w:val="nil"/>
              <w:left w:val="nil"/>
              <w:bottom w:val="single" w:sz="4" w:space="0" w:color="auto"/>
              <w:right w:val="single" w:sz="4" w:space="0" w:color="auto"/>
            </w:tcBorders>
            <w:shd w:val="clear" w:color="000000" w:fill="D9D9D9"/>
            <w:noWrap/>
            <w:vAlign w:val="bottom"/>
            <w:hideMark/>
          </w:tcPr>
          <w:p w14:paraId="4B9F102D"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844.568,66</w:t>
            </w:r>
          </w:p>
        </w:tc>
        <w:tc>
          <w:tcPr>
            <w:tcW w:w="527" w:type="pct"/>
            <w:tcBorders>
              <w:top w:val="nil"/>
              <w:left w:val="nil"/>
              <w:bottom w:val="single" w:sz="4" w:space="0" w:color="auto"/>
              <w:right w:val="single" w:sz="4" w:space="0" w:color="auto"/>
            </w:tcBorders>
            <w:shd w:val="clear" w:color="000000" w:fill="D9D9D9"/>
            <w:noWrap/>
            <w:vAlign w:val="bottom"/>
            <w:hideMark/>
          </w:tcPr>
          <w:p w14:paraId="303C6A49"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756.503,15</w:t>
            </w:r>
          </w:p>
        </w:tc>
        <w:tc>
          <w:tcPr>
            <w:tcW w:w="478" w:type="pct"/>
            <w:tcBorders>
              <w:top w:val="nil"/>
              <w:left w:val="nil"/>
              <w:bottom w:val="single" w:sz="4" w:space="0" w:color="auto"/>
              <w:right w:val="single" w:sz="4" w:space="0" w:color="auto"/>
            </w:tcBorders>
            <w:shd w:val="clear" w:color="000000" w:fill="D9D9D9"/>
            <w:noWrap/>
            <w:vAlign w:val="bottom"/>
            <w:hideMark/>
          </w:tcPr>
          <w:p w14:paraId="18C6477E"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14.219,42</w:t>
            </w:r>
          </w:p>
        </w:tc>
      </w:tr>
      <w:tr w:rsidR="002E10AB" w:rsidRPr="002E10AB" w14:paraId="4C1521D7"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74A98A36"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27283C3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1.680.973,67</w:t>
            </w:r>
          </w:p>
        </w:tc>
        <w:tc>
          <w:tcPr>
            <w:tcW w:w="453" w:type="pct"/>
            <w:tcBorders>
              <w:top w:val="nil"/>
              <w:left w:val="nil"/>
              <w:bottom w:val="single" w:sz="4" w:space="0" w:color="auto"/>
              <w:right w:val="single" w:sz="4" w:space="0" w:color="auto"/>
            </w:tcBorders>
            <w:noWrap/>
            <w:vAlign w:val="bottom"/>
            <w:hideMark/>
          </w:tcPr>
          <w:p w14:paraId="4D9AFAE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45,91%</w:t>
            </w:r>
          </w:p>
        </w:tc>
        <w:tc>
          <w:tcPr>
            <w:tcW w:w="496" w:type="pct"/>
            <w:tcBorders>
              <w:top w:val="nil"/>
              <w:left w:val="nil"/>
              <w:bottom w:val="single" w:sz="4" w:space="0" w:color="auto"/>
              <w:right w:val="single" w:sz="4" w:space="0" w:color="auto"/>
            </w:tcBorders>
            <w:noWrap/>
            <w:vAlign w:val="bottom"/>
            <w:hideMark/>
          </w:tcPr>
          <w:p w14:paraId="4D98192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5F08DD1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72163D2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504.428,90</w:t>
            </w:r>
          </w:p>
        </w:tc>
        <w:tc>
          <w:tcPr>
            <w:tcW w:w="466" w:type="pct"/>
            <w:tcBorders>
              <w:top w:val="nil"/>
              <w:left w:val="nil"/>
              <w:bottom w:val="single" w:sz="4" w:space="0" w:color="auto"/>
              <w:right w:val="single" w:sz="4" w:space="0" w:color="auto"/>
            </w:tcBorders>
            <w:noWrap/>
            <w:vAlign w:val="bottom"/>
            <w:hideMark/>
          </w:tcPr>
          <w:p w14:paraId="5A34E8C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574.306,69</w:t>
            </w:r>
          </w:p>
        </w:tc>
        <w:tc>
          <w:tcPr>
            <w:tcW w:w="527" w:type="pct"/>
            <w:tcBorders>
              <w:top w:val="nil"/>
              <w:left w:val="nil"/>
              <w:bottom w:val="single" w:sz="4" w:space="0" w:color="auto"/>
              <w:right w:val="single" w:sz="4" w:space="0" w:color="auto"/>
            </w:tcBorders>
            <w:noWrap/>
            <w:vAlign w:val="bottom"/>
            <w:hideMark/>
          </w:tcPr>
          <w:p w14:paraId="3AD395A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514.422,14</w:t>
            </w:r>
          </w:p>
        </w:tc>
        <w:tc>
          <w:tcPr>
            <w:tcW w:w="478" w:type="pct"/>
            <w:tcBorders>
              <w:top w:val="nil"/>
              <w:left w:val="nil"/>
              <w:bottom w:val="single" w:sz="4" w:space="0" w:color="auto"/>
              <w:right w:val="single" w:sz="4" w:space="0" w:color="auto"/>
            </w:tcBorders>
            <w:noWrap/>
            <w:vAlign w:val="bottom"/>
            <w:hideMark/>
          </w:tcPr>
          <w:p w14:paraId="6221F73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9.669,21</w:t>
            </w:r>
          </w:p>
        </w:tc>
      </w:tr>
      <w:tr w:rsidR="002E10AB" w:rsidRPr="002E10AB" w14:paraId="66ED30AA"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61C0056D"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1E9D1C0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296.642,41</w:t>
            </w:r>
          </w:p>
        </w:tc>
        <w:tc>
          <w:tcPr>
            <w:tcW w:w="453" w:type="pct"/>
            <w:tcBorders>
              <w:top w:val="nil"/>
              <w:left w:val="nil"/>
              <w:bottom w:val="single" w:sz="4" w:space="0" w:color="auto"/>
              <w:right w:val="single" w:sz="4" w:space="0" w:color="auto"/>
            </w:tcBorders>
            <w:noWrap/>
            <w:vAlign w:val="bottom"/>
            <w:hideMark/>
          </w:tcPr>
          <w:p w14:paraId="0C486AC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8,10%</w:t>
            </w:r>
          </w:p>
        </w:tc>
        <w:tc>
          <w:tcPr>
            <w:tcW w:w="496" w:type="pct"/>
            <w:tcBorders>
              <w:top w:val="nil"/>
              <w:left w:val="nil"/>
              <w:bottom w:val="single" w:sz="4" w:space="0" w:color="auto"/>
              <w:right w:val="single" w:sz="4" w:space="0" w:color="auto"/>
            </w:tcBorders>
            <w:noWrap/>
            <w:vAlign w:val="bottom"/>
            <w:hideMark/>
          </w:tcPr>
          <w:p w14:paraId="5134CC9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7199086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16E451E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89.016,86</w:t>
            </w:r>
          </w:p>
        </w:tc>
        <w:tc>
          <w:tcPr>
            <w:tcW w:w="466" w:type="pct"/>
            <w:tcBorders>
              <w:top w:val="nil"/>
              <w:left w:val="nil"/>
              <w:bottom w:val="single" w:sz="4" w:space="0" w:color="auto"/>
              <w:right w:val="single" w:sz="4" w:space="0" w:color="auto"/>
            </w:tcBorders>
            <w:noWrap/>
            <w:vAlign w:val="bottom"/>
            <w:hideMark/>
          </w:tcPr>
          <w:p w14:paraId="5027CA5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101.348,24</w:t>
            </w:r>
          </w:p>
        </w:tc>
        <w:tc>
          <w:tcPr>
            <w:tcW w:w="527" w:type="pct"/>
            <w:tcBorders>
              <w:top w:val="nil"/>
              <w:left w:val="nil"/>
              <w:bottom w:val="single" w:sz="4" w:space="0" w:color="auto"/>
              <w:right w:val="single" w:sz="4" w:space="0" w:color="auto"/>
            </w:tcBorders>
            <w:noWrap/>
            <w:vAlign w:val="bottom"/>
            <w:hideMark/>
          </w:tcPr>
          <w:p w14:paraId="218A2BE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90.780,38</w:t>
            </w:r>
          </w:p>
        </w:tc>
        <w:tc>
          <w:tcPr>
            <w:tcW w:w="478" w:type="pct"/>
            <w:tcBorders>
              <w:top w:val="nil"/>
              <w:left w:val="nil"/>
              <w:bottom w:val="single" w:sz="4" w:space="0" w:color="auto"/>
              <w:right w:val="single" w:sz="4" w:space="0" w:color="auto"/>
            </w:tcBorders>
            <w:noWrap/>
            <w:vAlign w:val="bottom"/>
            <w:hideMark/>
          </w:tcPr>
          <w:p w14:paraId="4CC2C43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1.706,33</w:t>
            </w:r>
          </w:p>
        </w:tc>
      </w:tr>
      <w:tr w:rsidR="002E10AB" w:rsidRPr="002E10AB" w14:paraId="3E0DD7C3"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3470D1AF"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6728FDF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494.404,02</w:t>
            </w:r>
          </w:p>
        </w:tc>
        <w:tc>
          <w:tcPr>
            <w:tcW w:w="453" w:type="pct"/>
            <w:tcBorders>
              <w:top w:val="nil"/>
              <w:left w:val="nil"/>
              <w:bottom w:val="single" w:sz="4" w:space="0" w:color="auto"/>
              <w:right w:val="single" w:sz="4" w:space="0" w:color="auto"/>
            </w:tcBorders>
            <w:noWrap/>
            <w:vAlign w:val="bottom"/>
            <w:hideMark/>
          </w:tcPr>
          <w:p w14:paraId="2AA2D87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13,50%</w:t>
            </w:r>
          </w:p>
        </w:tc>
        <w:tc>
          <w:tcPr>
            <w:tcW w:w="496" w:type="pct"/>
            <w:tcBorders>
              <w:top w:val="nil"/>
              <w:left w:val="nil"/>
              <w:bottom w:val="single" w:sz="4" w:space="0" w:color="auto"/>
              <w:right w:val="single" w:sz="4" w:space="0" w:color="auto"/>
            </w:tcBorders>
            <w:noWrap/>
            <w:vAlign w:val="bottom"/>
            <w:hideMark/>
          </w:tcPr>
          <w:p w14:paraId="44567BB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1.927,60</w:t>
            </w:r>
          </w:p>
        </w:tc>
        <w:tc>
          <w:tcPr>
            <w:tcW w:w="558" w:type="pct"/>
            <w:tcBorders>
              <w:top w:val="nil"/>
              <w:left w:val="nil"/>
              <w:bottom w:val="single" w:sz="4" w:space="0" w:color="auto"/>
              <w:right w:val="single" w:sz="4" w:space="0" w:color="auto"/>
            </w:tcBorders>
            <w:noWrap/>
            <w:vAlign w:val="bottom"/>
            <w:hideMark/>
          </w:tcPr>
          <w:p w14:paraId="44D4B6F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21.056,73</w:t>
            </w:r>
          </w:p>
        </w:tc>
        <w:tc>
          <w:tcPr>
            <w:tcW w:w="478" w:type="pct"/>
            <w:tcBorders>
              <w:top w:val="nil"/>
              <w:left w:val="nil"/>
              <w:bottom w:val="single" w:sz="4" w:space="0" w:color="auto"/>
              <w:right w:val="single" w:sz="4" w:space="0" w:color="auto"/>
            </w:tcBorders>
            <w:noWrap/>
            <w:vAlign w:val="bottom"/>
            <w:hideMark/>
          </w:tcPr>
          <w:p w14:paraId="2F7C881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148.361,44</w:t>
            </w:r>
          </w:p>
        </w:tc>
        <w:tc>
          <w:tcPr>
            <w:tcW w:w="466" w:type="pct"/>
            <w:tcBorders>
              <w:top w:val="nil"/>
              <w:left w:val="nil"/>
              <w:bottom w:val="single" w:sz="4" w:space="0" w:color="auto"/>
              <w:right w:val="single" w:sz="4" w:space="0" w:color="auto"/>
            </w:tcBorders>
            <w:noWrap/>
            <w:vAlign w:val="bottom"/>
            <w:hideMark/>
          </w:tcPr>
          <w:p w14:paraId="577C8F3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168.913,73</w:t>
            </w:r>
          </w:p>
        </w:tc>
        <w:tc>
          <w:tcPr>
            <w:tcW w:w="527" w:type="pct"/>
            <w:tcBorders>
              <w:top w:val="nil"/>
              <w:left w:val="nil"/>
              <w:bottom w:val="single" w:sz="4" w:space="0" w:color="auto"/>
              <w:right w:val="single" w:sz="4" w:space="0" w:color="auto"/>
            </w:tcBorders>
            <w:noWrap/>
            <w:vAlign w:val="bottom"/>
            <w:hideMark/>
          </w:tcPr>
          <w:p w14:paraId="608F6D8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151.300,63</w:t>
            </w:r>
          </w:p>
        </w:tc>
        <w:tc>
          <w:tcPr>
            <w:tcW w:w="478" w:type="pct"/>
            <w:tcBorders>
              <w:top w:val="nil"/>
              <w:left w:val="nil"/>
              <w:bottom w:val="single" w:sz="4" w:space="0" w:color="auto"/>
              <w:right w:val="single" w:sz="4" w:space="0" w:color="auto"/>
            </w:tcBorders>
            <w:noWrap/>
            <w:vAlign w:val="bottom"/>
            <w:hideMark/>
          </w:tcPr>
          <w:p w14:paraId="7968A1A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2.843,88</w:t>
            </w:r>
          </w:p>
        </w:tc>
      </w:tr>
      <w:tr w:rsidR="002E10AB" w:rsidRPr="002E10AB" w14:paraId="4DAE3665"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341B1CE5"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NEUPRAVIČENI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0F305ADB"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1.162.614,19</w:t>
            </w:r>
          </w:p>
        </w:tc>
        <w:tc>
          <w:tcPr>
            <w:tcW w:w="453" w:type="pct"/>
            <w:tcBorders>
              <w:top w:val="nil"/>
              <w:left w:val="nil"/>
              <w:bottom w:val="single" w:sz="4" w:space="0" w:color="auto"/>
              <w:right w:val="single" w:sz="4" w:space="0" w:color="auto"/>
            </w:tcBorders>
            <w:shd w:val="clear" w:color="000000" w:fill="D9D9D9"/>
            <w:noWrap/>
            <w:vAlign w:val="bottom"/>
            <w:hideMark/>
          </w:tcPr>
          <w:p w14:paraId="4D1A38FB"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31,75%</w:t>
            </w:r>
          </w:p>
        </w:tc>
        <w:tc>
          <w:tcPr>
            <w:tcW w:w="496" w:type="pct"/>
            <w:tcBorders>
              <w:top w:val="nil"/>
              <w:left w:val="nil"/>
              <w:bottom w:val="single" w:sz="4" w:space="0" w:color="auto"/>
              <w:right w:val="single" w:sz="4" w:space="0" w:color="auto"/>
            </w:tcBorders>
            <w:shd w:val="clear" w:color="000000" w:fill="D9D9D9"/>
            <w:noWrap/>
            <w:vAlign w:val="bottom"/>
            <w:hideMark/>
          </w:tcPr>
          <w:p w14:paraId="0208E295"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288.063,17</w:t>
            </w:r>
          </w:p>
        </w:tc>
        <w:tc>
          <w:tcPr>
            <w:tcW w:w="558" w:type="pct"/>
            <w:tcBorders>
              <w:top w:val="nil"/>
              <w:left w:val="nil"/>
              <w:bottom w:val="single" w:sz="4" w:space="0" w:color="auto"/>
              <w:right w:val="single" w:sz="4" w:space="0" w:color="auto"/>
            </w:tcBorders>
            <w:shd w:val="clear" w:color="000000" w:fill="D9D9D9"/>
            <w:noWrap/>
            <w:vAlign w:val="bottom"/>
            <w:hideMark/>
          </w:tcPr>
          <w:p w14:paraId="29E92919"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2.479,85</w:t>
            </w:r>
          </w:p>
        </w:tc>
        <w:tc>
          <w:tcPr>
            <w:tcW w:w="478" w:type="pct"/>
            <w:tcBorders>
              <w:top w:val="nil"/>
              <w:left w:val="nil"/>
              <w:bottom w:val="single" w:sz="4" w:space="0" w:color="auto"/>
              <w:right w:val="single" w:sz="4" w:space="0" w:color="auto"/>
            </w:tcBorders>
            <w:shd w:val="clear" w:color="000000" w:fill="D9D9D9"/>
            <w:noWrap/>
            <w:vAlign w:val="bottom"/>
            <w:hideMark/>
          </w:tcPr>
          <w:p w14:paraId="70DA7C0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08D5D2A5"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27" w:type="pct"/>
            <w:tcBorders>
              <w:top w:val="nil"/>
              <w:left w:val="nil"/>
              <w:bottom w:val="single" w:sz="4" w:space="0" w:color="auto"/>
              <w:right w:val="single" w:sz="4" w:space="0" w:color="auto"/>
            </w:tcBorders>
            <w:shd w:val="clear" w:color="000000" w:fill="D9D9D9"/>
            <w:noWrap/>
            <w:vAlign w:val="bottom"/>
            <w:hideMark/>
          </w:tcPr>
          <w:p w14:paraId="0DFEC834"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693.794,41</w:t>
            </w:r>
          </w:p>
        </w:tc>
        <w:tc>
          <w:tcPr>
            <w:tcW w:w="478" w:type="pct"/>
            <w:tcBorders>
              <w:top w:val="nil"/>
              <w:left w:val="nil"/>
              <w:bottom w:val="single" w:sz="4" w:space="0" w:color="auto"/>
              <w:right w:val="single" w:sz="4" w:space="0" w:color="auto"/>
            </w:tcBorders>
            <w:shd w:val="clear" w:color="000000" w:fill="D9D9D9"/>
            <w:noWrap/>
            <w:vAlign w:val="bottom"/>
            <w:hideMark/>
          </w:tcPr>
          <w:p w14:paraId="02533894"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178.276,76</w:t>
            </w:r>
          </w:p>
        </w:tc>
      </w:tr>
      <w:tr w:rsidR="002E10AB" w:rsidRPr="002E10AB" w14:paraId="41495E29"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2F69961D"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00B0A3B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13855A6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DEA00B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152AC6B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515FBF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577060B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0D3B1D7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FE6B8B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20FCC9B4"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36AE1347"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4F26501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0BDBCFF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0AC5D40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263EB3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E4321D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60767A9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3C4AD1B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1D5D57C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7CF1A02F"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1CD2CD84"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5E23139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1.162.614,19</w:t>
            </w:r>
          </w:p>
        </w:tc>
        <w:tc>
          <w:tcPr>
            <w:tcW w:w="453" w:type="pct"/>
            <w:tcBorders>
              <w:top w:val="nil"/>
              <w:left w:val="nil"/>
              <w:bottom w:val="single" w:sz="4" w:space="0" w:color="auto"/>
              <w:right w:val="single" w:sz="4" w:space="0" w:color="auto"/>
            </w:tcBorders>
            <w:noWrap/>
            <w:vAlign w:val="bottom"/>
            <w:hideMark/>
          </w:tcPr>
          <w:p w14:paraId="02B3BBD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31,75%</w:t>
            </w:r>
          </w:p>
        </w:tc>
        <w:tc>
          <w:tcPr>
            <w:tcW w:w="496" w:type="pct"/>
            <w:tcBorders>
              <w:top w:val="nil"/>
              <w:left w:val="nil"/>
              <w:bottom w:val="single" w:sz="4" w:space="0" w:color="auto"/>
              <w:right w:val="single" w:sz="4" w:space="0" w:color="auto"/>
            </w:tcBorders>
            <w:noWrap/>
            <w:vAlign w:val="bottom"/>
            <w:hideMark/>
          </w:tcPr>
          <w:p w14:paraId="4439BFC2"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288.063,17</w:t>
            </w:r>
          </w:p>
        </w:tc>
        <w:tc>
          <w:tcPr>
            <w:tcW w:w="558" w:type="pct"/>
            <w:tcBorders>
              <w:top w:val="nil"/>
              <w:left w:val="nil"/>
              <w:bottom w:val="single" w:sz="4" w:space="0" w:color="auto"/>
              <w:right w:val="single" w:sz="4" w:space="0" w:color="auto"/>
            </w:tcBorders>
            <w:noWrap/>
            <w:vAlign w:val="bottom"/>
            <w:hideMark/>
          </w:tcPr>
          <w:p w14:paraId="767E461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2.479,85</w:t>
            </w:r>
          </w:p>
        </w:tc>
        <w:tc>
          <w:tcPr>
            <w:tcW w:w="478" w:type="pct"/>
            <w:tcBorders>
              <w:top w:val="nil"/>
              <w:left w:val="nil"/>
              <w:bottom w:val="single" w:sz="4" w:space="0" w:color="auto"/>
              <w:right w:val="single" w:sz="4" w:space="0" w:color="auto"/>
            </w:tcBorders>
            <w:noWrap/>
            <w:vAlign w:val="bottom"/>
            <w:hideMark/>
          </w:tcPr>
          <w:p w14:paraId="65542F0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699C385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292B436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693.794,41</w:t>
            </w:r>
          </w:p>
        </w:tc>
        <w:tc>
          <w:tcPr>
            <w:tcW w:w="478" w:type="pct"/>
            <w:tcBorders>
              <w:top w:val="nil"/>
              <w:left w:val="nil"/>
              <w:bottom w:val="single" w:sz="4" w:space="0" w:color="auto"/>
              <w:right w:val="single" w:sz="4" w:space="0" w:color="auto"/>
            </w:tcBorders>
            <w:noWrap/>
            <w:vAlign w:val="bottom"/>
            <w:hideMark/>
          </w:tcPr>
          <w:p w14:paraId="7BC62E7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178.276,76</w:t>
            </w:r>
          </w:p>
        </w:tc>
      </w:tr>
      <w:tr w:rsidR="002E10AB" w:rsidRPr="002E10AB" w14:paraId="08E40CDE"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5C9B2F2C"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POVRATNI DDV</w:t>
            </w:r>
          </w:p>
        </w:tc>
        <w:tc>
          <w:tcPr>
            <w:tcW w:w="502" w:type="pct"/>
            <w:tcBorders>
              <w:top w:val="nil"/>
              <w:left w:val="nil"/>
              <w:bottom w:val="single" w:sz="4" w:space="0" w:color="auto"/>
              <w:right w:val="single" w:sz="4" w:space="0" w:color="auto"/>
            </w:tcBorders>
            <w:shd w:val="clear" w:color="000000" w:fill="D9D9D9"/>
            <w:noWrap/>
            <w:vAlign w:val="bottom"/>
            <w:hideMark/>
          </w:tcPr>
          <w:p w14:paraId="486D8DD1"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26.676,13</w:t>
            </w:r>
          </w:p>
        </w:tc>
        <w:tc>
          <w:tcPr>
            <w:tcW w:w="453" w:type="pct"/>
            <w:tcBorders>
              <w:top w:val="nil"/>
              <w:left w:val="nil"/>
              <w:bottom w:val="single" w:sz="4" w:space="0" w:color="auto"/>
              <w:right w:val="single" w:sz="4" w:space="0" w:color="auto"/>
            </w:tcBorders>
            <w:shd w:val="clear" w:color="000000" w:fill="D9D9D9"/>
            <w:noWrap/>
            <w:vAlign w:val="bottom"/>
            <w:hideMark/>
          </w:tcPr>
          <w:p w14:paraId="2DE654CE"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0,76%</w:t>
            </w:r>
          </w:p>
        </w:tc>
        <w:tc>
          <w:tcPr>
            <w:tcW w:w="496" w:type="pct"/>
            <w:tcBorders>
              <w:top w:val="nil"/>
              <w:left w:val="nil"/>
              <w:bottom w:val="single" w:sz="4" w:space="0" w:color="auto"/>
              <w:right w:val="single" w:sz="4" w:space="0" w:color="auto"/>
            </w:tcBorders>
            <w:shd w:val="clear" w:color="000000" w:fill="D9D9D9"/>
            <w:noWrap/>
            <w:vAlign w:val="bottom"/>
            <w:hideMark/>
          </w:tcPr>
          <w:p w14:paraId="7850406B"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58" w:type="pct"/>
            <w:tcBorders>
              <w:top w:val="nil"/>
              <w:left w:val="nil"/>
              <w:bottom w:val="single" w:sz="4" w:space="0" w:color="auto"/>
              <w:right w:val="single" w:sz="4" w:space="0" w:color="auto"/>
            </w:tcBorders>
            <w:shd w:val="clear" w:color="000000" w:fill="D9D9D9"/>
            <w:noWrap/>
            <w:vAlign w:val="bottom"/>
            <w:hideMark/>
          </w:tcPr>
          <w:p w14:paraId="39C4440E"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78" w:type="pct"/>
            <w:tcBorders>
              <w:top w:val="nil"/>
              <w:left w:val="nil"/>
              <w:bottom w:val="single" w:sz="4" w:space="0" w:color="auto"/>
              <w:right w:val="single" w:sz="4" w:space="0" w:color="auto"/>
            </w:tcBorders>
            <w:shd w:val="clear" w:color="000000" w:fill="D9D9D9"/>
            <w:noWrap/>
            <w:vAlign w:val="bottom"/>
            <w:hideMark/>
          </w:tcPr>
          <w:p w14:paraId="3973983D"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22A43D1F"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13.199,47</w:t>
            </w:r>
          </w:p>
        </w:tc>
        <w:tc>
          <w:tcPr>
            <w:tcW w:w="527" w:type="pct"/>
            <w:tcBorders>
              <w:top w:val="nil"/>
              <w:left w:val="nil"/>
              <w:bottom w:val="single" w:sz="4" w:space="0" w:color="auto"/>
              <w:right w:val="single" w:sz="4" w:space="0" w:color="auto"/>
            </w:tcBorders>
            <w:shd w:val="clear" w:color="000000" w:fill="D9D9D9"/>
            <w:noWrap/>
            <w:vAlign w:val="bottom"/>
            <w:hideMark/>
          </w:tcPr>
          <w:p w14:paraId="11C98364"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13.476,66</w:t>
            </w:r>
          </w:p>
        </w:tc>
        <w:tc>
          <w:tcPr>
            <w:tcW w:w="478" w:type="pct"/>
            <w:tcBorders>
              <w:top w:val="nil"/>
              <w:left w:val="nil"/>
              <w:bottom w:val="single" w:sz="4" w:space="0" w:color="auto"/>
              <w:right w:val="single" w:sz="4" w:space="0" w:color="auto"/>
            </w:tcBorders>
            <w:shd w:val="clear" w:color="000000" w:fill="D9D9D9"/>
            <w:noWrap/>
            <w:vAlign w:val="bottom"/>
            <w:hideMark/>
          </w:tcPr>
          <w:p w14:paraId="7AC23E7C"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0,00</w:t>
            </w:r>
          </w:p>
        </w:tc>
      </w:tr>
      <w:tr w:rsidR="002E10AB" w:rsidRPr="002E10AB" w14:paraId="35227F92"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2FCE50D4"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18FFA6F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22B606D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3C30174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1BFAD89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0153D6C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0862389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3B213B6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04F138F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58577D5F"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0784CDD9"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0CD9AE1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15F85AE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3C54D9A"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733EF16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50C0AC6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0AA2C21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20FD8C15"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39F3C84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472AA279"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2F719216"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32FE110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26.676,13</w:t>
            </w:r>
          </w:p>
        </w:tc>
        <w:tc>
          <w:tcPr>
            <w:tcW w:w="453" w:type="pct"/>
            <w:tcBorders>
              <w:top w:val="nil"/>
              <w:left w:val="nil"/>
              <w:bottom w:val="single" w:sz="4" w:space="0" w:color="auto"/>
              <w:right w:val="single" w:sz="4" w:space="0" w:color="auto"/>
            </w:tcBorders>
            <w:noWrap/>
            <w:vAlign w:val="bottom"/>
            <w:hideMark/>
          </w:tcPr>
          <w:p w14:paraId="57E06534"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0,76%</w:t>
            </w:r>
          </w:p>
        </w:tc>
        <w:tc>
          <w:tcPr>
            <w:tcW w:w="496" w:type="pct"/>
            <w:tcBorders>
              <w:top w:val="nil"/>
              <w:left w:val="nil"/>
              <w:bottom w:val="single" w:sz="4" w:space="0" w:color="auto"/>
              <w:right w:val="single" w:sz="4" w:space="0" w:color="auto"/>
            </w:tcBorders>
            <w:noWrap/>
            <w:vAlign w:val="bottom"/>
            <w:hideMark/>
          </w:tcPr>
          <w:p w14:paraId="56975B0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078CCF6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3FFE49E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19673EA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13.199,47</w:t>
            </w:r>
          </w:p>
        </w:tc>
        <w:tc>
          <w:tcPr>
            <w:tcW w:w="527" w:type="pct"/>
            <w:tcBorders>
              <w:top w:val="nil"/>
              <w:left w:val="nil"/>
              <w:bottom w:val="single" w:sz="4" w:space="0" w:color="auto"/>
              <w:right w:val="single" w:sz="4" w:space="0" w:color="auto"/>
            </w:tcBorders>
            <w:noWrap/>
            <w:vAlign w:val="bottom"/>
            <w:hideMark/>
          </w:tcPr>
          <w:p w14:paraId="28DB449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13.476,66</w:t>
            </w:r>
          </w:p>
        </w:tc>
        <w:tc>
          <w:tcPr>
            <w:tcW w:w="478" w:type="pct"/>
            <w:tcBorders>
              <w:top w:val="nil"/>
              <w:left w:val="nil"/>
              <w:bottom w:val="single" w:sz="4" w:space="0" w:color="auto"/>
              <w:right w:val="single" w:sz="4" w:space="0" w:color="auto"/>
            </w:tcBorders>
            <w:noWrap/>
            <w:vAlign w:val="bottom"/>
            <w:hideMark/>
          </w:tcPr>
          <w:p w14:paraId="7EE2357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0,00</w:t>
            </w:r>
          </w:p>
        </w:tc>
      </w:tr>
      <w:tr w:rsidR="002E10AB" w:rsidRPr="002E10AB" w14:paraId="670DFB82" w14:textId="77777777" w:rsidTr="002E10AB">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49A7E049" w14:textId="77777777" w:rsidR="002E10AB" w:rsidRPr="002E10AB" w:rsidRDefault="002E10AB">
            <w:pPr>
              <w:rPr>
                <w:rFonts w:ascii="Arial" w:hAnsi="Arial" w:cs="Arial"/>
                <w:b/>
                <w:bCs/>
                <w:color w:val="000000"/>
                <w:sz w:val="20"/>
                <w:szCs w:val="20"/>
              </w:rPr>
            </w:pPr>
            <w:r w:rsidRPr="002E10AB">
              <w:rPr>
                <w:rFonts w:ascii="Arial" w:hAnsi="Arial" w:cs="Arial"/>
                <w:b/>
                <w:bCs/>
                <w:color w:val="000000"/>
                <w:sz w:val="20"/>
                <w:szCs w:val="20"/>
              </w:rPr>
              <w:t>SKUPAJ</w:t>
            </w:r>
          </w:p>
        </w:tc>
        <w:tc>
          <w:tcPr>
            <w:tcW w:w="502" w:type="pct"/>
            <w:tcBorders>
              <w:top w:val="nil"/>
              <w:left w:val="nil"/>
              <w:bottom w:val="single" w:sz="4" w:space="0" w:color="auto"/>
              <w:right w:val="single" w:sz="4" w:space="0" w:color="auto"/>
            </w:tcBorders>
            <w:shd w:val="clear" w:color="000000" w:fill="D9D9D9"/>
            <w:noWrap/>
            <w:vAlign w:val="bottom"/>
            <w:hideMark/>
          </w:tcPr>
          <w:p w14:paraId="485432AD"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3.661.310,43</w:t>
            </w:r>
          </w:p>
        </w:tc>
        <w:tc>
          <w:tcPr>
            <w:tcW w:w="453" w:type="pct"/>
            <w:tcBorders>
              <w:top w:val="nil"/>
              <w:left w:val="nil"/>
              <w:bottom w:val="single" w:sz="4" w:space="0" w:color="auto"/>
              <w:right w:val="single" w:sz="4" w:space="0" w:color="auto"/>
            </w:tcBorders>
            <w:shd w:val="clear" w:color="000000" w:fill="D9D9D9"/>
            <w:noWrap/>
            <w:vAlign w:val="bottom"/>
            <w:hideMark/>
          </w:tcPr>
          <w:p w14:paraId="6128EEBD"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100,00%</w:t>
            </w:r>
          </w:p>
        </w:tc>
        <w:tc>
          <w:tcPr>
            <w:tcW w:w="496" w:type="pct"/>
            <w:tcBorders>
              <w:top w:val="nil"/>
              <w:left w:val="nil"/>
              <w:bottom w:val="single" w:sz="4" w:space="0" w:color="auto"/>
              <w:right w:val="single" w:sz="4" w:space="0" w:color="auto"/>
            </w:tcBorders>
            <w:shd w:val="clear" w:color="000000" w:fill="D9D9D9"/>
            <w:noWrap/>
            <w:vAlign w:val="bottom"/>
            <w:hideMark/>
          </w:tcPr>
          <w:p w14:paraId="7A5BA4F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297.701,17</w:t>
            </w:r>
          </w:p>
        </w:tc>
        <w:tc>
          <w:tcPr>
            <w:tcW w:w="558" w:type="pct"/>
            <w:tcBorders>
              <w:top w:val="nil"/>
              <w:left w:val="nil"/>
              <w:bottom w:val="single" w:sz="4" w:space="0" w:color="auto"/>
              <w:right w:val="single" w:sz="4" w:space="0" w:color="auto"/>
            </w:tcBorders>
            <w:shd w:val="clear" w:color="000000" w:fill="D9D9D9"/>
            <w:noWrap/>
            <w:vAlign w:val="bottom"/>
            <w:hideMark/>
          </w:tcPr>
          <w:p w14:paraId="28D4B5E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107.763,52</w:t>
            </w:r>
          </w:p>
        </w:tc>
        <w:tc>
          <w:tcPr>
            <w:tcW w:w="478" w:type="pct"/>
            <w:tcBorders>
              <w:top w:val="nil"/>
              <w:left w:val="nil"/>
              <w:bottom w:val="single" w:sz="4" w:space="0" w:color="auto"/>
              <w:right w:val="single" w:sz="4" w:space="0" w:color="auto"/>
            </w:tcBorders>
            <w:shd w:val="clear" w:color="000000" w:fill="D9D9D9"/>
            <w:noWrap/>
            <w:vAlign w:val="bottom"/>
            <w:hideMark/>
          </w:tcPr>
          <w:p w14:paraId="035349D8"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741.807,21</w:t>
            </w:r>
          </w:p>
        </w:tc>
        <w:tc>
          <w:tcPr>
            <w:tcW w:w="466" w:type="pct"/>
            <w:tcBorders>
              <w:top w:val="nil"/>
              <w:left w:val="nil"/>
              <w:bottom w:val="single" w:sz="4" w:space="0" w:color="auto"/>
              <w:right w:val="single" w:sz="4" w:space="0" w:color="auto"/>
            </w:tcBorders>
            <w:shd w:val="clear" w:color="000000" w:fill="D9D9D9"/>
            <w:noWrap/>
            <w:vAlign w:val="bottom"/>
            <w:hideMark/>
          </w:tcPr>
          <w:p w14:paraId="2D449EAA"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857.768,13</w:t>
            </w:r>
          </w:p>
        </w:tc>
        <w:tc>
          <w:tcPr>
            <w:tcW w:w="527" w:type="pct"/>
            <w:tcBorders>
              <w:top w:val="nil"/>
              <w:left w:val="nil"/>
              <w:bottom w:val="single" w:sz="4" w:space="0" w:color="auto"/>
              <w:right w:val="single" w:sz="4" w:space="0" w:color="auto"/>
            </w:tcBorders>
            <w:shd w:val="clear" w:color="000000" w:fill="D9D9D9"/>
            <w:noWrap/>
            <w:vAlign w:val="bottom"/>
            <w:hideMark/>
          </w:tcPr>
          <w:p w14:paraId="3C87A645"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1.463.774,22</w:t>
            </w:r>
          </w:p>
        </w:tc>
        <w:tc>
          <w:tcPr>
            <w:tcW w:w="478" w:type="pct"/>
            <w:tcBorders>
              <w:top w:val="nil"/>
              <w:left w:val="nil"/>
              <w:bottom w:val="single" w:sz="4" w:space="0" w:color="auto"/>
              <w:right w:val="single" w:sz="4" w:space="0" w:color="auto"/>
            </w:tcBorders>
            <w:shd w:val="clear" w:color="000000" w:fill="D9D9D9"/>
            <w:noWrap/>
            <w:vAlign w:val="bottom"/>
            <w:hideMark/>
          </w:tcPr>
          <w:p w14:paraId="3B026CA0" w14:textId="77777777" w:rsidR="002E10AB" w:rsidRPr="002E10AB" w:rsidRDefault="002E10AB">
            <w:pPr>
              <w:jc w:val="right"/>
              <w:rPr>
                <w:rFonts w:ascii="Arial" w:hAnsi="Arial" w:cs="Arial"/>
                <w:b/>
                <w:bCs/>
                <w:color w:val="000000"/>
                <w:sz w:val="20"/>
                <w:szCs w:val="20"/>
              </w:rPr>
            </w:pPr>
            <w:r w:rsidRPr="002E10AB">
              <w:rPr>
                <w:rFonts w:ascii="Arial" w:hAnsi="Arial" w:cs="Arial"/>
                <w:b/>
                <w:bCs/>
                <w:color w:val="000000"/>
                <w:sz w:val="20"/>
                <w:szCs w:val="20"/>
              </w:rPr>
              <w:t>192.496,18</w:t>
            </w:r>
          </w:p>
        </w:tc>
      </w:tr>
      <w:tr w:rsidR="002E10AB" w:rsidRPr="002E10AB" w14:paraId="4262890A"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1E768BB6"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44DA84A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1.680.973,67</w:t>
            </w:r>
          </w:p>
        </w:tc>
        <w:tc>
          <w:tcPr>
            <w:tcW w:w="453" w:type="pct"/>
            <w:tcBorders>
              <w:top w:val="nil"/>
              <w:left w:val="nil"/>
              <w:bottom w:val="single" w:sz="4" w:space="0" w:color="auto"/>
              <w:right w:val="single" w:sz="4" w:space="0" w:color="auto"/>
            </w:tcBorders>
            <w:noWrap/>
            <w:vAlign w:val="bottom"/>
            <w:hideMark/>
          </w:tcPr>
          <w:p w14:paraId="0E1FFC1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45,91%</w:t>
            </w:r>
          </w:p>
        </w:tc>
        <w:tc>
          <w:tcPr>
            <w:tcW w:w="496" w:type="pct"/>
            <w:tcBorders>
              <w:top w:val="nil"/>
              <w:left w:val="nil"/>
              <w:bottom w:val="single" w:sz="4" w:space="0" w:color="auto"/>
              <w:right w:val="single" w:sz="4" w:space="0" w:color="auto"/>
            </w:tcBorders>
            <w:noWrap/>
            <w:vAlign w:val="bottom"/>
            <w:hideMark/>
          </w:tcPr>
          <w:p w14:paraId="7C160C9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74EEC73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075D5D4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504.428,90</w:t>
            </w:r>
          </w:p>
        </w:tc>
        <w:tc>
          <w:tcPr>
            <w:tcW w:w="466" w:type="pct"/>
            <w:tcBorders>
              <w:top w:val="nil"/>
              <w:left w:val="nil"/>
              <w:bottom w:val="single" w:sz="4" w:space="0" w:color="auto"/>
              <w:right w:val="single" w:sz="4" w:space="0" w:color="auto"/>
            </w:tcBorders>
            <w:noWrap/>
            <w:vAlign w:val="bottom"/>
            <w:hideMark/>
          </w:tcPr>
          <w:p w14:paraId="23D02D9C"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574.306,69</w:t>
            </w:r>
          </w:p>
        </w:tc>
        <w:tc>
          <w:tcPr>
            <w:tcW w:w="527" w:type="pct"/>
            <w:tcBorders>
              <w:top w:val="nil"/>
              <w:left w:val="nil"/>
              <w:bottom w:val="single" w:sz="4" w:space="0" w:color="auto"/>
              <w:right w:val="single" w:sz="4" w:space="0" w:color="auto"/>
            </w:tcBorders>
            <w:noWrap/>
            <w:vAlign w:val="bottom"/>
            <w:hideMark/>
          </w:tcPr>
          <w:p w14:paraId="047271B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514.422,14</w:t>
            </w:r>
          </w:p>
        </w:tc>
        <w:tc>
          <w:tcPr>
            <w:tcW w:w="478" w:type="pct"/>
            <w:tcBorders>
              <w:top w:val="nil"/>
              <w:left w:val="nil"/>
              <w:bottom w:val="single" w:sz="4" w:space="0" w:color="auto"/>
              <w:right w:val="single" w:sz="4" w:space="0" w:color="auto"/>
            </w:tcBorders>
            <w:noWrap/>
            <w:vAlign w:val="bottom"/>
            <w:hideMark/>
          </w:tcPr>
          <w:p w14:paraId="3581749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9.669,21</w:t>
            </w:r>
          </w:p>
        </w:tc>
      </w:tr>
      <w:tr w:rsidR="002E10AB" w:rsidRPr="002E10AB" w14:paraId="6A71DD11"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593029B6"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27BD063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296.642,41</w:t>
            </w:r>
          </w:p>
        </w:tc>
        <w:tc>
          <w:tcPr>
            <w:tcW w:w="453" w:type="pct"/>
            <w:tcBorders>
              <w:top w:val="nil"/>
              <w:left w:val="nil"/>
              <w:bottom w:val="single" w:sz="4" w:space="0" w:color="auto"/>
              <w:right w:val="single" w:sz="4" w:space="0" w:color="auto"/>
            </w:tcBorders>
            <w:noWrap/>
            <w:vAlign w:val="bottom"/>
            <w:hideMark/>
          </w:tcPr>
          <w:p w14:paraId="19A4DA7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8,10%</w:t>
            </w:r>
          </w:p>
        </w:tc>
        <w:tc>
          <w:tcPr>
            <w:tcW w:w="496" w:type="pct"/>
            <w:tcBorders>
              <w:top w:val="nil"/>
              <w:left w:val="nil"/>
              <w:bottom w:val="single" w:sz="4" w:space="0" w:color="auto"/>
              <w:right w:val="single" w:sz="4" w:space="0" w:color="auto"/>
            </w:tcBorders>
            <w:noWrap/>
            <w:vAlign w:val="bottom"/>
            <w:hideMark/>
          </w:tcPr>
          <w:p w14:paraId="645E5A60"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12BE0FD6"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20723AF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89.016,87</w:t>
            </w:r>
          </w:p>
        </w:tc>
        <w:tc>
          <w:tcPr>
            <w:tcW w:w="466" w:type="pct"/>
            <w:tcBorders>
              <w:top w:val="nil"/>
              <w:left w:val="nil"/>
              <w:bottom w:val="single" w:sz="4" w:space="0" w:color="auto"/>
              <w:right w:val="single" w:sz="4" w:space="0" w:color="auto"/>
            </w:tcBorders>
            <w:noWrap/>
            <w:vAlign w:val="bottom"/>
            <w:hideMark/>
          </w:tcPr>
          <w:p w14:paraId="594DE93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101.348,24</w:t>
            </w:r>
          </w:p>
        </w:tc>
        <w:tc>
          <w:tcPr>
            <w:tcW w:w="527" w:type="pct"/>
            <w:tcBorders>
              <w:top w:val="nil"/>
              <w:left w:val="nil"/>
              <w:bottom w:val="single" w:sz="4" w:space="0" w:color="auto"/>
              <w:right w:val="single" w:sz="4" w:space="0" w:color="auto"/>
            </w:tcBorders>
            <w:noWrap/>
            <w:vAlign w:val="bottom"/>
            <w:hideMark/>
          </w:tcPr>
          <w:p w14:paraId="1CF956C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90.780,38</w:t>
            </w:r>
          </w:p>
        </w:tc>
        <w:tc>
          <w:tcPr>
            <w:tcW w:w="478" w:type="pct"/>
            <w:tcBorders>
              <w:top w:val="nil"/>
              <w:left w:val="nil"/>
              <w:bottom w:val="single" w:sz="4" w:space="0" w:color="auto"/>
              <w:right w:val="single" w:sz="4" w:space="0" w:color="auto"/>
            </w:tcBorders>
            <w:noWrap/>
            <w:vAlign w:val="bottom"/>
            <w:hideMark/>
          </w:tcPr>
          <w:p w14:paraId="2483AC33"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1.706,33</w:t>
            </w:r>
          </w:p>
        </w:tc>
      </w:tr>
      <w:tr w:rsidR="002E10AB" w:rsidRPr="002E10AB" w14:paraId="306D43FE" w14:textId="77777777" w:rsidTr="002E10AB">
        <w:trPr>
          <w:trHeight w:val="285"/>
        </w:trPr>
        <w:tc>
          <w:tcPr>
            <w:tcW w:w="1042" w:type="pct"/>
            <w:tcBorders>
              <w:top w:val="nil"/>
              <w:left w:val="single" w:sz="4" w:space="0" w:color="auto"/>
              <w:bottom w:val="single" w:sz="4" w:space="0" w:color="auto"/>
              <w:right w:val="single" w:sz="4" w:space="0" w:color="auto"/>
            </w:tcBorders>
            <w:vAlign w:val="bottom"/>
            <w:hideMark/>
          </w:tcPr>
          <w:p w14:paraId="2D3ACC63" w14:textId="77777777" w:rsidR="002E10AB" w:rsidRPr="002E10AB" w:rsidRDefault="002E10AB">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43BFCB6E"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1.683.694,34</w:t>
            </w:r>
          </w:p>
        </w:tc>
        <w:tc>
          <w:tcPr>
            <w:tcW w:w="453" w:type="pct"/>
            <w:tcBorders>
              <w:top w:val="nil"/>
              <w:left w:val="nil"/>
              <w:bottom w:val="single" w:sz="4" w:space="0" w:color="auto"/>
              <w:right w:val="single" w:sz="4" w:space="0" w:color="auto"/>
            </w:tcBorders>
            <w:noWrap/>
            <w:vAlign w:val="bottom"/>
            <w:hideMark/>
          </w:tcPr>
          <w:p w14:paraId="2FEC1028"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45,99%</w:t>
            </w:r>
          </w:p>
        </w:tc>
        <w:tc>
          <w:tcPr>
            <w:tcW w:w="496" w:type="pct"/>
            <w:tcBorders>
              <w:top w:val="nil"/>
              <w:left w:val="nil"/>
              <w:bottom w:val="single" w:sz="4" w:space="0" w:color="auto"/>
              <w:right w:val="single" w:sz="4" w:space="0" w:color="auto"/>
            </w:tcBorders>
            <w:noWrap/>
            <w:vAlign w:val="bottom"/>
            <w:hideMark/>
          </w:tcPr>
          <w:p w14:paraId="0E34962B"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289.990,77</w:t>
            </w:r>
          </w:p>
        </w:tc>
        <w:tc>
          <w:tcPr>
            <w:tcW w:w="558" w:type="pct"/>
            <w:tcBorders>
              <w:top w:val="nil"/>
              <w:left w:val="nil"/>
              <w:bottom w:val="single" w:sz="4" w:space="0" w:color="auto"/>
              <w:right w:val="single" w:sz="4" w:space="0" w:color="auto"/>
            </w:tcBorders>
            <w:noWrap/>
            <w:vAlign w:val="bottom"/>
            <w:hideMark/>
          </w:tcPr>
          <w:p w14:paraId="1271959D"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23.536,58</w:t>
            </w:r>
          </w:p>
        </w:tc>
        <w:tc>
          <w:tcPr>
            <w:tcW w:w="478" w:type="pct"/>
            <w:tcBorders>
              <w:top w:val="nil"/>
              <w:left w:val="nil"/>
              <w:bottom w:val="single" w:sz="4" w:space="0" w:color="auto"/>
              <w:right w:val="single" w:sz="4" w:space="0" w:color="auto"/>
            </w:tcBorders>
            <w:noWrap/>
            <w:vAlign w:val="bottom"/>
            <w:hideMark/>
          </w:tcPr>
          <w:p w14:paraId="2A855F09"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148.361,44</w:t>
            </w:r>
          </w:p>
        </w:tc>
        <w:tc>
          <w:tcPr>
            <w:tcW w:w="466" w:type="pct"/>
            <w:tcBorders>
              <w:top w:val="nil"/>
              <w:left w:val="nil"/>
              <w:bottom w:val="single" w:sz="4" w:space="0" w:color="auto"/>
              <w:right w:val="single" w:sz="4" w:space="0" w:color="auto"/>
            </w:tcBorders>
            <w:noWrap/>
            <w:vAlign w:val="bottom"/>
            <w:hideMark/>
          </w:tcPr>
          <w:p w14:paraId="599B9C2F"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182.113,20</w:t>
            </w:r>
          </w:p>
        </w:tc>
        <w:tc>
          <w:tcPr>
            <w:tcW w:w="527" w:type="pct"/>
            <w:tcBorders>
              <w:top w:val="nil"/>
              <w:left w:val="nil"/>
              <w:bottom w:val="single" w:sz="4" w:space="0" w:color="auto"/>
              <w:right w:val="single" w:sz="4" w:space="0" w:color="auto"/>
            </w:tcBorders>
            <w:noWrap/>
            <w:vAlign w:val="bottom"/>
            <w:hideMark/>
          </w:tcPr>
          <w:p w14:paraId="41C38E97"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858.571,70</w:t>
            </w:r>
          </w:p>
        </w:tc>
        <w:tc>
          <w:tcPr>
            <w:tcW w:w="478" w:type="pct"/>
            <w:tcBorders>
              <w:top w:val="nil"/>
              <w:left w:val="nil"/>
              <w:bottom w:val="single" w:sz="4" w:space="0" w:color="auto"/>
              <w:right w:val="single" w:sz="4" w:space="0" w:color="auto"/>
            </w:tcBorders>
            <w:noWrap/>
            <w:vAlign w:val="bottom"/>
            <w:hideMark/>
          </w:tcPr>
          <w:p w14:paraId="064216B1" w14:textId="77777777" w:rsidR="002E10AB" w:rsidRPr="002E10AB" w:rsidRDefault="002E10AB">
            <w:pPr>
              <w:jc w:val="right"/>
              <w:rPr>
                <w:rFonts w:ascii="Arial" w:hAnsi="Arial" w:cs="Arial"/>
                <w:color w:val="000000"/>
                <w:sz w:val="20"/>
                <w:szCs w:val="20"/>
              </w:rPr>
            </w:pPr>
            <w:r w:rsidRPr="002E10AB">
              <w:rPr>
                <w:rFonts w:ascii="Arial" w:hAnsi="Arial" w:cs="Arial"/>
                <w:color w:val="000000"/>
                <w:sz w:val="20"/>
                <w:szCs w:val="20"/>
              </w:rPr>
              <w:t>181.120,64</w:t>
            </w:r>
          </w:p>
        </w:tc>
      </w:tr>
    </w:tbl>
    <w:p w14:paraId="073782F4" w14:textId="77777777" w:rsidR="002E10AB" w:rsidRDefault="002E10AB" w:rsidP="006154DD">
      <w:pPr>
        <w:spacing w:after="200" w:line="276" w:lineRule="auto"/>
        <w:rPr>
          <w:rFonts w:ascii="Arial" w:hAnsi="Arial" w:cs="Arial"/>
          <w:sz w:val="22"/>
          <w:szCs w:val="22"/>
        </w:rPr>
      </w:pPr>
    </w:p>
    <w:p w14:paraId="351DC7B0" w14:textId="77777777" w:rsidR="002E10AB" w:rsidRPr="00BC0DCF" w:rsidRDefault="002E10AB" w:rsidP="006154DD">
      <w:pPr>
        <w:spacing w:after="200" w:line="276" w:lineRule="auto"/>
        <w:rPr>
          <w:rFonts w:ascii="Arial" w:hAnsi="Arial" w:cs="Arial"/>
          <w:sz w:val="22"/>
          <w:szCs w:val="22"/>
        </w:rPr>
      </w:pPr>
    </w:p>
    <w:p w14:paraId="5F80B2DC" w14:textId="77777777" w:rsidR="006154DD" w:rsidRPr="00BC0DCF" w:rsidRDefault="006154DD" w:rsidP="006154DD">
      <w:pPr>
        <w:spacing w:line="276" w:lineRule="auto"/>
        <w:jc w:val="both"/>
        <w:rPr>
          <w:rFonts w:ascii="Arial" w:hAnsi="Arial" w:cs="Arial"/>
          <w:sz w:val="22"/>
          <w:szCs w:val="22"/>
        </w:rPr>
        <w:sectPr w:rsidR="006154DD" w:rsidRPr="00BC0DCF" w:rsidSect="006154DD">
          <w:pgSz w:w="16838" w:h="11906" w:orient="landscape" w:code="9"/>
          <w:pgMar w:top="1134" w:right="1134" w:bottom="1417" w:left="1417" w:header="708" w:footer="708" w:gutter="0"/>
          <w:cols w:space="708"/>
          <w:titlePg/>
          <w:docGrid w:linePitch="360"/>
        </w:sectPr>
      </w:pPr>
    </w:p>
    <w:p w14:paraId="675A9C6D" w14:textId="77777777" w:rsidR="006154DD" w:rsidRPr="00BC0DCF" w:rsidRDefault="006154DD" w:rsidP="006154DD">
      <w:pPr>
        <w:spacing w:after="120" w:line="276" w:lineRule="auto"/>
        <w:jc w:val="both"/>
        <w:rPr>
          <w:rFonts w:ascii="Arial" w:hAnsi="Arial" w:cs="Arial"/>
          <w:sz w:val="22"/>
          <w:szCs w:val="22"/>
        </w:rPr>
      </w:pPr>
      <w:r w:rsidRPr="00BC0DCF">
        <w:rPr>
          <w:rFonts w:ascii="Arial" w:hAnsi="Arial" w:cs="Arial"/>
          <w:sz w:val="22"/>
          <w:szCs w:val="22"/>
        </w:rPr>
        <w:lastRenderedPageBreak/>
        <w:t>Za samo investicijo je glede na Uredbo o enotni metodologiji za pripravo in obravnavo investicijske dokumentacije na področju javnih financ potreben dokument identifikacije investicijskega projekta, predinvesticijska zasnova in investicijski program.</w:t>
      </w:r>
    </w:p>
    <w:p w14:paraId="1A300121" w14:textId="77777777" w:rsidR="006154DD" w:rsidRPr="00BC0DCF" w:rsidRDefault="006154DD" w:rsidP="006154DD">
      <w:pPr>
        <w:spacing w:after="120" w:line="276" w:lineRule="auto"/>
        <w:jc w:val="both"/>
        <w:rPr>
          <w:rFonts w:ascii="Arial" w:hAnsi="Arial" w:cs="Arial"/>
          <w:sz w:val="22"/>
          <w:szCs w:val="22"/>
        </w:rPr>
      </w:pPr>
      <w:r w:rsidRPr="00BC0DCF">
        <w:rPr>
          <w:rFonts w:ascii="Arial" w:hAnsi="Arial" w:cs="Arial"/>
          <w:sz w:val="22"/>
          <w:szCs w:val="22"/>
        </w:rPr>
        <w:t>Investicija se bo financirala z nepovratnimi sredstvi z naslova javnega razpisa za področje trajnostne mobilnosti ter lastnimi sredstvi ter se bo predvidoma zaključila v letu 2029.</w:t>
      </w:r>
    </w:p>
    <w:p w14:paraId="4A691503" w14:textId="77777777" w:rsidR="00D1347D" w:rsidRPr="00F11127" w:rsidRDefault="00D1347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294" w:name="_Toc3698278"/>
      <w:bookmarkStart w:id="295" w:name="_Toc210033842"/>
      <w:r w:rsidRPr="00F11127">
        <w:rPr>
          <w:rFonts w:asciiTheme="majorHAnsi" w:eastAsiaTheme="majorEastAsia" w:hAnsiTheme="majorHAnsi" w:cstheme="majorHAnsi"/>
          <w:color w:val="244061" w:themeColor="accent1" w:themeShade="80"/>
        </w:rPr>
        <w:t>Organizacija vodenja projekta</w:t>
      </w:r>
      <w:bookmarkEnd w:id="294"/>
      <w:bookmarkEnd w:id="295"/>
    </w:p>
    <w:p w14:paraId="3C57DFB1" w14:textId="7EFD1C5D" w:rsidR="00E9413A" w:rsidRPr="00F11127" w:rsidRDefault="00E9413A" w:rsidP="00BD1D20">
      <w:pPr>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Vodja pri izvedbi investicijskega projekta, ki je predmet tega dokumenta, je </w:t>
      </w:r>
      <w:r w:rsidR="00C73D22">
        <w:rPr>
          <w:rFonts w:asciiTheme="majorHAnsi" w:eastAsia="Arial Unicode MS" w:hAnsiTheme="majorHAnsi" w:cstheme="majorHAnsi"/>
          <w:sz w:val="22"/>
          <w:szCs w:val="22"/>
        </w:rPr>
        <w:t xml:space="preserve">Marjetka </w:t>
      </w:r>
      <w:r w:rsidR="00D25756">
        <w:rPr>
          <w:rFonts w:asciiTheme="majorHAnsi" w:eastAsia="Arial Unicode MS" w:hAnsiTheme="majorHAnsi" w:cstheme="majorHAnsi"/>
          <w:sz w:val="22"/>
          <w:szCs w:val="22"/>
        </w:rPr>
        <w:t>Pintarič Župec</w:t>
      </w:r>
      <w:r w:rsidRPr="00F11127">
        <w:rPr>
          <w:rFonts w:asciiTheme="majorHAnsi" w:eastAsia="Arial Unicode MS" w:hAnsiTheme="majorHAnsi" w:cstheme="majorHAnsi"/>
          <w:sz w:val="22"/>
          <w:szCs w:val="22"/>
        </w:rPr>
        <w:t xml:space="preserve">, </w:t>
      </w:r>
      <w:r w:rsidR="007B4FF2">
        <w:rPr>
          <w:rFonts w:asciiTheme="majorHAnsi" w:eastAsia="Arial Unicode MS" w:hAnsiTheme="majorHAnsi" w:cstheme="majorHAnsi"/>
          <w:sz w:val="22"/>
          <w:szCs w:val="22"/>
        </w:rPr>
        <w:t>višja svetovalka</w:t>
      </w:r>
      <w:r w:rsidRPr="00F11127">
        <w:rPr>
          <w:rFonts w:asciiTheme="majorHAnsi" w:hAnsiTheme="majorHAnsi" w:cstheme="majorHAnsi"/>
          <w:sz w:val="22"/>
          <w:szCs w:val="22"/>
        </w:rPr>
        <w:t>. Kot vodja bo skrbel</w:t>
      </w:r>
      <w:r w:rsidR="007B4FF2">
        <w:rPr>
          <w:rFonts w:asciiTheme="majorHAnsi" w:hAnsiTheme="majorHAnsi" w:cstheme="majorHAnsi"/>
          <w:sz w:val="22"/>
          <w:szCs w:val="22"/>
        </w:rPr>
        <w:t>a</w:t>
      </w:r>
      <w:r w:rsidRPr="00F11127">
        <w:rPr>
          <w:rFonts w:asciiTheme="majorHAnsi" w:hAnsiTheme="majorHAnsi" w:cstheme="majorHAnsi"/>
          <w:sz w:val="22"/>
          <w:szCs w:val="22"/>
        </w:rPr>
        <w:t xml:space="preserve"> za vodenje javnih naročil, pravoča</w:t>
      </w:r>
      <w:r w:rsidR="001C63A1">
        <w:rPr>
          <w:rFonts w:asciiTheme="majorHAnsi" w:hAnsiTheme="majorHAnsi" w:cstheme="majorHAnsi"/>
          <w:sz w:val="22"/>
          <w:szCs w:val="22"/>
        </w:rPr>
        <w:t>sno pripravo dokumentacije, vodil</w:t>
      </w:r>
      <w:r w:rsidR="007B4FF2">
        <w:rPr>
          <w:rFonts w:asciiTheme="majorHAnsi" w:hAnsiTheme="majorHAnsi" w:cstheme="majorHAnsi"/>
          <w:sz w:val="22"/>
          <w:szCs w:val="22"/>
        </w:rPr>
        <w:t>a</w:t>
      </w:r>
      <w:r w:rsidR="001C63A1">
        <w:rPr>
          <w:rFonts w:asciiTheme="majorHAnsi" w:hAnsiTheme="majorHAnsi" w:cstheme="majorHAnsi"/>
          <w:sz w:val="22"/>
          <w:szCs w:val="22"/>
        </w:rPr>
        <w:t xml:space="preserve"> bo</w:t>
      </w:r>
      <w:r w:rsidRPr="00F11127">
        <w:rPr>
          <w:rFonts w:asciiTheme="majorHAnsi" w:hAnsiTheme="majorHAnsi" w:cstheme="majorHAnsi"/>
          <w:sz w:val="22"/>
          <w:szCs w:val="22"/>
        </w:rPr>
        <w:t xml:space="preserve"> investicijo ter vlagal</w:t>
      </w:r>
      <w:r w:rsidR="007B4FF2">
        <w:rPr>
          <w:rFonts w:asciiTheme="majorHAnsi" w:hAnsiTheme="majorHAnsi" w:cstheme="majorHAnsi"/>
          <w:sz w:val="22"/>
          <w:szCs w:val="22"/>
        </w:rPr>
        <w:t>a</w:t>
      </w:r>
      <w:r w:rsidRPr="00F11127">
        <w:rPr>
          <w:rFonts w:asciiTheme="majorHAnsi" w:hAnsiTheme="majorHAnsi" w:cstheme="majorHAnsi"/>
          <w:sz w:val="22"/>
          <w:szCs w:val="22"/>
        </w:rPr>
        <w:t xml:space="preserve"> zahtevke na investitorja za povračilo sredstev.</w:t>
      </w:r>
    </w:p>
    <w:p w14:paraId="122D6DB5" w14:textId="77777777" w:rsidR="00E9413A" w:rsidRPr="00F11127" w:rsidRDefault="00E9413A" w:rsidP="00BD1D20">
      <w:pPr>
        <w:spacing w:line="276" w:lineRule="auto"/>
        <w:jc w:val="both"/>
        <w:rPr>
          <w:rFonts w:asciiTheme="majorHAnsi" w:hAnsiTheme="majorHAnsi" w:cstheme="majorHAnsi"/>
          <w:sz w:val="22"/>
          <w:szCs w:val="22"/>
        </w:rPr>
      </w:pPr>
    </w:p>
    <w:p w14:paraId="73D67B83" w14:textId="77777777" w:rsidR="00E9413A" w:rsidRPr="00F11127" w:rsidRDefault="00E9413A" w:rsidP="00BD1D20">
      <w:pPr>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Vloge in odgovornosti vodje pri izvedbi investicijskega projekta so:</w:t>
      </w:r>
    </w:p>
    <w:p w14:paraId="064D4ABA" w14:textId="70A07F2A"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Theme="majorHAnsi" w:hAnsiTheme="majorHAnsi" w:cstheme="majorHAnsi"/>
          <w:sz w:val="22"/>
          <w:szCs w:val="22"/>
        </w:rPr>
        <w:t>zagon projekta, formiranje skupine, ki bo zadolžena za izvajanje akti</w:t>
      </w:r>
      <w:r w:rsidR="001C63A1">
        <w:rPr>
          <w:rFonts w:asciiTheme="majorHAnsi" w:hAnsiTheme="majorHAnsi" w:cstheme="majorHAnsi"/>
          <w:sz w:val="22"/>
          <w:szCs w:val="22"/>
        </w:rPr>
        <w:t>vnosti v povezavi z investicijo;</w:t>
      </w:r>
    </w:p>
    <w:p w14:paraId="5E38780B" w14:textId="0CD655F5"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Theme="majorHAnsi" w:hAnsiTheme="majorHAnsi" w:cstheme="majorHAnsi"/>
          <w:sz w:val="22"/>
          <w:szCs w:val="22"/>
        </w:rPr>
        <w:t>priprava časovne</w:t>
      </w:r>
      <w:r w:rsidR="001C63A1">
        <w:rPr>
          <w:rFonts w:asciiTheme="majorHAnsi" w:hAnsiTheme="majorHAnsi" w:cstheme="majorHAnsi"/>
          <w:sz w:val="22"/>
          <w:szCs w:val="22"/>
        </w:rPr>
        <w:t>ga načrta izvajanja investicije;</w:t>
      </w:r>
    </w:p>
    <w:p w14:paraId="376219DC" w14:textId="51F51B42"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zbiranje</w:t>
      </w:r>
      <w:r w:rsidRPr="00EA1ACE">
        <w:rPr>
          <w:rFonts w:asciiTheme="majorHAnsi" w:hAnsiTheme="majorHAnsi" w:cstheme="majorHAnsi"/>
          <w:sz w:val="22"/>
          <w:szCs w:val="22"/>
        </w:rPr>
        <w:t xml:space="preserve"> ponudb izvajalcev na podl</w:t>
      </w:r>
      <w:r w:rsidR="001C63A1">
        <w:rPr>
          <w:rFonts w:asciiTheme="majorHAnsi" w:hAnsiTheme="majorHAnsi" w:cstheme="majorHAnsi"/>
          <w:sz w:val="22"/>
          <w:szCs w:val="22"/>
        </w:rPr>
        <w:t>agi popisov del za investicijo;</w:t>
      </w:r>
    </w:p>
    <w:p w14:paraId="4986DAEC" w14:textId="5B86E061"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vodenje</w:t>
      </w:r>
      <w:r w:rsidR="001C63A1">
        <w:rPr>
          <w:rFonts w:asciiTheme="majorHAnsi" w:hAnsiTheme="majorHAnsi" w:cstheme="majorHAnsi"/>
          <w:sz w:val="22"/>
          <w:szCs w:val="22"/>
        </w:rPr>
        <w:t xml:space="preserve"> postopka za izbiro izvajalca;</w:t>
      </w:r>
    </w:p>
    <w:p w14:paraId="55896CF2" w14:textId="1B6AD200"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koordinacija</w:t>
      </w:r>
      <w:r w:rsidRPr="00EA1ACE">
        <w:rPr>
          <w:rFonts w:asciiTheme="majorHAnsi" w:hAnsiTheme="majorHAnsi" w:cstheme="majorHAnsi"/>
          <w:sz w:val="22"/>
          <w:szCs w:val="22"/>
        </w:rPr>
        <w:t xml:space="preserve"> izvajanja projekta in ustrezno</w:t>
      </w:r>
      <w:r w:rsidR="001C63A1">
        <w:rPr>
          <w:rFonts w:asciiTheme="majorHAnsi" w:hAnsiTheme="majorHAnsi" w:cstheme="majorHAnsi"/>
          <w:sz w:val="22"/>
          <w:szCs w:val="22"/>
        </w:rPr>
        <w:t xml:space="preserve"> ukrepanje v primeru odstopanj;</w:t>
      </w:r>
    </w:p>
    <w:p w14:paraId="14255842" w14:textId="32CC8C0E"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ocenjevanje</w:t>
      </w:r>
      <w:r w:rsidRPr="00EA1ACE">
        <w:rPr>
          <w:rFonts w:asciiTheme="majorHAnsi" w:hAnsiTheme="majorHAnsi" w:cstheme="majorHAnsi"/>
          <w:sz w:val="22"/>
          <w:szCs w:val="22"/>
        </w:rPr>
        <w:t xml:space="preserve"> doseženih rezultatov proje</w:t>
      </w:r>
      <w:r w:rsidR="001C63A1">
        <w:rPr>
          <w:rFonts w:asciiTheme="majorHAnsi" w:hAnsiTheme="majorHAnsi" w:cstheme="majorHAnsi"/>
          <w:sz w:val="22"/>
          <w:szCs w:val="22"/>
        </w:rPr>
        <w:t>kta glede na zastavljene cilje;</w:t>
      </w:r>
    </w:p>
    <w:p w14:paraId="77B7955E" w14:textId="4AC3CF5B"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razreševanje</w:t>
      </w:r>
      <w:r w:rsidR="001C63A1">
        <w:rPr>
          <w:rFonts w:asciiTheme="majorHAnsi" w:hAnsiTheme="majorHAnsi" w:cstheme="majorHAnsi"/>
          <w:sz w:val="22"/>
          <w:szCs w:val="22"/>
        </w:rPr>
        <w:t xml:space="preserve"> problemov;</w:t>
      </w:r>
    </w:p>
    <w:p w14:paraId="58EA3C98" w14:textId="77777777" w:rsidR="00E9413A" w:rsidRPr="00EA1ACE" w:rsidRDefault="00E9413A" w:rsidP="00BD1D20">
      <w:pPr>
        <w:numPr>
          <w:ilvl w:val="0"/>
          <w:numId w:val="92"/>
        </w:numPr>
        <w:spacing w:line="276" w:lineRule="auto"/>
        <w:contextualSpacing/>
        <w:jc w:val="both"/>
        <w:rPr>
          <w:rFonts w:asciiTheme="majorHAnsi" w:hAnsiTheme="majorHAnsi" w:cstheme="majorHAnsi"/>
          <w:sz w:val="22"/>
          <w:szCs w:val="22"/>
        </w:rPr>
      </w:pPr>
      <w:r w:rsidRPr="00EA1ACE">
        <w:rPr>
          <w:rFonts w:ascii="Arial" w:eastAsia="Arial" w:hAnsi="Arial" w:cs="Arial"/>
          <w:sz w:val="22"/>
          <w:szCs w:val="22"/>
          <w:lang w:eastAsia="en-US"/>
        </w:rPr>
        <w:t>spremljanje</w:t>
      </w:r>
      <w:r w:rsidRPr="00EA1ACE">
        <w:rPr>
          <w:rFonts w:asciiTheme="majorHAnsi" w:hAnsiTheme="majorHAnsi" w:cstheme="majorHAnsi"/>
          <w:sz w:val="22"/>
          <w:szCs w:val="22"/>
        </w:rPr>
        <w:t xml:space="preserve"> finančnega načrta.</w:t>
      </w:r>
    </w:p>
    <w:p w14:paraId="7CFECD1D" w14:textId="77777777" w:rsidR="00EA1ACE" w:rsidRDefault="00EA1ACE" w:rsidP="00BD1D20">
      <w:pPr>
        <w:spacing w:line="276" w:lineRule="auto"/>
        <w:jc w:val="both"/>
        <w:rPr>
          <w:rFonts w:asciiTheme="majorHAnsi" w:hAnsiTheme="majorHAnsi" w:cstheme="majorHAnsi"/>
          <w:sz w:val="22"/>
          <w:szCs w:val="22"/>
        </w:rPr>
      </w:pPr>
    </w:p>
    <w:p w14:paraId="2D238064" w14:textId="3AEBA3FC" w:rsidR="00E9413A" w:rsidRPr="00F11127" w:rsidRDefault="00E9413A" w:rsidP="00BD1D20">
      <w:pPr>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V projekt bodo vključeni tudi drugi posamezniki glede na potrebe oz. pri tistih specifičnih nalogah v projektu, ki jih pokrivajo v okviru svojih rednih delovnih nalog. V projektno skupino bodo po potrebi vključeni tudi drugi zunanji strokovni sodelavci, ki bodo sodelovali pri izvedbi projekta.</w:t>
      </w:r>
    </w:p>
    <w:p w14:paraId="460148C1" w14:textId="77777777" w:rsidR="00E9413A" w:rsidRPr="00F11127" w:rsidRDefault="00E9413A" w:rsidP="00BD1D20">
      <w:pPr>
        <w:spacing w:after="120" w:line="276" w:lineRule="auto"/>
        <w:jc w:val="both"/>
        <w:rPr>
          <w:rFonts w:asciiTheme="majorHAnsi" w:hAnsiTheme="majorHAnsi" w:cstheme="majorHAnsi"/>
          <w:i/>
          <w:sz w:val="22"/>
          <w:szCs w:val="22"/>
          <w:u w:val="single"/>
        </w:rPr>
      </w:pPr>
      <w:bookmarkStart w:id="296" w:name="_Toc342380328"/>
      <w:bookmarkStart w:id="297" w:name="_Toc343086539"/>
    </w:p>
    <w:p w14:paraId="3A50F871" w14:textId="77777777" w:rsidR="00560CC4" w:rsidRPr="00F11127" w:rsidRDefault="00560CC4" w:rsidP="00BD1D20">
      <w:pPr>
        <w:spacing w:after="120" w:line="276" w:lineRule="auto"/>
        <w:jc w:val="both"/>
        <w:rPr>
          <w:rFonts w:asciiTheme="majorHAnsi" w:hAnsiTheme="majorHAnsi" w:cstheme="majorHAnsi"/>
          <w:i/>
          <w:sz w:val="22"/>
          <w:szCs w:val="22"/>
          <w:u w:val="single"/>
        </w:rPr>
      </w:pPr>
      <w:r w:rsidRPr="00F11127">
        <w:rPr>
          <w:rFonts w:asciiTheme="majorHAnsi" w:hAnsiTheme="majorHAnsi" w:cstheme="majorHAnsi"/>
          <w:i/>
          <w:sz w:val="22"/>
          <w:szCs w:val="22"/>
          <w:u w:val="single"/>
        </w:rPr>
        <w:t>Vpliv na zaposlenost</w:t>
      </w:r>
      <w:bookmarkEnd w:id="296"/>
      <w:bookmarkEnd w:id="297"/>
    </w:p>
    <w:p w14:paraId="4F57E935" w14:textId="77777777" w:rsidR="00560CC4" w:rsidRPr="00F11127" w:rsidRDefault="00560CC4"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Realizacija investicijske operacije in posledično izoblikovanje novih kakovostnih vsebin zahteva dodatne človeške vire. Zaradi strokovnih kadrov, ki so povezani s predvidenimi vsebinami ocenjujemo, da bo operacija izboljšala pogoje za ustvarjanje novih delovnih mest. </w:t>
      </w:r>
    </w:p>
    <w:p w14:paraId="7A9A6E24" w14:textId="77777777" w:rsidR="00560CC4" w:rsidRPr="00F11127" w:rsidRDefault="00560CC4" w:rsidP="00BD1D20">
      <w:pPr>
        <w:spacing w:after="120" w:line="276" w:lineRule="auto"/>
        <w:jc w:val="both"/>
        <w:rPr>
          <w:rFonts w:asciiTheme="majorHAnsi" w:hAnsiTheme="majorHAnsi" w:cstheme="majorHAnsi"/>
          <w:i/>
          <w:sz w:val="22"/>
          <w:szCs w:val="22"/>
          <w:u w:val="single"/>
        </w:rPr>
      </w:pPr>
      <w:bookmarkStart w:id="298" w:name="_Toc342380329"/>
      <w:bookmarkStart w:id="299" w:name="_Toc343086540"/>
      <w:r w:rsidRPr="00F11127">
        <w:rPr>
          <w:rFonts w:asciiTheme="majorHAnsi" w:hAnsiTheme="majorHAnsi" w:cstheme="majorHAnsi"/>
          <w:i/>
          <w:sz w:val="22"/>
          <w:szCs w:val="22"/>
          <w:u w:val="single"/>
        </w:rPr>
        <w:t>Vzdrževanje in upravljanje</w:t>
      </w:r>
      <w:bookmarkEnd w:id="298"/>
      <w:bookmarkEnd w:id="299"/>
      <w:r w:rsidRPr="00F11127">
        <w:rPr>
          <w:rFonts w:asciiTheme="majorHAnsi" w:hAnsiTheme="majorHAnsi" w:cstheme="majorHAnsi"/>
          <w:i/>
          <w:sz w:val="22"/>
          <w:szCs w:val="22"/>
          <w:u w:val="single"/>
        </w:rPr>
        <w:t xml:space="preserve"> </w:t>
      </w:r>
    </w:p>
    <w:p w14:paraId="11805DC2" w14:textId="77777777" w:rsidR="00560CC4" w:rsidRPr="00F11127" w:rsidRDefault="00560CC4"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Po zaključku del bo z objektom upravljal</w:t>
      </w:r>
      <w:r w:rsidR="00663F69" w:rsidRPr="00F11127">
        <w:rPr>
          <w:rFonts w:asciiTheme="majorHAnsi" w:hAnsiTheme="majorHAnsi" w:cstheme="majorHAnsi"/>
          <w:sz w:val="22"/>
          <w:szCs w:val="22"/>
        </w:rPr>
        <w:t xml:space="preserve"> </w:t>
      </w:r>
      <w:r w:rsidR="00E9413A" w:rsidRPr="00F11127">
        <w:rPr>
          <w:rFonts w:asciiTheme="majorHAnsi" w:hAnsiTheme="majorHAnsi" w:cstheme="majorHAnsi"/>
          <w:sz w:val="22"/>
          <w:szCs w:val="22"/>
        </w:rPr>
        <w:t>naročnik</w:t>
      </w:r>
      <w:r w:rsidRPr="00F11127">
        <w:rPr>
          <w:rFonts w:asciiTheme="majorHAnsi" w:hAnsiTheme="majorHAnsi" w:cstheme="majorHAnsi"/>
          <w:sz w:val="22"/>
          <w:szCs w:val="22"/>
        </w:rPr>
        <w:t xml:space="preserve">, ki ima za to usposobljen kader.  </w:t>
      </w:r>
    </w:p>
    <w:p w14:paraId="04998690" w14:textId="77777777" w:rsidR="00560CC4" w:rsidRPr="00F11127" w:rsidRDefault="00E9413A"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Prav tako</w:t>
      </w:r>
      <w:r w:rsidR="00560CC4" w:rsidRPr="00F11127">
        <w:rPr>
          <w:rFonts w:asciiTheme="majorHAnsi" w:hAnsiTheme="majorHAnsi" w:cstheme="majorHAnsi"/>
          <w:sz w:val="22"/>
          <w:szCs w:val="22"/>
        </w:rPr>
        <w:t xml:space="preserve"> bo prišlo do novih zaposlitev.</w:t>
      </w:r>
    </w:p>
    <w:p w14:paraId="10CC06CD" w14:textId="77777777" w:rsidR="00560CC4" w:rsidRPr="00F11127" w:rsidRDefault="00560CC4" w:rsidP="00BD1D20">
      <w:pPr>
        <w:spacing w:after="120" w:line="276" w:lineRule="auto"/>
        <w:jc w:val="both"/>
        <w:rPr>
          <w:rFonts w:asciiTheme="majorHAnsi" w:hAnsiTheme="majorHAnsi" w:cstheme="majorHAnsi"/>
          <w:i/>
          <w:sz w:val="22"/>
          <w:szCs w:val="22"/>
          <w:u w:val="single"/>
        </w:rPr>
      </w:pPr>
      <w:bookmarkStart w:id="300" w:name="_Toc342380330"/>
      <w:bookmarkStart w:id="301" w:name="_Toc343086541"/>
      <w:r w:rsidRPr="00F11127">
        <w:rPr>
          <w:rFonts w:asciiTheme="majorHAnsi" w:hAnsiTheme="majorHAnsi" w:cstheme="majorHAnsi"/>
          <w:i/>
          <w:sz w:val="22"/>
          <w:szCs w:val="22"/>
          <w:u w:val="single"/>
        </w:rPr>
        <w:t>Kadrovska sposobnost vlagatelja</w:t>
      </w:r>
      <w:bookmarkEnd w:id="300"/>
      <w:bookmarkEnd w:id="301"/>
    </w:p>
    <w:p w14:paraId="7E2D9AB2" w14:textId="34DA391A" w:rsidR="00560CC4" w:rsidRPr="00F11127" w:rsidRDefault="00560CC4"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Za izvedbo operacije bo </w:t>
      </w:r>
      <w:r w:rsidR="007B4FF2">
        <w:rPr>
          <w:rFonts w:asciiTheme="majorHAnsi" w:hAnsiTheme="majorHAnsi" w:cstheme="majorHAnsi"/>
          <w:sz w:val="22"/>
          <w:szCs w:val="22"/>
        </w:rPr>
        <w:t>odgovoren župan Občine Ig</w:t>
      </w:r>
      <w:r w:rsidR="009B4DDC">
        <w:rPr>
          <w:rFonts w:asciiTheme="majorHAnsi" w:hAnsiTheme="majorHAnsi" w:cstheme="majorHAnsi"/>
          <w:sz w:val="22"/>
          <w:szCs w:val="22"/>
        </w:rPr>
        <w:t>.</w:t>
      </w:r>
    </w:p>
    <w:p w14:paraId="36948FA8" w14:textId="7BA27269" w:rsidR="00560CC4" w:rsidRPr="00F11127" w:rsidRDefault="00E9413A"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Direktorica</w:t>
      </w:r>
      <w:r w:rsidR="00560CC4" w:rsidRPr="00F11127">
        <w:rPr>
          <w:rFonts w:asciiTheme="majorHAnsi" w:hAnsiTheme="majorHAnsi" w:cstheme="majorHAnsi"/>
          <w:sz w:val="22"/>
          <w:szCs w:val="22"/>
        </w:rPr>
        <w:t xml:space="preserve"> ima veliko izkušenj na področju vodenja </w:t>
      </w:r>
      <w:r w:rsidR="00AB403F" w:rsidRPr="00F11127">
        <w:rPr>
          <w:rFonts w:asciiTheme="majorHAnsi" w:hAnsiTheme="majorHAnsi" w:cstheme="majorHAnsi"/>
          <w:sz w:val="22"/>
          <w:szCs w:val="22"/>
        </w:rPr>
        <w:t>investicij</w:t>
      </w:r>
      <w:r w:rsidRPr="00F11127">
        <w:rPr>
          <w:rFonts w:asciiTheme="majorHAnsi" w:hAnsiTheme="majorHAnsi" w:cstheme="majorHAnsi"/>
          <w:sz w:val="22"/>
          <w:szCs w:val="22"/>
        </w:rPr>
        <w:t>.</w:t>
      </w:r>
    </w:p>
    <w:p w14:paraId="7C57F692" w14:textId="4FB4C4FA" w:rsidR="009260A8" w:rsidRPr="00F11127" w:rsidRDefault="009260A8"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Po potrebi bo </w:t>
      </w:r>
      <w:r w:rsidR="007B4FF2">
        <w:rPr>
          <w:rFonts w:asciiTheme="majorHAnsi" w:hAnsiTheme="majorHAnsi" w:cstheme="majorHAnsi"/>
          <w:sz w:val="22"/>
          <w:szCs w:val="22"/>
        </w:rPr>
        <w:t>Občina Ig</w:t>
      </w:r>
      <w:r w:rsidRPr="00F11127">
        <w:rPr>
          <w:rFonts w:asciiTheme="majorHAnsi" w:hAnsiTheme="majorHAnsi" w:cstheme="majorHAnsi"/>
          <w:sz w:val="22"/>
          <w:szCs w:val="22"/>
        </w:rPr>
        <w:t xml:space="preserve"> angažirala tudi zunanje svetovalce.</w:t>
      </w:r>
    </w:p>
    <w:p w14:paraId="559B375F" w14:textId="77777777" w:rsidR="00D1347D" w:rsidRPr="00F11127" w:rsidRDefault="00D1347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02" w:name="_Toc3698279"/>
      <w:bookmarkStart w:id="303" w:name="_Toc210033843"/>
      <w:r w:rsidRPr="00F11127">
        <w:rPr>
          <w:rFonts w:asciiTheme="majorHAnsi" w:eastAsiaTheme="majorEastAsia" w:hAnsiTheme="majorHAnsi" w:cstheme="majorHAnsi"/>
          <w:color w:val="244061" w:themeColor="accent1" w:themeShade="80"/>
        </w:rPr>
        <w:t>Javna naročila</w:t>
      </w:r>
      <w:bookmarkEnd w:id="302"/>
      <w:bookmarkEnd w:id="303"/>
    </w:p>
    <w:p w14:paraId="3EA82CED" w14:textId="77777777" w:rsidR="00D1347D" w:rsidRPr="00F11127" w:rsidRDefault="00D1347D" w:rsidP="00BD1D20">
      <w:pPr>
        <w:spacing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Vsa predvidena javna naročila bodo oddana skladno z javno naročniško zakonodajo.</w:t>
      </w:r>
    </w:p>
    <w:p w14:paraId="54D04BC6" w14:textId="77777777" w:rsidR="00D1347D" w:rsidRPr="00F11127" w:rsidRDefault="00D1347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04" w:name="_Toc3698280"/>
      <w:bookmarkStart w:id="305" w:name="_Toc210033844"/>
      <w:r w:rsidRPr="00F11127">
        <w:rPr>
          <w:rFonts w:asciiTheme="majorHAnsi" w:eastAsiaTheme="majorEastAsia" w:hAnsiTheme="majorHAnsi" w:cstheme="majorHAnsi"/>
          <w:color w:val="244061" w:themeColor="accent1" w:themeShade="80"/>
        </w:rPr>
        <w:lastRenderedPageBreak/>
        <w:t>Poročilo o izvajanju investicije</w:t>
      </w:r>
      <w:bookmarkEnd w:id="304"/>
      <w:bookmarkEnd w:id="305"/>
    </w:p>
    <w:p w14:paraId="55F7D64D" w14:textId="64231446" w:rsidR="00D1347D" w:rsidRPr="00F11127" w:rsidRDefault="00D1347D" w:rsidP="00BD1D20">
      <w:pPr>
        <w:spacing w:after="120"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Skladno z Uredbo o enotni metodologiji za pripravo in obravnavo investicijske dokumentacije na področju javnih financ mora investitor zagotoviti ustrezen nadzor in spremljanje izvajanja investicije. V ta namen morajo biti izdelana poročila o izvajanju investici</w:t>
      </w:r>
      <w:r w:rsidR="00EA6FD0">
        <w:rPr>
          <w:rFonts w:asciiTheme="majorHAnsi" w:hAnsiTheme="majorHAnsi" w:cstheme="majorHAnsi"/>
          <w:sz w:val="22"/>
          <w:szCs w:val="22"/>
          <w:lang w:eastAsia="zh-TW"/>
        </w:rPr>
        <w:t>je. V okviru poročil o izvajanju</w:t>
      </w:r>
      <w:r w:rsidRPr="00F11127">
        <w:rPr>
          <w:rFonts w:asciiTheme="majorHAnsi" w:hAnsiTheme="majorHAnsi" w:cstheme="majorHAnsi"/>
          <w:sz w:val="22"/>
          <w:szCs w:val="22"/>
          <w:lang w:eastAsia="zh-TW"/>
        </w:rPr>
        <w:t xml:space="preserve"> investicije se </w:t>
      </w:r>
      <w:r w:rsidR="001B02AA" w:rsidRPr="00F11127">
        <w:rPr>
          <w:rFonts w:asciiTheme="majorHAnsi" w:hAnsiTheme="majorHAnsi" w:cstheme="majorHAnsi"/>
          <w:sz w:val="22"/>
          <w:szCs w:val="22"/>
          <w:lang w:eastAsia="zh-TW"/>
        </w:rPr>
        <w:t>ugotavljajo</w:t>
      </w:r>
      <w:r w:rsidRPr="00F11127">
        <w:rPr>
          <w:rFonts w:asciiTheme="majorHAnsi" w:hAnsiTheme="majorHAnsi" w:cstheme="majorHAnsi"/>
          <w:sz w:val="22"/>
          <w:szCs w:val="22"/>
          <w:lang w:eastAsia="zh-TW"/>
        </w:rPr>
        <w:t xml:space="preserve"> odmiki od predvidenega načrta izvajanja investicije v vseh njenih segmentih, poročilo pa zajema tudi nujne ukrepe za reševanje dilem in težav, ki se pojavljajo med izvajanjem.</w:t>
      </w:r>
    </w:p>
    <w:p w14:paraId="1FE52CFA" w14:textId="77777777" w:rsidR="00D1347D" w:rsidRPr="00F11127" w:rsidRDefault="00D1347D"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06" w:name="_Toc3698281"/>
      <w:bookmarkStart w:id="307" w:name="_Toc210033845"/>
      <w:r w:rsidRPr="00F11127">
        <w:rPr>
          <w:rFonts w:asciiTheme="majorHAnsi" w:eastAsiaTheme="majorEastAsia" w:hAnsiTheme="majorHAnsi" w:cstheme="majorHAnsi"/>
          <w:color w:val="244061" w:themeColor="accent1" w:themeShade="80"/>
        </w:rPr>
        <w:t>Zaključek</w:t>
      </w:r>
      <w:bookmarkEnd w:id="306"/>
      <w:bookmarkEnd w:id="307"/>
    </w:p>
    <w:p w14:paraId="35FB46F7" w14:textId="77777777" w:rsidR="00D1347D" w:rsidRPr="00F11127" w:rsidRDefault="00D1347D"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lang w:eastAsia="zh-TW"/>
        </w:rPr>
        <w:t>Projekt ima jasno časovno in organizacijsko strukturo, poleg tega so rešena bistvena vprašanja pripravljalne faze, zato menimo, da je projekt s tega vidika realen in izvedljiv, ekonomsko pa upravičen.</w:t>
      </w:r>
    </w:p>
    <w:p w14:paraId="19E79502" w14:textId="77777777" w:rsidR="00D1347D" w:rsidRDefault="00D1347D" w:rsidP="00BD1D20">
      <w:pPr>
        <w:spacing w:line="276" w:lineRule="auto"/>
        <w:jc w:val="both"/>
        <w:rPr>
          <w:rFonts w:asciiTheme="majorHAnsi" w:hAnsiTheme="majorHAnsi" w:cstheme="majorHAnsi"/>
          <w:sz w:val="22"/>
          <w:szCs w:val="22"/>
          <w:highlight w:val="yellow"/>
        </w:rPr>
      </w:pPr>
    </w:p>
    <w:p w14:paraId="03DE4AE6" w14:textId="77777777" w:rsidR="005C5AD5" w:rsidRPr="00F11127" w:rsidRDefault="005C5AD5" w:rsidP="00BD1D20">
      <w:pPr>
        <w:spacing w:line="276" w:lineRule="auto"/>
        <w:jc w:val="both"/>
        <w:rPr>
          <w:rFonts w:asciiTheme="majorHAnsi" w:hAnsiTheme="majorHAnsi" w:cstheme="majorHAnsi"/>
          <w:sz w:val="22"/>
          <w:szCs w:val="22"/>
          <w:highlight w:val="yellow"/>
        </w:rPr>
        <w:sectPr w:rsidR="005C5AD5" w:rsidRPr="00F11127" w:rsidSect="00480057">
          <w:pgSz w:w="11906" w:h="16838"/>
          <w:pgMar w:top="1134" w:right="1417" w:bottom="1417" w:left="1134" w:header="708" w:footer="708" w:gutter="0"/>
          <w:cols w:space="708"/>
          <w:titlePg/>
          <w:docGrid w:linePitch="360"/>
        </w:sectPr>
      </w:pPr>
    </w:p>
    <w:p w14:paraId="01EC12E1" w14:textId="77777777" w:rsidR="00593430" w:rsidRPr="00F11127" w:rsidRDefault="00593430" w:rsidP="00BD1D20">
      <w:pPr>
        <w:pStyle w:val="Naslov1"/>
        <w:numPr>
          <w:ilvl w:val="0"/>
          <w:numId w:val="3"/>
        </w:numPr>
        <w:rPr>
          <w:rFonts w:cstheme="majorHAnsi"/>
        </w:rPr>
      </w:pPr>
      <w:bookmarkStart w:id="308" w:name="_Toc210033846"/>
      <w:r w:rsidRPr="00F11127">
        <w:rPr>
          <w:rFonts w:cstheme="majorHAnsi"/>
        </w:rPr>
        <w:lastRenderedPageBreak/>
        <w:t>NAČRT FINANCIRANJA V STALNIH IN TEKOČIH CENAH PO DINAMIKI IN VIRIH FINANCIRANJA</w:t>
      </w:r>
      <w:bookmarkEnd w:id="308"/>
      <w:r w:rsidRPr="00F11127">
        <w:rPr>
          <w:rFonts w:cstheme="majorHAnsi"/>
        </w:rPr>
        <w:t xml:space="preserve"> </w:t>
      </w:r>
    </w:p>
    <w:p w14:paraId="589CF37D" w14:textId="77777777" w:rsidR="00593430" w:rsidRPr="00F11127" w:rsidRDefault="00593430" w:rsidP="00BD1D20">
      <w:pPr>
        <w:spacing w:line="276" w:lineRule="auto"/>
        <w:rPr>
          <w:rFonts w:asciiTheme="majorHAnsi" w:hAnsiTheme="majorHAnsi" w:cstheme="majorHAnsi"/>
          <w:sz w:val="12"/>
          <w:szCs w:val="12"/>
          <w:highlight w:val="yellow"/>
        </w:rPr>
      </w:pPr>
    </w:p>
    <w:p w14:paraId="29E6BA14" w14:textId="1C65BF33" w:rsidR="008D1C61" w:rsidRDefault="008D1C61" w:rsidP="00BD1D20">
      <w:pPr>
        <w:spacing w:after="120" w:line="276" w:lineRule="auto"/>
        <w:jc w:val="both"/>
        <w:rPr>
          <w:rFonts w:asciiTheme="majorHAnsi" w:hAnsiTheme="majorHAnsi" w:cstheme="majorHAnsi"/>
          <w:sz w:val="22"/>
          <w:szCs w:val="22"/>
        </w:rPr>
      </w:pPr>
      <w:bookmarkStart w:id="309" w:name="_Toc209528304"/>
      <w:r w:rsidRPr="00F11127">
        <w:rPr>
          <w:rFonts w:asciiTheme="majorHAnsi" w:hAnsiTheme="majorHAnsi" w:cstheme="majorHAnsi"/>
          <w:b/>
          <w:sz w:val="22"/>
          <w:szCs w:val="22"/>
        </w:rPr>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18</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Finančni terminski plan investicije v stalnih cenah v EUR</w:t>
      </w:r>
      <w:bookmarkEnd w:id="309"/>
    </w:p>
    <w:tbl>
      <w:tblPr>
        <w:tblW w:w="5000" w:type="pct"/>
        <w:tblCellMar>
          <w:left w:w="70" w:type="dxa"/>
          <w:right w:w="70" w:type="dxa"/>
        </w:tblCellMar>
        <w:tblLook w:val="04A0" w:firstRow="1" w:lastRow="0" w:firstColumn="1" w:lastColumn="0" w:noHBand="0" w:noVBand="1"/>
      </w:tblPr>
      <w:tblGrid>
        <w:gridCol w:w="4815"/>
        <w:gridCol w:w="1417"/>
        <w:gridCol w:w="1276"/>
        <w:gridCol w:w="1276"/>
        <w:gridCol w:w="1276"/>
        <w:gridCol w:w="1416"/>
        <w:gridCol w:w="1419"/>
        <w:gridCol w:w="1382"/>
      </w:tblGrid>
      <w:tr w:rsidR="004A6E4D" w:rsidRPr="004A6E4D" w14:paraId="0DDAA618" w14:textId="77777777" w:rsidTr="004A6E4D">
        <w:trPr>
          <w:trHeight w:val="284"/>
          <w:tblHeader/>
        </w:trPr>
        <w:tc>
          <w:tcPr>
            <w:tcW w:w="1686" w:type="pct"/>
            <w:tcBorders>
              <w:top w:val="nil"/>
              <w:left w:val="single" w:sz="4" w:space="0" w:color="auto"/>
              <w:bottom w:val="single" w:sz="4" w:space="0" w:color="auto"/>
              <w:right w:val="single" w:sz="4" w:space="0" w:color="auto"/>
            </w:tcBorders>
            <w:shd w:val="clear" w:color="000000" w:fill="153D64"/>
            <w:vAlign w:val="bottom"/>
            <w:hideMark/>
          </w:tcPr>
          <w:p w14:paraId="4AA4E904"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Postavka</w:t>
            </w:r>
          </w:p>
        </w:tc>
        <w:tc>
          <w:tcPr>
            <w:tcW w:w="496" w:type="pct"/>
            <w:tcBorders>
              <w:top w:val="nil"/>
              <w:left w:val="nil"/>
              <w:bottom w:val="single" w:sz="4" w:space="0" w:color="auto"/>
              <w:right w:val="single" w:sz="4" w:space="0" w:color="auto"/>
            </w:tcBorders>
            <w:shd w:val="clear" w:color="000000" w:fill="153D64"/>
            <w:noWrap/>
            <w:vAlign w:val="bottom"/>
            <w:hideMark/>
          </w:tcPr>
          <w:p w14:paraId="338C0A22"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Vrednost</w:t>
            </w:r>
          </w:p>
        </w:tc>
        <w:tc>
          <w:tcPr>
            <w:tcW w:w="447" w:type="pct"/>
            <w:tcBorders>
              <w:top w:val="nil"/>
              <w:left w:val="nil"/>
              <w:bottom w:val="single" w:sz="4" w:space="0" w:color="auto"/>
              <w:right w:val="single" w:sz="4" w:space="0" w:color="auto"/>
            </w:tcBorders>
            <w:shd w:val="clear" w:color="000000" w:fill="153D64"/>
            <w:noWrap/>
            <w:vAlign w:val="bottom"/>
            <w:hideMark/>
          </w:tcPr>
          <w:p w14:paraId="1E6D7F5D"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2024</w:t>
            </w:r>
          </w:p>
        </w:tc>
        <w:tc>
          <w:tcPr>
            <w:tcW w:w="447" w:type="pct"/>
            <w:tcBorders>
              <w:top w:val="nil"/>
              <w:left w:val="nil"/>
              <w:bottom w:val="single" w:sz="4" w:space="0" w:color="auto"/>
              <w:right w:val="single" w:sz="4" w:space="0" w:color="auto"/>
            </w:tcBorders>
            <w:shd w:val="clear" w:color="000000" w:fill="153D64"/>
            <w:noWrap/>
            <w:vAlign w:val="bottom"/>
            <w:hideMark/>
          </w:tcPr>
          <w:p w14:paraId="69BBD16C"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2025</w:t>
            </w:r>
          </w:p>
        </w:tc>
        <w:tc>
          <w:tcPr>
            <w:tcW w:w="447" w:type="pct"/>
            <w:tcBorders>
              <w:top w:val="nil"/>
              <w:left w:val="nil"/>
              <w:bottom w:val="single" w:sz="4" w:space="0" w:color="auto"/>
              <w:right w:val="single" w:sz="4" w:space="0" w:color="auto"/>
            </w:tcBorders>
            <w:shd w:val="clear" w:color="000000" w:fill="153D64"/>
            <w:noWrap/>
            <w:vAlign w:val="bottom"/>
            <w:hideMark/>
          </w:tcPr>
          <w:p w14:paraId="655E16BD"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2026</w:t>
            </w:r>
          </w:p>
        </w:tc>
        <w:tc>
          <w:tcPr>
            <w:tcW w:w="496" w:type="pct"/>
            <w:tcBorders>
              <w:top w:val="nil"/>
              <w:left w:val="nil"/>
              <w:bottom w:val="single" w:sz="4" w:space="0" w:color="auto"/>
              <w:right w:val="single" w:sz="4" w:space="0" w:color="auto"/>
            </w:tcBorders>
            <w:shd w:val="clear" w:color="000000" w:fill="153D64"/>
            <w:noWrap/>
            <w:vAlign w:val="bottom"/>
            <w:hideMark/>
          </w:tcPr>
          <w:p w14:paraId="659B5030"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2027</w:t>
            </w:r>
          </w:p>
        </w:tc>
        <w:tc>
          <w:tcPr>
            <w:tcW w:w="497" w:type="pct"/>
            <w:tcBorders>
              <w:top w:val="nil"/>
              <w:left w:val="nil"/>
              <w:bottom w:val="single" w:sz="4" w:space="0" w:color="auto"/>
              <w:right w:val="single" w:sz="4" w:space="0" w:color="auto"/>
            </w:tcBorders>
            <w:shd w:val="clear" w:color="000000" w:fill="153D64"/>
            <w:noWrap/>
            <w:vAlign w:val="bottom"/>
            <w:hideMark/>
          </w:tcPr>
          <w:p w14:paraId="12602120"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2028</w:t>
            </w:r>
          </w:p>
        </w:tc>
        <w:tc>
          <w:tcPr>
            <w:tcW w:w="484" w:type="pct"/>
            <w:tcBorders>
              <w:top w:val="nil"/>
              <w:left w:val="nil"/>
              <w:bottom w:val="single" w:sz="4" w:space="0" w:color="auto"/>
              <w:right w:val="single" w:sz="4" w:space="0" w:color="auto"/>
            </w:tcBorders>
            <w:shd w:val="clear" w:color="000000" w:fill="153D64"/>
            <w:noWrap/>
            <w:vAlign w:val="bottom"/>
            <w:hideMark/>
          </w:tcPr>
          <w:p w14:paraId="0CE37A61"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2029</w:t>
            </w:r>
          </w:p>
        </w:tc>
      </w:tr>
      <w:tr w:rsidR="004A6E4D" w:rsidRPr="004A6E4D" w14:paraId="5490E05C"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822ABC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Govekarjeva cesta</w:t>
            </w:r>
          </w:p>
        </w:tc>
        <w:tc>
          <w:tcPr>
            <w:tcW w:w="496" w:type="pct"/>
            <w:tcBorders>
              <w:top w:val="nil"/>
              <w:left w:val="nil"/>
              <w:bottom w:val="single" w:sz="4" w:space="0" w:color="auto"/>
              <w:right w:val="single" w:sz="4" w:space="0" w:color="auto"/>
            </w:tcBorders>
            <w:noWrap/>
            <w:vAlign w:val="bottom"/>
            <w:hideMark/>
          </w:tcPr>
          <w:p w14:paraId="0525C37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671.438,32</w:t>
            </w:r>
          </w:p>
        </w:tc>
        <w:tc>
          <w:tcPr>
            <w:tcW w:w="447" w:type="pct"/>
            <w:tcBorders>
              <w:top w:val="nil"/>
              <w:left w:val="nil"/>
              <w:bottom w:val="single" w:sz="4" w:space="0" w:color="auto"/>
              <w:right w:val="single" w:sz="4" w:space="0" w:color="auto"/>
            </w:tcBorders>
            <w:noWrap/>
            <w:vAlign w:val="bottom"/>
            <w:hideMark/>
          </w:tcPr>
          <w:p w14:paraId="14C7BC7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D94EE3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584033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147CD8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250.000,00</w:t>
            </w:r>
          </w:p>
        </w:tc>
        <w:tc>
          <w:tcPr>
            <w:tcW w:w="497" w:type="pct"/>
            <w:tcBorders>
              <w:top w:val="nil"/>
              <w:left w:val="nil"/>
              <w:bottom w:val="single" w:sz="4" w:space="0" w:color="auto"/>
              <w:right w:val="single" w:sz="4" w:space="0" w:color="auto"/>
            </w:tcBorders>
            <w:noWrap/>
            <w:vAlign w:val="bottom"/>
            <w:hideMark/>
          </w:tcPr>
          <w:p w14:paraId="14831B6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421.438,32</w:t>
            </w:r>
          </w:p>
        </w:tc>
        <w:tc>
          <w:tcPr>
            <w:tcW w:w="484" w:type="pct"/>
            <w:tcBorders>
              <w:top w:val="nil"/>
              <w:left w:val="nil"/>
              <w:bottom w:val="single" w:sz="4" w:space="0" w:color="auto"/>
              <w:right w:val="single" w:sz="4" w:space="0" w:color="auto"/>
            </w:tcBorders>
            <w:noWrap/>
            <w:vAlign w:val="bottom"/>
            <w:hideMark/>
          </w:tcPr>
          <w:p w14:paraId="04BFFE7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066F6ED"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54FC02CF"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Troštova ulica</w:t>
            </w:r>
          </w:p>
        </w:tc>
        <w:tc>
          <w:tcPr>
            <w:tcW w:w="496" w:type="pct"/>
            <w:tcBorders>
              <w:top w:val="nil"/>
              <w:left w:val="nil"/>
              <w:bottom w:val="single" w:sz="4" w:space="0" w:color="auto"/>
              <w:right w:val="single" w:sz="4" w:space="0" w:color="auto"/>
            </w:tcBorders>
            <w:noWrap/>
            <w:vAlign w:val="bottom"/>
            <w:hideMark/>
          </w:tcPr>
          <w:p w14:paraId="6304B3C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159.251,45</w:t>
            </w:r>
          </w:p>
        </w:tc>
        <w:tc>
          <w:tcPr>
            <w:tcW w:w="447" w:type="pct"/>
            <w:tcBorders>
              <w:top w:val="nil"/>
              <w:left w:val="nil"/>
              <w:bottom w:val="single" w:sz="4" w:space="0" w:color="auto"/>
              <w:right w:val="single" w:sz="4" w:space="0" w:color="auto"/>
            </w:tcBorders>
            <w:noWrap/>
            <w:vAlign w:val="bottom"/>
            <w:hideMark/>
          </w:tcPr>
          <w:p w14:paraId="4672182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214C2B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17DE13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25349C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159.251,45</w:t>
            </w:r>
          </w:p>
        </w:tc>
        <w:tc>
          <w:tcPr>
            <w:tcW w:w="497" w:type="pct"/>
            <w:tcBorders>
              <w:top w:val="nil"/>
              <w:left w:val="nil"/>
              <w:bottom w:val="single" w:sz="4" w:space="0" w:color="auto"/>
              <w:right w:val="single" w:sz="4" w:space="0" w:color="auto"/>
            </w:tcBorders>
            <w:noWrap/>
            <w:vAlign w:val="bottom"/>
            <w:hideMark/>
          </w:tcPr>
          <w:p w14:paraId="6E6848D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31C0115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2E37B2DC"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91BA947"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Križišče Govekarjeva-Troštova</w:t>
            </w:r>
          </w:p>
        </w:tc>
        <w:tc>
          <w:tcPr>
            <w:tcW w:w="496" w:type="pct"/>
            <w:tcBorders>
              <w:top w:val="nil"/>
              <w:left w:val="nil"/>
              <w:bottom w:val="single" w:sz="4" w:space="0" w:color="auto"/>
              <w:right w:val="single" w:sz="4" w:space="0" w:color="auto"/>
            </w:tcBorders>
            <w:noWrap/>
            <w:vAlign w:val="bottom"/>
            <w:hideMark/>
          </w:tcPr>
          <w:p w14:paraId="3539F81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154.956,84</w:t>
            </w:r>
          </w:p>
        </w:tc>
        <w:tc>
          <w:tcPr>
            <w:tcW w:w="447" w:type="pct"/>
            <w:tcBorders>
              <w:top w:val="nil"/>
              <w:left w:val="nil"/>
              <w:bottom w:val="single" w:sz="4" w:space="0" w:color="auto"/>
              <w:right w:val="single" w:sz="4" w:space="0" w:color="auto"/>
            </w:tcBorders>
            <w:noWrap/>
            <w:vAlign w:val="bottom"/>
            <w:hideMark/>
          </w:tcPr>
          <w:p w14:paraId="0BEE4D9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02444A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A6B3CA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1F026EB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154.956,84</w:t>
            </w:r>
          </w:p>
        </w:tc>
        <w:tc>
          <w:tcPr>
            <w:tcW w:w="497" w:type="pct"/>
            <w:tcBorders>
              <w:top w:val="nil"/>
              <w:left w:val="nil"/>
              <w:bottom w:val="single" w:sz="4" w:space="0" w:color="auto"/>
              <w:right w:val="single" w:sz="4" w:space="0" w:color="auto"/>
            </w:tcBorders>
            <w:noWrap/>
            <w:vAlign w:val="bottom"/>
            <w:hideMark/>
          </w:tcPr>
          <w:p w14:paraId="3B5D53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065CB92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A363D23"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29D5636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Javni sistem izposoje koles</w:t>
            </w:r>
          </w:p>
        </w:tc>
        <w:tc>
          <w:tcPr>
            <w:tcW w:w="496" w:type="pct"/>
            <w:tcBorders>
              <w:top w:val="nil"/>
              <w:left w:val="nil"/>
              <w:bottom w:val="single" w:sz="4" w:space="0" w:color="auto"/>
              <w:right w:val="single" w:sz="4" w:space="0" w:color="auto"/>
            </w:tcBorders>
            <w:noWrap/>
            <w:vAlign w:val="bottom"/>
            <w:hideMark/>
          </w:tcPr>
          <w:p w14:paraId="7A53838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54.892,00</w:t>
            </w:r>
          </w:p>
        </w:tc>
        <w:tc>
          <w:tcPr>
            <w:tcW w:w="447" w:type="pct"/>
            <w:tcBorders>
              <w:top w:val="nil"/>
              <w:left w:val="nil"/>
              <w:bottom w:val="single" w:sz="4" w:space="0" w:color="auto"/>
              <w:right w:val="single" w:sz="4" w:space="0" w:color="auto"/>
            </w:tcBorders>
            <w:noWrap/>
            <w:vAlign w:val="bottom"/>
            <w:hideMark/>
          </w:tcPr>
          <w:p w14:paraId="70EA418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5E02C8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418630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169CABD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54.892,00</w:t>
            </w:r>
          </w:p>
        </w:tc>
        <w:tc>
          <w:tcPr>
            <w:tcW w:w="497" w:type="pct"/>
            <w:tcBorders>
              <w:top w:val="nil"/>
              <w:left w:val="nil"/>
              <w:bottom w:val="single" w:sz="4" w:space="0" w:color="auto"/>
              <w:right w:val="single" w:sz="4" w:space="0" w:color="auto"/>
            </w:tcBorders>
            <w:noWrap/>
            <w:vAlign w:val="bottom"/>
            <w:hideMark/>
          </w:tcPr>
          <w:p w14:paraId="137805F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7E8A49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6280A80"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2DD4375D"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Govekarjeva cesta</w:t>
            </w:r>
          </w:p>
        </w:tc>
        <w:tc>
          <w:tcPr>
            <w:tcW w:w="496" w:type="pct"/>
            <w:tcBorders>
              <w:top w:val="nil"/>
              <w:left w:val="nil"/>
              <w:bottom w:val="single" w:sz="4" w:space="0" w:color="auto"/>
              <w:right w:val="single" w:sz="4" w:space="0" w:color="auto"/>
            </w:tcBorders>
            <w:noWrap/>
            <w:vAlign w:val="bottom"/>
            <w:hideMark/>
          </w:tcPr>
          <w:p w14:paraId="415CC7D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47" w:type="pct"/>
            <w:tcBorders>
              <w:top w:val="nil"/>
              <w:left w:val="nil"/>
              <w:bottom w:val="single" w:sz="4" w:space="0" w:color="auto"/>
              <w:right w:val="single" w:sz="4" w:space="0" w:color="auto"/>
            </w:tcBorders>
            <w:noWrap/>
            <w:vAlign w:val="bottom"/>
            <w:hideMark/>
          </w:tcPr>
          <w:p w14:paraId="1F6B9A3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E08D7C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44B8B7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5131624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97" w:type="pct"/>
            <w:tcBorders>
              <w:top w:val="nil"/>
              <w:left w:val="nil"/>
              <w:bottom w:val="single" w:sz="4" w:space="0" w:color="auto"/>
              <w:right w:val="single" w:sz="4" w:space="0" w:color="auto"/>
            </w:tcBorders>
            <w:noWrap/>
            <w:vAlign w:val="bottom"/>
            <w:hideMark/>
          </w:tcPr>
          <w:p w14:paraId="6E9399F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2F86EC6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2323B9B"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2927BD9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staro župnišče</w:t>
            </w:r>
          </w:p>
        </w:tc>
        <w:tc>
          <w:tcPr>
            <w:tcW w:w="496" w:type="pct"/>
            <w:tcBorders>
              <w:top w:val="nil"/>
              <w:left w:val="nil"/>
              <w:bottom w:val="single" w:sz="4" w:space="0" w:color="auto"/>
              <w:right w:val="single" w:sz="4" w:space="0" w:color="auto"/>
            </w:tcBorders>
            <w:noWrap/>
            <w:vAlign w:val="bottom"/>
            <w:hideMark/>
          </w:tcPr>
          <w:p w14:paraId="74A15C0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47" w:type="pct"/>
            <w:tcBorders>
              <w:top w:val="nil"/>
              <w:left w:val="nil"/>
              <w:bottom w:val="single" w:sz="4" w:space="0" w:color="auto"/>
              <w:right w:val="single" w:sz="4" w:space="0" w:color="auto"/>
            </w:tcBorders>
            <w:noWrap/>
            <w:vAlign w:val="bottom"/>
            <w:hideMark/>
          </w:tcPr>
          <w:p w14:paraId="6D54D41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A590B8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51D56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01876A2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3004CE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84" w:type="pct"/>
            <w:tcBorders>
              <w:top w:val="nil"/>
              <w:left w:val="nil"/>
              <w:bottom w:val="single" w:sz="4" w:space="0" w:color="auto"/>
              <w:right w:val="single" w:sz="4" w:space="0" w:color="auto"/>
            </w:tcBorders>
            <w:noWrap/>
            <w:vAlign w:val="bottom"/>
            <w:hideMark/>
          </w:tcPr>
          <w:p w14:paraId="7D92577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E01803A"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C259F53"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trg (kolesarnica)</w:t>
            </w:r>
          </w:p>
        </w:tc>
        <w:tc>
          <w:tcPr>
            <w:tcW w:w="496" w:type="pct"/>
            <w:tcBorders>
              <w:top w:val="nil"/>
              <w:left w:val="nil"/>
              <w:bottom w:val="single" w:sz="4" w:space="0" w:color="auto"/>
              <w:right w:val="single" w:sz="4" w:space="0" w:color="auto"/>
            </w:tcBorders>
            <w:noWrap/>
            <w:vAlign w:val="bottom"/>
            <w:hideMark/>
          </w:tcPr>
          <w:p w14:paraId="1A5DE9E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60.946,04</w:t>
            </w:r>
          </w:p>
        </w:tc>
        <w:tc>
          <w:tcPr>
            <w:tcW w:w="447" w:type="pct"/>
            <w:tcBorders>
              <w:top w:val="nil"/>
              <w:left w:val="nil"/>
              <w:bottom w:val="single" w:sz="4" w:space="0" w:color="auto"/>
              <w:right w:val="single" w:sz="4" w:space="0" w:color="auto"/>
            </w:tcBorders>
            <w:noWrap/>
            <w:vAlign w:val="bottom"/>
            <w:hideMark/>
          </w:tcPr>
          <w:p w14:paraId="1FE3FA7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80CB17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A014DA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4F0D636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FAA33F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60.946,04</w:t>
            </w:r>
          </w:p>
        </w:tc>
        <w:tc>
          <w:tcPr>
            <w:tcW w:w="484" w:type="pct"/>
            <w:tcBorders>
              <w:top w:val="nil"/>
              <w:left w:val="nil"/>
              <w:bottom w:val="single" w:sz="4" w:space="0" w:color="auto"/>
              <w:right w:val="single" w:sz="4" w:space="0" w:color="auto"/>
            </w:tcBorders>
            <w:noWrap/>
            <w:vAlign w:val="bottom"/>
            <w:hideMark/>
          </w:tcPr>
          <w:p w14:paraId="4F9764C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0DC3C91"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AA126C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telovadnica</w:t>
            </w:r>
          </w:p>
        </w:tc>
        <w:tc>
          <w:tcPr>
            <w:tcW w:w="496" w:type="pct"/>
            <w:tcBorders>
              <w:top w:val="nil"/>
              <w:left w:val="nil"/>
              <w:bottom w:val="single" w:sz="4" w:space="0" w:color="auto"/>
              <w:right w:val="single" w:sz="4" w:space="0" w:color="auto"/>
            </w:tcBorders>
            <w:noWrap/>
            <w:vAlign w:val="bottom"/>
            <w:hideMark/>
          </w:tcPr>
          <w:p w14:paraId="3359AE4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47" w:type="pct"/>
            <w:tcBorders>
              <w:top w:val="nil"/>
              <w:left w:val="nil"/>
              <w:bottom w:val="single" w:sz="4" w:space="0" w:color="auto"/>
              <w:right w:val="single" w:sz="4" w:space="0" w:color="auto"/>
            </w:tcBorders>
            <w:noWrap/>
            <w:vAlign w:val="bottom"/>
            <w:hideMark/>
          </w:tcPr>
          <w:p w14:paraId="127FE20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F0E6F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7D73B6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170E3B4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97" w:type="pct"/>
            <w:tcBorders>
              <w:top w:val="nil"/>
              <w:left w:val="nil"/>
              <w:bottom w:val="single" w:sz="4" w:space="0" w:color="auto"/>
              <w:right w:val="single" w:sz="4" w:space="0" w:color="auto"/>
            </w:tcBorders>
            <w:noWrap/>
            <w:vAlign w:val="bottom"/>
            <w:hideMark/>
          </w:tcPr>
          <w:p w14:paraId="1804E57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0EE2E0F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6CDB812"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C0C574D"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park</w:t>
            </w:r>
          </w:p>
        </w:tc>
        <w:tc>
          <w:tcPr>
            <w:tcW w:w="496" w:type="pct"/>
            <w:tcBorders>
              <w:top w:val="nil"/>
              <w:left w:val="nil"/>
              <w:bottom w:val="single" w:sz="4" w:space="0" w:color="auto"/>
              <w:right w:val="single" w:sz="4" w:space="0" w:color="auto"/>
            </w:tcBorders>
            <w:noWrap/>
            <w:vAlign w:val="bottom"/>
            <w:hideMark/>
          </w:tcPr>
          <w:p w14:paraId="507DE98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47" w:type="pct"/>
            <w:tcBorders>
              <w:top w:val="nil"/>
              <w:left w:val="nil"/>
              <w:bottom w:val="single" w:sz="4" w:space="0" w:color="auto"/>
              <w:right w:val="single" w:sz="4" w:space="0" w:color="auto"/>
            </w:tcBorders>
            <w:noWrap/>
            <w:vAlign w:val="bottom"/>
            <w:hideMark/>
          </w:tcPr>
          <w:p w14:paraId="0974E7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4F3B5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47CBC1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04819B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497" w:type="pct"/>
            <w:tcBorders>
              <w:top w:val="nil"/>
              <w:left w:val="nil"/>
              <w:bottom w:val="single" w:sz="4" w:space="0" w:color="auto"/>
              <w:right w:val="single" w:sz="4" w:space="0" w:color="auto"/>
            </w:tcBorders>
            <w:noWrap/>
            <w:vAlign w:val="bottom"/>
            <w:hideMark/>
          </w:tcPr>
          <w:p w14:paraId="190F623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7E379EA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60306CA"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D1B50E6"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Merilniki, prikazovalniki in števci</w:t>
            </w:r>
          </w:p>
        </w:tc>
        <w:tc>
          <w:tcPr>
            <w:tcW w:w="496" w:type="pct"/>
            <w:tcBorders>
              <w:top w:val="nil"/>
              <w:left w:val="nil"/>
              <w:bottom w:val="single" w:sz="4" w:space="0" w:color="auto"/>
              <w:right w:val="single" w:sz="4" w:space="0" w:color="auto"/>
            </w:tcBorders>
            <w:noWrap/>
            <w:vAlign w:val="bottom"/>
            <w:hideMark/>
          </w:tcPr>
          <w:p w14:paraId="6BFB508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47.399,00</w:t>
            </w:r>
          </w:p>
        </w:tc>
        <w:tc>
          <w:tcPr>
            <w:tcW w:w="447" w:type="pct"/>
            <w:tcBorders>
              <w:top w:val="nil"/>
              <w:left w:val="nil"/>
              <w:bottom w:val="single" w:sz="4" w:space="0" w:color="auto"/>
              <w:right w:val="single" w:sz="4" w:space="0" w:color="auto"/>
            </w:tcBorders>
            <w:noWrap/>
            <w:vAlign w:val="bottom"/>
            <w:hideMark/>
          </w:tcPr>
          <w:p w14:paraId="234D6E7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C9384D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25C6CD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5EC7950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9ACCDD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47.399,00</w:t>
            </w:r>
          </w:p>
        </w:tc>
        <w:tc>
          <w:tcPr>
            <w:tcW w:w="484" w:type="pct"/>
            <w:tcBorders>
              <w:top w:val="nil"/>
              <w:left w:val="nil"/>
              <w:bottom w:val="single" w:sz="4" w:space="0" w:color="auto"/>
              <w:right w:val="single" w:sz="4" w:space="0" w:color="auto"/>
            </w:tcBorders>
            <w:noWrap/>
            <w:vAlign w:val="bottom"/>
            <w:hideMark/>
          </w:tcPr>
          <w:p w14:paraId="65616F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2208D699"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D2854CB" w14:textId="77777777" w:rsidR="004A6E4D" w:rsidRPr="004A6E4D" w:rsidRDefault="004A6E4D">
            <w:pPr>
              <w:rPr>
                <w:rFonts w:ascii="Roboto" w:hAnsi="Roboto"/>
                <w:color w:val="000000"/>
                <w:sz w:val="20"/>
                <w:szCs w:val="20"/>
              </w:rPr>
            </w:pPr>
            <w:r w:rsidRPr="004A6E4D">
              <w:rPr>
                <w:rFonts w:ascii="Roboto" w:hAnsi="Roboto"/>
                <w:color w:val="000000"/>
                <w:sz w:val="20"/>
                <w:szCs w:val="20"/>
              </w:rPr>
              <w:t>Avtobusno postajališče - nivo ceste</w:t>
            </w:r>
          </w:p>
        </w:tc>
        <w:tc>
          <w:tcPr>
            <w:tcW w:w="496" w:type="pct"/>
            <w:tcBorders>
              <w:top w:val="nil"/>
              <w:left w:val="nil"/>
              <w:bottom w:val="single" w:sz="4" w:space="0" w:color="auto"/>
              <w:right w:val="single" w:sz="4" w:space="0" w:color="auto"/>
            </w:tcBorders>
            <w:noWrap/>
            <w:vAlign w:val="bottom"/>
            <w:hideMark/>
          </w:tcPr>
          <w:p w14:paraId="2F49A85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303.506,81</w:t>
            </w:r>
          </w:p>
        </w:tc>
        <w:tc>
          <w:tcPr>
            <w:tcW w:w="447" w:type="pct"/>
            <w:tcBorders>
              <w:top w:val="nil"/>
              <w:left w:val="nil"/>
              <w:bottom w:val="single" w:sz="4" w:space="0" w:color="auto"/>
              <w:right w:val="single" w:sz="4" w:space="0" w:color="auto"/>
            </w:tcBorders>
            <w:noWrap/>
            <w:vAlign w:val="bottom"/>
            <w:hideMark/>
          </w:tcPr>
          <w:p w14:paraId="37CB0A9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361EA3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E6241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303.506,81</w:t>
            </w:r>
          </w:p>
        </w:tc>
        <w:tc>
          <w:tcPr>
            <w:tcW w:w="496" w:type="pct"/>
            <w:tcBorders>
              <w:top w:val="nil"/>
              <w:left w:val="nil"/>
              <w:bottom w:val="single" w:sz="4" w:space="0" w:color="auto"/>
              <w:right w:val="single" w:sz="4" w:space="0" w:color="auto"/>
            </w:tcBorders>
            <w:noWrap/>
            <w:vAlign w:val="bottom"/>
            <w:hideMark/>
          </w:tcPr>
          <w:p w14:paraId="7A77B45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D4DB26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08C253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8D222CB"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481D614E" w14:textId="77777777" w:rsidR="004A6E4D" w:rsidRPr="004A6E4D" w:rsidRDefault="004A6E4D">
            <w:pPr>
              <w:rPr>
                <w:rFonts w:ascii="Roboto" w:hAnsi="Roboto"/>
                <w:color w:val="000000"/>
                <w:sz w:val="20"/>
                <w:szCs w:val="20"/>
              </w:rPr>
            </w:pPr>
            <w:r w:rsidRPr="004A6E4D">
              <w:rPr>
                <w:rFonts w:ascii="Roboto" w:hAnsi="Roboto"/>
                <w:color w:val="000000"/>
                <w:sz w:val="20"/>
                <w:szCs w:val="20"/>
              </w:rPr>
              <w:t>Avtobusno postajališče - nadstrešnica</w:t>
            </w:r>
          </w:p>
        </w:tc>
        <w:tc>
          <w:tcPr>
            <w:tcW w:w="496" w:type="pct"/>
            <w:tcBorders>
              <w:top w:val="nil"/>
              <w:left w:val="nil"/>
              <w:bottom w:val="single" w:sz="4" w:space="0" w:color="auto"/>
              <w:right w:val="single" w:sz="4" w:space="0" w:color="auto"/>
            </w:tcBorders>
            <w:noWrap/>
            <w:vAlign w:val="bottom"/>
            <w:hideMark/>
          </w:tcPr>
          <w:p w14:paraId="2A2AD03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249.783,11</w:t>
            </w:r>
          </w:p>
        </w:tc>
        <w:tc>
          <w:tcPr>
            <w:tcW w:w="447" w:type="pct"/>
            <w:tcBorders>
              <w:top w:val="nil"/>
              <w:left w:val="nil"/>
              <w:bottom w:val="single" w:sz="4" w:space="0" w:color="auto"/>
              <w:right w:val="single" w:sz="4" w:space="0" w:color="auto"/>
            </w:tcBorders>
            <w:noWrap/>
            <w:vAlign w:val="bottom"/>
            <w:hideMark/>
          </w:tcPr>
          <w:p w14:paraId="4783AB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15234F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9C7300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249.783,11</w:t>
            </w:r>
          </w:p>
        </w:tc>
        <w:tc>
          <w:tcPr>
            <w:tcW w:w="496" w:type="pct"/>
            <w:tcBorders>
              <w:top w:val="nil"/>
              <w:left w:val="nil"/>
              <w:bottom w:val="single" w:sz="4" w:space="0" w:color="auto"/>
              <w:right w:val="single" w:sz="4" w:space="0" w:color="auto"/>
            </w:tcBorders>
            <w:noWrap/>
            <w:vAlign w:val="bottom"/>
            <w:hideMark/>
          </w:tcPr>
          <w:p w14:paraId="1989D11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727055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0F04DE5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7AE9DC5"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408D9D43" w14:textId="77777777" w:rsidR="004A6E4D" w:rsidRPr="004A6E4D" w:rsidRDefault="004A6E4D">
            <w:pPr>
              <w:rPr>
                <w:rFonts w:ascii="Roboto" w:hAnsi="Roboto"/>
                <w:color w:val="000000"/>
                <w:sz w:val="20"/>
                <w:szCs w:val="20"/>
              </w:rPr>
            </w:pPr>
            <w:r w:rsidRPr="004A6E4D">
              <w:rPr>
                <w:rFonts w:ascii="Roboto" w:hAnsi="Roboto"/>
                <w:color w:val="000000"/>
                <w:sz w:val="20"/>
                <w:szCs w:val="20"/>
              </w:rPr>
              <w:t>Parkirišče z vhodom v šolo</w:t>
            </w:r>
          </w:p>
        </w:tc>
        <w:tc>
          <w:tcPr>
            <w:tcW w:w="496" w:type="pct"/>
            <w:tcBorders>
              <w:top w:val="nil"/>
              <w:left w:val="nil"/>
              <w:bottom w:val="single" w:sz="4" w:space="0" w:color="auto"/>
              <w:right w:val="single" w:sz="4" w:space="0" w:color="auto"/>
            </w:tcBorders>
            <w:noWrap/>
            <w:vAlign w:val="bottom"/>
            <w:hideMark/>
          </w:tcPr>
          <w:p w14:paraId="13D6F32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666.582,43</w:t>
            </w:r>
          </w:p>
        </w:tc>
        <w:tc>
          <w:tcPr>
            <w:tcW w:w="447" w:type="pct"/>
            <w:tcBorders>
              <w:top w:val="nil"/>
              <w:left w:val="nil"/>
              <w:bottom w:val="single" w:sz="4" w:space="0" w:color="auto"/>
              <w:right w:val="single" w:sz="4" w:space="0" w:color="auto"/>
            </w:tcBorders>
            <w:noWrap/>
            <w:vAlign w:val="bottom"/>
            <w:hideMark/>
          </w:tcPr>
          <w:p w14:paraId="383BC50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802D33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F6EDDB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6B3CC0C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4BC391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533.265,94</w:t>
            </w:r>
          </w:p>
        </w:tc>
        <w:tc>
          <w:tcPr>
            <w:tcW w:w="484" w:type="pct"/>
            <w:tcBorders>
              <w:top w:val="nil"/>
              <w:left w:val="nil"/>
              <w:bottom w:val="single" w:sz="4" w:space="0" w:color="auto"/>
              <w:right w:val="single" w:sz="4" w:space="0" w:color="auto"/>
            </w:tcBorders>
            <w:noWrap/>
            <w:vAlign w:val="bottom"/>
            <w:hideMark/>
          </w:tcPr>
          <w:p w14:paraId="13E79E3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133.316,49</w:t>
            </w:r>
          </w:p>
        </w:tc>
      </w:tr>
      <w:tr w:rsidR="004A6E4D" w:rsidRPr="004A6E4D" w14:paraId="34A0DB17" w14:textId="77777777" w:rsidTr="004A6E4D">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40E761F6" w14:textId="77777777" w:rsidR="004A6E4D" w:rsidRPr="004A6E4D" w:rsidRDefault="004A6E4D">
            <w:pPr>
              <w:rPr>
                <w:rFonts w:ascii="Arial" w:hAnsi="Arial" w:cs="Arial"/>
                <w:i/>
                <w:iCs/>
                <w:color w:val="000000"/>
                <w:sz w:val="20"/>
                <w:szCs w:val="20"/>
              </w:rPr>
            </w:pPr>
            <w:r w:rsidRPr="004A6E4D">
              <w:rPr>
                <w:rFonts w:ascii="Arial" w:hAnsi="Arial" w:cs="Arial"/>
                <w:i/>
                <w:iCs/>
                <w:color w:val="000000"/>
                <w:sz w:val="20"/>
                <w:szCs w:val="20"/>
              </w:rPr>
              <w:t>Skupaj GOI dela</w:t>
            </w:r>
          </w:p>
        </w:tc>
        <w:tc>
          <w:tcPr>
            <w:tcW w:w="496" w:type="pct"/>
            <w:tcBorders>
              <w:top w:val="nil"/>
              <w:left w:val="nil"/>
              <w:bottom w:val="single" w:sz="4" w:space="0" w:color="auto"/>
              <w:right w:val="single" w:sz="4" w:space="0" w:color="auto"/>
            </w:tcBorders>
            <w:shd w:val="clear" w:color="000000" w:fill="D9D9D9"/>
            <w:noWrap/>
            <w:vAlign w:val="bottom"/>
            <w:hideMark/>
          </w:tcPr>
          <w:p w14:paraId="07A5FA94"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2.393.756,00</w:t>
            </w:r>
          </w:p>
        </w:tc>
        <w:tc>
          <w:tcPr>
            <w:tcW w:w="447" w:type="pct"/>
            <w:tcBorders>
              <w:top w:val="nil"/>
              <w:left w:val="nil"/>
              <w:bottom w:val="single" w:sz="4" w:space="0" w:color="auto"/>
              <w:right w:val="single" w:sz="4" w:space="0" w:color="auto"/>
            </w:tcBorders>
            <w:shd w:val="clear" w:color="000000" w:fill="D9D9D9"/>
            <w:noWrap/>
            <w:vAlign w:val="bottom"/>
            <w:hideMark/>
          </w:tcPr>
          <w:p w14:paraId="058ABBF0"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36589432"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7F3A09DE"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553.289,92</w:t>
            </w:r>
          </w:p>
        </w:tc>
        <w:tc>
          <w:tcPr>
            <w:tcW w:w="496" w:type="pct"/>
            <w:tcBorders>
              <w:top w:val="nil"/>
              <w:left w:val="nil"/>
              <w:bottom w:val="single" w:sz="4" w:space="0" w:color="auto"/>
              <w:right w:val="single" w:sz="4" w:space="0" w:color="auto"/>
            </w:tcBorders>
            <w:shd w:val="clear" w:color="000000" w:fill="D9D9D9"/>
            <w:noWrap/>
            <w:vAlign w:val="bottom"/>
            <w:hideMark/>
          </w:tcPr>
          <w:p w14:paraId="70998354"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637.850,29</w:t>
            </w:r>
          </w:p>
        </w:tc>
        <w:tc>
          <w:tcPr>
            <w:tcW w:w="497" w:type="pct"/>
            <w:tcBorders>
              <w:top w:val="nil"/>
              <w:left w:val="nil"/>
              <w:bottom w:val="single" w:sz="4" w:space="0" w:color="auto"/>
              <w:right w:val="single" w:sz="4" w:space="0" w:color="auto"/>
            </w:tcBorders>
            <w:shd w:val="clear" w:color="000000" w:fill="D9D9D9"/>
            <w:noWrap/>
            <w:vAlign w:val="bottom"/>
            <w:hideMark/>
          </w:tcPr>
          <w:p w14:paraId="4C502D1E"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1.069.299,30</w:t>
            </w:r>
          </w:p>
        </w:tc>
        <w:tc>
          <w:tcPr>
            <w:tcW w:w="484" w:type="pct"/>
            <w:tcBorders>
              <w:top w:val="nil"/>
              <w:left w:val="nil"/>
              <w:bottom w:val="single" w:sz="4" w:space="0" w:color="auto"/>
              <w:right w:val="single" w:sz="4" w:space="0" w:color="auto"/>
            </w:tcBorders>
            <w:shd w:val="clear" w:color="000000" w:fill="D9D9D9"/>
            <w:noWrap/>
            <w:vAlign w:val="bottom"/>
            <w:hideMark/>
          </w:tcPr>
          <w:p w14:paraId="3ADFBEA0"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133.316,49</w:t>
            </w:r>
          </w:p>
        </w:tc>
      </w:tr>
      <w:tr w:rsidR="004A6E4D" w:rsidRPr="004A6E4D" w14:paraId="5F131426"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A01C877"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Strokovni nadzor</w:t>
            </w:r>
          </w:p>
        </w:tc>
        <w:tc>
          <w:tcPr>
            <w:tcW w:w="496" w:type="pct"/>
            <w:tcBorders>
              <w:top w:val="nil"/>
              <w:left w:val="nil"/>
              <w:bottom w:val="single" w:sz="4" w:space="0" w:color="auto"/>
              <w:right w:val="single" w:sz="4" w:space="0" w:color="auto"/>
            </w:tcBorders>
            <w:noWrap/>
            <w:vAlign w:val="bottom"/>
            <w:hideMark/>
          </w:tcPr>
          <w:p w14:paraId="51743F2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71.812,68</w:t>
            </w:r>
          </w:p>
        </w:tc>
        <w:tc>
          <w:tcPr>
            <w:tcW w:w="447" w:type="pct"/>
            <w:tcBorders>
              <w:top w:val="nil"/>
              <w:left w:val="nil"/>
              <w:bottom w:val="single" w:sz="4" w:space="0" w:color="auto"/>
              <w:right w:val="single" w:sz="4" w:space="0" w:color="auto"/>
            </w:tcBorders>
            <w:noWrap/>
            <w:vAlign w:val="bottom"/>
            <w:hideMark/>
          </w:tcPr>
          <w:p w14:paraId="73A8287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52540E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1370E6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16.598,70</w:t>
            </w:r>
          </w:p>
        </w:tc>
        <w:tc>
          <w:tcPr>
            <w:tcW w:w="496" w:type="pct"/>
            <w:tcBorders>
              <w:top w:val="nil"/>
              <w:left w:val="nil"/>
              <w:bottom w:val="single" w:sz="4" w:space="0" w:color="auto"/>
              <w:right w:val="single" w:sz="4" w:space="0" w:color="auto"/>
            </w:tcBorders>
            <w:noWrap/>
            <w:vAlign w:val="bottom"/>
            <w:hideMark/>
          </w:tcPr>
          <w:p w14:paraId="4831036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19.135,51</w:t>
            </w:r>
          </w:p>
        </w:tc>
        <w:tc>
          <w:tcPr>
            <w:tcW w:w="497" w:type="pct"/>
            <w:tcBorders>
              <w:top w:val="nil"/>
              <w:left w:val="nil"/>
              <w:bottom w:val="single" w:sz="4" w:space="0" w:color="auto"/>
              <w:right w:val="single" w:sz="4" w:space="0" w:color="auto"/>
            </w:tcBorders>
            <w:noWrap/>
            <w:vAlign w:val="bottom"/>
            <w:hideMark/>
          </w:tcPr>
          <w:p w14:paraId="1B5D3D4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32.078,98</w:t>
            </w:r>
          </w:p>
        </w:tc>
        <w:tc>
          <w:tcPr>
            <w:tcW w:w="484" w:type="pct"/>
            <w:tcBorders>
              <w:top w:val="nil"/>
              <w:left w:val="nil"/>
              <w:bottom w:val="single" w:sz="4" w:space="0" w:color="auto"/>
              <w:right w:val="single" w:sz="4" w:space="0" w:color="auto"/>
            </w:tcBorders>
            <w:noWrap/>
            <w:vAlign w:val="bottom"/>
            <w:hideMark/>
          </w:tcPr>
          <w:p w14:paraId="6305582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3.999,49</w:t>
            </w:r>
          </w:p>
        </w:tc>
      </w:tr>
      <w:tr w:rsidR="004A6E4D" w:rsidRPr="004A6E4D" w14:paraId="53AAFF3C"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9F8E30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Projektna dokumentacija</w:t>
            </w:r>
          </w:p>
        </w:tc>
        <w:tc>
          <w:tcPr>
            <w:tcW w:w="496" w:type="pct"/>
            <w:tcBorders>
              <w:top w:val="nil"/>
              <w:left w:val="nil"/>
              <w:bottom w:val="single" w:sz="4" w:space="0" w:color="auto"/>
              <w:right w:val="single" w:sz="4" w:space="0" w:color="auto"/>
            </w:tcBorders>
            <w:noWrap/>
            <w:vAlign w:val="bottom"/>
            <w:hideMark/>
          </w:tcPr>
          <w:p w14:paraId="5C2B3D1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97.145,33</w:t>
            </w:r>
          </w:p>
        </w:tc>
        <w:tc>
          <w:tcPr>
            <w:tcW w:w="447" w:type="pct"/>
            <w:tcBorders>
              <w:top w:val="nil"/>
              <w:left w:val="nil"/>
              <w:bottom w:val="single" w:sz="4" w:space="0" w:color="auto"/>
              <w:right w:val="single" w:sz="4" w:space="0" w:color="auto"/>
            </w:tcBorders>
            <w:noWrap/>
            <w:vAlign w:val="bottom"/>
            <w:hideMark/>
          </w:tcPr>
          <w:p w14:paraId="01D4882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7.200,00</w:t>
            </w:r>
          </w:p>
        </w:tc>
        <w:tc>
          <w:tcPr>
            <w:tcW w:w="447" w:type="pct"/>
            <w:tcBorders>
              <w:top w:val="nil"/>
              <w:left w:val="nil"/>
              <w:bottom w:val="single" w:sz="4" w:space="0" w:color="auto"/>
              <w:right w:val="single" w:sz="4" w:space="0" w:color="auto"/>
            </w:tcBorders>
            <w:noWrap/>
            <w:vAlign w:val="bottom"/>
            <w:hideMark/>
          </w:tcPr>
          <w:p w14:paraId="5179363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72.732,21</w:t>
            </w:r>
          </w:p>
        </w:tc>
        <w:tc>
          <w:tcPr>
            <w:tcW w:w="447" w:type="pct"/>
            <w:tcBorders>
              <w:top w:val="nil"/>
              <w:left w:val="nil"/>
              <w:bottom w:val="single" w:sz="4" w:space="0" w:color="auto"/>
              <w:right w:val="single" w:sz="4" w:space="0" w:color="auto"/>
            </w:tcBorders>
            <w:noWrap/>
            <w:vAlign w:val="bottom"/>
            <w:hideMark/>
          </w:tcPr>
          <w:p w14:paraId="322185D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8.313,12</w:t>
            </w:r>
          </w:p>
        </w:tc>
        <w:tc>
          <w:tcPr>
            <w:tcW w:w="496" w:type="pct"/>
            <w:tcBorders>
              <w:top w:val="nil"/>
              <w:left w:val="nil"/>
              <w:bottom w:val="single" w:sz="4" w:space="0" w:color="auto"/>
              <w:right w:val="single" w:sz="4" w:space="0" w:color="auto"/>
            </w:tcBorders>
            <w:noWrap/>
            <w:vAlign w:val="bottom"/>
            <w:hideMark/>
          </w:tcPr>
          <w:p w14:paraId="4B1974B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3.856,67</w:t>
            </w:r>
          </w:p>
        </w:tc>
        <w:tc>
          <w:tcPr>
            <w:tcW w:w="497" w:type="pct"/>
            <w:tcBorders>
              <w:top w:val="nil"/>
              <w:left w:val="nil"/>
              <w:bottom w:val="single" w:sz="4" w:space="0" w:color="auto"/>
              <w:right w:val="single" w:sz="4" w:space="0" w:color="auto"/>
            </w:tcBorders>
            <w:noWrap/>
            <w:vAlign w:val="bottom"/>
            <w:hideMark/>
          </w:tcPr>
          <w:p w14:paraId="2AA0170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3.856,67</w:t>
            </w:r>
          </w:p>
        </w:tc>
        <w:tc>
          <w:tcPr>
            <w:tcW w:w="484" w:type="pct"/>
            <w:tcBorders>
              <w:top w:val="nil"/>
              <w:left w:val="nil"/>
              <w:bottom w:val="single" w:sz="4" w:space="0" w:color="auto"/>
              <w:right w:val="single" w:sz="4" w:space="0" w:color="auto"/>
            </w:tcBorders>
            <w:noWrap/>
            <w:vAlign w:val="bottom"/>
            <w:hideMark/>
          </w:tcPr>
          <w:p w14:paraId="5AA0535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1.186,67</w:t>
            </w:r>
          </w:p>
        </w:tc>
      </w:tr>
      <w:tr w:rsidR="004A6E4D" w:rsidRPr="004A6E4D" w14:paraId="46C47360"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620E829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Inženiring</w:t>
            </w:r>
          </w:p>
        </w:tc>
        <w:tc>
          <w:tcPr>
            <w:tcW w:w="496" w:type="pct"/>
            <w:tcBorders>
              <w:top w:val="nil"/>
              <w:left w:val="nil"/>
              <w:bottom w:val="single" w:sz="4" w:space="0" w:color="auto"/>
              <w:right w:val="single" w:sz="4" w:space="0" w:color="auto"/>
            </w:tcBorders>
            <w:noWrap/>
            <w:vAlign w:val="bottom"/>
            <w:hideMark/>
          </w:tcPr>
          <w:p w14:paraId="61B4432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23.937,56</w:t>
            </w:r>
          </w:p>
        </w:tc>
        <w:tc>
          <w:tcPr>
            <w:tcW w:w="447" w:type="pct"/>
            <w:tcBorders>
              <w:top w:val="nil"/>
              <w:left w:val="nil"/>
              <w:bottom w:val="single" w:sz="4" w:space="0" w:color="auto"/>
              <w:right w:val="single" w:sz="4" w:space="0" w:color="auto"/>
            </w:tcBorders>
            <w:noWrap/>
            <w:vAlign w:val="bottom"/>
            <w:hideMark/>
          </w:tcPr>
          <w:p w14:paraId="5B82064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6372E4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DF72FE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5.532,90</w:t>
            </w:r>
          </w:p>
        </w:tc>
        <w:tc>
          <w:tcPr>
            <w:tcW w:w="496" w:type="pct"/>
            <w:tcBorders>
              <w:top w:val="nil"/>
              <w:left w:val="nil"/>
              <w:bottom w:val="single" w:sz="4" w:space="0" w:color="auto"/>
              <w:right w:val="single" w:sz="4" w:space="0" w:color="auto"/>
            </w:tcBorders>
            <w:noWrap/>
            <w:vAlign w:val="bottom"/>
            <w:hideMark/>
          </w:tcPr>
          <w:p w14:paraId="7EF4E5F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6.378,50</w:t>
            </w:r>
          </w:p>
        </w:tc>
        <w:tc>
          <w:tcPr>
            <w:tcW w:w="497" w:type="pct"/>
            <w:tcBorders>
              <w:top w:val="nil"/>
              <w:left w:val="nil"/>
              <w:bottom w:val="single" w:sz="4" w:space="0" w:color="auto"/>
              <w:right w:val="single" w:sz="4" w:space="0" w:color="auto"/>
            </w:tcBorders>
            <w:noWrap/>
            <w:vAlign w:val="bottom"/>
            <w:hideMark/>
          </w:tcPr>
          <w:p w14:paraId="1428028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10.692,99</w:t>
            </w:r>
          </w:p>
        </w:tc>
        <w:tc>
          <w:tcPr>
            <w:tcW w:w="484" w:type="pct"/>
            <w:tcBorders>
              <w:top w:val="nil"/>
              <w:left w:val="nil"/>
              <w:bottom w:val="single" w:sz="4" w:space="0" w:color="auto"/>
              <w:right w:val="single" w:sz="4" w:space="0" w:color="auto"/>
            </w:tcBorders>
            <w:noWrap/>
            <w:vAlign w:val="bottom"/>
            <w:hideMark/>
          </w:tcPr>
          <w:p w14:paraId="5DF623B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1.333,16</w:t>
            </w:r>
          </w:p>
        </w:tc>
      </w:tr>
      <w:tr w:rsidR="004A6E4D" w:rsidRPr="004A6E4D" w14:paraId="5D2887D4"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98B128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Obveščanje javnosti</w:t>
            </w:r>
          </w:p>
        </w:tc>
        <w:tc>
          <w:tcPr>
            <w:tcW w:w="496" w:type="pct"/>
            <w:tcBorders>
              <w:top w:val="nil"/>
              <w:left w:val="nil"/>
              <w:bottom w:val="single" w:sz="4" w:space="0" w:color="auto"/>
              <w:right w:val="single" w:sz="4" w:space="0" w:color="auto"/>
            </w:tcBorders>
            <w:noWrap/>
            <w:vAlign w:val="bottom"/>
            <w:hideMark/>
          </w:tcPr>
          <w:p w14:paraId="67537B8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4.098,36</w:t>
            </w:r>
          </w:p>
        </w:tc>
        <w:tc>
          <w:tcPr>
            <w:tcW w:w="447" w:type="pct"/>
            <w:tcBorders>
              <w:top w:val="nil"/>
              <w:left w:val="nil"/>
              <w:bottom w:val="single" w:sz="4" w:space="0" w:color="auto"/>
              <w:right w:val="single" w:sz="4" w:space="0" w:color="auto"/>
            </w:tcBorders>
            <w:noWrap/>
            <w:vAlign w:val="bottom"/>
            <w:hideMark/>
          </w:tcPr>
          <w:p w14:paraId="08B778E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1A64E5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4178B2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1.639,34</w:t>
            </w:r>
          </w:p>
        </w:tc>
        <w:tc>
          <w:tcPr>
            <w:tcW w:w="496" w:type="pct"/>
            <w:tcBorders>
              <w:top w:val="nil"/>
              <w:left w:val="nil"/>
              <w:bottom w:val="single" w:sz="4" w:space="0" w:color="auto"/>
              <w:right w:val="single" w:sz="4" w:space="0" w:color="auto"/>
            </w:tcBorders>
            <w:noWrap/>
            <w:vAlign w:val="bottom"/>
            <w:hideMark/>
          </w:tcPr>
          <w:p w14:paraId="764288E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409,84</w:t>
            </w:r>
          </w:p>
        </w:tc>
        <w:tc>
          <w:tcPr>
            <w:tcW w:w="497" w:type="pct"/>
            <w:tcBorders>
              <w:top w:val="nil"/>
              <w:left w:val="nil"/>
              <w:bottom w:val="single" w:sz="4" w:space="0" w:color="auto"/>
              <w:right w:val="single" w:sz="4" w:space="0" w:color="auto"/>
            </w:tcBorders>
            <w:noWrap/>
            <w:vAlign w:val="bottom"/>
            <w:hideMark/>
          </w:tcPr>
          <w:p w14:paraId="718ABF2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409,84</w:t>
            </w:r>
          </w:p>
        </w:tc>
        <w:tc>
          <w:tcPr>
            <w:tcW w:w="484" w:type="pct"/>
            <w:tcBorders>
              <w:top w:val="nil"/>
              <w:left w:val="nil"/>
              <w:bottom w:val="single" w:sz="4" w:space="0" w:color="auto"/>
              <w:right w:val="single" w:sz="4" w:space="0" w:color="auto"/>
            </w:tcBorders>
            <w:noWrap/>
            <w:vAlign w:val="bottom"/>
            <w:hideMark/>
          </w:tcPr>
          <w:p w14:paraId="72D47F6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1.639,34</w:t>
            </w:r>
          </w:p>
        </w:tc>
      </w:tr>
      <w:tr w:rsidR="004A6E4D" w:rsidRPr="004A6E4D" w14:paraId="4FF4B5F6"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6EFC221"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Investicijska in ostala dokumentacija</w:t>
            </w:r>
          </w:p>
        </w:tc>
        <w:tc>
          <w:tcPr>
            <w:tcW w:w="496" w:type="pct"/>
            <w:tcBorders>
              <w:top w:val="nil"/>
              <w:left w:val="nil"/>
              <w:bottom w:val="single" w:sz="4" w:space="0" w:color="auto"/>
              <w:right w:val="single" w:sz="4" w:space="0" w:color="auto"/>
            </w:tcBorders>
            <w:noWrap/>
            <w:vAlign w:val="bottom"/>
            <w:hideMark/>
          </w:tcPr>
          <w:p w14:paraId="66F75E5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14.265,88</w:t>
            </w:r>
          </w:p>
        </w:tc>
        <w:tc>
          <w:tcPr>
            <w:tcW w:w="447" w:type="pct"/>
            <w:tcBorders>
              <w:top w:val="nil"/>
              <w:left w:val="nil"/>
              <w:bottom w:val="single" w:sz="4" w:space="0" w:color="auto"/>
              <w:right w:val="single" w:sz="4" w:space="0" w:color="auto"/>
            </w:tcBorders>
            <w:noWrap/>
            <w:vAlign w:val="bottom"/>
            <w:hideMark/>
          </w:tcPr>
          <w:p w14:paraId="3AEA9D8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700,00</w:t>
            </w:r>
          </w:p>
        </w:tc>
        <w:tc>
          <w:tcPr>
            <w:tcW w:w="447" w:type="pct"/>
            <w:tcBorders>
              <w:top w:val="nil"/>
              <w:left w:val="nil"/>
              <w:bottom w:val="single" w:sz="4" w:space="0" w:color="auto"/>
              <w:right w:val="single" w:sz="4" w:space="0" w:color="auto"/>
            </w:tcBorders>
            <w:noWrap/>
            <w:vAlign w:val="bottom"/>
            <w:hideMark/>
          </w:tcPr>
          <w:p w14:paraId="55AAE65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13.565,88</w:t>
            </w:r>
          </w:p>
        </w:tc>
        <w:tc>
          <w:tcPr>
            <w:tcW w:w="447" w:type="pct"/>
            <w:tcBorders>
              <w:top w:val="nil"/>
              <w:left w:val="nil"/>
              <w:bottom w:val="single" w:sz="4" w:space="0" w:color="auto"/>
              <w:right w:val="single" w:sz="4" w:space="0" w:color="auto"/>
            </w:tcBorders>
            <w:noWrap/>
            <w:vAlign w:val="bottom"/>
            <w:hideMark/>
          </w:tcPr>
          <w:p w14:paraId="18527ED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2FD856D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9886F6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2227124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21F960BD"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9F5707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Stroški varnosti pri delu</w:t>
            </w:r>
          </w:p>
        </w:tc>
        <w:tc>
          <w:tcPr>
            <w:tcW w:w="496" w:type="pct"/>
            <w:tcBorders>
              <w:top w:val="nil"/>
              <w:left w:val="nil"/>
              <w:bottom w:val="single" w:sz="4" w:space="0" w:color="auto"/>
              <w:right w:val="single" w:sz="4" w:space="0" w:color="auto"/>
            </w:tcBorders>
            <w:noWrap/>
            <w:vAlign w:val="bottom"/>
            <w:hideMark/>
          </w:tcPr>
          <w:p w14:paraId="57E9483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6.694,90</w:t>
            </w:r>
          </w:p>
        </w:tc>
        <w:tc>
          <w:tcPr>
            <w:tcW w:w="447" w:type="pct"/>
            <w:tcBorders>
              <w:top w:val="nil"/>
              <w:left w:val="nil"/>
              <w:bottom w:val="single" w:sz="4" w:space="0" w:color="auto"/>
              <w:right w:val="single" w:sz="4" w:space="0" w:color="auto"/>
            </w:tcBorders>
            <w:noWrap/>
            <w:vAlign w:val="bottom"/>
            <w:hideMark/>
          </w:tcPr>
          <w:p w14:paraId="2B8574D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9DF979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1C887D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1.986,86</w:t>
            </w:r>
          </w:p>
        </w:tc>
        <w:tc>
          <w:tcPr>
            <w:tcW w:w="496" w:type="pct"/>
            <w:tcBorders>
              <w:top w:val="nil"/>
              <w:left w:val="nil"/>
              <w:bottom w:val="single" w:sz="4" w:space="0" w:color="auto"/>
              <w:right w:val="single" w:sz="4" w:space="0" w:color="auto"/>
            </w:tcBorders>
            <w:noWrap/>
            <w:vAlign w:val="bottom"/>
            <w:hideMark/>
          </w:tcPr>
          <w:p w14:paraId="15108EE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1.545,33</w:t>
            </w:r>
          </w:p>
        </w:tc>
        <w:tc>
          <w:tcPr>
            <w:tcW w:w="497" w:type="pct"/>
            <w:tcBorders>
              <w:top w:val="nil"/>
              <w:left w:val="nil"/>
              <w:bottom w:val="single" w:sz="4" w:space="0" w:color="auto"/>
              <w:right w:val="single" w:sz="4" w:space="0" w:color="auto"/>
            </w:tcBorders>
            <w:noWrap/>
            <w:vAlign w:val="bottom"/>
            <w:hideMark/>
          </w:tcPr>
          <w:p w14:paraId="37475CE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1.545,33</w:t>
            </w:r>
          </w:p>
        </w:tc>
        <w:tc>
          <w:tcPr>
            <w:tcW w:w="484" w:type="pct"/>
            <w:tcBorders>
              <w:top w:val="nil"/>
              <w:left w:val="nil"/>
              <w:bottom w:val="single" w:sz="4" w:space="0" w:color="auto"/>
              <w:right w:val="single" w:sz="4" w:space="0" w:color="auto"/>
            </w:tcBorders>
            <w:noWrap/>
            <w:vAlign w:val="bottom"/>
            <w:hideMark/>
          </w:tcPr>
          <w:p w14:paraId="47C3149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1.617,38</w:t>
            </w:r>
          </w:p>
        </w:tc>
      </w:tr>
      <w:tr w:rsidR="004A6E4D" w:rsidRPr="004A6E4D" w14:paraId="0AE05FDC"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700E68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Arheologija</w:t>
            </w:r>
          </w:p>
        </w:tc>
        <w:tc>
          <w:tcPr>
            <w:tcW w:w="496" w:type="pct"/>
            <w:tcBorders>
              <w:top w:val="nil"/>
              <w:left w:val="nil"/>
              <w:bottom w:val="single" w:sz="4" w:space="0" w:color="auto"/>
              <w:right w:val="single" w:sz="4" w:space="0" w:color="auto"/>
            </w:tcBorders>
            <w:noWrap/>
            <w:vAlign w:val="bottom"/>
            <w:hideMark/>
          </w:tcPr>
          <w:p w14:paraId="7897FDB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15.011,81</w:t>
            </w:r>
          </w:p>
        </w:tc>
        <w:tc>
          <w:tcPr>
            <w:tcW w:w="447" w:type="pct"/>
            <w:tcBorders>
              <w:top w:val="nil"/>
              <w:left w:val="nil"/>
              <w:bottom w:val="single" w:sz="4" w:space="0" w:color="auto"/>
              <w:right w:val="single" w:sz="4" w:space="0" w:color="auto"/>
            </w:tcBorders>
            <w:noWrap/>
            <w:vAlign w:val="bottom"/>
            <w:hideMark/>
          </w:tcPr>
          <w:p w14:paraId="79EE26E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056833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1F5C4F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3.727,39</w:t>
            </w:r>
          </w:p>
        </w:tc>
        <w:tc>
          <w:tcPr>
            <w:tcW w:w="496" w:type="pct"/>
            <w:tcBorders>
              <w:top w:val="nil"/>
              <w:left w:val="nil"/>
              <w:bottom w:val="single" w:sz="4" w:space="0" w:color="auto"/>
              <w:right w:val="single" w:sz="4" w:space="0" w:color="auto"/>
            </w:tcBorders>
            <w:noWrap/>
            <w:vAlign w:val="bottom"/>
            <w:hideMark/>
          </w:tcPr>
          <w:p w14:paraId="5C919FE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3.968,98</w:t>
            </w:r>
          </w:p>
        </w:tc>
        <w:tc>
          <w:tcPr>
            <w:tcW w:w="497" w:type="pct"/>
            <w:tcBorders>
              <w:top w:val="nil"/>
              <w:left w:val="nil"/>
              <w:bottom w:val="single" w:sz="4" w:space="0" w:color="auto"/>
              <w:right w:val="single" w:sz="4" w:space="0" w:color="auto"/>
            </w:tcBorders>
            <w:noWrap/>
            <w:vAlign w:val="bottom"/>
            <w:hideMark/>
          </w:tcPr>
          <w:p w14:paraId="59B043E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6.386,92</w:t>
            </w:r>
          </w:p>
        </w:tc>
        <w:tc>
          <w:tcPr>
            <w:tcW w:w="484" w:type="pct"/>
            <w:tcBorders>
              <w:top w:val="nil"/>
              <w:left w:val="nil"/>
              <w:bottom w:val="single" w:sz="4" w:space="0" w:color="auto"/>
              <w:right w:val="single" w:sz="4" w:space="0" w:color="auto"/>
            </w:tcBorders>
            <w:noWrap/>
            <w:vAlign w:val="bottom"/>
            <w:hideMark/>
          </w:tcPr>
          <w:p w14:paraId="5A29A6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928,52</w:t>
            </w:r>
          </w:p>
        </w:tc>
      </w:tr>
      <w:tr w:rsidR="004A6E4D" w:rsidRPr="004A6E4D" w14:paraId="63A30658"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5CCA2A20"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Čiščenje in pregled kanalizacije</w:t>
            </w:r>
          </w:p>
        </w:tc>
        <w:tc>
          <w:tcPr>
            <w:tcW w:w="496" w:type="pct"/>
            <w:tcBorders>
              <w:top w:val="nil"/>
              <w:left w:val="nil"/>
              <w:bottom w:val="single" w:sz="4" w:space="0" w:color="auto"/>
              <w:right w:val="single" w:sz="4" w:space="0" w:color="auto"/>
            </w:tcBorders>
            <w:noWrap/>
            <w:vAlign w:val="bottom"/>
            <w:hideMark/>
          </w:tcPr>
          <w:p w14:paraId="52BEF81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3.280,00</w:t>
            </w:r>
          </w:p>
        </w:tc>
        <w:tc>
          <w:tcPr>
            <w:tcW w:w="447" w:type="pct"/>
            <w:tcBorders>
              <w:top w:val="nil"/>
              <w:left w:val="nil"/>
              <w:bottom w:val="single" w:sz="4" w:space="0" w:color="auto"/>
              <w:right w:val="single" w:sz="4" w:space="0" w:color="auto"/>
            </w:tcBorders>
            <w:noWrap/>
            <w:vAlign w:val="bottom"/>
            <w:hideMark/>
          </w:tcPr>
          <w:p w14:paraId="0340B53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473F80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FFF45F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3.280,00</w:t>
            </w:r>
          </w:p>
        </w:tc>
        <w:tc>
          <w:tcPr>
            <w:tcW w:w="496" w:type="pct"/>
            <w:tcBorders>
              <w:top w:val="nil"/>
              <w:left w:val="nil"/>
              <w:bottom w:val="single" w:sz="4" w:space="0" w:color="auto"/>
              <w:right w:val="single" w:sz="4" w:space="0" w:color="auto"/>
            </w:tcBorders>
            <w:noWrap/>
            <w:vAlign w:val="bottom"/>
            <w:hideMark/>
          </w:tcPr>
          <w:p w14:paraId="0F2B02C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0161FB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6BCAF19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2634048"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0375961"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Nakup nepremičnine</w:t>
            </w:r>
          </w:p>
        </w:tc>
        <w:tc>
          <w:tcPr>
            <w:tcW w:w="496" w:type="pct"/>
            <w:tcBorders>
              <w:top w:val="nil"/>
              <w:left w:val="nil"/>
              <w:bottom w:val="single" w:sz="4" w:space="0" w:color="auto"/>
              <w:right w:val="single" w:sz="4" w:space="0" w:color="auto"/>
            </w:tcBorders>
            <w:noWrap/>
            <w:vAlign w:val="bottom"/>
            <w:hideMark/>
          </w:tcPr>
          <w:p w14:paraId="666C97E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280.000,00</w:t>
            </w:r>
          </w:p>
        </w:tc>
        <w:tc>
          <w:tcPr>
            <w:tcW w:w="447" w:type="pct"/>
            <w:tcBorders>
              <w:top w:val="nil"/>
              <w:left w:val="nil"/>
              <w:bottom w:val="single" w:sz="4" w:space="0" w:color="auto"/>
              <w:right w:val="single" w:sz="4" w:space="0" w:color="auto"/>
            </w:tcBorders>
            <w:noWrap/>
            <w:vAlign w:val="bottom"/>
            <w:hideMark/>
          </w:tcPr>
          <w:p w14:paraId="6F0D806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280.000,00</w:t>
            </w:r>
          </w:p>
        </w:tc>
        <w:tc>
          <w:tcPr>
            <w:tcW w:w="447" w:type="pct"/>
            <w:tcBorders>
              <w:top w:val="nil"/>
              <w:left w:val="nil"/>
              <w:bottom w:val="single" w:sz="4" w:space="0" w:color="auto"/>
              <w:right w:val="single" w:sz="4" w:space="0" w:color="auto"/>
            </w:tcBorders>
            <w:noWrap/>
            <w:vAlign w:val="bottom"/>
            <w:hideMark/>
          </w:tcPr>
          <w:p w14:paraId="740473D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9DDF42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02ED24D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EA9F77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398730A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C7EC578"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4A5BF0F"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(neobdavčeno)</w:t>
            </w:r>
          </w:p>
        </w:tc>
        <w:tc>
          <w:tcPr>
            <w:tcW w:w="496" w:type="pct"/>
            <w:tcBorders>
              <w:top w:val="nil"/>
              <w:left w:val="nil"/>
              <w:bottom w:val="single" w:sz="4" w:space="0" w:color="auto"/>
              <w:right w:val="single" w:sz="4" w:space="0" w:color="auto"/>
            </w:tcBorders>
            <w:noWrap/>
            <w:vAlign w:val="bottom"/>
            <w:hideMark/>
          </w:tcPr>
          <w:p w14:paraId="659F5F1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776,00</w:t>
            </w:r>
          </w:p>
        </w:tc>
        <w:tc>
          <w:tcPr>
            <w:tcW w:w="447" w:type="pct"/>
            <w:tcBorders>
              <w:top w:val="nil"/>
              <w:left w:val="nil"/>
              <w:bottom w:val="single" w:sz="4" w:space="0" w:color="auto"/>
              <w:right w:val="single" w:sz="4" w:space="0" w:color="auto"/>
            </w:tcBorders>
            <w:noWrap/>
            <w:vAlign w:val="bottom"/>
            <w:hideMark/>
          </w:tcPr>
          <w:p w14:paraId="2E0EE6F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776,00</w:t>
            </w:r>
          </w:p>
        </w:tc>
        <w:tc>
          <w:tcPr>
            <w:tcW w:w="447" w:type="pct"/>
            <w:tcBorders>
              <w:top w:val="nil"/>
              <w:left w:val="nil"/>
              <w:bottom w:val="single" w:sz="4" w:space="0" w:color="auto"/>
              <w:right w:val="single" w:sz="4" w:space="0" w:color="auto"/>
            </w:tcBorders>
            <w:noWrap/>
            <w:vAlign w:val="bottom"/>
            <w:hideMark/>
          </w:tcPr>
          <w:p w14:paraId="0CC0739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E2049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47C2733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9CA700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36378F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3A741AA"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766A49CF"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(9,5% DDV)</w:t>
            </w:r>
          </w:p>
        </w:tc>
        <w:tc>
          <w:tcPr>
            <w:tcW w:w="496" w:type="pct"/>
            <w:tcBorders>
              <w:top w:val="nil"/>
              <w:left w:val="nil"/>
              <w:bottom w:val="single" w:sz="4" w:space="0" w:color="auto"/>
              <w:right w:val="single" w:sz="4" w:space="0" w:color="auto"/>
            </w:tcBorders>
            <w:noWrap/>
            <w:vAlign w:val="bottom"/>
            <w:hideMark/>
          </w:tcPr>
          <w:p w14:paraId="669E736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545,96</w:t>
            </w:r>
          </w:p>
        </w:tc>
        <w:tc>
          <w:tcPr>
            <w:tcW w:w="447" w:type="pct"/>
            <w:tcBorders>
              <w:top w:val="nil"/>
              <w:left w:val="nil"/>
              <w:bottom w:val="single" w:sz="4" w:space="0" w:color="auto"/>
              <w:right w:val="single" w:sz="4" w:space="0" w:color="auto"/>
            </w:tcBorders>
            <w:noWrap/>
            <w:vAlign w:val="bottom"/>
            <w:hideMark/>
          </w:tcPr>
          <w:p w14:paraId="67BDEAC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545,96</w:t>
            </w:r>
          </w:p>
        </w:tc>
        <w:tc>
          <w:tcPr>
            <w:tcW w:w="447" w:type="pct"/>
            <w:tcBorders>
              <w:top w:val="nil"/>
              <w:left w:val="nil"/>
              <w:bottom w:val="single" w:sz="4" w:space="0" w:color="auto"/>
              <w:right w:val="single" w:sz="4" w:space="0" w:color="auto"/>
            </w:tcBorders>
            <w:noWrap/>
            <w:vAlign w:val="bottom"/>
            <w:hideMark/>
          </w:tcPr>
          <w:p w14:paraId="7BE546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5C7395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66F0779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2285DF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51A936C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1C2758F"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228EFAA4" w14:textId="77777777" w:rsidR="004A6E4D" w:rsidRPr="004A6E4D" w:rsidRDefault="004A6E4D">
            <w:pPr>
              <w:rPr>
                <w:rFonts w:ascii="Roboto" w:hAnsi="Roboto"/>
                <w:color w:val="000000"/>
                <w:sz w:val="20"/>
                <w:szCs w:val="20"/>
              </w:rPr>
            </w:pPr>
            <w:r w:rsidRPr="004A6E4D">
              <w:rPr>
                <w:rFonts w:ascii="Roboto" w:hAnsi="Roboto"/>
                <w:color w:val="000000"/>
                <w:sz w:val="20"/>
                <w:szCs w:val="20"/>
              </w:rPr>
              <w:lastRenderedPageBreak/>
              <w:t>Druga dela ob rušenju objekta</w:t>
            </w:r>
          </w:p>
        </w:tc>
        <w:tc>
          <w:tcPr>
            <w:tcW w:w="496" w:type="pct"/>
            <w:tcBorders>
              <w:top w:val="nil"/>
              <w:left w:val="nil"/>
              <w:bottom w:val="single" w:sz="4" w:space="0" w:color="auto"/>
              <w:right w:val="single" w:sz="4" w:space="0" w:color="auto"/>
            </w:tcBorders>
            <w:noWrap/>
            <w:vAlign w:val="bottom"/>
            <w:hideMark/>
          </w:tcPr>
          <w:p w14:paraId="62321DE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5.483,07</w:t>
            </w:r>
          </w:p>
        </w:tc>
        <w:tc>
          <w:tcPr>
            <w:tcW w:w="447" w:type="pct"/>
            <w:tcBorders>
              <w:top w:val="nil"/>
              <w:left w:val="nil"/>
              <w:bottom w:val="single" w:sz="4" w:space="0" w:color="auto"/>
              <w:right w:val="single" w:sz="4" w:space="0" w:color="auto"/>
            </w:tcBorders>
            <w:noWrap/>
            <w:vAlign w:val="bottom"/>
            <w:hideMark/>
          </w:tcPr>
          <w:p w14:paraId="37B2D75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5.483,07</w:t>
            </w:r>
          </w:p>
        </w:tc>
        <w:tc>
          <w:tcPr>
            <w:tcW w:w="447" w:type="pct"/>
            <w:tcBorders>
              <w:top w:val="nil"/>
              <w:left w:val="nil"/>
              <w:bottom w:val="single" w:sz="4" w:space="0" w:color="auto"/>
              <w:right w:val="single" w:sz="4" w:space="0" w:color="auto"/>
            </w:tcBorders>
            <w:noWrap/>
            <w:vAlign w:val="bottom"/>
            <w:hideMark/>
          </w:tcPr>
          <w:p w14:paraId="62FC71C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9A5060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1AE6141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79E6BE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639DA4A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B261C9F"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0C24AF17"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Vpis v kataster</w:t>
            </w:r>
          </w:p>
        </w:tc>
        <w:tc>
          <w:tcPr>
            <w:tcW w:w="496" w:type="pct"/>
            <w:tcBorders>
              <w:top w:val="nil"/>
              <w:left w:val="nil"/>
              <w:bottom w:val="single" w:sz="4" w:space="0" w:color="auto"/>
              <w:right w:val="single" w:sz="4" w:space="0" w:color="auto"/>
            </w:tcBorders>
            <w:noWrap/>
            <w:vAlign w:val="bottom"/>
            <w:hideMark/>
          </w:tcPr>
          <w:p w14:paraId="765DCB6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892,65</w:t>
            </w:r>
          </w:p>
        </w:tc>
        <w:tc>
          <w:tcPr>
            <w:tcW w:w="447" w:type="pct"/>
            <w:tcBorders>
              <w:top w:val="nil"/>
              <w:left w:val="nil"/>
              <w:bottom w:val="single" w:sz="4" w:space="0" w:color="auto"/>
              <w:right w:val="single" w:sz="4" w:space="0" w:color="auto"/>
            </w:tcBorders>
            <w:noWrap/>
            <w:vAlign w:val="bottom"/>
            <w:hideMark/>
          </w:tcPr>
          <w:p w14:paraId="075174F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B01822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3EAB1C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3DB35EE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54BEF6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6D2BFA1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892,65</w:t>
            </w:r>
          </w:p>
        </w:tc>
      </w:tr>
      <w:tr w:rsidR="004A6E4D" w:rsidRPr="004A6E4D" w14:paraId="1D670B9C"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024D8B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Notar, zemljiška knjiga</w:t>
            </w:r>
          </w:p>
        </w:tc>
        <w:tc>
          <w:tcPr>
            <w:tcW w:w="496" w:type="pct"/>
            <w:tcBorders>
              <w:top w:val="nil"/>
              <w:left w:val="nil"/>
              <w:bottom w:val="single" w:sz="4" w:space="0" w:color="auto"/>
              <w:right w:val="single" w:sz="4" w:space="0" w:color="auto"/>
            </w:tcBorders>
            <w:noWrap/>
            <w:vAlign w:val="bottom"/>
            <w:hideMark/>
          </w:tcPr>
          <w:p w14:paraId="709A3C2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803221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B40094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2AFB2D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696DC79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38EB6A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0501495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73E432E"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15352F53"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Geodetski načrt</w:t>
            </w:r>
          </w:p>
        </w:tc>
        <w:tc>
          <w:tcPr>
            <w:tcW w:w="496" w:type="pct"/>
            <w:tcBorders>
              <w:top w:val="nil"/>
              <w:left w:val="nil"/>
              <w:bottom w:val="single" w:sz="4" w:space="0" w:color="auto"/>
              <w:right w:val="single" w:sz="4" w:space="0" w:color="auto"/>
            </w:tcBorders>
            <w:noWrap/>
            <w:vAlign w:val="bottom"/>
            <w:hideMark/>
          </w:tcPr>
          <w:p w14:paraId="346539D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2.032,66</w:t>
            </w:r>
          </w:p>
        </w:tc>
        <w:tc>
          <w:tcPr>
            <w:tcW w:w="447" w:type="pct"/>
            <w:tcBorders>
              <w:top w:val="nil"/>
              <w:left w:val="nil"/>
              <w:bottom w:val="single" w:sz="4" w:space="0" w:color="auto"/>
              <w:right w:val="single" w:sz="4" w:space="0" w:color="auto"/>
            </w:tcBorders>
            <w:noWrap/>
            <w:vAlign w:val="bottom"/>
            <w:hideMark/>
          </w:tcPr>
          <w:p w14:paraId="2A692A9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F94179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2.032,66</w:t>
            </w:r>
          </w:p>
        </w:tc>
        <w:tc>
          <w:tcPr>
            <w:tcW w:w="447" w:type="pct"/>
            <w:tcBorders>
              <w:top w:val="nil"/>
              <w:left w:val="nil"/>
              <w:bottom w:val="single" w:sz="4" w:space="0" w:color="auto"/>
              <w:right w:val="single" w:sz="4" w:space="0" w:color="auto"/>
            </w:tcBorders>
            <w:noWrap/>
            <w:vAlign w:val="bottom"/>
            <w:hideMark/>
          </w:tcPr>
          <w:p w14:paraId="0F598D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994DC0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EC9010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84" w:type="pct"/>
            <w:tcBorders>
              <w:top w:val="nil"/>
              <w:left w:val="nil"/>
              <w:bottom w:val="single" w:sz="4" w:space="0" w:color="auto"/>
              <w:right w:val="single" w:sz="4" w:space="0" w:color="auto"/>
            </w:tcBorders>
            <w:noWrap/>
            <w:vAlign w:val="bottom"/>
            <w:hideMark/>
          </w:tcPr>
          <w:p w14:paraId="603974A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140BA14"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4AA3FAE0"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Baza cestnih podatkov</w:t>
            </w:r>
          </w:p>
        </w:tc>
        <w:tc>
          <w:tcPr>
            <w:tcW w:w="496" w:type="pct"/>
            <w:tcBorders>
              <w:top w:val="nil"/>
              <w:left w:val="nil"/>
              <w:bottom w:val="single" w:sz="4" w:space="0" w:color="auto"/>
              <w:right w:val="single" w:sz="4" w:space="0" w:color="auto"/>
            </w:tcBorders>
            <w:noWrap/>
            <w:vAlign w:val="bottom"/>
            <w:hideMark/>
          </w:tcPr>
          <w:p w14:paraId="0FDC41F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819,67</w:t>
            </w:r>
          </w:p>
        </w:tc>
        <w:tc>
          <w:tcPr>
            <w:tcW w:w="447" w:type="pct"/>
            <w:tcBorders>
              <w:top w:val="nil"/>
              <w:left w:val="nil"/>
              <w:bottom w:val="single" w:sz="4" w:space="0" w:color="auto"/>
              <w:right w:val="single" w:sz="4" w:space="0" w:color="auto"/>
            </w:tcBorders>
            <w:noWrap/>
            <w:vAlign w:val="bottom"/>
            <w:hideMark/>
          </w:tcPr>
          <w:p w14:paraId="0FDA508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54F472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D6A227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3BB869D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CC17C0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819,67</w:t>
            </w:r>
          </w:p>
        </w:tc>
        <w:tc>
          <w:tcPr>
            <w:tcW w:w="484" w:type="pct"/>
            <w:tcBorders>
              <w:top w:val="nil"/>
              <w:left w:val="nil"/>
              <w:bottom w:val="single" w:sz="4" w:space="0" w:color="auto"/>
              <w:right w:val="single" w:sz="4" w:space="0" w:color="auto"/>
            </w:tcBorders>
            <w:noWrap/>
            <w:vAlign w:val="bottom"/>
            <w:hideMark/>
          </w:tcPr>
          <w:p w14:paraId="15BFFC5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A0C0F1A" w14:textId="77777777" w:rsidTr="004A6E4D">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2B2F3947"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brez DDV</w:t>
            </w:r>
          </w:p>
        </w:tc>
        <w:tc>
          <w:tcPr>
            <w:tcW w:w="496" w:type="pct"/>
            <w:tcBorders>
              <w:top w:val="nil"/>
              <w:left w:val="nil"/>
              <w:bottom w:val="single" w:sz="4" w:space="0" w:color="auto"/>
              <w:right w:val="single" w:sz="4" w:space="0" w:color="auto"/>
            </w:tcBorders>
            <w:shd w:val="clear" w:color="000000" w:fill="D9D9D9"/>
            <w:noWrap/>
            <w:vAlign w:val="bottom"/>
            <w:hideMark/>
          </w:tcPr>
          <w:p w14:paraId="4DB5327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2.920.552,53</w:t>
            </w:r>
          </w:p>
        </w:tc>
        <w:tc>
          <w:tcPr>
            <w:tcW w:w="447" w:type="pct"/>
            <w:tcBorders>
              <w:top w:val="nil"/>
              <w:left w:val="nil"/>
              <w:bottom w:val="single" w:sz="4" w:space="0" w:color="auto"/>
              <w:right w:val="single" w:sz="4" w:space="0" w:color="auto"/>
            </w:tcBorders>
            <w:shd w:val="clear" w:color="000000" w:fill="D9D9D9"/>
            <w:noWrap/>
            <w:vAlign w:val="bottom"/>
            <w:hideMark/>
          </w:tcPr>
          <w:p w14:paraId="3B5E8E49"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294.705,03</w:t>
            </w:r>
          </w:p>
        </w:tc>
        <w:tc>
          <w:tcPr>
            <w:tcW w:w="447" w:type="pct"/>
            <w:tcBorders>
              <w:top w:val="nil"/>
              <w:left w:val="nil"/>
              <w:bottom w:val="single" w:sz="4" w:space="0" w:color="auto"/>
              <w:right w:val="single" w:sz="4" w:space="0" w:color="auto"/>
            </w:tcBorders>
            <w:shd w:val="clear" w:color="000000" w:fill="D9D9D9"/>
            <w:noWrap/>
            <w:vAlign w:val="bottom"/>
            <w:hideMark/>
          </w:tcPr>
          <w:p w14:paraId="3585506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88.330,75</w:t>
            </w:r>
          </w:p>
        </w:tc>
        <w:tc>
          <w:tcPr>
            <w:tcW w:w="447" w:type="pct"/>
            <w:tcBorders>
              <w:top w:val="nil"/>
              <w:left w:val="nil"/>
              <w:bottom w:val="single" w:sz="4" w:space="0" w:color="auto"/>
              <w:right w:val="single" w:sz="4" w:space="0" w:color="auto"/>
            </w:tcBorders>
            <w:shd w:val="clear" w:color="000000" w:fill="D9D9D9"/>
            <w:noWrap/>
            <w:vAlign w:val="bottom"/>
            <w:hideMark/>
          </w:tcPr>
          <w:p w14:paraId="566A36A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594.368,22</w:t>
            </w:r>
          </w:p>
        </w:tc>
        <w:tc>
          <w:tcPr>
            <w:tcW w:w="496" w:type="pct"/>
            <w:tcBorders>
              <w:top w:val="nil"/>
              <w:left w:val="nil"/>
              <w:bottom w:val="single" w:sz="4" w:space="0" w:color="auto"/>
              <w:right w:val="single" w:sz="4" w:space="0" w:color="auto"/>
            </w:tcBorders>
            <w:shd w:val="clear" w:color="000000" w:fill="D9D9D9"/>
            <w:noWrap/>
            <w:vAlign w:val="bottom"/>
            <w:hideMark/>
          </w:tcPr>
          <w:p w14:paraId="43BF066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673.145,12</w:t>
            </w:r>
          </w:p>
        </w:tc>
        <w:tc>
          <w:tcPr>
            <w:tcW w:w="497" w:type="pct"/>
            <w:tcBorders>
              <w:top w:val="nil"/>
              <w:left w:val="nil"/>
              <w:bottom w:val="single" w:sz="4" w:space="0" w:color="auto"/>
              <w:right w:val="single" w:sz="4" w:space="0" w:color="auto"/>
            </w:tcBorders>
            <w:shd w:val="clear" w:color="000000" w:fill="D9D9D9"/>
            <w:noWrap/>
            <w:vAlign w:val="bottom"/>
            <w:hideMark/>
          </w:tcPr>
          <w:p w14:paraId="1265423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1.125.089,70</w:t>
            </w:r>
          </w:p>
        </w:tc>
        <w:tc>
          <w:tcPr>
            <w:tcW w:w="484" w:type="pct"/>
            <w:tcBorders>
              <w:top w:val="nil"/>
              <w:left w:val="nil"/>
              <w:bottom w:val="single" w:sz="4" w:space="0" w:color="auto"/>
              <w:right w:val="single" w:sz="4" w:space="0" w:color="auto"/>
            </w:tcBorders>
            <w:shd w:val="clear" w:color="000000" w:fill="D9D9D9"/>
            <w:noWrap/>
            <w:vAlign w:val="bottom"/>
            <w:hideMark/>
          </w:tcPr>
          <w:p w14:paraId="51A9CC36"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144.913,70</w:t>
            </w:r>
          </w:p>
        </w:tc>
      </w:tr>
      <w:tr w:rsidR="004A6E4D" w:rsidRPr="004A6E4D" w14:paraId="4249C8C8" w14:textId="77777777" w:rsidTr="004A6E4D">
        <w:trPr>
          <w:trHeight w:val="284"/>
        </w:trPr>
        <w:tc>
          <w:tcPr>
            <w:tcW w:w="1686" w:type="pct"/>
            <w:tcBorders>
              <w:top w:val="nil"/>
              <w:left w:val="single" w:sz="4" w:space="0" w:color="auto"/>
              <w:bottom w:val="single" w:sz="4" w:space="0" w:color="auto"/>
              <w:right w:val="single" w:sz="4" w:space="0" w:color="auto"/>
            </w:tcBorders>
            <w:vAlign w:val="bottom"/>
            <w:hideMark/>
          </w:tcPr>
          <w:p w14:paraId="3BAC505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Davek na dodano vrednost</w:t>
            </w:r>
          </w:p>
        </w:tc>
        <w:tc>
          <w:tcPr>
            <w:tcW w:w="496" w:type="pct"/>
            <w:tcBorders>
              <w:top w:val="nil"/>
              <w:left w:val="nil"/>
              <w:bottom w:val="single" w:sz="4" w:space="0" w:color="auto"/>
              <w:right w:val="single" w:sz="4" w:space="0" w:color="auto"/>
            </w:tcBorders>
            <w:noWrap/>
            <w:vAlign w:val="bottom"/>
            <w:hideMark/>
          </w:tcPr>
          <w:p w14:paraId="5C92985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580.682,59</w:t>
            </w:r>
          </w:p>
        </w:tc>
        <w:tc>
          <w:tcPr>
            <w:tcW w:w="447" w:type="pct"/>
            <w:tcBorders>
              <w:top w:val="nil"/>
              <w:left w:val="nil"/>
              <w:bottom w:val="single" w:sz="4" w:space="0" w:color="auto"/>
              <w:right w:val="single" w:sz="4" w:space="0" w:color="auto"/>
            </w:tcBorders>
            <w:noWrap/>
            <w:vAlign w:val="bottom"/>
            <w:hideMark/>
          </w:tcPr>
          <w:p w14:paraId="7EEACB5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2.996,14</w:t>
            </w:r>
          </w:p>
        </w:tc>
        <w:tc>
          <w:tcPr>
            <w:tcW w:w="447" w:type="pct"/>
            <w:tcBorders>
              <w:top w:val="nil"/>
              <w:left w:val="nil"/>
              <w:bottom w:val="single" w:sz="4" w:space="0" w:color="auto"/>
              <w:right w:val="single" w:sz="4" w:space="0" w:color="auto"/>
            </w:tcBorders>
            <w:noWrap/>
            <w:vAlign w:val="bottom"/>
            <w:hideMark/>
          </w:tcPr>
          <w:p w14:paraId="1087E05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19.432,77</w:t>
            </w:r>
          </w:p>
        </w:tc>
        <w:tc>
          <w:tcPr>
            <w:tcW w:w="447" w:type="pct"/>
            <w:tcBorders>
              <w:top w:val="nil"/>
              <w:left w:val="nil"/>
              <w:bottom w:val="single" w:sz="4" w:space="0" w:color="auto"/>
              <w:right w:val="single" w:sz="4" w:space="0" w:color="auto"/>
            </w:tcBorders>
            <w:noWrap/>
            <w:vAlign w:val="bottom"/>
            <w:hideMark/>
          </w:tcPr>
          <w:p w14:paraId="47B6165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130.761,01</w:t>
            </w:r>
          </w:p>
        </w:tc>
        <w:tc>
          <w:tcPr>
            <w:tcW w:w="496" w:type="pct"/>
            <w:tcBorders>
              <w:top w:val="nil"/>
              <w:left w:val="nil"/>
              <w:bottom w:val="single" w:sz="4" w:space="0" w:color="auto"/>
              <w:right w:val="single" w:sz="4" w:space="0" w:color="auto"/>
            </w:tcBorders>
            <w:noWrap/>
            <w:vAlign w:val="bottom"/>
            <w:hideMark/>
          </w:tcPr>
          <w:p w14:paraId="2F83CBF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148.091,93</w:t>
            </w:r>
          </w:p>
        </w:tc>
        <w:tc>
          <w:tcPr>
            <w:tcW w:w="497" w:type="pct"/>
            <w:tcBorders>
              <w:top w:val="nil"/>
              <w:left w:val="nil"/>
              <w:bottom w:val="single" w:sz="4" w:space="0" w:color="auto"/>
              <w:right w:val="single" w:sz="4" w:space="0" w:color="auto"/>
            </w:tcBorders>
            <w:noWrap/>
            <w:vAlign w:val="bottom"/>
            <w:hideMark/>
          </w:tcPr>
          <w:p w14:paraId="6E33A93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247.519,73</w:t>
            </w:r>
          </w:p>
        </w:tc>
        <w:tc>
          <w:tcPr>
            <w:tcW w:w="484" w:type="pct"/>
            <w:tcBorders>
              <w:top w:val="nil"/>
              <w:left w:val="nil"/>
              <w:bottom w:val="single" w:sz="4" w:space="0" w:color="auto"/>
              <w:right w:val="single" w:sz="4" w:space="0" w:color="auto"/>
            </w:tcBorders>
            <w:noWrap/>
            <w:vAlign w:val="bottom"/>
            <w:hideMark/>
          </w:tcPr>
          <w:p w14:paraId="4EEF02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31.881,01</w:t>
            </w:r>
          </w:p>
        </w:tc>
      </w:tr>
      <w:tr w:rsidR="004A6E4D" w:rsidRPr="004A6E4D" w14:paraId="4BF3FDF5" w14:textId="77777777" w:rsidTr="004A6E4D">
        <w:trPr>
          <w:trHeight w:val="284"/>
        </w:trPr>
        <w:tc>
          <w:tcPr>
            <w:tcW w:w="1686" w:type="pct"/>
            <w:tcBorders>
              <w:top w:val="nil"/>
              <w:left w:val="single" w:sz="4" w:space="0" w:color="auto"/>
              <w:bottom w:val="single" w:sz="4" w:space="0" w:color="auto"/>
              <w:right w:val="single" w:sz="4" w:space="0" w:color="auto"/>
            </w:tcBorders>
            <w:vAlign w:val="bottom"/>
          </w:tcPr>
          <w:p w14:paraId="2BFEA89F" w14:textId="27396F76" w:rsidR="004A6E4D" w:rsidRPr="004A6E4D" w:rsidRDefault="004A6E4D">
            <w:pPr>
              <w:rPr>
                <w:rFonts w:ascii="Arial" w:hAnsi="Arial" w:cs="Arial"/>
                <w:color w:val="000000"/>
                <w:sz w:val="20"/>
                <w:szCs w:val="20"/>
              </w:rPr>
            </w:pPr>
            <w:r w:rsidRPr="004A6E4D">
              <w:rPr>
                <w:rFonts w:ascii="Arial" w:hAnsi="Arial" w:cs="Arial"/>
                <w:color w:val="000000"/>
                <w:sz w:val="20"/>
                <w:szCs w:val="20"/>
              </w:rPr>
              <w:t>Povračljiv davek na dodano vrednost</w:t>
            </w:r>
            <w:r w:rsidRPr="004A6E4D">
              <w:rPr>
                <w:rFonts w:ascii="Arial" w:hAnsi="Arial" w:cs="Arial"/>
                <w:color w:val="000000"/>
                <w:sz w:val="20"/>
                <w:szCs w:val="20"/>
              </w:rPr>
              <w:tab/>
            </w:r>
            <w:r w:rsidRPr="004A6E4D">
              <w:rPr>
                <w:rFonts w:ascii="Arial" w:hAnsi="Arial" w:cs="Arial"/>
                <w:color w:val="000000"/>
                <w:sz w:val="20"/>
                <w:szCs w:val="20"/>
              </w:rPr>
              <w:tab/>
            </w:r>
          </w:p>
        </w:tc>
        <w:tc>
          <w:tcPr>
            <w:tcW w:w="496" w:type="pct"/>
            <w:tcBorders>
              <w:top w:val="nil"/>
              <w:left w:val="nil"/>
              <w:bottom w:val="single" w:sz="4" w:space="0" w:color="auto"/>
              <w:right w:val="single" w:sz="4" w:space="0" w:color="auto"/>
            </w:tcBorders>
            <w:noWrap/>
            <w:vAlign w:val="bottom"/>
          </w:tcPr>
          <w:p w14:paraId="6397A51D" w14:textId="30E275F8" w:rsidR="004A6E4D" w:rsidRPr="004A6E4D" w:rsidRDefault="004A6E4D" w:rsidP="004A6E4D">
            <w:pPr>
              <w:jc w:val="right"/>
              <w:rPr>
                <w:rFonts w:ascii="Arial" w:hAnsi="Arial" w:cs="Arial"/>
                <w:color w:val="000000"/>
                <w:sz w:val="20"/>
                <w:szCs w:val="20"/>
              </w:rPr>
            </w:pPr>
            <w:r w:rsidRPr="004A6E4D">
              <w:rPr>
                <w:rFonts w:ascii="Arial" w:hAnsi="Arial" w:cs="Arial"/>
                <w:color w:val="000000"/>
                <w:sz w:val="20"/>
                <w:szCs w:val="20"/>
              </w:rPr>
              <w:t>25.274,65</w:t>
            </w:r>
          </w:p>
        </w:tc>
        <w:tc>
          <w:tcPr>
            <w:tcW w:w="447" w:type="pct"/>
            <w:tcBorders>
              <w:top w:val="nil"/>
              <w:left w:val="nil"/>
              <w:bottom w:val="single" w:sz="4" w:space="0" w:color="auto"/>
              <w:right w:val="single" w:sz="4" w:space="0" w:color="auto"/>
            </w:tcBorders>
            <w:noWrap/>
            <w:vAlign w:val="bottom"/>
          </w:tcPr>
          <w:p w14:paraId="4BA64312" w14:textId="77777777" w:rsidR="004A6E4D" w:rsidRPr="004A6E4D" w:rsidRDefault="004A6E4D" w:rsidP="004A6E4D">
            <w:pPr>
              <w:jc w:val="right"/>
              <w:rPr>
                <w:rFonts w:ascii="Arial" w:hAnsi="Arial" w:cs="Arial"/>
                <w:color w:val="000000"/>
                <w:sz w:val="20"/>
                <w:szCs w:val="20"/>
              </w:rPr>
            </w:pPr>
          </w:p>
        </w:tc>
        <w:tc>
          <w:tcPr>
            <w:tcW w:w="447" w:type="pct"/>
            <w:tcBorders>
              <w:top w:val="nil"/>
              <w:left w:val="nil"/>
              <w:bottom w:val="single" w:sz="4" w:space="0" w:color="auto"/>
              <w:right w:val="single" w:sz="4" w:space="0" w:color="auto"/>
            </w:tcBorders>
            <w:noWrap/>
            <w:vAlign w:val="bottom"/>
          </w:tcPr>
          <w:p w14:paraId="4467D4D8" w14:textId="77777777" w:rsidR="004A6E4D" w:rsidRPr="004A6E4D" w:rsidRDefault="004A6E4D" w:rsidP="004A6E4D">
            <w:pPr>
              <w:jc w:val="right"/>
              <w:rPr>
                <w:rFonts w:ascii="Arial" w:hAnsi="Arial" w:cs="Arial"/>
                <w:color w:val="000000"/>
                <w:sz w:val="20"/>
                <w:szCs w:val="20"/>
              </w:rPr>
            </w:pPr>
          </w:p>
        </w:tc>
        <w:tc>
          <w:tcPr>
            <w:tcW w:w="447" w:type="pct"/>
            <w:tcBorders>
              <w:top w:val="nil"/>
              <w:left w:val="nil"/>
              <w:bottom w:val="single" w:sz="4" w:space="0" w:color="auto"/>
              <w:right w:val="single" w:sz="4" w:space="0" w:color="auto"/>
            </w:tcBorders>
            <w:noWrap/>
            <w:vAlign w:val="bottom"/>
          </w:tcPr>
          <w:p w14:paraId="5E5D2AFF" w14:textId="77777777" w:rsidR="004A6E4D" w:rsidRPr="004A6E4D" w:rsidRDefault="004A6E4D" w:rsidP="004A6E4D">
            <w:pPr>
              <w:jc w:val="right"/>
              <w:rPr>
                <w:rFonts w:ascii="Arial" w:hAnsi="Arial" w:cs="Arial"/>
                <w:color w:val="000000"/>
                <w:sz w:val="20"/>
                <w:szCs w:val="20"/>
              </w:rPr>
            </w:pPr>
          </w:p>
        </w:tc>
        <w:tc>
          <w:tcPr>
            <w:tcW w:w="496" w:type="pct"/>
            <w:tcBorders>
              <w:top w:val="nil"/>
              <w:left w:val="nil"/>
              <w:bottom w:val="single" w:sz="4" w:space="0" w:color="auto"/>
              <w:right w:val="single" w:sz="4" w:space="0" w:color="auto"/>
            </w:tcBorders>
            <w:noWrap/>
            <w:vAlign w:val="bottom"/>
          </w:tcPr>
          <w:p w14:paraId="3747723F" w14:textId="7ACEB0EC" w:rsidR="004A6E4D" w:rsidRPr="004A6E4D" w:rsidRDefault="004A6E4D" w:rsidP="004A6E4D">
            <w:pPr>
              <w:jc w:val="right"/>
              <w:rPr>
                <w:rFonts w:ascii="Arial" w:hAnsi="Arial" w:cs="Arial"/>
                <w:color w:val="000000"/>
                <w:sz w:val="20"/>
                <w:szCs w:val="20"/>
              </w:rPr>
            </w:pPr>
            <w:r w:rsidRPr="004A6E4D">
              <w:rPr>
                <w:rFonts w:ascii="Arial" w:hAnsi="Arial" w:cs="Arial"/>
                <w:color w:val="000000"/>
                <w:sz w:val="20"/>
                <w:szCs w:val="20"/>
              </w:rPr>
              <w:t>12.637,33</w:t>
            </w:r>
          </w:p>
        </w:tc>
        <w:tc>
          <w:tcPr>
            <w:tcW w:w="497" w:type="pct"/>
            <w:tcBorders>
              <w:top w:val="nil"/>
              <w:left w:val="nil"/>
              <w:bottom w:val="single" w:sz="4" w:space="0" w:color="auto"/>
              <w:right w:val="single" w:sz="4" w:space="0" w:color="auto"/>
            </w:tcBorders>
            <w:noWrap/>
            <w:vAlign w:val="bottom"/>
          </w:tcPr>
          <w:p w14:paraId="4AF6AD28" w14:textId="1079D219" w:rsidR="004A6E4D" w:rsidRPr="004A6E4D" w:rsidRDefault="004A6E4D" w:rsidP="004A6E4D">
            <w:pPr>
              <w:jc w:val="right"/>
              <w:rPr>
                <w:rFonts w:ascii="Arial" w:hAnsi="Arial" w:cs="Arial"/>
                <w:color w:val="000000"/>
                <w:sz w:val="20"/>
                <w:szCs w:val="20"/>
              </w:rPr>
            </w:pPr>
            <w:r w:rsidRPr="004A6E4D">
              <w:rPr>
                <w:rFonts w:ascii="Arial" w:hAnsi="Arial" w:cs="Arial"/>
                <w:color w:val="000000"/>
                <w:sz w:val="20"/>
                <w:szCs w:val="20"/>
              </w:rPr>
              <w:t>12.637,33</w:t>
            </w:r>
          </w:p>
        </w:tc>
        <w:tc>
          <w:tcPr>
            <w:tcW w:w="484" w:type="pct"/>
            <w:tcBorders>
              <w:top w:val="nil"/>
              <w:left w:val="nil"/>
              <w:bottom w:val="single" w:sz="4" w:space="0" w:color="auto"/>
              <w:right w:val="single" w:sz="4" w:space="0" w:color="auto"/>
            </w:tcBorders>
            <w:noWrap/>
            <w:vAlign w:val="bottom"/>
          </w:tcPr>
          <w:p w14:paraId="745DC24D" w14:textId="77777777" w:rsidR="004A6E4D" w:rsidRPr="004A6E4D" w:rsidRDefault="004A6E4D" w:rsidP="004A6E4D">
            <w:pPr>
              <w:jc w:val="right"/>
              <w:rPr>
                <w:rFonts w:ascii="Arial" w:hAnsi="Arial" w:cs="Arial"/>
                <w:color w:val="000000"/>
                <w:sz w:val="20"/>
                <w:szCs w:val="20"/>
              </w:rPr>
            </w:pPr>
          </w:p>
        </w:tc>
      </w:tr>
      <w:tr w:rsidR="004A6E4D" w:rsidRPr="004A6E4D" w14:paraId="27A3E449" w14:textId="77777777" w:rsidTr="004A6E4D">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23A8879C"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z davkom na dodano vrednost</w:t>
            </w:r>
          </w:p>
        </w:tc>
        <w:tc>
          <w:tcPr>
            <w:tcW w:w="496" w:type="pct"/>
            <w:tcBorders>
              <w:top w:val="nil"/>
              <w:left w:val="nil"/>
              <w:bottom w:val="single" w:sz="4" w:space="0" w:color="auto"/>
              <w:right w:val="single" w:sz="4" w:space="0" w:color="auto"/>
            </w:tcBorders>
            <w:shd w:val="clear" w:color="000000" w:fill="D9D9D9"/>
            <w:noWrap/>
            <w:vAlign w:val="bottom"/>
            <w:hideMark/>
          </w:tcPr>
          <w:p w14:paraId="1367352E"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3.501.235,12</w:t>
            </w:r>
          </w:p>
        </w:tc>
        <w:tc>
          <w:tcPr>
            <w:tcW w:w="447" w:type="pct"/>
            <w:tcBorders>
              <w:top w:val="nil"/>
              <w:left w:val="nil"/>
              <w:bottom w:val="single" w:sz="4" w:space="0" w:color="auto"/>
              <w:right w:val="single" w:sz="4" w:space="0" w:color="auto"/>
            </w:tcBorders>
            <w:shd w:val="clear" w:color="000000" w:fill="D9D9D9"/>
            <w:noWrap/>
            <w:vAlign w:val="bottom"/>
            <w:hideMark/>
          </w:tcPr>
          <w:p w14:paraId="796FE07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447" w:type="pct"/>
            <w:tcBorders>
              <w:top w:val="nil"/>
              <w:left w:val="nil"/>
              <w:bottom w:val="single" w:sz="4" w:space="0" w:color="auto"/>
              <w:right w:val="single" w:sz="4" w:space="0" w:color="auto"/>
            </w:tcBorders>
            <w:shd w:val="clear" w:color="000000" w:fill="D9D9D9"/>
            <w:noWrap/>
            <w:vAlign w:val="bottom"/>
            <w:hideMark/>
          </w:tcPr>
          <w:p w14:paraId="5402AB9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47" w:type="pct"/>
            <w:tcBorders>
              <w:top w:val="nil"/>
              <w:left w:val="nil"/>
              <w:bottom w:val="single" w:sz="4" w:space="0" w:color="auto"/>
              <w:right w:val="single" w:sz="4" w:space="0" w:color="auto"/>
            </w:tcBorders>
            <w:shd w:val="clear" w:color="000000" w:fill="D9D9D9"/>
            <w:noWrap/>
            <w:vAlign w:val="bottom"/>
            <w:hideMark/>
          </w:tcPr>
          <w:p w14:paraId="057CA309"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725.129,23</w:t>
            </w:r>
          </w:p>
        </w:tc>
        <w:tc>
          <w:tcPr>
            <w:tcW w:w="496" w:type="pct"/>
            <w:tcBorders>
              <w:top w:val="nil"/>
              <w:left w:val="nil"/>
              <w:bottom w:val="single" w:sz="4" w:space="0" w:color="auto"/>
              <w:right w:val="single" w:sz="4" w:space="0" w:color="auto"/>
            </w:tcBorders>
            <w:shd w:val="clear" w:color="000000" w:fill="D9D9D9"/>
            <w:noWrap/>
            <w:vAlign w:val="bottom"/>
            <w:hideMark/>
          </w:tcPr>
          <w:p w14:paraId="19873D1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821.237,05</w:t>
            </w:r>
          </w:p>
        </w:tc>
        <w:tc>
          <w:tcPr>
            <w:tcW w:w="497" w:type="pct"/>
            <w:tcBorders>
              <w:top w:val="nil"/>
              <w:left w:val="nil"/>
              <w:bottom w:val="single" w:sz="4" w:space="0" w:color="auto"/>
              <w:right w:val="single" w:sz="4" w:space="0" w:color="auto"/>
            </w:tcBorders>
            <w:shd w:val="clear" w:color="000000" w:fill="D9D9D9"/>
            <w:noWrap/>
            <w:vAlign w:val="bottom"/>
            <w:hideMark/>
          </w:tcPr>
          <w:p w14:paraId="743EF391"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1.372.609,43</w:t>
            </w:r>
          </w:p>
        </w:tc>
        <w:tc>
          <w:tcPr>
            <w:tcW w:w="484" w:type="pct"/>
            <w:tcBorders>
              <w:top w:val="nil"/>
              <w:left w:val="nil"/>
              <w:bottom w:val="single" w:sz="4" w:space="0" w:color="auto"/>
              <w:right w:val="single" w:sz="4" w:space="0" w:color="auto"/>
            </w:tcBorders>
            <w:shd w:val="clear" w:color="000000" w:fill="D9D9D9"/>
            <w:noWrap/>
            <w:vAlign w:val="bottom"/>
            <w:hideMark/>
          </w:tcPr>
          <w:p w14:paraId="2E12F092"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176.794,71</w:t>
            </w:r>
          </w:p>
        </w:tc>
      </w:tr>
      <w:tr w:rsidR="004A6E4D" w:rsidRPr="004A6E4D" w14:paraId="627A52B4" w14:textId="77777777" w:rsidTr="004A6E4D">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557996CA"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 xml:space="preserve">Skupaj z </w:t>
            </w:r>
            <w:proofErr w:type="spellStart"/>
            <w:r w:rsidRPr="004A6E4D">
              <w:rPr>
                <w:rFonts w:ascii="Arial" w:hAnsi="Arial" w:cs="Arial"/>
                <w:b/>
                <w:bCs/>
                <w:color w:val="000000"/>
                <w:sz w:val="20"/>
                <w:szCs w:val="20"/>
              </w:rPr>
              <w:t>nepovračljivim</w:t>
            </w:r>
            <w:proofErr w:type="spellEnd"/>
            <w:r w:rsidRPr="004A6E4D">
              <w:rPr>
                <w:rFonts w:ascii="Arial" w:hAnsi="Arial" w:cs="Arial"/>
                <w:b/>
                <w:bCs/>
                <w:color w:val="000000"/>
                <w:sz w:val="20"/>
                <w:szCs w:val="20"/>
              </w:rPr>
              <w:t xml:space="preserve"> davkom na dodano vrednost</w:t>
            </w:r>
          </w:p>
        </w:tc>
        <w:tc>
          <w:tcPr>
            <w:tcW w:w="496" w:type="pct"/>
            <w:tcBorders>
              <w:top w:val="nil"/>
              <w:left w:val="nil"/>
              <w:bottom w:val="single" w:sz="4" w:space="0" w:color="auto"/>
              <w:right w:val="single" w:sz="4" w:space="0" w:color="auto"/>
            </w:tcBorders>
            <w:shd w:val="clear" w:color="000000" w:fill="D9D9D9"/>
            <w:noWrap/>
            <w:vAlign w:val="bottom"/>
            <w:hideMark/>
          </w:tcPr>
          <w:p w14:paraId="349AAE28"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3.475.960,46</w:t>
            </w:r>
          </w:p>
        </w:tc>
        <w:tc>
          <w:tcPr>
            <w:tcW w:w="447" w:type="pct"/>
            <w:tcBorders>
              <w:top w:val="nil"/>
              <w:left w:val="nil"/>
              <w:bottom w:val="single" w:sz="4" w:space="0" w:color="auto"/>
              <w:right w:val="single" w:sz="4" w:space="0" w:color="auto"/>
            </w:tcBorders>
            <w:shd w:val="clear" w:color="000000" w:fill="D9D9D9"/>
            <w:noWrap/>
            <w:vAlign w:val="bottom"/>
            <w:hideMark/>
          </w:tcPr>
          <w:p w14:paraId="2D180827"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447" w:type="pct"/>
            <w:tcBorders>
              <w:top w:val="nil"/>
              <w:left w:val="nil"/>
              <w:bottom w:val="single" w:sz="4" w:space="0" w:color="auto"/>
              <w:right w:val="single" w:sz="4" w:space="0" w:color="auto"/>
            </w:tcBorders>
            <w:shd w:val="clear" w:color="000000" w:fill="D9D9D9"/>
            <w:noWrap/>
            <w:vAlign w:val="bottom"/>
            <w:hideMark/>
          </w:tcPr>
          <w:p w14:paraId="0DFD8EE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47" w:type="pct"/>
            <w:tcBorders>
              <w:top w:val="nil"/>
              <w:left w:val="nil"/>
              <w:bottom w:val="single" w:sz="4" w:space="0" w:color="auto"/>
              <w:right w:val="single" w:sz="4" w:space="0" w:color="auto"/>
            </w:tcBorders>
            <w:shd w:val="clear" w:color="000000" w:fill="D9D9D9"/>
            <w:noWrap/>
            <w:vAlign w:val="bottom"/>
            <w:hideMark/>
          </w:tcPr>
          <w:p w14:paraId="5360A38A"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725.129,23</w:t>
            </w:r>
          </w:p>
        </w:tc>
        <w:tc>
          <w:tcPr>
            <w:tcW w:w="496" w:type="pct"/>
            <w:tcBorders>
              <w:top w:val="nil"/>
              <w:left w:val="nil"/>
              <w:bottom w:val="single" w:sz="4" w:space="0" w:color="auto"/>
              <w:right w:val="single" w:sz="4" w:space="0" w:color="auto"/>
            </w:tcBorders>
            <w:shd w:val="clear" w:color="000000" w:fill="D9D9D9"/>
            <w:noWrap/>
            <w:vAlign w:val="bottom"/>
            <w:hideMark/>
          </w:tcPr>
          <w:p w14:paraId="3D6EBAA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808.599,72</w:t>
            </w:r>
          </w:p>
        </w:tc>
        <w:tc>
          <w:tcPr>
            <w:tcW w:w="497" w:type="pct"/>
            <w:tcBorders>
              <w:top w:val="nil"/>
              <w:left w:val="nil"/>
              <w:bottom w:val="single" w:sz="4" w:space="0" w:color="auto"/>
              <w:right w:val="single" w:sz="4" w:space="0" w:color="auto"/>
            </w:tcBorders>
            <w:shd w:val="clear" w:color="000000" w:fill="D9D9D9"/>
            <w:noWrap/>
            <w:vAlign w:val="bottom"/>
            <w:hideMark/>
          </w:tcPr>
          <w:p w14:paraId="5BFA6FA1"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1.359.972,10</w:t>
            </w:r>
          </w:p>
        </w:tc>
        <w:tc>
          <w:tcPr>
            <w:tcW w:w="484" w:type="pct"/>
            <w:tcBorders>
              <w:top w:val="nil"/>
              <w:left w:val="nil"/>
              <w:bottom w:val="single" w:sz="4" w:space="0" w:color="auto"/>
              <w:right w:val="single" w:sz="4" w:space="0" w:color="auto"/>
            </w:tcBorders>
            <w:shd w:val="clear" w:color="000000" w:fill="D9D9D9"/>
            <w:noWrap/>
            <w:vAlign w:val="bottom"/>
            <w:hideMark/>
          </w:tcPr>
          <w:p w14:paraId="319955B8"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176.794,71</w:t>
            </w:r>
          </w:p>
        </w:tc>
      </w:tr>
    </w:tbl>
    <w:p w14:paraId="0819DA54" w14:textId="77777777" w:rsidR="004A6E4D" w:rsidRDefault="004A6E4D" w:rsidP="00BD1D20">
      <w:pPr>
        <w:spacing w:after="120" w:line="276" w:lineRule="auto"/>
        <w:jc w:val="both"/>
        <w:rPr>
          <w:rFonts w:asciiTheme="majorHAnsi" w:hAnsiTheme="majorHAnsi" w:cstheme="majorHAnsi"/>
          <w:sz w:val="22"/>
          <w:szCs w:val="22"/>
        </w:rPr>
      </w:pPr>
    </w:p>
    <w:p w14:paraId="1B080B69" w14:textId="04F60DF1" w:rsidR="00AB0B89" w:rsidRDefault="00AB0B89" w:rsidP="00AB0B89">
      <w:pPr>
        <w:spacing w:after="120" w:line="276" w:lineRule="auto"/>
        <w:jc w:val="both"/>
        <w:rPr>
          <w:rFonts w:asciiTheme="majorHAnsi" w:hAnsiTheme="majorHAnsi" w:cstheme="majorHAnsi"/>
          <w:sz w:val="22"/>
          <w:szCs w:val="22"/>
        </w:rPr>
      </w:pPr>
      <w:bookmarkStart w:id="310" w:name="_Toc209528305"/>
      <w:r w:rsidRPr="00F11127">
        <w:rPr>
          <w:rFonts w:asciiTheme="majorHAnsi" w:hAnsiTheme="majorHAnsi" w:cstheme="majorHAnsi"/>
          <w:b/>
          <w:sz w:val="22"/>
          <w:szCs w:val="22"/>
        </w:rPr>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19</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Finančni terminski plan </w:t>
      </w:r>
      <w:r>
        <w:rPr>
          <w:rFonts w:asciiTheme="majorHAnsi" w:hAnsiTheme="majorHAnsi" w:cstheme="majorHAnsi"/>
          <w:sz w:val="22"/>
          <w:szCs w:val="22"/>
        </w:rPr>
        <w:t>upra</w:t>
      </w:r>
      <w:r w:rsidR="00B02F3A">
        <w:rPr>
          <w:rFonts w:asciiTheme="majorHAnsi" w:hAnsiTheme="majorHAnsi" w:cstheme="majorHAnsi"/>
          <w:sz w:val="22"/>
          <w:szCs w:val="22"/>
        </w:rPr>
        <w:t>vičenih stroškov</w:t>
      </w:r>
      <w:r w:rsidRPr="00F11127">
        <w:rPr>
          <w:rFonts w:asciiTheme="majorHAnsi" w:hAnsiTheme="majorHAnsi" w:cstheme="majorHAnsi"/>
          <w:sz w:val="22"/>
          <w:szCs w:val="22"/>
        </w:rPr>
        <w:t xml:space="preserve"> v stalnih cenah v EUR</w:t>
      </w:r>
      <w:bookmarkEnd w:id="310"/>
    </w:p>
    <w:tbl>
      <w:tblPr>
        <w:tblW w:w="14260" w:type="dxa"/>
        <w:tblCellMar>
          <w:left w:w="70" w:type="dxa"/>
          <w:right w:w="70" w:type="dxa"/>
        </w:tblCellMar>
        <w:tblLook w:val="04A0" w:firstRow="1" w:lastRow="0" w:firstColumn="1" w:lastColumn="0" w:noHBand="0" w:noVBand="1"/>
      </w:tblPr>
      <w:tblGrid>
        <w:gridCol w:w="4815"/>
        <w:gridCol w:w="1417"/>
        <w:gridCol w:w="1276"/>
        <w:gridCol w:w="1276"/>
        <w:gridCol w:w="1276"/>
        <w:gridCol w:w="1220"/>
        <w:gridCol w:w="1560"/>
        <w:gridCol w:w="1420"/>
      </w:tblGrid>
      <w:tr w:rsidR="004A6E4D" w:rsidRPr="004A6E4D" w14:paraId="74D2E0C1" w14:textId="77777777" w:rsidTr="00F87307">
        <w:trPr>
          <w:trHeight w:val="284"/>
          <w:tblHeader/>
        </w:trPr>
        <w:tc>
          <w:tcPr>
            <w:tcW w:w="4815" w:type="dxa"/>
            <w:tcBorders>
              <w:top w:val="single" w:sz="4" w:space="0" w:color="auto"/>
              <w:left w:val="single" w:sz="4" w:space="0" w:color="auto"/>
              <w:bottom w:val="single" w:sz="4" w:space="0" w:color="auto"/>
              <w:right w:val="single" w:sz="4" w:space="0" w:color="auto"/>
            </w:tcBorders>
            <w:shd w:val="clear" w:color="000000" w:fill="153D64"/>
            <w:vAlign w:val="bottom"/>
            <w:hideMark/>
          </w:tcPr>
          <w:p w14:paraId="6959FA85"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Postavka</w:t>
            </w:r>
          </w:p>
        </w:tc>
        <w:tc>
          <w:tcPr>
            <w:tcW w:w="1417" w:type="dxa"/>
            <w:tcBorders>
              <w:top w:val="single" w:sz="4" w:space="0" w:color="auto"/>
              <w:left w:val="nil"/>
              <w:bottom w:val="single" w:sz="4" w:space="0" w:color="auto"/>
              <w:right w:val="single" w:sz="4" w:space="0" w:color="auto"/>
            </w:tcBorders>
            <w:shd w:val="clear" w:color="000000" w:fill="153D64"/>
            <w:vAlign w:val="bottom"/>
            <w:hideMark/>
          </w:tcPr>
          <w:p w14:paraId="3BECBB6D" w14:textId="77777777" w:rsidR="004A6E4D" w:rsidRPr="004A6E4D" w:rsidRDefault="004A6E4D">
            <w:pPr>
              <w:rPr>
                <w:rFonts w:ascii="Arial" w:hAnsi="Arial" w:cs="Arial"/>
                <w:b/>
                <w:bCs/>
                <w:color w:val="FFFFFF"/>
                <w:sz w:val="20"/>
                <w:szCs w:val="20"/>
              </w:rPr>
            </w:pPr>
            <w:r w:rsidRPr="004A6E4D">
              <w:rPr>
                <w:rFonts w:ascii="Arial" w:hAnsi="Arial" w:cs="Arial"/>
                <w:b/>
                <w:bCs/>
                <w:color w:val="FFFFFF"/>
                <w:sz w:val="20"/>
                <w:szCs w:val="20"/>
              </w:rPr>
              <w:t>UPRAVIČENI STROŠKI</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03DF08C9"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2024</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1E60C5BD"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2025</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018E986A"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2026</w:t>
            </w:r>
          </w:p>
        </w:tc>
        <w:tc>
          <w:tcPr>
            <w:tcW w:w="1220" w:type="dxa"/>
            <w:tcBorders>
              <w:top w:val="single" w:sz="4" w:space="0" w:color="auto"/>
              <w:left w:val="nil"/>
              <w:bottom w:val="single" w:sz="4" w:space="0" w:color="auto"/>
              <w:right w:val="single" w:sz="4" w:space="0" w:color="auto"/>
            </w:tcBorders>
            <w:shd w:val="clear" w:color="000000" w:fill="153D64"/>
            <w:noWrap/>
            <w:vAlign w:val="bottom"/>
            <w:hideMark/>
          </w:tcPr>
          <w:p w14:paraId="5679C930"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2027</w:t>
            </w:r>
          </w:p>
        </w:tc>
        <w:tc>
          <w:tcPr>
            <w:tcW w:w="1560" w:type="dxa"/>
            <w:tcBorders>
              <w:top w:val="single" w:sz="4" w:space="0" w:color="auto"/>
              <w:left w:val="nil"/>
              <w:bottom w:val="single" w:sz="4" w:space="0" w:color="auto"/>
              <w:right w:val="single" w:sz="4" w:space="0" w:color="auto"/>
            </w:tcBorders>
            <w:shd w:val="clear" w:color="000000" w:fill="153D64"/>
            <w:noWrap/>
            <w:vAlign w:val="bottom"/>
            <w:hideMark/>
          </w:tcPr>
          <w:p w14:paraId="19281680"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2028</w:t>
            </w:r>
          </w:p>
        </w:tc>
        <w:tc>
          <w:tcPr>
            <w:tcW w:w="1420" w:type="dxa"/>
            <w:tcBorders>
              <w:top w:val="single" w:sz="4" w:space="0" w:color="auto"/>
              <w:left w:val="nil"/>
              <w:bottom w:val="single" w:sz="4" w:space="0" w:color="auto"/>
              <w:right w:val="single" w:sz="4" w:space="0" w:color="auto"/>
            </w:tcBorders>
            <w:shd w:val="clear" w:color="000000" w:fill="153D64"/>
            <w:noWrap/>
            <w:vAlign w:val="bottom"/>
            <w:hideMark/>
          </w:tcPr>
          <w:p w14:paraId="31F3E632" w14:textId="77777777" w:rsidR="004A6E4D" w:rsidRPr="004A6E4D" w:rsidRDefault="004A6E4D">
            <w:pPr>
              <w:jc w:val="right"/>
              <w:rPr>
                <w:rFonts w:ascii="Arial" w:hAnsi="Arial" w:cs="Arial"/>
                <w:b/>
                <w:bCs/>
                <w:color w:val="FFFFFF"/>
                <w:sz w:val="20"/>
                <w:szCs w:val="20"/>
              </w:rPr>
            </w:pPr>
            <w:r w:rsidRPr="004A6E4D">
              <w:rPr>
                <w:rFonts w:ascii="Arial" w:hAnsi="Arial" w:cs="Arial"/>
                <w:b/>
                <w:bCs/>
                <w:color w:val="FFFFFF"/>
                <w:sz w:val="20"/>
                <w:szCs w:val="20"/>
              </w:rPr>
              <w:t>2029</w:t>
            </w:r>
          </w:p>
        </w:tc>
      </w:tr>
      <w:tr w:rsidR="004A6E4D" w:rsidRPr="004A6E4D" w14:paraId="3F5A51E3"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9054F16"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Govekarjeva cesta</w:t>
            </w:r>
          </w:p>
        </w:tc>
        <w:tc>
          <w:tcPr>
            <w:tcW w:w="1417" w:type="dxa"/>
            <w:tcBorders>
              <w:top w:val="nil"/>
              <w:left w:val="nil"/>
              <w:bottom w:val="single" w:sz="4" w:space="0" w:color="auto"/>
              <w:right w:val="single" w:sz="4" w:space="0" w:color="auto"/>
            </w:tcBorders>
            <w:noWrap/>
            <w:vAlign w:val="bottom"/>
            <w:hideMark/>
          </w:tcPr>
          <w:p w14:paraId="3BB7EC5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671.438,32</w:t>
            </w:r>
          </w:p>
        </w:tc>
        <w:tc>
          <w:tcPr>
            <w:tcW w:w="1276" w:type="dxa"/>
            <w:tcBorders>
              <w:top w:val="nil"/>
              <w:left w:val="nil"/>
              <w:bottom w:val="single" w:sz="4" w:space="0" w:color="auto"/>
              <w:right w:val="single" w:sz="4" w:space="0" w:color="auto"/>
            </w:tcBorders>
            <w:noWrap/>
            <w:vAlign w:val="bottom"/>
            <w:hideMark/>
          </w:tcPr>
          <w:p w14:paraId="19F1936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3B198A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F3B547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1224C38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250.000,00</w:t>
            </w:r>
          </w:p>
        </w:tc>
        <w:tc>
          <w:tcPr>
            <w:tcW w:w="1560" w:type="dxa"/>
            <w:tcBorders>
              <w:top w:val="nil"/>
              <w:left w:val="nil"/>
              <w:bottom w:val="single" w:sz="4" w:space="0" w:color="auto"/>
              <w:right w:val="single" w:sz="4" w:space="0" w:color="auto"/>
            </w:tcBorders>
            <w:noWrap/>
            <w:vAlign w:val="bottom"/>
            <w:hideMark/>
          </w:tcPr>
          <w:p w14:paraId="276E11D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421.438,32</w:t>
            </w:r>
          </w:p>
        </w:tc>
        <w:tc>
          <w:tcPr>
            <w:tcW w:w="1420" w:type="dxa"/>
            <w:tcBorders>
              <w:top w:val="nil"/>
              <w:left w:val="nil"/>
              <w:bottom w:val="single" w:sz="4" w:space="0" w:color="auto"/>
              <w:right w:val="single" w:sz="4" w:space="0" w:color="auto"/>
            </w:tcBorders>
            <w:noWrap/>
            <w:vAlign w:val="bottom"/>
            <w:hideMark/>
          </w:tcPr>
          <w:p w14:paraId="44B06D3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6145CDE"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7043DD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Troštova ulica</w:t>
            </w:r>
          </w:p>
        </w:tc>
        <w:tc>
          <w:tcPr>
            <w:tcW w:w="1417" w:type="dxa"/>
            <w:tcBorders>
              <w:top w:val="nil"/>
              <w:left w:val="nil"/>
              <w:bottom w:val="single" w:sz="4" w:space="0" w:color="auto"/>
              <w:right w:val="single" w:sz="4" w:space="0" w:color="auto"/>
            </w:tcBorders>
            <w:noWrap/>
            <w:vAlign w:val="bottom"/>
            <w:hideMark/>
          </w:tcPr>
          <w:p w14:paraId="48C4584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159.251,45</w:t>
            </w:r>
          </w:p>
        </w:tc>
        <w:tc>
          <w:tcPr>
            <w:tcW w:w="1276" w:type="dxa"/>
            <w:tcBorders>
              <w:top w:val="nil"/>
              <w:left w:val="nil"/>
              <w:bottom w:val="single" w:sz="4" w:space="0" w:color="auto"/>
              <w:right w:val="single" w:sz="4" w:space="0" w:color="auto"/>
            </w:tcBorders>
            <w:noWrap/>
            <w:vAlign w:val="bottom"/>
            <w:hideMark/>
          </w:tcPr>
          <w:p w14:paraId="2F7BCEC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BB93FA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CCABCF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18BFE90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159.251,45</w:t>
            </w:r>
          </w:p>
        </w:tc>
        <w:tc>
          <w:tcPr>
            <w:tcW w:w="1560" w:type="dxa"/>
            <w:tcBorders>
              <w:top w:val="nil"/>
              <w:left w:val="nil"/>
              <w:bottom w:val="single" w:sz="4" w:space="0" w:color="auto"/>
              <w:right w:val="single" w:sz="4" w:space="0" w:color="auto"/>
            </w:tcBorders>
            <w:noWrap/>
            <w:vAlign w:val="bottom"/>
            <w:hideMark/>
          </w:tcPr>
          <w:p w14:paraId="155CA71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1E81D6A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962938B"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63BA431"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Križišče Govekarjeva-Troštova</w:t>
            </w:r>
          </w:p>
        </w:tc>
        <w:tc>
          <w:tcPr>
            <w:tcW w:w="1417" w:type="dxa"/>
            <w:tcBorders>
              <w:top w:val="nil"/>
              <w:left w:val="nil"/>
              <w:bottom w:val="single" w:sz="4" w:space="0" w:color="auto"/>
              <w:right w:val="single" w:sz="4" w:space="0" w:color="auto"/>
            </w:tcBorders>
            <w:noWrap/>
            <w:vAlign w:val="bottom"/>
            <w:hideMark/>
          </w:tcPr>
          <w:p w14:paraId="3916A2E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154.956,84</w:t>
            </w:r>
          </w:p>
        </w:tc>
        <w:tc>
          <w:tcPr>
            <w:tcW w:w="1276" w:type="dxa"/>
            <w:tcBorders>
              <w:top w:val="nil"/>
              <w:left w:val="nil"/>
              <w:bottom w:val="single" w:sz="4" w:space="0" w:color="auto"/>
              <w:right w:val="single" w:sz="4" w:space="0" w:color="auto"/>
            </w:tcBorders>
            <w:noWrap/>
            <w:vAlign w:val="bottom"/>
            <w:hideMark/>
          </w:tcPr>
          <w:p w14:paraId="347332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25BE1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9E1D9B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486A4A6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154.956,84</w:t>
            </w:r>
          </w:p>
        </w:tc>
        <w:tc>
          <w:tcPr>
            <w:tcW w:w="1560" w:type="dxa"/>
            <w:tcBorders>
              <w:top w:val="nil"/>
              <w:left w:val="nil"/>
              <w:bottom w:val="single" w:sz="4" w:space="0" w:color="auto"/>
              <w:right w:val="single" w:sz="4" w:space="0" w:color="auto"/>
            </w:tcBorders>
            <w:noWrap/>
            <w:vAlign w:val="bottom"/>
            <w:hideMark/>
          </w:tcPr>
          <w:p w14:paraId="30B4193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08394D9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6AC37A1"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75C2EE5F"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Javni sistem izposoje koles</w:t>
            </w:r>
          </w:p>
        </w:tc>
        <w:tc>
          <w:tcPr>
            <w:tcW w:w="1417" w:type="dxa"/>
            <w:tcBorders>
              <w:top w:val="nil"/>
              <w:left w:val="nil"/>
              <w:bottom w:val="single" w:sz="4" w:space="0" w:color="auto"/>
              <w:right w:val="single" w:sz="4" w:space="0" w:color="auto"/>
            </w:tcBorders>
            <w:noWrap/>
            <w:vAlign w:val="bottom"/>
            <w:hideMark/>
          </w:tcPr>
          <w:p w14:paraId="523F992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54.892,00</w:t>
            </w:r>
          </w:p>
        </w:tc>
        <w:tc>
          <w:tcPr>
            <w:tcW w:w="1276" w:type="dxa"/>
            <w:tcBorders>
              <w:top w:val="nil"/>
              <w:left w:val="nil"/>
              <w:bottom w:val="single" w:sz="4" w:space="0" w:color="auto"/>
              <w:right w:val="single" w:sz="4" w:space="0" w:color="auto"/>
            </w:tcBorders>
            <w:noWrap/>
            <w:vAlign w:val="bottom"/>
            <w:hideMark/>
          </w:tcPr>
          <w:p w14:paraId="6CE3B46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68CAC9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DC5AF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73FC56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54.892,00</w:t>
            </w:r>
          </w:p>
        </w:tc>
        <w:tc>
          <w:tcPr>
            <w:tcW w:w="1560" w:type="dxa"/>
            <w:tcBorders>
              <w:top w:val="nil"/>
              <w:left w:val="nil"/>
              <w:bottom w:val="single" w:sz="4" w:space="0" w:color="auto"/>
              <w:right w:val="single" w:sz="4" w:space="0" w:color="auto"/>
            </w:tcBorders>
            <w:noWrap/>
            <w:vAlign w:val="bottom"/>
            <w:hideMark/>
          </w:tcPr>
          <w:p w14:paraId="328F0FB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355AC7B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50491A6"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47DF034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Govekarjeva cesta</w:t>
            </w:r>
          </w:p>
        </w:tc>
        <w:tc>
          <w:tcPr>
            <w:tcW w:w="1417" w:type="dxa"/>
            <w:tcBorders>
              <w:top w:val="nil"/>
              <w:left w:val="nil"/>
              <w:bottom w:val="single" w:sz="4" w:space="0" w:color="auto"/>
              <w:right w:val="single" w:sz="4" w:space="0" w:color="auto"/>
            </w:tcBorders>
            <w:noWrap/>
            <w:vAlign w:val="bottom"/>
            <w:hideMark/>
          </w:tcPr>
          <w:p w14:paraId="518D113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276" w:type="dxa"/>
            <w:tcBorders>
              <w:top w:val="nil"/>
              <w:left w:val="nil"/>
              <w:bottom w:val="single" w:sz="4" w:space="0" w:color="auto"/>
              <w:right w:val="single" w:sz="4" w:space="0" w:color="auto"/>
            </w:tcBorders>
            <w:noWrap/>
            <w:vAlign w:val="bottom"/>
            <w:hideMark/>
          </w:tcPr>
          <w:p w14:paraId="2BD9FF5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52655D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AB82F1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56F437B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560" w:type="dxa"/>
            <w:tcBorders>
              <w:top w:val="nil"/>
              <w:left w:val="nil"/>
              <w:bottom w:val="single" w:sz="4" w:space="0" w:color="auto"/>
              <w:right w:val="single" w:sz="4" w:space="0" w:color="auto"/>
            </w:tcBorders>
            <w:noWrap/>
            <w:vAlign w:val="bottom"/>
            <w:hideMark/>
          </w:tcPr>
          <w:p w14:paraId="720B1D1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F679D2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962581E"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B5454CA"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staro župnišče</w:t>
            </w:r>
          </w:p>
        </w:tc>
        <w:tc>
          <w:tcPr>
            <w:tcW w:w="1417" w:type="dxa"/>
            <w:tcBorders>
              <w:top w:val="nil"/>
              <w:left w:val="nil"/>
              <w:bottom w:val="single" w:sz="4" w:space="0" w:color="auto"/>
              <w:right w:val="single" w:sz="4" w:space="0" w:color="auto"/>
            </w:tcBorders>
            <w:noWrap/>
            <w:vAlign w:val="bottom"/>
            <w:hideMark/>
          </w:tcPr>
          <w:p w14:paraId="3D4587C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276" w:type="dxa"/>
            <w:tcBorders>
              <w:top w:val="nil"/>
              <w:left w:val="nil"/>
              <w:bottom w:val="single" w:sz="4" w:space="0" w:color="auto"/>
              <w:right w:val="single" w:sz="4" w:space="0" w:color="auto"/>
            </w:tcBorders>
            <w:noWrap/>
            <w:vAlign w:val="bottom"/>
            <w:hideMark/>
          </w:tcPr>
          <w:p w14:paraId="2F7782B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6DE65A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CEE49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C86962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223C451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420" w:type="dxa"/>
            <w:tcBorders>
              <w:top w:val="nil"/>
              <w:left w:val="nil"/>
              <w:bottom w:val="single" w:sz="4" w:space="0" w:color="auto"/>
              <w:right w:val="single" w:sz="4" w:space="0" w:color="auto"/>
            </w:tcBorders>
            <w:noWrap/>
            <w:vAlign w:val="bottom"/>
            <w:hideMark/>
          </w:tcPr>
          <w:p w14:paraId="7D33702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61F6D6B2"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CDB498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trg (kolesarnica)</w:t>
            </w:r>
          </w:p>
        </w:tc>
        <w:tc>
          <w:tcPr>
            <w:tcW w:w="1417" w:type="dxa"/>
            <w:tcBorders>
              <w:top w:val="nil"/>
              <w:left w:val="nil"/>
              <w:bottom w:val="single" w:sz="4" w:space="0" w:color="auto"/>
              <w:right w:val="single" w:sz="4" w:space="0" w:color="auto"/>
            </w:tcBorders>
            <w:noWrap/>
            <w:vAlign w:val="bottom"/>
            <w:hideMark/>
          </w:tcPr>
          <w:p w14:paraId="53A140B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60.946,04</w:t>
            </w:r>
          </w:p>
        </w:tc>
        <w:tc>
          <w:tcPr>
            <w:tcW w:w="1276" w:type="dxa"/>
            <w:tcBorders>
              <w:top w:val="nil"/>
              <w:left w:val="nil"/>
              <w:bottom w:val="single" w:sz="4" w:space="0" w:color="auto"/>
              <w:right w:val="single" w:sz="4" w:space="0" w:color="auto"/>
            </w:tcBorders>
            <w:noWrap/>
            <w:vAlign w:val="bottom"/>
            <w:hideMark/>
          </w:tcPr>
          <w:p w14:paraId="6C3DC4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8B263D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EAC809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ACD68F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05406BE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60.946,04</w:t>
            </w:r>
          </w:p>
        </w:tc>
        <w:tc>
          <w:tcPr>
            <w:tcW w:w="1420" w:type="dxa"/>
            <w:tcBorders>
              <w:top w:val="nil"/>
              <w:left w:val="nil"/>
              <w:bottom w:val="single" w:sz="4" w:space="0" w:color="auto"/>
              <w:right w:val="single" w:sz="4" w:space="0" w:color="auto"/>
            </w:tcBorders>
            <w:noWrap/>
            <w:vAlign w:val="bottom"/>
            <w:hideMark/>
          </w:tcPr>
          <w:p w14:paraId="1377474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CD86127"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5974B5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telovadnica</w:t>
            </w:r>
          </w:p>
        </w:tc>
        <w:tc>
          <w:tcPr>
            <w:tcW w:w="1417" w:type="dxa"/>
            <w:tcBorders>
              <w:top w:val="nil"/>
              <w:left w:val="nil"/>
              <w:bottom w:val="single" w:sz="4" w:space="0" w:color="auto"/>
              <w:right w:val="single" w:sz="4" w:space="0" w:color="auto"/>
            </w:tcBorders>
            <w:noWrap/>
            <w:vAlign w:val="bottom"/>
            <w:hideMark/>
          </w:tcPr>
          <w:p w14:paraId="28316EC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276" w:type="dxa"/>
            <w:tcBorders>
              <w:top w:val="nil"/>
              <w:left w:val="nil"/>
              <w:bottom w:val="single" w:sz="4" w:space="0" w:color="auto"/>
              <w:right w:val="single" w:sz="4" w:space="0" w:color="auto"/>
            </w:tcBorders>
            <w:noWrap/>
            <w:vAlign w:val="bottom"/>
            <w:hideMark/>
          </w:tcPr>
          <w:p w14:paraId="0B73373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E19DC9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12FB1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3DBCE4E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560" w:type="dxa"/>
            <w:tcBorders>
              <w:top w:val="nil"/>
              <w:left w:val="nil"/>
              <w:bottom w:val="single" w:sz="4" w:space="0" w:color="auto"/>
              <w:right w:val="single" w:sz="4" w:space="0" w:color="auto"/>
            </w:tcBorders>
            <w:noWrap/>
            <w:vAlign w:val="bottom"/>
            <w:hideMark/>
          </w:tcPr>
          <w:p w14:paraId="12A6D6E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58F12F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B95D77C"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14140EE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Parkirišča za kolesa - park</w:t>
            </w:r>
          </w:p>
        </w:tc>
        <w:tc>
          <w:tcPr>
            <w:tcW w:w="1417" w:type="dxa"/>
            <w:tcBorders>
              <w:top w:val="nil"/>
              <w:left w:val="nil"/>
              <w:bottom w:val="single" w:sz="4" w:space="0" w:color="auto"/>
              <w:right w:val="single" w:sz="4" w:space="0" w:color="auto"/>
            </w:tcBorders>
            <w:noWrap/>
            <w:vAlign w:val="bottom"/>
            <w:hideMark/>
          </w:tcPr>
          <w:p w14:paraId="608D7A6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276" w:type="dxa"/>
            <w:tcBorders>
              <w:top w:val="nil"/>
              <w:left w:val="nil"/>
              <w:bottom w:val="single" w:sz="4" w:space="0" w:color="auto"/>
              <w:right w:val="single" w:sz="4" w:space="0" w:color="auto"/>
            </w:tcBorders>
            <w:noWrap/>
            <w:vAlign w:val="bottom"/>
            <w:hideMark/>
          </w:tcPr>
          <w:p w14:paraId="2E9CC4B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F3456E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5F6F0B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D7DDF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6.250,00</w:t>
            </w:r>
          </w:p>
        </w:tc>
        <w:tc>
          <w:tcPr>
            <w:tcW w:w="1560" w:type="dxa"/>
            <w:tcBorders>
              <w:top w:val="nil"/>
              <w:left w:val="nil"/>
              <w:bottom w:val="single" w:sz="4" w:space="0" w:color="auto"/>
              <w:right w:val="single" w:sz="4" w:space="0" w:color="auto"/>
            </w:tcBorders>
            <w:noWrap/>
            <w:vAlign w:val="bottom"/>
            <w:hideMark/>
          </w:tcPr>
          <w:p w14:paraId="30EF042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5C7EE7F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2F9E693"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E7860FA"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Merilniki, prikazovalniki in števci</w:t>
            </w:r>
          </w:p>
        </w:tc>
        <w:tc>
          <w:tcPr>
            <w:tcW w:w="1417" w:type="dxa"/>
            <w:tcBorders>
              <w:top w:val="nil"/>
              <w:left w:val="nil"/>
              <w:bottom w:val="single" w:sz="4" w:space="0" w:color="auto"/>
              <w:right w:val="single" w:sz="4" w:space="0" w:color="auto"/>
            </w:tcBorders>
            <w:noWrap/>
            <w:vAlign w:val="bottom"/>
            <w:hideMark/>
          </w:tcPr>
          <w:p w14:paraId="3B2D21C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47.399,00</w:t>
            </w:r>
          </w:p>
        </w:tc>
        <w:tc>
          <w:tcPr>
            <w:tcW w:w="1276" w:type="dxa"/>
            <w:tcBorders>
              <w:top w:val="nil"/>
              <w:left w:val="nil"/>
              <w:bottom w:val="single" w:sz="4" w:space="0" w:color="auto"/>
              <w:right w:val="single" w:sz="4" w:space="0" w:color="auto"/>
            </w:tcBorders>
            <w:noWrap/>
            <w:vAlign w:val="bottom"/>
            <w:hideMark/>
          </w:tcPr>
          <w:p w14:paraId="4D748EC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B97365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30BDE8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39659D3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0A4E1B1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47.399,00</w:t>
            </w:r>
          </w:p>
        </w:tc>
        <w:tc>
          <w:tcPr>
            <w:tcW w:w="1420" w:type="dxa"/>
            <w:tcBorders>
              <w:top w:val="nil"/>
              <w:left w:val="nil"/>
              <w:bottom w:val="single" w:sz="4" w:space="0" w:color="auto"/>
              <w:right w:val="single" w:sz="4" w:space="0" w:color="auto"/>
            </w:tcBorders>
            <w:noWrap/>
            <w:vAlign w:val="bottom"/>
            <w:hideMark/>
          </w:tcPr>
          <w:p w14:paraId="7171BA0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52ABD0D"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380F5504" w14:textId="77777777" w:rsidR="004A6E4D" w:rsidRPr="004A6E4D" w:rsidRDefault="004A6E4D">
            <w:pPr>
              <w:rPr>
                <w:rFonts w:ascii="Roboto" w:hAnsi="Roboto"/>
                <w:color w:val="000000"/>
                <w:sz w:val="20"/>
                <w:szCs w:val="20"/>
              </w:rPr>
            </w:pPr>
            <w:r w:rsidRPr="004A6E4D">
              <w:rPr>
                <w:rFonts w:ascii="Roboto" w:hAnsi="Roboto"/>
                <w:color w:val="000000"/>
                <w:sz w:val="20"/>
                <w:szCs w:val="20"/>
              </w:rPr>
              <w:t>Avtobusno postajališče - nivo ceste</w:t>
            </w:r>
          </w:p>
        </w:tc>
        <w:tc>
          <w:tcPr>
            <w:tcW w:w="1417" w:type="dxa"/>
            <w:tcBorders>
              <w:top w:val="nil"/>
              <w:left w:val="nil"/>
              <w:bottom w:val="single" w:sz="4" w:space="0" w:color="auto"/>
              <w:right w:val="single" w:sz="4" w:space="0" w:color="auto"/>
            </w:tcBorders>
            <w:noWrap/>
            <w:vAlign w:val="bottom"/>
            <w:hideMark/>
          </w:tcPr>
          <w:p w14:paraId="3F3D5C7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303.506,81</w:t>
            </w:r>
          </w:p>
        </w:tc>
        <w:tc>
          <w:tcPr>
            <w:tcW w:w="1276" w:type="dxa"/>
            <w:tcBorders>
              <w:top w:val="nil"/>
              <w:left w:val="nil"/>
              <w:bottom w:val="single" w:sz="4" w:space="0" w:color="auto"/>
              <w:right w:val="single" w:sz="4" w:space="0" w:color="auto"/>
            </w:tcBorders>
            <w:noWrap/>
            <w:vAlign w:val="bottom"/>
            <w:hideMark/>
          </w:tcPr>
          <w:p w14:paraId="3010E4D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32730D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1899F2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303.506,81</w:t>
            </w:r>
          </w:p>
        </w:tc>
        <w:tc>
          <w:tcPr>
            <w:tcW w:w="1220" w:type="dxa"/>
            <w:tcBorders>
              <w:top w:val="nil"/>
              <w:left w:val="nil"/>
              <w:bottom w:val="single" w:sz="4" w:space="0" w:color="auto"/>
              <w:right w:val="single" w:sz="4" w:space="0" w:color="auto"/>
            </w:tcBorders>
            <w:noWrap/>
            <w:vAlign w:val="bottom"/>
            <w:hideMark/>
          </w:tcPr>
          <w:p w14:paraId="77AC002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1C8E8F3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41A047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330896F"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23A35173" w14:textId="77777777" w:rsidR="004A6E4D" w:rsidRPr="004A6E4D" w:rsidRDefault="004A6E4D">
            <w:pPr>
              <w:rPr>
                <w:rFonts w:ascii="Roboto" w:hAnsi="Roboto"/>
                <w:color w:val="000000"/>
                <w:sz w:val="20"/>
                <w:szCs w:val="20"/>
              </w:rPr>
            </w:pPr>
            <w:r w:rsidRPr="004A6E4D">
              <w:rPr>
                <w:rFonts w:ascii="Roboto" w:hAnsi="Roboto"/>
                <w:color w:val="000000"/>
                <w:sz w:val="20"/>
                <w:szCs w:val="20"/>
              </w:rPr>
              <w:t>Avtobusno postajališče - nadstrešnica</w:t>
            </w:r>
          </w:p>
        </w:tc>
        <w:tc>
          <w:tcPr>
            <w:tcW w:w="1417" w:type="dxa"/>
            <w:tcBorders>
              <w:top w:val="nil"/>
              <w:left w:val="nil"/>
              <w:bottom w:val="single" w:sz="4" w:space="0" w:color="auto"/>
              <w:right w:val="single" w:sz="4" w:space="0" w:color="auto"/>
            </w:tcBorders>
            <w:noWrap/>
            <w:vAlign w:val="bottom"/>
            <w:hideMark/>
          </w:tcPr>
          <w:p w14:paraId="4B78655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249.783,11</w:t>
            </w:r>
          </w:p>
        </w:tc>
        <w:tc>
          <w:tcPr>
            <w:tcW w:w="1276" w:type="dxa"/>
            <w:tcBorders>
              <w:top w:val="nil"/>
              <w:left w:val="nil"/>
              <w:bottom w:val="single" w:sz="4" w:space="0" w:color="auto"/>
              <w:right w:val="single" w:sz="4" w:space="0" w:color="auto"/>
            </w:tcBorders>
            <w:noWrap/>
            <w:vAlign w:val="bottom"/>
            <w:hideMark/>
          </w:tcPr>
          <w:p w14:paraId="64D3CBA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C3805A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C3EB96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249.783,11</w:t>
            </w:r>
          </w:p>
        </w:tc>
        <w:tc>
          <w:tcPr>
            <w:tcW w:w="1220" w:type="dxa"/>
            <w:tcBorders>
              <w:top w:val="nil"/>
              <w:left w:val="nil"/>
              <w:bottom w:val="single" w:sz="4" w:space="0" w:color="auto"/>
              <w:right w:val="single" w:sz="4" w:space="0" w:color="auto"/>
            </w:tcBorders>
            <w:noWrap/>
            <w:vAlign w:val="bottom"/>
            <w:hideMark/>
          </w:tcPr>
          <w:p w14:paraId="0D5B926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0D0CB8D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3C1CAD4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CBE5C1C"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68153ED7" w14:textId="77777777" w:rsidR="004A6E4D" w:rsidRPr="004A6E4D" w:rsidRDefault="004A6E4D">
            <w:pPr>
              <w:rPr>
                <w:rFonts w:ascii="Roboto" w:hAnsi="Roboto"/>
                <w:color w:val="000000"/>
                <w:sz w:val="20"/>
                <w:szCs w:val="20"/>
              </w:rPr>
            </w:pPr>
            <w:r w:rsidRPr="004A6E4D">
              <w:rPr>
                <w:rFonts w:ascii="Roboto" w:hAnsi="Roboto"/>
                <w:color w:val="000000"/>
                <w:sz w:val="20"/>
                <w:szCs w:val="20"/>
              </w:rPr>
              <w:t>Parkirišče z vhodom v šolo</w:t>
            </w:r>
          </w:p>
        </w:tc>
        <w:tc>
          <w:tcPr>
            <w:tcW w:w="1417" w:type="dxa"/>
            <w:tcBorders>
              <w:top w:val="nil"/>
              <w:left w:val="nil"/>
              <w:bottom w:val="single" w:sz="4" w:space="0" w:color="auto"/>
              <w:right w:val="single" w:sz="4" w:space="0" w:color="auto"/>
            </w:tcBorders>
            <w:noWrap/>
            <w:vAlign w:val="bottom"/>
            <w:hideMark/>
          </w:tcPr>
          <w:p w14:paraId="12189DF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56FE63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0E09B2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3AC538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50E06C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0627409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AE48B3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5BA092C" w14:textId="77777777" w:rsidTr="00F87307">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4DE05372" w14:textId="77777777" w:rsidR="004A6E4D" w:rsidRPr="004A6E4D" w:rsidRDefault="004A6E4D">
            <w:pPr>
              <w:rPr>
                <w:rFonts w:ascii="Arial" w:hAnsi="Arial" w:cs="Arial"/>
                <w:i/>
                <w:iCs/>
                <w:color w:val="000000"/>
                <w:sz w:val="20"/>
                <w:szCs w:val="20"/>
              </w:rPr>
            </w:pPr>
            <w:r w:rsidRPr="004A6E4D">
              <w:rPr>
                <w:rFonts w:ascii="Arial" w:hAnsi="Arial" w:cs="Arial"/>
                <w:i/>
                <w:iCs/>
                <w:color w:val="000000"/>
                <w:sz w:val="20"/>
                <w:szCs w:val="20"/>
              </w:rPr>
              <w:t>Skupaj GOI dela</w:t>
            </w:r>
          </w:p>
        </w:tc>
        <w:tc>
          <w:tcPr>
            <w:tcW w:w="1417" w:type="dxa"/>
            <w:tcBorders>
              <w:top w:val="nil"/>
              <w:left w:val="nil"/>
              <w:bottom w:val="single" w:sz="4" w:space="0" w:color="auto"/>
              <w:right w:val="single" w:sz="4" w:space="0" w:color="auto"/>
            </w:tcBorders>
            <w:shd w:val="clear" w:color="000000" w:fill="D9D9D9"/>
            <w:noWrap/>
            <w:vAlign w:val="bottom"/>
            <w:hideMark/>
          </w:tcPr>
          <w:p w14:paraId="31EE1BE0"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1.727.173,57</w:t>
            </w:r>
          </w:p>
        </w:tc>
        <w:tc>
          <w:tcPr>
            <w:tcW w:w="1276" w:type="dxa"/>
            <w:tcBorders>
              <w:top w:val="nil"/>
              <w:left w:val="nil"/>
              <w:bottom w:val="single" w:sz="4" w:space="0" w:color="auto"/>
              <w:right w:val="single" w:sz="4" w:space="0" w:color="auto"/>
            </w:tcBorders>
            <w:shd w:val="clear" w:color="000000" w:fill="D9D9D9"/>
            <w:noWrap/>
            <w:vAlign w:val="bottom"/>
            <w:hideMark/>
          </w:tcPr>
          <w:p w14:paraId="16B02397"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1276" w:type="dxa"/>
            <w:tcBorders>
              <w:top w:val="nil"/>
              <w:left w:val="nil"/>
              <w:bottom w:val="single" w:sz="4" w:space="0" w:color="auto"/>
              <w:right w:val="single" w:sz="4" w:space="0" w:color="auto"/>
            </w:tcBorders>
            <w:shd w:val="clear" w:color="000000" w:fill="D9D9D9"/>
            <w:noWrap/>
            <w:vAlign w:val="bottom"/>
            <w:hideMark/>
          </w:tcPr>
          <w:p w14:paraId="7E5208B5"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1276" w:type="dxa"/>
            <w:tcBorders>
              <w:top w:val="nil"/>
              <w:left w:val="nil"/>
              <w:bottom w:val="single" w:sz="4" w:space="0" w:color="auto"/>
              <w:right w:val="single" w:sz="4" w:space="0" w:color="auto"/>
            </w:tcBorders>
            <w:shd w:val="clear" w:color="000000" w:fill="D9D9D9"/>
            <w:noWrap/>
            <w:vAlign w:val="bottom"/>
            <w:hideMark/>
          </w:tcPr>
          <w:p w14:paraId="2C24F214"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553.289,92</w:t>
            </w:r>
          </w:p>
        </w:tc>
        <w:tc>
          <w:tcPr>
            <w:tcW w:w="1220" w:type="dxa"/>
            <w:tcBorders>
              <w:top w:val="nil"/>
              <w:left w:val="nil"/>
              <w:bottom w:val="single" w:sz="4" w:space="0" w:color="auto"/>
              <w:right w:val="single" w:sz="4" w:space="0" w:color="auto"/>
            </w:tcBorders>
            <w:shd w:val="clear" w:color="000000" w:fill="D9D9D9"/>
            <w:noWrap/>
            <w:vAlign w:val="bottom"/>
            <w:hideMark/>
          </w:tcPr>
          <w:p w14:paraId="2067B984"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637.850,29</w:t>
            </w:r>
          </w:p>
        </w:tc>
        <w:tc>
          <w:tcPr>
            <w:tcW w:w="1560" w:type="dxa"/>
            <w:tcBorders>
              <w:top w:val="nil"/>
              <w:left w:val="nil"/>
              <w:bottom w:val="single" w:sz="4" w:space="0" w:color="auto"/>
              <w:right w:val="single" w:sz="4" w:space="0" w:color="auto"/>
            </w:tcBorders>
            <w:shd w:val="clear" w:color="000000" w:fill="D9D9D9"/>
            <w:noWrap/>
            <w:vAlign w:val="bottom"/>
            <w:hideMark/>
          </w:tcPr>
          <w:p w14:paraId="4644C509"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536.033,36</w:t>
            </w:r>
          </w:p>
        </w:tc>
        <w:tc>
          <w:tcPr>
            <w:tcW w:w="1420" w:type="dxa"/>
            <w:tcBorders>
              <w:top w:val="nil"/>
              <w:left w:val="nil"/>
              <w:bottom w:val="single" w:sz="4" w:space="0" w:color="auto"/>
              <w:right w:val="single" w:sz="4" w:space="0" w:color="auto"/>
            </w:tcBorders>
            <w:shd w:val="clear" w:color="000000" w:fill="D9D9D9"/>
            <w:noWrap/>
            <w:vAlign w:val="bottom"/>
            <w:hideMark/>
          </w:tcPr>
          <w:p w14:paraId="5747BA11" w14:textId="77777777" w:rsidR="004A6E4D" w:rsidRPr="004A6E4D" w:rsidRDefault="004A6E4D">
            <w:pPr>
              <w:jc w:val="right"/>
              <w:rPr>
                <w:rFonts w:ascii="Arial" w:hAnsi="Arial" w:cs="Arial"/>
                <w:i/>
                <w:iCs/>
                <w:color w:val="000000"/>
                <w:sz w:val="20"/>
                <w:szCs w:val="20"/>
              </w:rPr>
            </w:pPr>
            <w:r w:rsidRPr="004A6E4D">
              <w:rPr>
                <w:rFonts w:ascii="Arial" w:hAnsi="Arial" w:cs="Arial"/>
                <w:i/>
                <w:iCs/>
                <w:color w:val="000000"/>
                <w:sz w:val="20"/>
                <w:szCs w:val="20"/>
              </w:rPr>
              <w:t>0,00</w:t>
            </w:r>
          </w:p>
        </w:tc>
      </w:tr>
      <w:tr w:rsidR="004A6E4D" w:rsidRPr="004A6E4D" w14:paraId="0B61B330"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7CFEC582"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Strokovni nadzor</w:t>
            </w:r>
          </w:p>
        </w:tc>
        <w:tc>
          <w:tcPr>
            <w:tcW w:w="1417" w:type="dxa"/>
            <w:tcBorders>
              <w:top w:val="nil"/>
              <w:left w:val="nil"/>
              <w:bottom w:val="single" w:sz="4" w:space="0" w:color="auto"/>
              <w:right w:val="single" w:sz="4" w:space="0" w:color="auto"/>
            </w:tcBorders>
            <w:noWrap/>
            <w:vAlign w:val="bottom"/>
            <w:hideMark/>
          </w:tcPr>
          <w:p w14:paraId="54EBF50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71.812,68</w:t>
            </w:r>
          </w:p>
        </w:tc>
        <w:tc>
          <w:tcPr>
            <w:tcW w:w="1276" w:type="dxa"/>
            <w:tcBorders>
              <w:top w:val="nil"/>
              <w:left w:val="nil"/>
              <w:bottom w:val="single" w:sz="4" w:space="0" w:color="auto"/>
              <w:right w:val="single" w:sz="4" w:space="0" w:color="auto"/>
            </w:tcBorders>
            <w:noWrap/>
            <w:vAlign w:val="bottom"/>
            <w:hideMark/>
          </w:tcPr>
          <w:p w14:paraId="7B24D20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E9B573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86E148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16.598,70</w:t>
            </w:r>
          </w:p>
        </w:tc>
        <w:tc>
          <w:tcPr>
            <w:tcW w:w="1220" w:type="dxa"/>
            <w:tcBorders>
              <w:top w:val="nil"/>
              <w:left w:val="nil"/>
              <w:bottom w:val="single" w:sz="4" w:space="0" w:color="auto"/>
              <w:right w:val="single" w:sz="4" w:space="0" w:color="auto"/>
            </w:tcBorders>
            <w:noWrap/>
            <w:vAlign w:val="bottom"/>
            <w:hideMark/>
          </w:tcPr>
          <w:p w14:paraId="72164B5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19.135,51</w:t>
            </w:r>
          </w:p>
        </w:tc>
        <w:tc>
          <w:tcPr>
            <w:tcW w:w="1560" w:type="dxa"/>
            <w:tcBorders>
              <w:top w:val="nil"/>
              <w:left w:val="nil"/>
              <w:bottom w:val="single" w:sz="4" w:space="0" w:color="auto"/>
              <w:right w:val="single" w:sz="4" w:space="0" w:color="auto"/>
            </w:tcBorders>
            <w:noWrap/>
            <w:vAlign w:val="bottom"/>
            <w:hideMark/>
          </w:tcPr>
          <w:p w14:paraId="5C545F2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32.078,98</w:t>
            </w:r>
          </w:p>
        </w:tc>
        <w:tc>
          <w:tcPr>
            <w:tcW w:w="1420" w:type="dxa"/>
            <w:tcBorders>
              <w:top w:val="nil"/>
              <w:left w:val="nil"/>
              <w:bottom w:val="single" w:sz="4" w:space="0" w:color="auto"/>
              <w:right w:val="single" w:sz="4" w:space="0" w:color="auto"/>
            </w:tcBorders>
            <w:noWrap/>
            <w:vAlign w:val="bottom"/>
            <w:hideMark/>
          </w:tcPr>
          <w:p w14:paraId="2BD4523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3.999,49</w:t>
            </w:r>
          </w:p>
        </w:tc>
      </w:tr>
      <w:tr w:rsidR="004A6E4D" w:rsidRPr="004A6E4D" w14:paraId="0976843D"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3E23F14F"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lastRenderedPageBreak/>
              <w:t>Projektna dokumentacija</w:t>
            </w:r>
          </w:p>
        </w:tc>
        <w:tc>
          <w:tcPr>
            <w:tcW w:w="1417" w:type="dxa"/>
            <w:tcBorders>
              <w:top w:val="nil"/>
              <w:left w:val="nil"/>
              <w:bottom w:val="single" w:sz="4" w:space="0" w:color="auto"/>
              <w:right w:val="single" w:sz="4" w:space="0" w:color="auto"/>
            </w:tcBorders>
            <w:noWrap/>
            <w:vAlign w:val="bottom"/>
            <w:hideMark/>
          </w:tcPr>
          <w:p w14:paraId="03ED385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97.145,33</w:t>
            </w:r>
          </w:p>
        </w:tc>
        <w:tc>
          <w:tcPr>
            <w:tcW w:w="1276" w:type="dxa"/>
            <w:tcBorders>
              <w:top w:val="nil"/>
              <w:left w:val="nil"/>
              <w:bottom w:val="single" w:sz="4" w:space="0" w:color="auto"/>
              <w:right w:val="single" w:sz="4" w:space="0" w:color="auto"/>
            </w:tcBorders>
            <w:noWrap/>
            <w:vAlign w:val="bottom"/>
            <w:hideMark/>
          </w:tcPr>
          <w:p w14:paraId="3E9851B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7.200,00</w:t>
            </w:r>
          </w:p>
        </w:tc>
        <w:tc>
          <w:tcPr>
            <w:tcW w:w="1276" w:type="dxa"/>
            <w:tcBorders>
              <w:top w:val="nil"/>
              <w:left w:val="nil"/>
              <w:bottom w:val="single" w:sz="4" w:space="0" w:color="auto"/>
              <w:right w:val="single" w:sz="4" w:space="0" w:color="auto"/>
            </w:tcBorders>
            <w:noWrap/>
            <w:vAlign w:val="bottom"/>
            <w:hideMark/>
          </w:tcPr>
          <w:p w14:paraId="748435C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72.732,21</w:t>
            </w:r>
          </w:p>
        </w:tc>
        <w:tc>
          <w:tcPr>
            <w:tcW w:w="1276" w:type="dxa"/>
            <w:tcBorders>
              <w:top w:val="nil"/>
              <w:left w:val="nil"/>
              <w:bottom w:val="single" w:sz="4" w:space="0" w:color="auto"/>
              <w:right w:val="single" w:sz="4" w:space="0" w:color="auto"/>
            </w:tcBorders>
            <w:noWrap/>
            <w:vAlign w:val="bottom"/>
            <w:hideMark/>
          </w:tcPr>
          <w:p w14:paraId="0F0FA1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8.313,12</w:t>
            </w:r>
          </w:p>
        </w:tc>
        <w:tc>
          <w:tcPr>
            <w:tcW w:w="1220" w:type="dxa"/>
            <w:tcBorders>
              <w:top w:val="nil"/>
              <w:left w:val="nil"/>
              <w:bottom w:val="single" w:sz="4" w:space="0" w:color="auto"/>
              <w:right w:val="single" w:sz="4" w:space="0" w:color="auto"/>
            </w:tcBorders>
            <w:noWrap/>
            <w:vAlign w:val="bottom"/>
            <w:hideMark/>
          </w:tcPr>
          <w:p w14:paraId="65AC05F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3.856,67</w:t>
            </w:r>
          </w:p>
        </w:tc>
        <w:tc>
          <w:tcPr>
            <w:tcW w:w="1560" w:type="dxa"/>
            <w:tcBorders>
              <w:top w:val="nil"/>
              <w:left w:val="nil"/>
              <w:bottom w:val="single" w:sz="4" w:space="0" w:color="auto"/>
              <w:right w:val="single" w:sz="4" w:space="0" w:color="auto"/>
            </w:tcBorders>
            <w:noWrap/>
            <w:vAlign w:val="bottom"/>
            <w:hideMark/>
          </w:tcPr>
          <w:p w14:paraId="136E1D1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3.856,67</w:t>
            </w:r>
          </w:p>
        </w:tc>
        <w:tc>
          <w:tcPr>
            <w:tcW w:w="1420" w:type="dxa"/>
            <w:tcBorders>
              <w:top w:val="nil"/>
              <w:left w:val="nil"/>
              <w:bottom w:val="single" w:sz="4" w:space="0" w:color="auto"/>
              <w:right w:val="single" w:sz="4" w:space="0" w:color="auto"/>
            </w:tcBorders>
            <w:noWrap/>
            <w:vAlign w:val="bottom"/>
            <w:hideMark/>
          </w:tcPr>
          <w:p w14:paraId="025EC9F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1.186,67</w:t>
            </w:r>
          </w:p>
        </w:tc>
      </w:tr>
      <w:tr w:rsidR="004A6E4D" w:rsidRPr="004A6E4D" w14:paraId="0BFDA18A"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22BBCF8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Inženiring</w:t>
            </w:r>
          </w:p>
        </w:tc>
        <w:tc>
          <w:tcPr>
            <w:tcW w:w="1417" w:type="dxa"/>
            <w:tcBorders>
              <w:top w:val="nil"/>
              <w:left w:val="nil"/>
              <w:bottom w:val="single" w:sz="4" w:space="0" w:color="auto"/>
              <w:right w:val="single" w:sz="4" w:space="0" w:color="auto"/>
            </w:tcBorders>
            <w:noWrap/>
            <w:vAlign w:val="bottom"/>
            <w:hideMark/>
          </w:tcPr>
          <w:p w14:paraId="1A158E2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23.937,56</w:t>
            </w:r>
          </w:p>
        </w:tc>
        <w:tc>
          <w:tcPr>
            <w:tcW w:w="1276" w:type="dxa"/>
            <w:tcBorders>
              <w:top w:val="nil"/>
              <w:left w:val="nil"/>
              <w:bottom w:val="single" w:sz="4" w:space="0" w:color="auto"/>
              <w:right w:val="single" w:sz="4" w:space="0" w:color="auto"/>
            </w:tcBorders>
            <w:noWrap/>
            <w:vAlign w:val="bottom"/>
            <w:hideMark/>
          </w:tcPr>
          <w:p w14:paraId="47FB65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271638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303546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5.532,90</w:t>
            </w:r>
          </w:p>
        </w:tc>
        <w:tc>
          <w:tcPr>
            <w:tcW w:w="1220" w:type="dxa"/>
            <w:tcBorders>
              <w:top w:val="nil"/>
              <w:left w:val="nil"/>
              <w:bottom w:val="single" w:sz="4" w:space="0" w:color="auto"/>
              <w:right w:val="single" w:sz="4" w:space="0" w:color="auto"/>
            </w:tcBorders>
            <w:noWrap/>
            <w:vAlign w:val="bottom"/>
            <w:hideMark/>
          </w:tcPr>
          <w:p w14:paraId="51C90B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6.378,50</w:t>
            </w:r>
          </w:p>
        </w:tc>
        <w:tc>
          <w:tcPr>
            <w:tcW w:w="1560" w:type="dxa"/>
            <w:tcBorders>
              <w:top w:val="nil"/>
              <w:left w:val="nil"/>
              <w:bottom w:val="single" w:sz="4" w:space="0" w:color="auto"/>
              <w:right w:val="single" w:sz="4" w:space="0" w:color="auto"/>
            </w:tcBorders>
            <w:noWrap/>
            <w:vAlign w:val="bottom"/>
            <w:hideMark/>
          </w:tcPr>
          <w:p w14:paraId="28CABD1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10.692,99</w:t>
            </w:r>
          </w:p>
        </w:tc>
        <w:tc>
          <w:tcPr>
            <w:tcW w:w="1420" w:type="dxa"/>
            <w:tcBorders>
              <w:top w:val="nil"/>
              <w:left w:val="nil"/>
              <w:bottom w:val="single" w:sz="4" w:space="0" w:color="auto"/>
              <w:right w:val="single" w:sz="4" w:space="0" w:color="auto"/>
            </w:tcBorders>
            <w:noWrap/>
            <w:vAlign w:val="bottom"/>
            <w:hideMark/>
          </w:tcPr>
          <w:p w14:paraId="04C4C67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1.333,16</w:t>
            </w:r>
          </w:p>
        </w:tc>
      </w:tr>
      <w:tr w:rsidR="004A6E4D" w:rsidRPr="004A6E4D" w14:paraId="0CB15E84"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1C2ADF5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Obveščanje javnosti</w:t>
            </w:r>
          </w:p>
        </w:tc>
        <w:tc>
          <w:tcPr>
            <w:tcW w:w="1417" w:type="dxa"/>
            <w:tcBorders>
              <w:top w:val="nil"/>
              <w:left w:val="nil"/>
              <w:bottom w:val="single" w:sz="4" w:space="0" w:color="auto"/>
              <w:right w:val="single" w:sz="4" w:space="0" w:color="auto"/>
            </w:tcBorders>
            <w:noWrap/>
            <w:vAlign w:val="bottom"/>
            <w:hideMark/>
          </w:tcPr>
          <w:p w14:paraId="33C7970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4.098,36</w:t>
            </w:r>
          </w:p>
        </w:tc>
        <w:tc>
          <w:tcPr>
            <w:tcW w:w="1276" w:type="dxa"/>
            <w:tcBorders>
              <w:top w:val="nil"/>
              <w:left w:val="nil"/>
              <w:bottom w:val="single" w:sz="4" w:space="0" w:color="auto"/>
              <w:right w:val="single" w:sz="4" w:space="0" w:color="auto"/>
            </w:tcBorders>
            <w:noWrap/>
            <w:vAlign w:val="bottom"/>
            <w:hideMark/>
          </w:tcPr>
          <w:p w14:paraId="0AFAA44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C7C96A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2AD39B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1.639,34</w:t>
            </w:r>
          </w:p>
        </w:tc>
        <w:tc>
          <w:tcPr>
            <w:tcW w:w="1220" w:type="dxa"/>
            <w:tcBorders>
              <w:top w:val="nil"/>
              <w:left w:val="nil"/>
              <w:bottom w:val="single" w:sz="4" w:space="0" w:color="auto"/>
              <w:right w:val="single" w:sz="4" w:space="0" w:color="auto"/>
            </w:tcBorders>
            <w:noWrap/>
            <w:vAlign w:val="bottom"/>
            <w:hideMark/>
          </w:tcPr>
          <w:p w14:paraId="2A8D387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409,84</w:t>
            </w:r>
          </w:p>
        </w:tc>
        <w:tc>
          <w:tcPr>
            <w:tcW w:w="1560" w:type="dxa"/>
            <w:tcBorders>
              <w:top w:val="nil"/>
              <w:left w:val="nil"/>
              <w:bottom w:val="single" w:sz="4" w:space="0" w:color="auto"/>
              <w:right w:val="single" w:sz="4" w:space="0" w:color="auto"/>
            </w:tcBorders>
            <w:noWrap/>
            <w:vAlign w:val="bottom"/>
            <w:hideMark/>
          </w:tcPr>
          <w:p w14:paraId="06BD070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409,84</w:t>
            </w:r>
          </w:p>
        </w:tc>
        <w:tc>
          <w:tcPr>
            <w:tcW w:w="1420" w:type="dxa"/>
            <w:tcBorders>
              <w:top w:val="nil"/>
              <w:left w:val="nil"/>
              <w:bottom w:val="single" w:sz="4" w:space="0" w:color="auto"/>
              <w:right w:val="single" w:sz="4" w:space="0" w:color="auto"/>
            </w:tcBorders>
            <w:noWrap/>
            <w:vAlign w:val="bottom"/>
            <w:hideMark/>
          </w:tcPr>
          <w:p w14:paraId="1CC3557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1.639,34</w:t>
            </w:r>
          </w:p>
        </w:tc>
      </w:tr>
      <w:tr w:rsidR="004A6E4D" w:rsidRPr="004A6E4D" w14:paraId="5E128CA1"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B83A39B"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Investicijska in ostala dokumentacija</w:t>
            </w:r>
          </w:p>
        </w:tc>
        <w:tc>
          <w:tcPr>
            <w:tcW w:w="1417" w:type="dxa"/>
            <w:tcBorders>
              <w:top w:val="nil"/>
              <w:left w:val="nil"/>
              <w:bottom w:val="single" w:sz="4" w:space="0" w:color="auto"/>
              <w:right w:val="single" w:sz="4" w:space="0" w:color="auto"/>
            </w:tcBorders>
            <w:noWrap/>
            <w:vAlign w:val="bottom"/>
            <w:hideMark/>
          </w:tcPr>
          <w:p w14:paraId="542826E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14.265,88</w:t>
            </w:r>
          </w:p>
        </w:tc>
        <w:tc>
          <w:tcPr>
            <w:tcW w:w="1276" w:type="dxa"/>
            <w:tcBorders>
              <w:top w:val="nil"/>
              <w:left w:val="nil"/>
              <w:bottom w:val="single" w:sz="4" w:space="0" w:color="auto"/>
              <w:right w:val="single" w:sz="4" w:space="0" w:color="auto"/>
            </w:tcBorders>
            <w:noWrap/>
            <w:vAlign w:val="bottom"/>
            <w:hideMark/>
          </w:tcPr>
          <w:p w14:paraId="2368811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700,00</w:t>
            </w:r>
          </w:p>
        </w:tc>
        <w:tc>
          <w:tcPr>
            <w:tcW w:w="1276" w:type="dxa"/>
            <w:tcBorders>
              <w:top w:val="nil"/>
              <w:left w:val="nil"/>
              <w:bottom w:val="single" w:sz="4" w:space="0" w:color="auto"/>
              <w:right w:val="single" w:sz="4" w:space="0" w:color="auto"/>
            </w:tcBorders>
            <w:noWrap/>
            <w:vAlign w:val="bottom"/>
            <w:hideMark/>
          </w:tcPr>
          <w:p w14:paraId="7B2C68A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13.565,88</w:t>
            </w:r>
          </w:p>
        </w:tc>
        <w:tc>
          <w:tcPr>
            <w:tcW w:w="1276" w:type="dxa"/>
            <w:tcBorders>
              <w:top w:val="nil"/>
              <w:left w:val="nil"/>
              <w:bottom w:val="single" w:sz="4" w:space="0" w:color="auto"/>
              <w:right w:val="single" w:sz="4" w:space="0" w:color="auto"/>
            </w:tcBorders>
            <w:noWrap/>
            <w:vAlign w:val="bottom"/>
            <w:hideMark/>
          </w:tcPr>
          <w:p w14:paraId="71B6C13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B1EC42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3656F08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056D41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F4AA27D"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8A9F161"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Stroški varnosti pri delu</w:t>
            </w:r>
          </w:p>
        </w:tc>
        <w:tc>
          <w:tcPr>
            <w:tcW w:w="1417" w:type="dxa"/>
            <w:tcBorders>
              <w:top w:val="nil"/>
              <w:left w:val="nil"/>
              <w:bottom w:val="single" w:sz="4" w:space="0" w:color="auto"/>
              <w:right w:val="single" w:sz="4" w:space="0" w:color="auto"/>
            </w:tcBorders>
            <w:noWrap/>
            <w:vAlign w:val="bottom"/>
            <w:hideMark/>
          </w:tcPr>
          <w:p w14:paraId="7A9DD77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6.694,90</w:t>
            </w:r>
          </w:p>
        </w:tc>
        <w:tc>
          <w:tcPr>
            <w:tcW w:w="1276" w:type="dxa"/>
            <w:tcBorders>
              <w:top w:val="nil"/>
              <w:left w:val="nil"/>
              <w:bottom w:val="single" w:sz="4" w:space="0" w:color="auto"/>
              <w:right w:val="single" w:sz="4" w:space="0" w:color="auto"/>
            </w:tcBorders>
            <w:noWrap/>
            <w:vAlign w:val="bottom"/>
            <w:hideMark/>
          </w:tcPr>
          <w:p w14:paraId="14612B5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EC9249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58D893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1.986,86</w:t>
            </w:r>
          </w:p>
        </w:tc>
        <w:tc>
          <w:tcPr>
            <w:tcW w:w="1220" w:type="dxa"/>
            <w:tcBorders>
              <w:top w:val="nil"/>
              <w:left w:val="nil"/>
              <w:bottom w:val="single" w:sz="4" w:space="0" w:color="auto"/>
              <w:right w:val="single" w:sz="4" w:space="0" w:color="auto"/>
            </w:tcBorders>
            <w:noWrap/>
            <w:vAlign w:val="bottom"/>
            <w:hideMark/>
          </w:tcPr>
          <w:p w14:paraId="11D63DE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1.545,33</w:t>
            </w:r>
          </w:p>
        </w:tc>
        <w:tc>
          <w:tcPr>
            <w:tcW w:w="1560" w:type="dxa"/>
            <w:tcBorders>
              <w:top w:val="nil"/>
              <w:left w:val="nil"/>
              <w:bottom w:val="single" w:sz="4" w:space="0" w:color="auto"/>
              <w:right w:val="single" w:sz="4" w:space="0" w:color="auto"/>
            </w:tcBorders>
            <w:noWrap/>
            <w:vAlign w:val="bottom"/>
            <w:hideMark/>
          </w:tcPr>
          <w:p w14:paraId="63128E5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1.545,33</w:t>
            </w:r>
          </w:p>
        </w:tc>
        <w:tc>
          <w:tcPr>
            <w:tcW w:w="1420" w:type="dxa"/>
            <w:tcBorders>
              <w:top w:val="nil"/>
              <w:left w:val="nil"/>
              <w:bottom w:val="single" w:sz="4" w:space="0" w:color="auto"/>
              <w:right w:val="single" w:sz="4" w:space="0" w:color="auto"/>
            </w:tcBorders>
            <w:noWrap/>
            <w:vAlign w:val="bottom"/>
            <w:hideMark/>
          </w:tcPr>
          <w:p w14:paraId="59EC0A0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1.617,38</w:t>
            </w:r>
          </w:p>
        </w:tc>
      </w:tr>
      <w:tr w:rsidR="004A6E4D" w:rsidRPr="004A6E4D" w14:paraId="5B75D6C1"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7D48625C"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Arheologija</w:t>
            </w:r>
          </w:p>
        </w:tc>
        <w:tc>
          <w:tcPr>
            <w:tcW w:w="1417" w:type="dxa"/>
            <w:tcBorders>
              <w:top w:val="nil"/>
              <w:left w:val="nil"/>
              <w:bottom w:val="single" w:sz="4" w:space="0" w:color="auto"/>
              <w:right w:val="single" w:sz="4" w:space="0" w:color="auto"/>
            </w:tcBorders>
            <w:noWrap/>
            <w:vAlign w:val="bottom"/>
            <w:hideMark/>
          </w:tcPr>
          <w:p w14:paraId="5CF2522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15.011,81</w:t>
            </w:r>
          </w:p>
        </w:tc>
        <w:tc>
          <w:tcPr>
            <w:tcW w:w="1276" w:type="dxa"/>
            <w:tcBorders>
              <w:top w:val="nil"/>
              <w:left w:val="nil"/>
              <w:bottom w:val="single" w:sz="4" w:space="0" w:color="auto"/>
              <w:right w:val="single" w:sz="4" w:space="0" w:color="auto"/>
            </w:tcBorders>
            <w:noWrap/>
            <w:vAlign w:val="bottom"/>
            <w:hideMark/>
          </w:tcPr>
          <w:p w14:paraId="5747011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A0144B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DB602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3.727,39</w:t>
            </w:r>
          </w:p>
        </w:tc>
        <w:tc>
          <w:tcPr>
            <w:tcW w:w="1220" w:type="dxa"/>
            <w:tcBorders>
              <w:top w:val="nil"/>
              <w:left w:val="nil"/>
              <w:bottom w:val="single" w:sz="4" w:space="0" w:color="auto"/>
              <w:right w:val="single" w:sz="4" w:space="0" w:color="auto"/>
            </w:tcBorders>
            <w:noWrap/>
            <w:vAlign w:val="bottom"/>
            <w:hideMark/>
          </w:tcPr>
          <w:p w14:paraId="4A819FC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3.968,98</w:t>
            </w:r>
          </w:p>
        </w:tc>
        <w:tc>
          <w:tcPr>
            <w:tcW w:w="1560" w:type="dxa"/>
            <w:tcBorders>
              <w:top w:val="nil"/>
              <w:left w:val="nil"/>
              <w:bottom w:val="single" w:sz="4" w:space="0" w:color="auto"/>
              <w:right w:val="single" w:sz="4" w:space="0" w:color="auto"/>
            </w:tcBorders>
            <w:noWrap/>
            <w:vAlign w:val="bottom"/>
            <w:hideMark/>
          </w:tcPr>
          <w:p w14:paraId="69DA79A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6.386,92</w:t>
            </w:r>
          </w:p>
        </w:tc>
        <w:tc>
          <w:tcPr>
            <w:tcW w:w="1420" w:type="dxa"/>
            <w:tcBorders>
              <w:top w:val="nil"/>
              <w:left w:val="nil"/>
              <w:bottom w:val="single" w:sz="4" w:space="0" w:color="auto"/>
              <w:right w:val="single" w:sz="4" w:space="0" w:color="auto"/>
            </w:tcBorders>
            <w:noWrap/>
            <w:vAlign w:val="bottom"/>
            <w:hideMark/>
          </w:tcPr>
          <w:p w14:paraId="7D7A64B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928,52</w:t>
            </w:r>
          </w:p>
        </w:tc>
      </w:tr>
      <w:tr w:rsidR="004A6E4D" w:rsidRPr="004A6E4D" w14:paraId="652373A3"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2BC9F13"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Čiščenje in pregled kanalizacije</w:t>
            </w:r>
          </w:p>
        </w:tc>
        <w:tc>
          <w:tcPr>
            <w:tcW w:w="1417" w:type="dxa"/>
            <w:tcBorders>
              <w:top w:val="nil"/>
              <w:left w:val="nil"/>
              <w:bottom w:val="single" w:sz="4" w:space="0" w:color="auto"/>
              <w:right w:val="single" w:sz="4" w:space="0" w:color="auto"/>
            </w:tcBorders>
            <w:noWrap/>
            <w:vAlign w:val="bottom"/>
            <w:hideMark/>
          </w:tcPr>
          <w:p w14:paraId="292F8A8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3.280,00</w:t>
            </w:r>
          </w:p>
        </w:tc>
        <w:tc>
          <w:tcPr>
            <w:tcW w:w="1276" w:type="dxa"/>
            <w:tcBorders>
              <w:top w:val="nil"/>
              <w:left w:val="nil"/>
              <w:bottom w:val="single" w:sz="4" w:space="0" w:color="auto"/>
              <w:right w:val="single" w:sz="4" w:space="0" w:color="auto"/>
            </w:tcBorders>
            <w:noWrap/>
            <w:vAlign w:val="bottom"/>
            <w:hideMark/>
          </w:tcPr>
          <w:p w14:paraId="1FE107E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6F7D8C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D43C07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3.280,00</w:t>
            </w:r>
          </w:p>
        </w:tc>
        <w:tc>
          <w:tcPr>
            <w:tcW w:w="1220" w:type="dxa"/>
            <w:tcBorders>
              <w:top w:val="nil"/>
              <w:left w:val="nil"/>
              <w:bottom w:val="single" w:sz="4" w:space="0" w:color="auto"/>
              <w:right w:val="single" w:sz="4" w:space="0" w:color="auto"/>
            </w:tcBorders>
            <w:noWrap/>
            <w:vAlign w:val="bottom"/>
            <w:hideMark/>
          </w:tcPr>
          <w:p w14:paraId="6B3BEA0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748DE2F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0249D2A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CAB9C7B"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1C1810A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Nakup nepremičnine</w:t>
            </w:r>
          </w:p>
        </w:tc>
        <w:tc>
          <w:tcPr>
            <w:tcW w:w="1417" w:type="dxa"/>
            <w:tcBorders>
              <w:top w:val="nil"/>
              <w:left w:val="nil"/>
              <w:bottom w:val="single" w:sz="4" w:space="0" w:color="auto"/>
              <w:right w:val="single" w:sz="4" w:space="0" w:color="auto"/>
            </w:tcBorders>
            <w:noWrap/>
            <w:vAlign w:val="bottom"/>
            <w:hideMark/>
          </w:tcPr>
          <w:p w14:paraId="6244B3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09CDE57"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D0A656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2E10A4B"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7E54B7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130F857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557F389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36F4E1DF"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2E9ECC10"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(neobdavčeno)</w:t>
            </w:r>
          </w:p>
        </w:tc>
        <w:tc>
          <w:tcPr>
            <w:tcW w:w="1417" w:type="dxa"/>
            <w:tcBorders>
              <w:top w:val="nil"/>
              <w:left w:val="nil"/>
              <w:bottom w:val="single" w:sz="4" w:space="0" w:color="auto"/>
              <w:right w:val="single" w:sz="4" w:space="0" w:color="auto"/>
            </w:tcBorders>
            <w:noWrap/>
            <w:vAlign w:val="bottom"/>
            <w:hideMark/>
          </w:tcPr>
          <w:p w14:paraId="1D07503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C9C1B21"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BC984B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CF58ED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43759B9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11DE75E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1E5ED3E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46460F65"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6B89F962"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 (9,5% DDV)</w:t>
            </w:r>
          </w:p>
        </w:tc>
        <w:tc>
          <w:tcPr>
            <w:tcW w:w="1417" w:type="dxa"/>
            <w:tcBorders>
              <w:top w:val="nil"/>
              <w:left w:val="nil"/>
              <w:bottom w:val="single" w:sz="4" w:space="0" w:color="auto"/>
              <w:right w:val="single" w:sz="4" w:space="0" w:color="auto"/>
            </w:tcBorders>
            <w:noWrap/>
            <w:vAlign w:val="bottom"/>
            <w:hideMark/>
          </w:tcPr>
          <w:p w14:paraId="2731087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F1F357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B530DD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C45E0D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6FD08B9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2E885C7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04F88F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1EC09853"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8C98138" w14:textId="77777777" w:rsidR="004A6E4D" w:rsidRPr="004A6E4D" w:rsidRDefault="004A6E4D">
            <w:pPr>
              <w:rPr>
                <w:rFonts w:ascii="Roboto" w:hAnsi="Roboto"/>
                <w:color w:val="000000"/>
                <w:sz w:val="20"/>
                <w:szCs w:val="20"/>
              </w:rPr>
            </w:pPr>
            <w:r w:rsidRPr="004A6E4D">
              <w:rPr>
                <w:rFonts w:ascii="Roboto" w:hAnsi="Roboto"/>
                <w:color w:val="000000"/>
                <w:sz w:val="20"/>
                <w:szCs w:val="20"/>
              </w:rPr>
              <w:t>Druga dela ob rušenju objekta</w:t>
            </w:r>
          </w:p>
        </w:tc>
        <w:tc>
          <w:tcPr>
            <w:tcW w:w="1417" w:type="dxa"/>
            <w:tcBorders>
              <w:top w:val="nil"/>
              <w:left w:val="nil"/>
              <w:bottom w:val="single" w:sz="4" w:space="0" w:color="auto"/>
              <w:right w:val="single" w:sz="4" w:space="0" w:color="auto"/>
            </w:tcBorders>
            <w:noWrap/>
            <w:vAlign w:val="bottom"/>
            <w:hideMark/>
          </w:tcPr>
          <w:p w14:paraId="356EE78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AB624D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8B0991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9EE9FC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275C3D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7AE690F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7A54B56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0F614FD"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DA0628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Vpis v kataster</w:t>
            </w:r>
          </w:p>
        </w:tc>
        <w:tc>
          <w:tcPr>
            <w:tcW w:w="1417" w:type="dxa"/>
            <w:tcBorders>
              <w:top w:val="nil"/>
              <w:left w:val="nil"/>
              <w:bottom w:val="single" w:sz="4" w:space="0" w:color="auto"/>
              <w:right w:val="single" w:sz="4" w:space="0" w:color="auto"/>
            </w:tcBorders>
            <w:noWrap/>
            <w:vAlign w:val="bottom"/>
            <w:hideMark/>
          </w:tcPr>
          <w:p w14:paraId="6CF0754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FCF693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304A07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38D29F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698F7A56"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40552962"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1E215CE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3D3168A"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7B8FE62E"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Notar, zemljiška knjiga</w:t>
            </w:r>
          </w:p>
        </w:tc>
        <w:tc>
          <w:tcPr>
            <w:tcW w:w="1417" w:type="dxa"/>
            <w:tcBorders>
              <w:top w:val="nil"/>
              <w:left w:val="nil"/>
              <w:bottom w:val="single" w:sz="4" w:space="0" w:color="auto"/>
              <w:right w:val="single" w:sz="4" w:space="0" w:color="auto"/>
            </w:tcBorders>
            <w:noWrap/>
            <w:vAlign w:val="bottom"/>
            <w:hideMark/>
          </w:tcPr>
          <w:p w14:paraId="5A7E5C5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CAA1F2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579B39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8EBB04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54D74AE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6261139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13AB23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0D0398CD"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4144E9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Geodetski načrt</w:t>
            </w:r>
          </w:p>
        </w:tc>
        <w:tc>
          <w:tcPr>
            <w:tcW w:w="1417" w:type="dxa"/>
            <w:tcBorders>
              <w:top w:val="nil"/>
              <w:left w:val="nil"/>
              <w:bottom w:val="single" w:sz="4" w:space="0" w:color="auto"/>
              <w:right w:val="single" w:sz="4" w:space="0" w:color="auto"/>
            </w:tcBorders>
            <w:noWrap/>
            <w:vAlign w:val="bottom"/>
            <w:hideMark/>
          </w:tcPr>
          <w:p w14:paraId="2A1832B4"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D5DE52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62DDB9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84F285E"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FCC948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366B254F"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78323D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19D6317"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5E0996D6"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Baza cestnih podatkov</w:t>
            </w:r>
          </w:p>
        </w:tc>
        <w:tc>
          <w:tcPr>
            <w:tcW w:w="1417" w:type="dxa"/>
            <w:tcBorders>
              <w:top w:val="nil"/>
              <w:left w:val="nil"/>
              <w:bottom w:val="single" w:sz="4" w:space="0" w:color="auto"/>
              <w:right w:val="single" w:sz="4" w:space="0" w:color="auto"/>
            </w:tcBorders>
            <w:noWrap/>
            <w:vAlign w:val="bottom"/>
            <w:hideMark/>
          </w:tcPr>
          <w:p w14:paraId="30EC699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819,67</w:t>
            </w:r>
          </w:p>
        </w:tc>
        <w:tc>
          <w:tcPr>
            <w:tcW w:w="1276" w:type="dxa"/>
            <w:tcBorders>
              <w:top w:val="nil"/>
              <w:left w:val="nil"/>
              <w:bottom w:val="single" w:sz="4" w:space="0" w:color="auto"/>
              <w:right w:val="single" w:sz="4" w:space="0" w:color="auto"/>
            </w:tcBorders>
            <w:noWrap/>
            <w:vAlign w:val="bottom"/>
            <w:hideMark/>
          </w:tcPr>
          <w:p w14:paraId="789B4AC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89173D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F16B39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24F4544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4C5269C8"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819,67</w:t>
            </w:r>
          </w:p>
        </w:tc>
        <w:tc>
          <w:tcPr>
            <w:tcW w:w="1420" w:type="dxa"/>
            <w:tcBorders>
              <w:top w:val="nil"/>
              <w:left w:val="nil"/>
              <w:bottom w:val="single" w:sz="4" w:space="0" w:color="auto"/>
              <w:right w:val="single" w:sz="4" w:space="0" w:color="auto"/>
            </w:tcBorders>
            <w:noWrap/>
            <w:vAlign w:val="bottom"/>
            <w:hideMark/>
          </w:tcPr>
          <w:p w14:paraId="10B101C3"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r>
      <w:tr w:rsidR="004A6E4D" w:rsidRPr="004A6E4D" w14:paraId="7D28569C" w14:textId="77777777" w:rsidTr="00F87307">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3DEF4D9C"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brez DDV</w:t>
            </w:r>
          </w:p>
        </w:tc>
        <w:tc>
          <w:tcPr>
            <w:tcW w:w="1417" w:type="dxa"/>
            <w:tcBorders>
              <w:top w:val="nil"/>
              <w:left w:val="nil"/>
              <w:bottom w:val="single" w:sz="4" w:space="0" w:color="auto"/>
              <w:right w:val="single" w:sz="4" w:space="0" w:color="auto"/>
            </w:tcBorders>
            <w:shd w:val="clear" w:color="000000" w:fill="D9D9D9"/>
            <w:noWrap/>
            <w:vAlign w:val="bottom"/>
            <w:hideMark/>
          </w:tcPr>
          <w:p w14:paraId="20813503"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1.964.239,76</w:t>
            </w:r>
          </w:p>
        </w:tc>
        <w:tc>
          <w:tcPr>
            <w:tcW w:w="1276" w:type="dxa"/>
            <w:tcBorders>
              <w:top w:val="nil"/>
              <w:left w:val="nil"/>
              <w:bottom w:val="single" w:sz="4" w:space="0" w:color="auto"/>
              <w:right w:val="single" w:sz="4" w:space="0" w:color="auto"/>
            </w:tcBorders>
            <w:shd w:val="clear" w:color="000000" w:fill="D9D9D9"/>
            <w:noWrap/>
            <w:vAlign w:val="bottom"/>
            <w:hideMark/>
          </w:tcPr>
          <w:p w14:paraId="17DB77AE"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7.900,00</w:t>
            </w:r>
          </w:p>
        </w:tc>
        <w:tc>
          <w:tcPr>
            <w:tcW w:w="1276" w:type="dxa"/>
            <w:tcBorders>
              <w:top w:val="nil"/>
              <w:left w:val="nil"/>
              <w:bottom w:val="single" w:sz="4" w:space="0" w:color="auto"/>
              <w:right w:val="single" w:sz="4" w:space="0" w:color="auto"/>
            </w:tcBorders>
            <w:shd w:val="clear" w:color="000000" w:fill="D9D9D9"/>
            <w:noWrap/>
            <w:vAlign w:val="bottom"/>
            <w:hideMark/>
          </w:tcPr>
          <w:p w14:paraId="598AFB8B"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86.298,09</w:t>
            </w:r>
          </w:p>
        </w:tc>
        <w:tc>
          <w:tcPr>
            <w:tcW w:w="1276" w:type="dxa"/>
            <w:tcBorders>
              <w:top w:val="nil"/>
              <w:left w:val="nil"/>
              <w:bottom w:val="single" w:sz="4" w:space="0" w:color="auto"/>
              <w:right w:val="single" w:sz="4" w:space="0" w:color="auto"/>
            </w:tcBorders>
            <w:shd w:val="clear" w:color="000000" w:fill="D9D9D9"/>
            <w:noWrap/>
            <w:vAlign w:val="bottom"/>
            <w:hideMark/>
          </w:tcPr>
          <w:p w14:paraId="43E0D937"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594.368,22</w:t>
            </w:r>
          </w:p>
        </w:tc>
        <w:tc>
          <w:tcPr>
            <w:tcW w:w="1220" w:type="dxa"/>
            <w:tcBorders>
              <w:top w:val="nil"/>
              <w:left w:val="nil"/>
              <w:bottom w:val="single" w:sz="4" w:space="0" w:color="auto"/>
              <w:right w:val="single" w:sz="4" w:space="0" w:color="auto"/>
            </w:tcBorders>
            <w:shd w:val="clear" w:color="000000" w:fill="D9D9D9"/>
            <w:noWrap/>
            <w:vAlign w:val="bottom"/>
            <w:hideMark/>
          </w:tcPr>
          <w:p w14:paraId="23F9E507"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673.145,12</w:t>
            </w:r>
          </w:p>
        </w:tc>
        <w:tc>
          <w:tcPr>
            <w:tcW w:w="1560" w:type="dxa"/>
            <w:tcBorders>
              <w:top w:val="nil"/>
              <w:left w:val="nil"/>
              <w:bottom w:val="single" w:sz="4" w:space="0" w:color="auto"/>
              <w:right w:val="single" w:sz="4" w:space="0" w:color="auto"/>
            </w:tcBorders>
            <w:shd w:val="clear" w:color="000000" w:fill="D9D9D9"/>
            <w:noWrap/>
            <w:vAlign w:val="bottom"/>
            <w:hideMark/>
          </w:tcPr>
          <w:p w14:paraId="44D41369"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591.823,75</w:t>
            </w:r>
          </w:p>
        </w:tc>
        <w:tc>
          <w:tcPr>
            <w:tcW w:w="1420" w:type="dxa"/>
            <w:tcBorders>
              <w:top w:val="nil"/>
              <w:left w:val="nil"/>
              <w:bottom w:val="single" w:sz="4" w:space="0" w:color="auto"/>
              <w:right w:val="single" w:sz="4" w:space="0" w:color="auto"/>
            </w:tcBorders>
            <w:shd w:val="clear" w:color="000000" w:fill="D9D9D9"/>
            <w:noWrap/>
            <w:vAlign w:val="bottom"/>
            <w:hideMark/>
          </w:tcPr>
          <w:p w14:paraId="16F98321"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10.704,57</w:t>
            </w:r>
          </w:p>
        </w:tc>
      </w:tr>
      <w:tr w:rsidR="004A6E4D" w:rsidRPr="004A6E4D" w14:paraId="4DBCF1B2"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0F8FA5C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Davek na dodano vrednost</w:t>
            </w:r>
          </w:p>
        </w:tc>
        <w:tc>
          <w:tcPr>
            <w:tcW w:w="1417" w:type="dxa"/>
            <w:tcBorders>
              <w:top w:val="nil"/>
              <w:left w:val="nil"/>
              <w:bottom w:val="single" w:sz="4" w:space="0" w:color="auto"/>
              <w:right w:val="single" w:sz="4" w:space="0" w:color="auto"/>
            </w:tcBorders>
            <w:noWrap/>
            <w:vAlign w:val="bottom"/>
            <w:hideMark/>
          </w:tcPr>
          <w:p w14:paraId="14D73D3A"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406.858,10</w:t>
            </w:r>
          </w:p>
        </w:tc>
        <w:tc>
          <w:tcPr>
            <w:tcW w:w="1276" w:type="dxa"/>
            <w:tcBorders>
              <w:top w:val="nil"/>
              <w:left w:val="nil"/>
              <w:bottom w:val="single" w:sz="4" w:space="0" w:color="auto"/>
              <w:right w:val="single" w:sz="4" w:space="0" w:color="auto"/>
            </w:tcBorders>
            <w:noWrap/>
            <w:vAlign w:val="bottom"/>
            <w:hideMark/>
          </w:tcPr>
          <w:p w14:paraId="20549890"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1.738,00</w:t>
            </w:r>
          </w:p>
        </w:tc>
        <w:tc>
          <w:tcPr>
            <w:tcW w:w="1276" w:type="dxa"/>
            <w:tcBorders>
              <w:top w:val="nil"/>
              <w:left w:val="nil"/>
              <w:bottom w:val="single" w:sz="4" w:space="0" w:color="auto"/>
              <w:right w:val="single" w:sz="4" w:space="0" w:color="auto"/>
            </w:tcBorders>
            <w:noWrap/>
            <w:vAlign w:val="bottom"/>
            <w:hideMark/>
          </w:tcPr>
          <w:p w14:paraId="686D928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18.985,58</w:t>
            </w:r>
          </w:p>
        </w:tc>
        <w:tc>
          <w:tcPr>
            <w:tcW w:w="1276" w:type="dxa"/>
            <w:tcBorders>
              <w:top w:val="nil"/>
              <w:left w:val="nil"/>
              <w:bottom w:val="single" w:sz="4" w:space="0" w:color="auto"/>
              <w:right w:val="single" w:sz="4" w:space="0" w:color="auto"/>
            </w:tcBorders>
            <w:noWrap/>
            <w:vAlign w:val="bottom"/>
            <w:hideMark/>
          </w:tcPr>
          <w:p w14:paraId="4E9AD9B9"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130.761,01</w:t>
            </w:r>
          </w:p>
        </w:tc>
        <w:tc>
          <w:tcPr>
            <w:tcW w:w="1220" w:type="dxa"/>
            <w:tcBorders>
              <w:top w:val="nil"/>
              <w:left w:val="nil"/>
              <w:bottom w:val="single" w:sz="4" w:space="0" w:color="auto"/>
              <w:right w:val="single" w:sz="4" w:space="0" w:color="auto"/>
            </w:tcBorders>
            <w:noWrap/>
            <w:vAlign w:val="bottom"/>
            <w:hideMark/>
          </w:tcPr>
          <w:p w14:paraId="259F6D2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135.454,60</w:t>
            </w:r>
          </w:p>
        </w:tc>
        <w:tc>
          <w:tcPr>
            <w:tcW w:w="1560" w:type="dxa"/>
            <w:tcBorders>
              <w:top w:val="nil"/>
              <w:left w:val="nil"/>
              <w:bottom w:val="single" w:sz="4" w:space="0" w:color="auto"/>
              <w:right w:val="single" w:sz="4" w:space="0" w:color="auto"/>
            </w:tcBorders>
            <w:noWrap/>
            <w:vAlign w:val="bottom"/>
            <w:hideMark/>
          </w:tcPr>
          <w:p w14:paraId="702ADD3C"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117.563,90</w:t>
            </w:r>
          </w:p>
        </w:tc>
        <w:tc>
          <w:tcPr>
            <w:tcW w:w="1420" w:type="dxa"/>
            <w:tcBorders>
              <w:top w:val="nil"/>
              <w:left w:val="nil"/>
              <w:bottom w:val="single" w:sz="4" w:space="0" w:color="auto"/>
              <w:right w:val="single" w:sz="4" w:space="0" w:color="auto"/>
            </w:tcBorders>
            <w:noWrap/>
            <w:vAlign w:val="bottom"/>
            <w:hideMark/>
          </w:tcPr>
          <w:p w14:paraId="37763ADD"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2.355,00</w:t>
            </w:r>
          </w:p>
        </w:tc>
      </w:tr>
      <w:tr w:rsidR="004A6E4D" w:rsidRPr="004A6E4D" w14:paraId="4D2F4D35" w14:textId="77777777" w:rsidTr="00F87307">
        <w:trPr>
          <w:trHeight w:val="284"/>
        </w:trPr>
        <w:tc>
          <w:tcPr>
            <w:tcW w:w="4815" w:type="dxa"/>
            <w:tcBorders>
              <w:top w:val="nil"/>
              <w:left w:val="single" w:sz="4" w:space="0" w:color="auto"/>
              <w:bottom w:val="single" w:sz="4" w:space="0" w:color="auto"/>
              <w:right w:val="single" w:sz="4" w:space="0" w:color="auto"/>
            </w:tcBorders>
            <w:vAlign w:val="bottom"/>
            <w:hideMark/>
          </w:tcPr>
          <w:p w14:paraId="64912975"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Povračljiv davek na dodano vrednost</w:t>
            </w:r>
          </w:p>
        </w:tc>
        <w:tc>
          <w:tcPr>
            <w:tcW w:w="1417" w:type="dxa"/>
            <w:tcBorders>
              <w:top w:val="nil"/>
              <w:left w:val="nil"/>
              <w:bottom w:val="single" w:sz="4" w:space="0" w:color="auto"/>
              <w:right w:val="single" w:sz="4" w:space="0" w:color="auto"/>
            </w:tcBorders>
            <w:noWrap/>
            <w:vAlign w:val="bottom"/>
            <w:hideMark/>
          </w:tcPr>
          <w:p w14:paraId="2FF047A5" w14:textId="77777777" w:rsidR="004A6E4D" w:rsidRPr="004A6E4D" w:rsidRDefault="004A6E4D">
            <w:pPr>
              <w:jc w:val="right"/>
              <w:rPr>
                <w:rFonts w:ascii="Arial" w:hAnsi="Arial" w:cs="Arial"/>
                <w:color w:val="000000"/>
                <w:sz w:val="20"/>
                <w:szCs w:val="20"/>
              </w:rPr>
            </w:pPr>
            <w:r w:rsidRPr="004A6E4D">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FF94C20"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09EA3089"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7854A120"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c>
          <w:tcPr>
            <w:tcW w:w="1220" w:type="dxa"/>
            <w:tcBorders>
              <w:top w:val="nil"/>
              <w:left w:val="nil"/>
              <w:bottom w:val="single" w:sz="4" w:space="0" w:color="auto"/>
              <w:right w:val="single" w:sz="4" w:space="0" w:color="auto"/>
            </w:tcBorders>
            <w:noWrap/>
            <w:vAlign w:val="bottom"/>
            <w:hideMark/>
          </w:tcPr>
          <w:p w14:paraId="61B6530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c>
          <w:tcPr>
            <w:tcW w:w="1560" w:type="dxa"/>
            <w:tcBorders>
              <w:top w:val="nil"/>
              <w:left w:val="nil"/>
              <w:bottom w:val="single" w:sz="4" w:space="0" w:color="auto"/>
              <w:right w:val="single" w:sz="4" w:space="0" w:color="auto"/>
            </w:tcBorders>
            <w:noWrap/>
            <w:vAlign w:val="bottom"/>
            <w:hideMark/>
          </w:tcPr>
          <w:p w14:paraId="2A9BAD2D"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c>
          <w:tcPr>
            <w:tcW w:w="1420" w:type="dxa"/>
            <w:tcBorders>
              <w:top w:val="nil"/>
              <w:left w:val="nil"/>
              <w:bottom w:val="single" w:sz="4" w:space="0" w:color="auto"/>
              <w:right w:val="single" w:sz="4" w:space="0" w:color="auto"/>
            </w:tcBorders>
            <w:noWrap/>
            <w:vAlign w:val="bottom"/>
            <w:hideMark/>
          </w:tcPr>
          <w:p w14:paraId="314F6054" w14:textId="77777777" w:rsidR="004A6E4D" w:rsidRPr="004A6E4D" w:rsidRDefault="004A6E4D">
            <w:pPr>
              <w:rPr>
                <w:rFonts w:ascii="Arial" w:hAnsi="Arial" w:cs="Arial"/>
                <w:color w:val="000000"/>
                <w:sz w:val="20"/>
                <w:szCs w:val="20"/>
              </w:rPr>
            </w:pPr>
            <w:r w:rsidRPr="004A6E4D">
              <w:rPr>
                <w:rFonts w:ascii="Arial" w:hAnsi="Arial" w:cs="Arial"/>
                <w:color w:val="000000"/>
                <w:sz w:val="20"/>
                <w:szCs w:val="20"/>
              </w:rPr>
              <w:t> </w:t>
            </w:r>
          </w:p>
        </w:tc>
      </w:tr>
      <w:tr w:rsidR="004A6E4D" w:rsidRPr="004A6E4D" w14:paraId="0528C49A" w14:textId="77777777" w:rsidTr="00F87307">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2AB1CA2A"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Skupaj z davkom na dodano vrednost</w:t>
            </w:r>
          </w:p>
        </w:tc>
        <w:tc>
          <w:tcPr>
            <w:tcW w:w="1417" w:type="dxa"/>
            <w:tcBorders>
              <w:top w:val="nil"/>
              <w:left w:val="nil"/>
              <w:bottom w:val="single" w:sz="4" w:space="0" w:color="auto"/>
              <w:right w:val="single" w:sz="4" w:space="0" w:color="auto"/>
            </w:tcBorders>
            <w:shd w:val="clear" w:color="000000" w:fill="D9D9D9"/>
            <w:noWrap/>
            <w:vAlign w:val="bottom"/>
            <w:hideMark/>
          </w:tcPr>
          <w:p w14:paraId="01A573EB"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2.371.097,85</w:t>
            </w:r>
          </w:p>
        </w:tc>
        <w:tc>
          <w:tcPr>
            <w:tcW w:w="1276" w:type="dxa"/>
            <w:tcBorders>
              <w:top w:val="nil"/>
              <w:left w:val="nil"/>
              <w:bottom w:val="single" w:sz="4" w:space="0" w:color="auto"/>
              <w:right w:val="single" w:sz="4" w:space="0" w:color="auto"/>
            </w:tcBorders>
            <w:shd w:val="clear" w:color="000000" w:fill="D9D9D9"/>
            <w:noWrap/>
            <w:vAlign w:val="bottom"/>
            <w:hideMark/>
          </w:tcPr>
          <w:p w14:paraId="435CBCDD"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9.638,00</w:t>
            </w:r>
          </w:p>
        </w:tc>
        <w:tc>
          <w:tcPr>
            <w:tcW w:w="1276" w:type="dxa"/>
            <w:tcBorders>
              <w:top w:val="nil"/>
              <w:left w:val="nil"/>
              <w:bottom w:val="single" w:sz="4" w:space="0" w:color="auto"/>
              <w:right w:val="single" w:sz="4" w:space="0" w:color="auto"/>
            </w:tcBorders>
            <w:shd w:val="clear" w:color="000000" w:fill="D9D9D9"/>
            <w:noWrap/>
            <w:vAlign w:val="bottom"/>
            <w:hideMark/>
          </w:tcPr>
          <w:p w14:paraId="57C6307E"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105.283,67</w:t>
            </w:r>
          </w:p>
        </w:tc>
        <w:tc>
          <w:tcPr>
            <w:tcW w:w="1276" w:type="dxa"/>
            <w:tcBorders>
              <w:top w:val="nil"/>
              <w:left w:val="nil"/>
              <w:bottom w:val="single" w:sz="4" w:space="0" w:color="auto"/>
              <w:right w:val="single" w:sz="4" w:space="0" w:color="auto"/>
            </w:tcBorders>
            <w:shd w:val="clear" w:color="000000" w:fill="D9D9D9"/>
            <w:noWrap/>
            <w:vAlign w:val="bottom"/>
            <w:hideMark/>
          </w:tcPr>
          <w:p w14:paraId="693F3EA4"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725.129,23</w:t>
            </w:r>
          </w:p>
        </w:tc>
        <w:tc>
          <w:tcPr>
            <w:tcW w:w="1220" w:type="dxa"/>
            <w:tcBorders>
              <w:top w:val="nil"/>
              <w:left w:val="nil"/>
              <w:bottom w:val="single" w:sz="4" w:space="0" w:color="auto"/>
              <w:right w:val="single" w:sz="4" w:space="0" w:color="auto"/>
            </w:tcBorders>
            <w:shd w:val="clear" w:color="000000" w:fill="D9D9D9"/>
            <w:noWrap/>
            <w:vAlign w:val="bottom"/>
            <w:hideMark/>
          </w:tcPr>
          <w:p w14:paraId="3A5316D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808.599,72</w:t>
            </w:r>
          </w:p>
        </w:tc>
        <w:tc>
          <w:tcPr>
            <w:tcW w:w="1560" w:type="dxa"/>
            <w:tcBorders>
              <w:top w:val="nil"/>
              <w:left w:val="nil"/>
              <w:bottom w:val="single" w:sz="4" w:space="0" w:color="auto"/>
              <w:right w:val="single" w:sz="4" w:space="0" w:color="auto"/>
            </w:tcBorders>
            <w:shd w:val="clear" w:color="000000" w:fill="D9D9D9"/>
            <w:noWrap/>
            <w:vAlign w:val="bottom"/>
            <w:hideMark/>
          </w:tcPr>
          <w:p w14:paraId="20A0C46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709.387,66</w:t>
            </w:r>
          </w:p>
        </w:tc>
        <w:tc>
          <w:tcPr>
            <w:tcW w:w="1420" w:type="dxa"/>
            <w:tcBorders>
              <w:top w:val="nil"/>
              <w:left w:val="nil"/>
              <w:bottom w:val="single" w:sz="4" w:space="0" w:color="auto"/>
              <w:right w:val="single" w:sz="4" w:space="0" w:color="auto"/>
            </w:tcBorders>
            <w:shd w:val="clear" w:color="000000" w:fill="D9D9D9"/>
            <w:noWrap/>
            <w:vAlign w:val="bottom"/>
            <w:hideMark/>
          </w:tcPr>
          <w:p w14:paraId="529A512B"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13.059,57</w:t>
            </w:r>
          </w:p>
        </w:tc>
      </w:tr>
      <w:tr w:rsidR="004A6E4D" w:rsidRPr="004A6E4D" w14:paraId="1D2FF251" w14:textId="77777777" w:rsidTr="00F87307">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080B0398" w14:textId="77777777" w:rsidR="004A6E4D" w:rsidRPr="004A6E4D" w:rsidRDefault="004A6E4D">
            <w:pPr>
              <w:rPr>
                <w:rFonts w:ascii="Arial" w:hAnsi="Arial" w:cs="Arial"/>
                <w:b/>
                <w:bCs/>
                <w:color w:val="000000"/>
                <w:sz w:val="20"/>
                <w:szCs w:val="20"/>
              </w:rPr>
            </w:pPr>
            <w:r w:rsidRPr="004A6E4D">
              <w:rPr>
                <w:rFonts w:ascii="Arial" w:hAnsi="Arial" w:cs="Arial"/>
                <w:b/>
                <w:bCs/>
                <w:color w:val="000000"/>
                <w:sz w:val="20"/>
                <w:szCs w:val="20"/>
              </w:rPr>
              <w:t xml:space="preserve">Skupaj z </w:t>
            </w:r>
            <w:proofErr w:type="spellStart"/>
            <w:r w:rsidRPr="004A6E4D">
              <w:rPr>
                <w:rFonts w:ascii="Arial" w:hAnsi="Arial" w:cs="Arial"/>
                <w:b/>
                <w:bCs/>
                <w:color w:val="000000"/>
                <w:sz w:val="20"/>
                <w:szCs w:val="20"/>
              </w:rPr>
              <w:t>nepovračljivim</w:t>
            </w:r>
            <w:proofErr w:type="spellEnd"/>
            <w:r w:rsidRPr="004A6E4D">
              <w:rPr>
                <w:rFonts w:ascii="Arial" w:hAnsi="Arial" w:cs="Arial"/>
                <w:b/>
                <w:bCs/>
                <w:color w:val="000000"/>
                <w:sz w:val="20"/>
                <w:szCs w:val="20"/>
              </w:rPr>
              <w:t xml:space="preserve"> davkom na dodano vrednost</w:t>
            </w:r>
          </w:p>
        </w:tc>
        <w:tc>
          <w:tcPr>
            <w:tcW w:w="1417" w:type="dxa"/>
            <w:tcBorders>
              <w:top w:val="nil"/>
              <w:left w:val="nil"/>
              <w:bottom w:val="single" w:sz="4" w:space="0" w:color="auto"/>
              <w:right w:val="single" w:sz="4" w:space="0" w:color="auto"/>
            </w:tcBorders>
            <w:shd w:val="clear" w:color="000000" w:fill="D9D9D9"/>
            <w:noWrap/>
            <w:vAlign w:val="bottom"/>
            <w:hideMark/>
          </w:tcPr>
          <w:p w14:paraId="299581D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2.371.097,85</w:t>
            </w:r>
          </w:p>
        </w:tc>
        <w:tc>
          <w:tcPr>
            <w:tcW w:w="1276" w:type="dxa"/>
            <w:tcBorders>
              <w:top w:val="nil"/>
              <w:left w:val="nil"/>
              <w:bottom w:val="single" w:sz="4" w:space="0" w:color="auto"/>
              <w:right w:val="single" w:sz="4" w:space="0" w:color="auto"/>
            </w:tcBorders>
            <w:shd w:val="clear" w:color="000000" w:fill="D9D9D9"/>
            <w:noWrap/>
            <w:vAlign w:val="bottom"/>
            <w:hideMark/>
          </w:tcPr>
          <w:p w14:paraId="67A1C6C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9.638,00</w:t>
            </w:r>
          </w:p>
        </w:tc>
        <w:tc>
          <w:tcPr>
            <w:tcW w:w="1276" w:type="dxa"/>
            <w:tcBorders>
              <w:top w:val="nil"/>
              <w:left w:val="nil"/>
              <w:bottom w:val="single" w:sz="4" w:space="0" w:color="auto"/>
              <w:right w:val="single" w:sz="4" w:space="0" w:color="auto"/>
            </w:tcBorders>
            <w:shd w:val="clear" w:color="000000" w:fill="D9D9D9"/>
            <w:noWrap/>
            <w:vAlign w:val="bottom"/>
            <w:hideMark/>
          </w:tcPr>
          <w:p w14:paraId="4452AAD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105.283,67</w:t>
            </w:r>
          </w:p>
        </w:tc>
        <w:tc>
          <w:tcPr>
            <w:tcW w:w="1276" w:type="dxa"/>
            <w:tcBorders>
              <w:top w:val="nil"/>
              <w:left w:val="nil"/>
              <w:bottom w:val="single" w:sz="4" w:space="0" w:color="auto"/>
              <w:right w:val="single" w:sz="4" w:space="0" w:color="auto"/>
            </w:tcBorders>
            <w:shd w:val="clear" w:color="000000" w:fill="D9D9D9"/>
            <w:noWrap/>
            <w:vAlign w:val="bottom"/>
            <w:hideMark/>
          </w:tcPr>
          <w:p w14:paraId="326FB917"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725.129,23</w:t>
            </w:r>
          </w:p>
        </w:tc>
        <w:tc>
          <w:tcPr>
            <w:tcW w:w="1220" w:type="dxa"/>
            <w:tcBorders>
              <w:top w:val="nil"/>
              <w:left w:val="nil"/>
              <w:bottom w:val="single" w:sz="4" w:space="0" w:color="auto"/>
              <w:right w:val="single" w:sz="4" w:space="0" w:color="auto"/>
            </w:tcBorders>
            <w:shd w:val="clear" w:color="000000" w:fill="D9D9D9"/>
            <w:noWrap/>
            <w:vAlign w:val="bottom"/>
            <w:hideMark/>
          </w:tcPr>
          <w:p w14:paraId="031C84CC"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808.599,72</w:t>
            </w:r>
          </w:p>
        </w:tc>
        <w:tc>
          <w:tcPr>
            <w:tcW w:w="1560" w:type="dxa"/>
            <w:tcBorders>
              <w:top w:val="nil"/>
              <w:left w:val="nil"/>
              <w:bottom w:val="single" w:sz="4" w:space="0" w:color="auto"/>
              <w:right w:val="single" w:sz="4" w:space="0" w:color="auto"/>
            </w:tcBorders>
            <w:shd w:val="clear" w:color="000000" w:fill="D9D9D9"/>
            <w:noWrap/>
            <w:vAlign w:val="bottom"/>
            <w:hideMark/>
          </w:tcPr>
          <w:p w14:paraId="781F26A0"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709.387,66</w:t>
            </w:r>
          </w:p>
        </w:tc>
        <w:tc>
          <w:tcPr>
            <w:tcW w:w="1420" w:type="dxa"/>
            <w:tcBorders>
              <w:top w:val="nil"/>
              <w:left w:val="nil"/>
              <w:bottom w:val="single" w:sz="4" w:space="0" w:color="auto"/>
              <w:right w:val="single" w:sz="4" w:space="0" w:color="auto"/>
            </w:tcBorders>
            <w:shd w:val="clear" w:color="000000" w:fill="D9D9D9"/>
            <w:noWrap/>
            <w:vAlign w:val="bottom"/>
            <w:hideMark/>
          </w:tcPr>
          <w:p w14:paraId="5E19C1E2" w14:textId="77777777" w:rsidR="004A6E4D" w:rsidRPr="004A6E4D" w:rsidRDefault="004A6E4D">
            <w:pPr>
              <w:jc w:val="right"/>
              <w:rPr>
                <w:rFonts w:ascii="Arial" w:hAnsi="Arial" w:cs="Arial"/>
                <w:b/>
                <w:bCs/>
                <w:color w:val="000000"/>
                <w:sz w:val="20"/>
                <w:szCs w:val="20"/>
              </w:rPr>
            </w:pPr>
            <w:r w:rsidRPr="004A6E4D">
              <w:rPr>
                <w:rFonts w:ascii="Arial" w:hAnsi="Arial" w:cs="Arial"/>
                <w:b/>
                <w:bCs/>
                <w:color w:val="000000"/>
                <w:sz w:val="20"/>
                <w:szCs w:val="20"/>
              </w:rPr>
              <w:t>13.059,57</w:t>
            </w:r>
          </w:p>
        </w:tc>
      </w:tr>
    </w:tbl>
    <w:p w14:paraId="7CAC37C6" w14:textId="77777777" w:rsidR="004A6E4D" w:rsidRDefault="004A6E4D" w:rsidP="00AB0B89">
      <w:pPr>
        <w:spacing w:after="120" w:line="276" w:lineRule="auto"/>
        <w:jc w:val="both"/>
        <w:rPr>
          <w:rFonts w:asciiTheme="majorHAnsi" w:hAnsiTheme="majorHAnsi" w:cstheme="majorHAnsi"/>
          <w:sz w:val="22"/>
          <w:szCs w:val="22"/>
        </w:rPr>
      </w:pPr>
    </w:p>
    <w:p w14:paraId="14ABFB62" w14:textId="77777777" w:rsidR="004A6E4D" w:rsidRPr="00F11127" w:rsidRDefault="004A6E4D" w:rsidP="00AB0B89">
      <w:pPr>
        <w:spacing w:after="120" w:line="276" w:lineRule="auto"/>
        <w:jc w:val="both"/>
        <w:rPr>
          <w:rFonts w:asciiTheme="majorHAnsi" w:hAnsiTheme="majorHAnsi" w:cstheme="majorHAnsi"/>
          <w:sz w:val="22"/>
          <w:szCs w:val="22"/>
        </w:rPr>
      </w:pPr>
    </w:p>
    <w:p w14:paraId="459C4D23" w14:textId="77777777" w:rsidR="009A4987" w:rsidRDefault="009A4987">
      <w:pPr>
        <w:spacing w:after="200" w:line="276" w:lineRule="auto"/>
        <w:rPr>
          <w:rFonts w:asciiTheme="majorHAnsi" w:hAnsiTheme="majorHAnsi" w:cstheme="majorHAnsi"/>
          <w:b/>
          <w:sz w:val="22"/>
          <w:szCs w:val="22"/>
        </w:rPr>
      </w:pPr>
      <w:r>
        <w:rPr>
          <w:rFonts w:asciiTheme="majorHAnsi" w:hAnsiTheme="majorHAnsi" w:cstheme="majorHAnsi"/>
          <w:b/>
          <w:sz w:val="22"/>
          <w:szCs w:val="22"/>
        </w:rPr>
        <w:br w:type="page"/>
      </w:r>
    </w:p>
    <w:p w14:paraId="55D84875" w14:textId="7980FB1E" w:rsidR="009A4987" w:rsidRDefault="009A4987" w:rsidP="009A4987">
      <w:pPr>
        <w:spacing w:after="120" w:line="276" w:lineRule="auto"/>
        <w:jc w:val="both"/>
        <w:rPr>
          <w:rFonts w:asciiTheme="majorHAnsi" w:hAnsiTheme="majorHAnsi" w:cstheme="majorHAnsi"/>
          <w:sz w:val="22"/>
          <w:szCs w:val="22"/>
        </w:rPr>
      </w:pPr>
      <w:bookmarkStart w:id="311" w:name="_Toc209528306"/>
      <w:r w:rsidRPr="00F11127">
        <w:rPr>
          <w:rFonts w:asciiTheme="majorHAnsi" w:hAnsiTheme="majorHAnsi" w:cstheme="majorHAnsi"/>
          <w:b/>
          <w:sz w:val="22"/>
          <w:szCs w:val="22"/>
        </w:rPr>
        <w:lastRenderedPageBreak/>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20</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Finančni terminski plan </w:t>
      </w:r>
      <w:r>
        <w:rPr>
          <w:rFonts w:asciiTheme="majorHAnsi" w:hAnsiTheme="majorHAnsi" w:cstheme="majorHAnsi"/>
          <w:sz w:val="22"/>
          <w:szCs w:val="22"/>
        </w:rPr>
        <w:t>neupravičenih stroškov</w:t>
      </w:r>
      <w:r w:rsidRPr="00F11127">
        <w:rPr>
          <w:rFonts w:asciiTheme="majorHAnsi" w:hAnsiTheme="majorHAnsi" w:cstheme="majorHAnsi"/>
          <w:sz w:val="22"/>
          <w:szCs w:val="22"/>
        </w:rPr>
        <w:t xml:space="preserve"> v stalnih cenah v EUR</w:t>
      </w:r>
      <w:bookmarkEnd w:id="311"/>
    </w:p>
    <w:tbl>
      <w:tblPr>
        <w:tblW w:w="5000" w:type="pct"/>
        <w:tblCellMar>
          <w:left w:w="70" w:type="dxa"/>
          <w:right w:w="70" w:type="dxa"/>
        </w:tblCellMar>
        <w:tblLook w:val="04A0" w:firstRow="1" w:lastRow="0" w:firstColumn="1" w:lastColumn="0" w:noHBand="0" w:noVBand="1"/>
      </w:tblPr>
      <w:tblGrid>
        <w:gridCol w:w="4815"/>
        <w:gridCol w:w="1699"/>
        <w:gridCol w:w="1142"/>
        <w:gridCol w:w="1276"/>
        <w:gridCol w:w="1134"/>
        <w:gridCol w:w="1276"/>
        <w:gridCol w:w="1502"/>
        <w:gridCol w:w="1433"/>
      </w:tblGrid>
      <w:tr w:rsidR="00F87307" w:rsidRPr="00F87307" w14:paraId="0B304079" w14:textId="77777777" w:rsidTr="00F87307">
        <w:trPr>
          <w:trHeight w:val="284"/>
          <w:tblHeader/>
        </w:trPr>
        <w:tc>
          <w:tcPr>
            <w:tcW w:w="1686"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5A5C49AA" w14:textId="77777777" w:rsidR="00F87307" w:rsidRPr="00F87307" w:rsidRDefault="00F87307">
            <w:pPr>
              <w:rPr>
                <w:rFonts w:ascii="Arial" w:hAnsi="Arial" w:cs="Arial"/>
                <w:b/>
                <w:bCs/>
                <w:color w:val="FFFFFF"/>
                <w:sz w:val="20"/>
                <w:szCs w:val="20"/>
              </w:rPr>
            </w:pPr>
            <w:r w:rsidRPr="00F87307">
              <w:rPr>
                <w:rFonts w:ascii="Arial" w:hAnsi="Arial" w:cs="Arial"/>
                <w:b/>
                <w:bCs/>
                <w:color w:val="FFFFFF"/>
                <w:sz w:val="20"/>
                <w:szCs w:val="20"/>
              </w:rPr>
              <w:t>Postavka</w:t>
            </w:r>
          </w:p>
        </w:tc>
        <w:tc>
          <w:tcPr>
            <w:tcW w:w="595" w:type="pct"/>
            <w:tcBorders>
              <w:top w:val="single" w:sz="4" w:space="0" w:color="auto"/>
              <w:left w:val="nil"/>
              <w:bottom w:val="single" w:sz="4" w:space="0" w:color="auto"/>
              <w:right w:val="single" w:sz="4" w:space="0" w:color="auto"/>
            </w:tcBorders>
            <w:shd w:val="clear" w:color="000000" w:fill="153D64"/>
            <w:vAlign w:val="bottom"/>
            <w:hideMark/>
          </w:tcPr>
          <w:p w14:paraId="2182D980" w14:textId="77777777" w:rsidR="00F87307" w:rsidRPr="00F87307" w:rsidRDefault="00F87307">
            <w:pPr>
              <w:rPr>
                <w:rFonts w:ascii="Arial" w:hAnsi="Arial" w:cs="Arial"/>
                <w:b/>
                <w:bCs/>
                <w:color w:val="FFFFFF"/>
                <w:sz w:val="20"/>
                <w:szCs w:val="20"/>
              </w:rPr>
            </w:pPr>
            <w:r w:rsidRPr="00F87307">
              <w:rPr>
                <w:rFonts w:ascii="Arial" w:hAnsi="Arial" w:cs="Arial"/>
                <w:b/>
                <w:bCs/>
                <w:color w:val="FFFFFF"/>
                <w:sz w:val="20"/>
                <w:szCs w:val="20"/>
              </w:rPr>
              <w:t>NEUPRAVIČENI STROŠKI</w:t>
            </w:r>
          </w:p>
        </w:tc>
        <w:tc>
          <w:tcPr>
            <w:tcW w:w="400" w:type="pct"/>
            <w:tcBorders>
              <w:top w:val="single" w:sz="4" w:space="0" w:color="auto"/>
              <w:left w:val="single" w:sz="4" w:space="0" w:color="auto"/>
              <w:bottom w:val="single" w:sz="4" w:space="0" w:color="auto"/>
              <w:right w:val="single" w:sz="4" w:space="0" w:color="auto"/>
            </w:tcBorders>
            <w:shd w:val="clear" w:color="000000" w:fill="153D64"/>
            <w:noWrap/>
            <w:vAlign w:val="bottom"/>
            <w:hideMark/>
          </w:tcPr>
          <w:p w14:paraId="33DEB5B4"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2024</w:t>
            </w:r>
          </w:p>
        </w:tc>
        <w:tc>
          <w:tcPr>
            <w:tcW w:w="447" w:type="pct"/>
            <w:tcBorders>
              <w:top w:val="single" w:sz="4" w:space="0" w:color="auto"/>
              <w:left w:val="nil"/>
              <w:bottom w:val="single" w:sz="4" w:space="0" w:color="auto"/>
              <w:right w:val="single" w:sz="4" w:space="0" w:color="auto"/>
            </w:tcBorders>
            <w:shd w:val="clear" w:color="000000" w:fill="153D64"/>
            <w:noWrap/>
            <w:vAlign w:val="bottom"/>
            <w:hideMark/>
          </w:tcPr>
          <w:p w14:paraId="01ED88B2"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2025</w:t>
            </w:r>
          </w:p>
        </w:tc>
        <w:tc>
          <w:tcPr>
            <w:tcW w:w="397" w:type="pct"/>
            <w:tcBorders>
              <w:top w:val="single" w:sz="4" w:space="0" w:color="auto"/>
              <w:left w:val="nil"/>
              <w:bottom w:val="single" w:sz="4" w:space="0" w:color="auto"/>
              <w:right w:val="single" w:sz="4" w:space="0" w:color="auto"/>
            </w:tcBorders>
            <w:shd w:val="clear" w:color="000000" w:fill="153D64"/>
            <w:noWrap/>
            <w:vAlign w:val="bottom"/>
            <w:hideMark/>
          </w:tcPr>
          <w:p w14:paraId="10A1C106"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2026</w:t>
            </w:r>
          </w:p>
        </w:tc>
        <w:tc>
          <w:tcPr>
            <w:tcW w:w="447" w:type="pct"/>
            <w:tcBorders>
              <w:top w:val="single" w:sz="4" w:space="0" w:color="auto"/>
              <w:left w:val="nil"/>
              <w:bottom w:val="single" w:sz="4" w:space="0" w:color="auto"/>
              <w:right w:val="single" w:sz="4" w:space="0" w:color="auto"/>
            </w:tcBorders>
            <w:shd w:val="clear" w:color="000000" w:fill="153D64"/>
            <w:noWrap/>
            <w:vAlign w:val="bottom"/>
            <w:hideMark/>
          </w:tcPr>
          <w:p w14:paraId="2876CB0A"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2027</w:t>
            </w:r>
          </w:p>
        </w:tc>
        <w:tc>
          <w:tcPr>
            <w:tcW w:w="526" w:type="pct"/>
            <w:tcBorders>
              <w:top w:val="single" w:sz="4" w:space="0" w:color="auto"/>
              <w:left w:val="nil"/>
              <w:bottom w:val="single" w:sz="4" w:space="0" w:color="auto"/>
              <w:right w:val="single" w:sz="4" w:space="0" w:color="auto"/>
            </w:tcBorders>
            <w:shd w:val="clear" w:color="000000" w:fill="153D64"/>
            <w:noWrap/>
            <w:vAlign w:val="bottom"/>
            <w:hideMark/>
          </w:tcPr>
          <w:p w14:paraId="70581087"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2028</w:t>
            </w:r>
          </w:p>
        </w:tc>
        <w:tc>
          <w:tcPr>
            <w:tcW w:w="504" w:type="pct"/>
            <w:tcBorders>
              <w:top w:val="single" w:sz="4" w:space="0" w:color="auto"/>
              <w:left w:val="nil"/>
              <w:bottom w:val="single" w:sz="4" w:space="0" w:color="auto"/>
              <w:right w:val="single" w:sz="4" w:space="0" w:color="auto"/>
            </w:tcBorders>
            <w:shd w:val="clear" w:color="000000" w:fill="153D64"/>
            <w:noWrap/>
            <w:vAlign w:val="bottom"/>
            <w:hideMark/>
          </w:tcPr>
          <w:p w14:paraId="7D7EF956"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2029</w:t>
            </w:r>
          </w:p>
        </w:tc>
      </w:tr>
      <w:tr w:rsidR="00F87307" w:rsidRPr="00F87307" w14:paraId="23408202"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526088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Govekarjeva cesta</w:t>
            </w:r>
          </w:p>
        </w:tc>
        <w:tc>
          <w:tcPr>
            <w:tcW w:w="595" w:type="pct"/>
            <w:tcBorders>
              <w:top w:val="nil"/>
              <w:left w:val="nil"/>
              <w:bottom w:val="single" w:sz="4" w:space="0" w:color="auto"/>
              <w:right w:val="single" w:sz="4" w:space="0" w:color="auto"/>
            </w:tcBorders>
            <w:noWrap/>
            <w:vAlign w:val="bottom"/>
            <w:hideMark/>
          </w:tcPr>
          <w:p w14:paraId="2F22AB3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60102ED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7E17BE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505AC3D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5185CD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2AF358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6A501B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3A291FD4"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7CC8521A"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Troštova ulica</w:t>
            </w:r>
          </w:p>
        </w:tc>
        <w:tc>
          <w:tcPr>
            <w:tcW w:w="595" w:type="pct"/>
            <w:tcBorders>
              <w:top w:val="nil"/>
              <w:left w:val="nil"/>
              <w:bottom w:val="single" w:sz="4" w:space="0" w:color="auto"/>
              <w:right w:val="single" w:sz="4" w:space="0" w:color="auto"/>
            </w:tcBorders>
            <w:noWrap/>
            <w:vAlign w:val="bottom"/>
            <w:hideMark/>
          </w:tcPr>
          <w:p w14:paraId="2C02A54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C8C96E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885CF2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06987C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B89B68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D2B3FF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1F41CB8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85E9F9E"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6B6ED8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Križišče Govekarjeva-Troštova</w:t>
            </w:r>
          </w:p>
        </w:tc>
        <w:tc>
          <w:tcPr>
            <w:tcW w:w="595" w:type="pct"/>
            <w:tcBorders>
              <w:top w:val="nil"/>
              <w:left w:val="nil"/>
              <w:bottom w:val="single" w:sz="4" w:space="0" w:color="auto"/>
              <w:right w:val="single" w:sz="4" w:space="0" w:color="auto"/>
            </w:tcBorders>
            <w:noWrap/>
            <w:vAlign w:val="bottom"/>
            <w:hideMark/>
          </w:tcPr>
          <w:p w14:paraId="42C3CC0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6C7817C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6349C8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3B650D0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EB2A62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69D1EB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4B0A96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36A95B9"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11E3EC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Javni sistem izposoje koles</w:t>
            </w:r>
          </w:p>
        </w:tc>
        <w:tc>
          <w:tcPr>
            <w:tcW w:w="595" w:type="pct"/>
            <w:tcBorders>
              <w:top w:val="nil"/>
              <w:left w:val="nil"/>
              <w:bottom w:val="single" w:sz="4" w:space="0" w:color="auto"/>
              <w:right w:val="single" w:sz="4" w:space="0" w:color="auto"/>
            </w:tcBorders>
            <w:noWrap/>
            <w:vAlign w:val="bottom"/>
            <w:hideMark/>
          </w:tcPr>
          <w:p w14:paraId="105B0B9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FD9968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96F67C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31ECBE0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2437EC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264009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6176BE2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0667F22"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4AFE97B9"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Govekarjeva cesta</w:t>
            </w:r>
          </w:p>
        </w:tc>
        <w:tc>
          <w:tcPr>
            <w:tcW w:w="595" w:type="pct"/>
            <w:tcBorders>
              <w:top w:val="nil"/>
              <w:left w:val="nil"/>
              <w:bottom w:val="single" w:sz="4" w:space="0" w:color="auto"/>
              <w:right w:val="single" w:sz="4" w:space="0" w:color="auto"/>
            </w:tcBorders>
            <w:noWrap/>
            <w:vAlign w:val="bottom"/>
            <w:hideMark/>
          </w:tcPr>
          <w:p w14:paraId="240F72E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FB86B9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105B33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32B81F2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C9069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2B2176D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3DD7F1D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61810FAC"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1727F8A5"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staro župnišče</w:t>
            </w:r>
          </w:p>
        </w:tc>
        <w:tc>
          <w:tcPr>
            <w:tcW w:w="595" w:type="pct"/>
            <w:tcBorders>
              <w:top w:val="nil"/>
              <w:left w:val="nil"/>
              <w:bottom w:val="single" w:sz="4" w:space="0" w:color="auto"/>
              <w:right w:val="single" w:sz="4" w:space="0" w:color="auto"/>
            </w:tcBorders>
            <w:noWrap/>
            <w:vAlign w:val="bottom"/>
            <w:hideMark/>
          </w:tcPr>
          <w:p w14:paraId="737A9BB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41B5C50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553904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21D3CB1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523FC2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608DAEE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367C818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315140C4"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2F43233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trg (kolesarnica)</w:t>
            </w:r>
          </w:p>
        </w:tc>
        <w:tc>
          <w:tcPr>
            <w:tcW w:w="595" w:type="pct"/>
            <w:tcBorders>
              <w:top w:val="nil"/>
              <w:left w:val="nil"/>
              <w:bottom w:val="single" w:sz="4" w:space="0" w:color="auto"/>
              <w:right w:val="single" w:sz="4" w:space="0" w:color="auto"/>
            </w:tcBorders>
            <w:noWrap/>
            <w:vAlign w:val="bottom"/>
            <w:hideMark/>
          </w:tcPr>
          <w:p w14:paraId="3DAA8D6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52FFB0D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630DF3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BEFD4B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ABF350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64617C1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0AE293E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42037121"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152E60FE"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telovadnica</w:t>
            </w:r>
          </w:p>
        </w:tc>
        <w:tc>
          <w:tcPr>
            <w:tcW w:w="595" w:type="pct"/>
            <w:tcBorders>
              <w:top w:val="nil"/>
              <w:left w:val="nil"/>
              <w:bottom w:val="single" w:sz="4" w:space="0" w:color="auto"/>
              <w:right w:val="single" w:sz="4" w:space="0" w:color="auto"/>
            </w:tcBorders>
            <w:noWrap/>
            <w:vAlign w:val="bottom"/>
            <w:hideMark/>
          </w:tcPr>
          <w:p w14:paraId="2F4BB62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698EE9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4069FB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7D2A803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28633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167D8D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17F58BD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3D684492"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1917E2A5"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park</w:t>
            </w:r>
          </w:p>
        </w:tc>
        <w:tc>
          <w:tcPr>
            <w:tcW w:w="595" w:type="pct"/>
            <w:tcBorders>
              <w:top w:val="nil"/>
              <w:left w:val="nil"/>
              <w:bottom w:val="single" w:sz="4" w:space="0" w:color="auto"/>
              <w:right w:val="single" w:sz="4" w:space="0" w:color="auto"/>
            </w:tcBorders>
            <w:noWrap/>
            <w:vAlign w:val="bottom"/>
            <w:hideMark/>
          </w:tcPr>
          <w:p w14:paraId="445E9DB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CD67F0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BD3224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7DD7D53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C1A7DE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7F5C33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0F25EFA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3B3F23F4"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641B598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Merilniki, prikazovalniki in števci</w:t>
            </w:r>
          </w:p>
        </w:tc>
        <w:tc>
          <w:tcPr>
            <w:tcW w:w="595" w:type="pct"/>
            <w:tcBorders>
              <w:top w:val="nil"/>
              <w:left w:val="nil"/>
              <w:bottom w:val="single" w:sz="4" w:space="0" w:color="auto"/>
              <w:right w:val="single" w:sz="4" w:space="0" w:color="auto"/>
            </w:tcBorders>
            <w:noWrap/>
            <w:vAlign w:val="bottom"/>
            <w:hideMark/>
          </w:tcPr>
          <w:p w14:paraId="0846444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AB5D5B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CD3E43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67E6973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4445B1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D687FF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4D01058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5002354C"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00531BCA" w14:textId="77777777" w:rsidR="00F87307" w:rsidRPr="00F87307" w:rsidRDefault="00F87307">
            <w:pPr>
              <w:rPr>
                <w:rFonts w:ascii="Roboto" w:hAnsi="Roboto"/>
                <w:color w:val="000000"/>
                <w:sz w:val="20"/>
                <w:szCs w:val="20"/>
              </w:rPr>
            </w:pPr>
            <w:r w:rsidRPr="00F87307">
              <w:rPr>
                <w:rFonts w:ascii="Roboto" w:hAnsi="Roboto"/>
                <w:color w:val="000000"/>
                <w:sz w:val="20"/>
                <w:szCs w:val="20"/>
              </w:rPr>
              <w:t>Avtobusno postajališče - nivo ceste</w:t>
            </w:r>
          </w:p>
        </w:tc>
        <w:tc>
          <w:tcPr>
            <w:tcW w:w="595" w:type="pct"/>
            <w:tcBorders>
              <w:top w:val="nil"/>
              <w:left w:val="nil"/>
              <w:bottom w:val="single" w:sz="4" w:space="0" w:color="auto"/>
              <w:right w:val="single" w:sz="4" w:space="0" w:color="auto"/>
            </w:tcBorders>
            <w:noWrap/>
            <w:vAlign w:val="bottom"/>
            <w:hideMark/>
          </w:tcPr>
          <w:p w14:paraId="0F5DC73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BAF35C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BAE39F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55F2604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E64F37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1DDDEE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07BBF06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7E61174A"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7FC37FF2" w14:textId="77777777" w:rsidR="00F87307" w:rsidRPr="00F87307" w:rsidRDefault="00F87307">
            <w:pPr>
              <w:rPr>
                <w:rFonts w:ascii="Roboto" w:hAnsi="Roboto"/>
                <w:color w:val="000000"/>
                <w:sz w:val="20"/>
                <w:szCs w:val="20"/>
              </w:rPr>
            </w:pPr>
            <w:r w:rsidRPr="00F87307">
              <w:rPr>
                <w:rFonts w:ascii="Roboto" w:hAnsi="Roboto"/>
                <w:color w:val="000000"/>
                <w:sz w:val="20"/>
                <w:szCs w:val="20"/>
              </w:rPr>
              <w:t>Avtobusno postajališče - nadstrešnica</w:t>
            </w:r>
          </w:p>
        </w:tc>
        <w:tc>
          <w:tcPr>
            <w:tcW w:w="595" w:type="pct"/>
            <w:tcBorders>
              <w:top w:val="nil"/>
              <w:left w:val="nil"/>
              <w:bottom w:val="single" w:sz="4" w:space="0" w:color="auto"/>
              <w:right w:val="single" w:sz="4" w:space="0" w:color="auto"/>
            </w:tcBorders>
            <w:noWrap/>
            <w:vAlign w:val="bottom"/>
            <w:hideMark/>
          </w:tcPr>
          <w:p w14:paraId="0A1050D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EFB022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E8D8FA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47CC76B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9F4541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7D4A632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9CB7C0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10427A6E"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6DC7656B" w14:textId="77777777" w:rsidR="00F87307" w:rsidRPr="00F87307" w:rsidRDefault="00F87307">
            <w:pPr>
              <w:rPr>
                <w:rFonts w:ascii="Roboto" w:hAnsi="Roboto"/>
                <w:color w:val="000000"/>
                <w:sz w:val="20"/>
                <w:szCs w:val="20"/>
              </w:rPr>
            </w:pPr>
            <w:r w:rsidRPr="00F87307">
              <w:rPr>
                <w:rFonts w:ascii="Roboto" w:hAnsi="Roboto"/>
                <w:color w:val="000000"/>
                <w:sz w:val="20"/>
                <w:szCs w:val="20"/>
              </w:rPr>
              <w:t>Parkirišče z vhodom v šolo</w:t>
            </w:r>
          </w:p>
        </w:tc>
        <w:tc>
          <w:tcPr>
            <w:tcW w:w="595" w:type="pct"/>
            <w:tcBorders>
              <w:top w:val="nil"/>
              <w:left w:val="nil"/>
              <w:bottom w:val="single" w:sz="4" w:space="0" w:color="auto"/>
              <w:right w:val="single" w:sz="4" w:space="0" w:color="auto"/>
            </w:tcBorders>
            <w:noWrap/>
            <w:vAlign w:val="bottom"/>
            <w:hideMark/>
          </w:tcPr>
          <w:p w14:paraId="158ABDA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666.582,43</w:t>
            </w:r>
          </w:p>
        </w:tc>
        <w:tc>
          <w:tcPr>
            <w:tcW w:w="400" w:type="pct"/>
            <w:tcBorders>
              <w:top w:val="nil"/>
              <w:left w:val="single" w:sz="4" w:space="0" w:color="auto"/>
              <w:bottom w:val="single" w:sz="4" w:space="0" w:color="auto"/>
              <w:right w:val="single" w:sz="4" w:space="0" w:color="auto"/>
            </w:tcBorders>
            <w:noWrap/>
            <w:vAlign w:val="bottom"/>
            <w:hideMark/>
          </w:tcPr>
          <w:p w14:paraId="069B367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B84676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7180299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CC88F1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5278F7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533.265,94</w:t>
            </w:r>
          </w:p>
        </w:tc>
        <w:tc>
          <w:tcPr>
            <w:tcW w:w="504" w:type="pct"/>
            <w:tcBorders>
              <w:top w:val="nil"/>
              <w:left w:val="nil"/>
              <w:bottom w:val="single" w:sz="4" w:space="0" w:color="auto"/>
              <w:right w:val="single" w:sz="4" w:space="0" w:color="auto"/>
            </w:tcBorders>
            <w:noWrap/>
            <w:vAlign w:val="bottom"/>
            <w:hideMark/>
          </w:tcPr>
          <w:p w14:paraId="29B7EE6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133.316,49</w:t>
            </w:r>
          </w:p>
        </w:tc>
      </w:tr>
      <w:tr w:rsidR="00F87307" w:rsidRPr="00F87307" w14:paraId="707FFAD8" w14:textId="77777777" w:rsidTr="00F87307">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615F9597" w14:textId="77777777" w:rsidR="00F87307" w:rsidRPr="00F87307" w:rsidRDefault="00F87307">
            <w:pPr>
              <w:rPr>
                <w:rFonts w:ascii="Arial" w:hAnsi="Arial" w:cs="Arial"/>
                <w:i/>
                <w:iCs/>
                <w:color w:val="000000"/>
                <w:sz w:val="20"/>
                <w:szCs w:val="20"/>
              </w:rPr>
            </w:pPr>
            <w:r w:rsidRPr="00F87307">
              <w:rPr>
                <w:rFonts w:ascii="Arial" w:hAnsi="Arial" w:cs="Arial"/>
                <w:i/>
                <w:iCs/>
                <w:color w:val="000000"/>
                <w:sz w:val="20"/>
                <w:szCs w:val="20"/>
              </w:rPr>
              <w:t>Skupaj GOI dela</w:t>
            </w:r>
          </w:p>
        </w:tc>
        <w:tc>
          <w:tcPr>
            <w:tcW w:w="595" w:type="pct"/>
            <w:tcBorders>
              <w:top w:val="nil"/>
              <w:left w:val="nil"/>
              <w:bottom w:val="single" w:sz="4" w:space="0" w:color="auto"/>
              <w:right w:val="single" w:sz="4" w:space="0" w:color="auto"/>
            </w:tcBorders>
            <w:shd w:val="clear" w:color="000000" w:fill="D9D9D9"/>
            <w:noWrap/>
            <w:vAlign w:val="bottom"/>
            <w:hideMark/>
          </w:tcPr>
          <w:p w14:paraId="2AFAB493"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666.582,43</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6EEE2266"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40AA8955"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0,00</w:t>
            </w:r>
          </w:p>
        </w:tc>
        <w:tc>
          <w:tcPr>
            <w:tcW w:w="397" w:type="pct"/>
            <w:tcBorders>
              <w:top w:val="nil"/>
              <w:left w:val="nil"/>
              <w:bottom w:val="single" w:sz="4" w:space="0" w:color="auto"/>
              <w:right w:val="single" w:sz="4" w:space="0" w:color="auto"/>
            </w:tcBorders>
            <w:shd w:val="clear" w:color="000000" w:fill="D9D9D9"/>
            <w:noWrap/>
            <w:vAlign w:val="bottom"/>
            <w:hideMark/>
          </w:tcPr>
          <w:p w14:paraId="69635978"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236C3766"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0,00</w:t>
            </w:r>
          </w:p>
        </w:tc>
        <w:tc>
          <w:tcPr>
            <w:tcW w:w="526" w:type="pct"/>
            <w:tcBorders>
              <w:top w:val="nil"/>
              <w:left w:val="nil"/>
              <w:bottom w:val="single" w:sz="4" w:space="0" w:color="auto"/>
              <w:right w:val="single" w:sz="4" w:space="0" w:color="auto"/>
            </w:tcBorders>
            <w:shd w:val="clear" w:color="000000" w:fill="D9D9D9"/>
            <w:noWrap/>
            <w:vAlign w:val="bottom"/>
            <w:hideMark/>
          </w:tcPr>
          <w:p w14:paraId="0995FFA0"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533.265,94</w:t>
            </w:r>
          </w:p>
        </w:tc>
        <w:tc>
          <w:tcPr>
            <w:tcW w:w="504" w:type="pct"/>
            <w:tcBorders>
              <w:top w:val="nil"/>
              <w:left w:val="nil"/>
              <w:bottom w:val="single" w:sz="4" w:space="0" w:color="auto"/>
              <w:right w:val="single" w:sz="4" w:space="0" w:color="auto"/>
            </w:tcBorders>
            <w:shd w:val="clear" w:color="000000" w:fill="D9D9D9"/>
            <w:noWrap/>
            <w:vAlign w:val="bottom"/>
            <w:hideMark/>
          </w:tcPr>
          <w:p w14:paraId="5A7C601C"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133.316,49</w:t>
            </w:r>
          </w:p>
        </w:tc>
      </w:tr>
      <w:tr w:rsidR="00F87307" w:rsidRPr="00F87307" w14:paraId="192C406E"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78C72727"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Strokovni nadzor</w:t>
            </w:r>
          </w:p>
        </w:tc>
        <w:tc>
          <w:tcPr>
            <w:tcW w:w="595" w:type="pct"/>
            <w:tcBorders>
              <w:top w:val="nil"/>
              <w:left w:val="nil"/>
              <w:bottom w:val="single" w:sz="4" w:space="0" w:color="auto"/>
              <w:right w:val="single" w:sz="4" w:space="0" w:color="auto"/>
            </w:tcBorders>
            <w:noWrap/>
            <w:vAlign w:val="bottom"/>
            <w:hideMark/>
          </w:tcPr>
          <w:p w14:paraId="0B35F89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308E37E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B02A51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F83D12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EFB735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F840CC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7EBB93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4CFB67FF"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1B07535"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Projektna dokumentacija</w:t>
            </w:r>
          </w:p>
        </w:tc>
        <w:tc>
          <w:tcPr>
            <w:tcW w:w="595" w:type="pct"/>
            <w:tcBorders>
              <w:top w:val="nil"/>
              <w:left w:val="nil"/>
              <w:bottom w:val="single" w:sz="4" w:space="0" w:color="auto"/>
              <w:right w:val="single" w:sz="4" w:space="0" w:color="auto"/>
            </w:tcBorders>
            <w:noWrap/>
            <w:vAlign w:val="bottom"/>
            <w:hideMark/>
          </w:tcPr>
          <w:p w14:paraId="798D436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3B5F956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CF3088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729BE04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0F8534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319F568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48C8734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7F8C720F"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63D18F7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Inženiring</w:t>
            </w:r>
          </w:p>
        </w:tc>
        <w:tc>
          <w:tcPr>
            <w:tcW w:w="595" w:type="pct"/>
            <w:tcBorders>
              <w:top w:val="nil"/>
              <w:left w:val="nil"/>
              <w:bottom w:val="single" w:sz="4" w:space="0" w:color="auto"/>
              <w:right w:val="single" w:sz="4" w:space="0" w:color="auto"/>
            </w:tcBorders>
            <w:noWrap/>
            <w:vAlign w:val="bottom"/>
            <w:hideMark/>
          </w:tcPr>
          <w:p w14:paraId="797A467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62EE027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FE19B1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6D08D2D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068CA4F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CA1A07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3F962EC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0A8F594"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4A00A262"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Obveščanje javnosti</w:t>
            </w:r>
          </w:p>
        </w:tc>
        <w:tc>
          <w:tcPr>
            <w:tcW w:w="595" w:type="pct"/>
            <w:tcBorders>
              <w:top w:val="nil"/>
              <w:left w:val="nil"/>
              <w:bottom w:val="single" w:sz="4" w:space="0" w:color="auto"/>
              <w:right w:val="single" w:sz="4" w:space="0" w:color="auto"/>
            </w:tcBorders>
            <w:noWrap/>
            <w:vAlign w:val="bottom"/>
            <w:hideMark/>
          </w:tcPr>
          <w:p w14:paraId="15626A0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B8AAC5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20273F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32806B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196DD4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03B46A4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3B5E031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1144C883"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0CE1E40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Investicijska in ostala dokumentacija</w:t>
            </w:r>
          </w:p>
        </w:tc>
        <w:tc>
          <w:tcPr>
            <w:tcW w:w="595" w:type="pct"/>
            <w:tcBorders>
              <w:top w:val="nil"/>
              <w:left w:val="nil"/>
              <w:bottom w:val="single" w:sz="4" w:space="0" w:color="auto"/>
              <w:right w:val="single" w:sz="4" w:space="0" w:color="auto"/>
            </w:tcBorders>
            <w:noWrap/>
            <w:vAlign w:val="bottom"/>
            <w:hideMark/>
          </w:tcPr>
          <w:p w14:paraId="50F6331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012E2E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F989BA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5C99262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A5A362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71DC840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33C114B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025D814F"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16CD1220"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Stroški varnosti pri delu</w:t>
            </w:r>
          </w:p>
        </w:tc>
        <w:tc>
          <w:tcPr>
            <w:tcW w:w="595" w:type="pct"/>
            <w:tcBorders>
              <w:top w:val="nil"/>
              <w:left w:val="nil"/>
              <w:bottom w:val="single" w:sz="4" w:space="0" w:color="auto"/>
              <w:right w:val="single" w:sz="4" w:space="0" w:color="auto"/>
            </w:tcBorders>
            <w:noWrap/>
            <w:vAlign w:val="bottom"/>
            <w:hideMark/>
          </w:tcPr>
          <w:p w14:paraId="543D028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4396077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DAA7DE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40AD274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DC82A7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13117A5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08DFE3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637B9880"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8366F91"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Arheologija</w:t>
            </w:r>
          </w:p>
        </w:tc>
        <w:tc>
          <w:tcPr>
            <w:tcW w:w="595" w:type="pct"/>
            <w:tcBorders>
              <w:top w:val="nil"/>
              <w:left w:val="nil"/>
              <w:bottom w:val="single" w:sz="4" w:space="0" w:color="auto"/>
              <w:right w:val="single" w:sz="4" w:space="0" w:color="auto"/>
            </w:tcBorders>
            <w:noWrap/>
            <w:vAlign w:val="bottom"/>
            <w:hideMark/>
          </w:tcPr>
          <w:p w14:paraId="3B62EC8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5D1932F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AC4F67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6130DB3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A55F97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3F4F033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553B6AC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32E73CCA"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1796424A"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Čiščenje in pregled kanalizacije</w:t>
            </w:r>
          </w:p>
        </w:tc>
        <w:tc>
          <w:tcPr>
            <w:tcW w:w="595" w:type="pct"/>
            <w:tcBorders>
              <w:top w:val="nil"/>
              <w:left w:val="nil"/>
              <w:bottom w:val="single" w:sz="4" w:space="0" w:color="auto"/>
              <w:right w:val="single" w:sz="4" w:space="0" w:color="auto"/>
            </w:tcBorders>
            <w:noWrap/>
            <w:vAlign w:val="bottom"/>
            <w:hideMark/>
          </w:tcPr>
          <w:p w14:paraId="7A79D7E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F5D0D5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FD59AA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609A963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5809F0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260D4F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67D6B4E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75082E35"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6C13EBA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Nakup nepremičnine</w:t>
            </w:r>
          </w:p>
        </w:tc>
        <w:tc>
          <w:tcPr>
            <w:tcW w:w="595" w:type="pct"/>
            <w:tcBorders>
              <w:top w:val="nil"/>
              <w:left w:val="nil"/>
              <w:bottom w:val="single" w:sz="4" w:space="0" w:color="auto"/>
              <w:right w:val="single" w:sz="4" w:space="0" w:color="auto"/>
            </w:tcBorders>
            <w:noWrap/>
            <w:vAlign w:val="bottom"/>
            <w:hideMark/>
          </w:tcPr>
          <w:p w14:paraId="5344FA9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280.000,00</w:t>
            </w:r>
          </w:p>
        </w:tc>
        <w:tc>
          <w:tcPr>
            <w:tcW w:w="400" w:type="pct"/>
            <w:tcBorders>
              <w:top w:val="nil"/>
              <w:left w:val="single" w:sz="4" w:space="0" w:color="auto"/>
              <w:bottom w:val="single" w:sz="4" w:space="0" w:color="auto"/>
              <w:right w:val="single" w:sz="4" w:space="0" w:color="auto"/>
            </w:tcBorders>
            <w:noWrap/>
            <w:vAlign w:val="bottom"/>
            <w:hideMark/>
          </w:tcPr>
          <w:p w14:paraId="184ECCF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280.000,00</w:t>
            </w:r>
          </w:p>
        </w:tc>
        <w:tc>
          <w:tcPr>
            <w:tcW w:w="447" w:type="pct"/>
            <w:tcBorders>
              <w:top w:val="nil"/>
              <w:left w:val="nil"/>
              <w:bottom w:val="single" w:sz="4" w:space="0" w:color="auto"/>
              <w:right w:val="single" w:sz="4" w:space="0" w:color="auto"/>
            </w:tcBorders>
            <w:noWrap/>
            <w:vAlign w:val="bottom"/>
            <w:hideMark/>
          </w:tcPr>
          <w:p w14:paraId="221A3CE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63A0537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8AE263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6BFCD1B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5D071D9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17B59BBF"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5E1921A"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 (neobdavčeno)</w:t>
            </w:r>
          </w:p>
        </w:tc>
        <w:tc>
          <w:tcPr>
            <w:tcW w:w="595" w:type="pct"/>
            <w:tcBorders>
              <w:top w:val="nil"/>
              <w:left w:val="nil"/>
              <w:bottom w:val="single" w:sz="4" w:space="0" w:color="auto"/>
              <w:right w:val="single" w:sz="4" w:space="0" w:color="auto"/>
            </w:tcBorders>
            <w:noWrap/>
            <w:vAlign w:val="bottom"/>
            <w:hideMark/>
          </w:tcPr>
          <w:p w14:paraId="49AECA2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776,00</w:t>
            </w:r>
          </w:p>
        </w:tc>
        <w:tc>
          <w:tcPr>
            <w:tcW w:w="400" w:type="pct"/>
            <w:tcBorders>
              <w:top w:val="nil"/>
              <w:left w:val="single" w:sz="4" w:space="0" w:color="auto"/>
              <w:bottom w:val="single" w:sz="4" w:space="0" w:color="auto"/>
              <w:right w:val="single" w:sz="4" w:space="0" w:color="auto"/>
            </w:tcBorders>
            <w:noWrap/>
            <w:vAlign w:val="bottom"/>
            <w:hideMark/>
          </w:tcPr>
          <w:p w14:paraId="518F45A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776,00</w:t>
            </w:r>
          </w:p>
        </w:tc>
        <w:tc>
          <w:tcPr>
            <w:tcW w:w="447" w:type="pct"/>
            <w:tcBorders>
              <w:top w:val="nil"/>
              <w:left w:val="nil"/>
              <w:bottom w:val="single" w:sz="4" w:space="0" w:color="auto"/>
              <w:right w:val="single" w:sz="4" w:space="0" w:color="auto"/>
            </w:tcBorders>
            <w:noWrap/>
            <w:vAlign w:val="bottom"/>
            <w:hideMark/>
          </w:tcPr>
          <w:p w14:paraId="006F72E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4E96F47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02D1AB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2D6717E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670DCE7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09AD43DA"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2D24A7EF"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 (9,5% DDV)</w:t>
            </w:r>
          </w:p>
        </w:tc>
        <w:tc>
          <w:tcPr>
            <w:tcW w:w="595" w:type="pct"/>
            <w:tcBorders>
              <w:top w:val="nil"/>
              <w:left w:val="nil"/>
              <w:bottom w:val="single" w:sz="4" w:space="0" w:color="auto"/>
              <w:right w:val="single" w:sz="4" w:space="0" w:color="auto"/>
            </w:tcBorders>
            <w:noWrap/>
            <w:vAlign w:val="bottom"/>
            <w:hideMark/>
          </w:tcPr>
          <w:p w14:paraId="724B427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545,96</w:t>
            </w:r>
          </w:p>
        </w:tc>
        <w:tc>
          <w:tcPr>
            <w:tcW w:w="400" w:type="pct"/>
            <w:tcBorders>
              <w:top w:val="nil"/>
              <w:left w:val="single" w:sz="4" w:space="0" w:color="auto"/>
              <w:bottom w:val="single" w:sz="4" w:space="0" w:color="auto"/>
              <w:right w:val="single" w:sz="4" w:space="0" w:color="auto"/>
            </w:tcBorders>
            <w:noWrap/>
            <w:vAlign w:val="bottom"/>
            <w:hideMark/>
          </w:tcPr>
          <w:p w14:paraId="4C424D8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545,96</w:t>
            </w:r>
          </w:p>
        </w:tc>
        <w:tc>
          <w:tcPr>
            <w:tcW w:w="447" w:type="pct"/>
            <w:tcBorders>
              <w:top w:val="nil"/>
              <w:left w:val="nil"/>
              <w:bottom w:val="single" w:sz="4" w:space="0" w:color="auto"/>
              <w:right w:val="single" w:sz="4" w:space="0" w:color="auto"/>
            </w:tcBorders>
            <w:noWrap/>
            <w:vAlign w:val="bottom"/>
            <w:hideMark/>
          </w:tcPr>
          <w:p w14:paraId="26A56D7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336643C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54219C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03E4D3C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7C9C0D0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41145AA6"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5710C88D"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w:t>
            </w:r>
          </w:p>
        </w:tc>
        <w:tc>
          <w:tcPr>
            <w:tcW w:w="595" w:type="pct"/>
            <w:tcBorders>
              <w:top w:val="nil"/>
              <w:left w:val="nil"/>
              <w:bottom w:val="single" w:sz="4" w:space="0" w:color="auto"/>
              <w:right w:val="single" w:sz="4" w:space="0" w:color="auto"/>
            </w:tcBorders>
            <w:noWrap/>
            <w:vAlign w:val="bottom"/>
            <w:hideMark/>
          </w:tcPr>
          <w:p w14:paraId="39EAB89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5.483,07</w:t>
            </w:r>
          </w:p>
        </w:tc>
        <w:tc>
          <w:tcPr>
            <w:tcW w:w="400" w:type="pct"/>
            <w:tcBorders>
              <w:top w:val="nil"/>
              <w:left w:val="single" w:sz="4" w:space="0" w:color="auto"/>
              <w:bottom w:val="single" w:sz="4" w:space="0" w:color="auto"/>
              <w:right w:val="single" w:sz="4" w:space="0" w:color="auto"/>
            </w:tcBorders>
            <w:noWrap/>
            <w:vAlign w:val="bottom"/>
            <w:hideMark/>
          </w:tcPr>
          <w:p w14:paraId="7CB7695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5.483,07</w:t>
            </w:r>
          </w:p>
        </w:tc>
        <w:tc>
          <w:tcPr>
            <w:tcW w:w="447" w:type="pct"/>
            <w:tcBorders>
              <w:top w:val="nil"/>
              <w:left w:val="nil"/>
              <w:bottom w:val="single" w:sz="4" w:space="0" w:color="auto"/>
              <w:right w:val="single" w:sz="4" w:space="0" w:color="auto"/>
            </w:tcBorders>
            <w:noWrap/>
            <w:vAlign w:val="bottom"/>
            <w:hideMark/>
          </w:tcPr>
          <w:p w14:paraId="23521B0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1FE4D51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8D051A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5AD9ACF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6BCD612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2F069A4"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44E6718A"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Vpis v kataster</w:t>
            </w:r>
          </w:p>
        </w:tc>
        <w:tc>
          <w:tcPr>
            <w:tcW w:w="595" w:type="pct"/>
            <w:tcBorders>
              <w:top w:val="nil"/>
              <w:left w:val="nil"/>
              <w:bottom w:val="single" w:sz="4" w:space="0" w:color="auto"/>
              <w:right w:val="single" w:sz="4" w:space="0" w:color="auto"/>
            </w:tcBorders>
            <w:noWrap/>
            <w:vAlign w:val="bottom"/>
            <w:hideMark/>
          </w:tcPr>
          <w:p w14:paraId="579E8FC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892,65</w:t>
            </w:r>
          </w:p>
        </w:tc>
        <w:tc>
          <w:tcPr>
            <w:tcW w:w="400" w:type="pct"/>
            <w:tcBorders>
              <w:top w:val="nil"/>
              <w:left w:val="single" w:sz="4" w:space="0" w:color="auto"/>
              <w:bottom w:val="single" w:sz="4" w:space="0" w:color="auto"/>
              <w:right w:val="single" w:sz="4" w:space="0" w:color="auto"/>
            </w:tcBorders>
            <w:noWrap/>
            <w:vAlign w:val="bottom"/>
            <w:hideMark/>
          </w:tcPr>
          <w:p w14:paraId="78FF8F0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7F1FCEE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2520E7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102109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674392D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26659AC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892,65</w:t>
            </w:r>
          </w:p>
        </w:tc>
      </w:tr>
      <w:tr w:rsidR="00F87307" w:rsidRPr="00F87307" w14:paraId="64FAD6A5"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7C1170C5"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Notar, zemljiška knjiga</w:t>
            </w:r>
          </w:p>
        </w:tc>
        <w:tc>
          <w:tcPr>
            <w:tcW w:w="595" w:type="pct"/>
            <w:tcBorders>
              <w:top w:val="nil"/>
              <w:left w:val="nil"/>
              <w:bottom w:val="single" w:sz="4" w:space="0" w:color="auto"/>
              <w:right w:val="single" w:sz="4" w:space="0" w:color="auto"/>
            </w:tcBorders>
            <w:noWrap/>
            <w:vAlign w:val="bottom"/>
            <w:hideMark/>
          </w:tcPr>
          <w:p w14:paraId="44203E9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40EC90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6643E48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55A2924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58D20D4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0D5416B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6DF82D9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0197B369"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06096677"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lastRenderedPageBreak/>
              <w:t>Geodetski načrt</w:t>
            </w:r>
          </w:p>
        </w:tc>
        <w:tc>
          <w:tcPr>
            <w:tcW w:w="595" w:type="pct"/>
            <w:tcBorders>
              <w:top w:val="nil"/>
              <w:left w:val="nil"/>
              <w:bottom w:val="single" w:sz="4" w:space="0" w:color="auto"/>
              <w:right w:val="single" w:sz="4" w:space="0" w:color="auto"/>
            </w:tcBorders>
            <w:noWrap/>
            <w:vAlign w:val="bottom"/>
            <w:hideMark/>
          </w:tcPr>
          <w:p w14:paraId="31AC93A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2.032,66</w:t>
            </w:r>
          </w:p>
        </w:tc>
        <w:tc>
          <w:tcPr>
            <w:tcW w:w="400" w:type="pct"/>
            <w:tcBorders>
              <w:top w:val="nil"/>
              <w:left w:val="single" w:sz="4" w:space="0" w:color="auto"/>
              <w:bottom w:val="single" w:sz="4" w:space="0" w:color="auto"/>
              <w:right w:val="single" w:sz="4" w:space="0" w:color="auto"/>
            </w:tcBorders>
            <w:noWrap/>
            <w:vAlign w:val="bottom"/>
            <w:hideMark/>
          </w:tcPr>
          <w:p w14:paraId="44A894B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125E8C7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2.032,66</w:t>
            </w:r>
          </w:p>
        </w:tc>
        <w:tc>
          <w:tcPr>
            <w:tcW w:w="397" w:type="pct"/>
            <w:tcBorders>
              <w:top w:val="nil"/>
              <w:left w:val="nil"/>
              <w:bottom w:val="single" w:sz="4" w:space="0" w:color="auto"/>
              <w:right w:val="single" w:sz="4" w:space="0" w:color="auto"/>
            </w:tcBorders>
            <w:noWrap/>
            <w:vAlign w:val="bottom"/>
            <w:hideMark/>
          </w:tcPr>
          <w:p w14:paraId="503FBCD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83BAD5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6475AF6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11D7099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2EF67215"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33CA768C"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Baza cestnih podatkov</w:t>
            </w:r>
          </w:p>
        </w:tc>
        <w:tc>
          <w:tcPr>
            <w:tcW w:w="595" w:type="pct"/>
            <w:tcBorders>
              <w:top w:val="nil"/>
              <w:left w:val="nil"/>
              <w:bottom w:val="single" w:sz="4" w:space="0" w:color="auto"/>
              <w:right w:val="single" w:sz="4" w:space="0" w:color="auto"/>
            </w:tcBorders>
            <w:noWrap/>
            <w:vAlign w:val="bottom"/>
            <w:hideMark/>
          </w:tcPr>
          <w:p w14:paraId="7932A39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6B9B45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D47B0B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0252364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26F9935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26" w:type="pct"/>
            <w:tcBorders>
              <w:top w:val="nil"/>
              <w:left w:val="nil"/>
              <w:bottom w:val="single" w:sz="4" w:space="0" w:color="auto"/>
              <w:right w:val="single" w:sz="4" w:space="0" w:color="auto"/>
            </w:tcBorders>
            <w:noWrap/>
            <w:vAlign w:val="bottom"/>
            <w:hideMark/>
          </w:tcPr>
          <w:p w14:paraId="4F9758D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04" w:type="pct"/>
            <w:tcBorders>
              <w:top w:val="nil"/>
              <w:left w:val="nil"/>
              <w:bottom w:val="single" w:sz="4" w:space="0" w:color="auto"/>
              <w:right w:val="single" w:sz="4" w:space="0" w:color="auto"/>
            </w:tcBorders>
            <w:noWrap/>
            <w:vAlign w:val="bottom"/>
            <w:hideMark/>
          </w:tcPr>
          <w:p w14:paraId="7C38ED5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7720B797" w14:textId="77777777" w:rsidTr="00F87307">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3F83681F"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Skupaj brez DDV</w:t>
            </w:r>
          </w:p>
        </w:tc>
        <w:tc>
          <w:tcPr>
            <w:tcW w:w="595" w:type="pct"/>
            <w:tcBorders>
              <w:top w:val="nil"/>
              <w:left w:val="nil"/>
              <w:bottom w:val="single" w:sz="4" w:space="0" w:color="auto"/>
              <w:right w:val="single" w:sz="4" w:space="0" w:color="auto"/>
            </w:tcBorders>
            <w:shd w:val="clear" w:color="000000" w:fill="D9D9D9"/>
            <w:noWrap/>
            <w:vAlign w:val="bottom"/>
            <w:hideMark/>
          </w:tcPr>
          <w:p w14:paraId="2F3E3498"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956.312,77</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00748211"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286.805,03</w:t>
            </w:r>
          </w:p>
        </w:tc>
        <w:tc>
          <w:tcPr>
            <w:tcW w:w="447" w:type="pct"/>
            <w:tcBorders>
              <w:top w:val="nil"/>
              <w:left w:val="nil"/>
              <w:bottom w:val="single" w:sz="4" w:space="0" w:color="auto"/>
              <w:right w:val="single" w:sz="4" w:space="0" w:color="auto"/>
            </w:tcBorders>
            <w:shd w:val="clear" w:color="000000" w:fill="D9D9D9"/>
            <w:noWrap/>
            <w:vAlign w:val="bottom"/>
            <w:hideMark/>
          </w:tcPr>
          <w:p w14:paraId="10AE674C"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2.032,66</w:t>
            </w:r>
          </w:p>
        </w:tc>
        <w:tc>
          <w:tcPr>
            <w:tcW w:w="397" w:type="pct"/>
            <w:tcBorders>
              <w:top w:val="nil"/>
              <w:left w:val="nil"/>
              <w:bottom w:val="single" w:sz="4" w:space="0" w:color="auto"/>
              <w:right w:val="single" w:sz="4" w:space="0" w:color="auto"/>
            </w:tcBorders>
            <w:shd w:val="clear" w:color="000000" w:fill="D9D9D9"/>
            <w:noWrap/>
            <w:vAlign w:val="bottom"/>
            <w:hideMark/>
          </w:tcPr>
          <w:p w14:paraId="0DBD8D07"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3BD81049"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526" w:type="pct"/>
            <w:tcBorders>
              <w:top w:val="nil"/>
              <w:left w:val="nil"/>
              <w:bottom w:val="single" w:sz="4" w:space="0" w:color="auto"/>
              <w:right w:val="single" w:sz="4" w:space="0" w:color="auto"/>
            </w:tcBorders>
            <w:shd w:val="clear" w:color="000000" w:fill="D9D9D9"/>
            <w:noWrap/>
            <w:vAlign w:val="bottom"/>
            <w:hideMark/>
          </w:tcPr>
          <w:p w14:paraId="6AF58E55"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533.265,94</w:t>
            </w:r>
          </w:p>
        </w:tc>
        <w:tc>
          <w:tcPr>
            <w:tcW w:w="504" w:type="pct"/>
            <w:tcBorders>
              <w:top w:val="nil"/>
              <w:left w:val="nil"/>
              <w:bottom w:val="single" w:sz="4" w:space="0" w:color="auto"/>
              <w:right w:val="single" w:sz="4" w:space="0" w:color="auto"/>
            </w:tcBorders>
            <w:shd w:val="clear" w:color="000000" w:fill="D9D9D9"/>
            <w:noWrap/>
            <w:vAlign w:val="bottom"/>
            <w:hideMark/>
          </w:tcPr>
          <w:p w14:paraId="696231E3"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134.209,14</w:t>
            </w:r>
          </w:p>
        </w:tc>
      </w:tr>
      <w:tr w:rsidR="00F87307" w:rsidRPr="00F87307" w14:paraId="51CE23D2"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3D300BCD"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Davek na dodano vrednost</w:t>
            </w:r>
          </w:p>
        </w:tc>
        <w:tc>
          <w:tcPr>
            <w:tcW w:w="595" w:type="pct"/>
            <w:tcBorders>
              <w:top w:val="nil"/>
              <w:left w:val="nil"/>
              <w:bottom w:val="single" w:sz="4" w:space="0" w:color="auto"/>
              <w:right w:val="single" w:sz="4" w:space="0" w:color="auto"/>
            </w:tcBorders>
            <w:noWrap/>
            <w:vAlign w:val="bottom"/>
            <w:hideMark/>
          </w:tcPr>
          <w:p w14:paraId="7741795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173.824,49</w:t>
            </w:r>
          </w:p>
        </w:tc>
        <w:tc>
          <w:tcPr>
            <w:tcW w:w="400" w:type="pct"/>
            <w:tcBorders>
              <w:top w:val="nil"/>
              <w:left w:val="single" w:sz="4" w:space="0" w:color="auto"/>
              <w:bottom w:val="single" w:sz="4" w:space="0" w:color="auto"/>
              <w:right w:val="single" w:sz="4" w:space="0" w:color="auto"/>
            </w:tcBorders>
            <w:noWrap/>
            <w:vAlign w:val="bottom"/>
            <w:hideMark/>
          </w:tcPr>
          <w:p w14:paraId="25D8A51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1.258,14</w:t>
            </w:r>
          </w:p>
        </w:tc>
        <w:tc>
          <w:tcPr>
            <w:tcW w:w="447" w:type="pct"/>
            <w:tcBorders>
              <w:top w:val="nil"/>
              <w:left w:val="nil"/>
              <w:bottom w:val="single" w:sz="4" w:space="0" w:color="auto"/>
              <w:right w:val="single" w:sz="4" w:space="0" w:color="auto"/>
            </w:tcBorders>
            <w:noWrap/>
            <w:vAlign w:val="bottom"/>
            <w:hideMark/>
          </w:tcPr>
          <w:p w14:paraId="034357D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447,19</w:t>
            </w:r>
          </w:p>
        </w:tc>
        <w:tc>
          <w:tcPr>
            <w:tcW w:w="397" w:type="pct"/>
            <w:tcBorders>
              <w:top w:val="nil"/>
              <w:left w:val="nil"/>
              <w:bottom w:val="single" w:sz="4" w:space="0" w:color="auto"/>
              <w:right w:val="single" w:sz="4" w:space="0" w:color="auto"/>
            </w:tcBorders>
            <w:noWrap/>
            <w:vAlign w:val="bottom"/>
            <w:hideMark/>
          </w:tcPr>
          <w:p w14:paraId="498D110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3D2BEB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12.637,33</w:t>
            </w:r>
          </w:p>
        </w:tc>
        <w:tc>
          <w:tcPr>
            <w:tcW w:w="526" w:type="pct"/>
            <w:tcBorders>
              <w:top w:val="nil"/>
              <w:left w:val="nil"/>
              <w:bottom w:val="single" w:sz="4" w:space="0" w:color="auto"/>
              <w:right w:val="single" w:sz="4" w:space="0" w:color="auto"/>
            </w:tcBorders>
            <w:noWrap/>
            <w:vAlign w:val="bottom"/>
            <w:hideMark/>
          </w:tcPr>
          <w:p w14:paraId="06EB516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129.955,84</w:t>
            </w:r>
          </w:p>
        </w:tc>
        <w:tc>
          <w:tcPr>
            <w:tcW w:w="504" w:type="pct"/>
            <w:tcBorders>
              <w:top w:val="nil"/>
              <w:left w:val="nil"/>
              <w:bottom w:val="single" w:sz="4" w:space="0" w:color="auto"/>
              <w:right w:val="single" w:sz="4" w:space="0" w:color="auto"/>
            </w:tcBorders>
            <w:noWrap/>
            <w:vAlign w:val="bottom"/>
            <w:hideMark/>
          </w:tcPr>
          <w:p w14:paraId="0C9F2EA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29.526,01</w:t>
            </w:r>
          </w:p>
        </w:tc>
      </w:tr>
      <w:tr w:rsidR="00F87307" w:rsidRPr="00F87307" w14:paraId="3196D9AC" w14:textId="77777777" w:rsidTr="00F87307">
        <w:trPr>
          <w:trHeight w:val="284"/>
        </w:trPr>
        <w:tc>
          <w:tcPr>
            <w:tcW w:w="1686" w:type="pct"/>
            <w:tcBorders>
              <w:top w:val="nil"/>
              <w:left w:val="single" w:sz="4" w:space="0" w:color="auto"/>
              <w:bottom w:val="single" w:sz="4" w:space="0" w:color="auto"/>
              <w:right w:val="single" w:sz="4" w:space="0" w:color="auto"/>
            </w:tcBorders>
            <w:vAlign w:val="bottom"/>
            <w:hideMark/>
          </w:tcPr>
          <w:p w14:paraId="6C4116FD"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Povračljiv davek na dodano vrednost</w:t>
            </w:r>
          </w:p>
        </w:tc>
        <w:tc>
          <w:tcPr>
            <w:tcW w:w="595" w:type="pct"/>
            <w:tcBorders>
              <w:top w:val="nil"/>
              <w:left w:val="nil"/>
              <w:bottom w:val="single" w:sz="4" w:space="0" w:color="auto"/>
              <w:right w:val="single" w:sz="4" w:space="0" w:color="auto"/>
            </w:tcBorders>
            <w:noWrap/>
            <w:vAlign w:val="bottom"/>
            <w:hideMark/>
          </w:tcPr>
          <w:p w14:paraId="181BD0B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25.274,65</w:t>
            </w:r>
          </w:p>
        </w:tc>
        <w:tc>
          <w:tcPr>
            <w:tcW w:w="400" w:type="pct"/>
            <w:tcBorders>
              <w:top w:val="nil"/>
              <w:left w:val="single" w:sz="4" w:space="0" w:color="auto"/>
              <w:bottom w:val="single" w:sz="4" w:space="0" w:color="auto"/>
              <w:right w:val="single" w:sz="4" w:space="0" w:color="auto"/>
            </w:tcBorders>
            <w:noWrap/>
            <w:vAlign w:val="bottom"/>
            <w:hideMark/>
          </w:tcPr>
          <w:p w14:paraId="7E239AA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36F006A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7" w:type="pct"/>
            <w:tcBorders>
              <w:top w:val="nil"/>
              <w:left w:val="nil"/>
              <w:bottom w:val="single" w:sz="4" w:space="0" w:color="auto"/>
              <w:right w:val="single" w:sz="4" w:space="0" w:color="auto"/>
            </w:tcBorders>
            <w:noWrap/>
            <w:vAlign w:val="bottom"/>
            <w:hideMark/>
          </w:tcPr>
          <w:p w14:paraId="313B16F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7" w:type="pct"/>
            <w:tcBorders>
              <w:top w:val="nil"/>
              <w:left w:val="nil"/>
              <w:bottom w:val="single" w:sz="4" w:space="0" w:color="auto"/>
              <w:right w:val="single" w:sz="4" w:space="0" w:color="auto"/>
            </w:tcBorders>
            <w:noWrap/>
            <w:vAlign w:val="bottom"/>
            <w:hideMark/>
          </w:tcPr>
          <w:p w14:paraId="42EC0E3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12.637,33</w:t>
            </w:r>
          </w:p>
        </w:tc>
        <w:tc>
          <w:tcPr>
            <w:tcW w:w="526" w:type="pct"/>
            <w:tcBorders>
              <w:top w:val="nil"/>
              <w:left w:val="nil"/>
              <w:bottom w:val="single" w:sz="4" w:space="0" w:color="auto"/>
              <w:right w:val="single" w:sz="4" w:space="0" w:color="auto"/>
            </w:tcBorders>
            <w:noWrap/>
            <w:vAlign w:val="bottom"/>
            <w:hideMark/>
          </w:tcPr>
          <w:p w14:paraId="74E9443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12.637,33</w:t>
            </w:r>
          </w:p>
        </w:tc>
        <w:tc>
          <w:tcPr>
            <w:tcW w:w="504" w:type="pct"/>
            <w:tcBorders>
              <w:top w:val="nil"/>
              <w:left w:val="nil"/>
              <w:bottom w:val="single" w:sz="4" w:space="0" w:color="auto"/>
              <w:right w:val="single" w:sz="4" w:space="0" w:color="auto"/>
            </w:tcBorders>
            <w:noWrap/>
            <w:vAlign w:val="bottom"/>
            <w:hideMark/>
          </w:tcPr>
          <w:p w14:paraId="33E9F63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F87307" w:rsidRPr="00F87307" w14:paraId="6F2F89F0" w14:textId="77777777" w:rsidTr="00F87307">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0329587B"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Skupaj z davkom na dodano vrednost</w:t>
            </w:r>
          </w:p>
        </w:tc>
        <w:tc>
          <w:tcPr>
            <w:tcW w:w="595" w:type="pct"/>
            <w:tcBorders>
              <w:top w:val="nil"/>
              <w:left w:val="nil"/>
              <w:bottom w:val="single" w:sz="4" w:space="0" w:color="auto"/>
              <w:right w:val="single" w:sz="4" w:space="0" w:color="auto"/>
            </w:tcBorders>
            <w:shd w:val="clear" w:color="000000" w:fill="D9D9D9"/>
            <w:noWrap/>
            <w:vAlign w:val="bottom"/>
            <w:hideMark/>
          </w:tcPr>
          <w:p w14:paraId="6434149D"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1.130.137,26</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3D07B224"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288.063,17</w:t>
            </w:r>
          </w:p>
        </w:tc>
        <w:tc>
          <w:tcPr>
            <w:tcW w:w="447" w:type="pct"/>
            <w:tcBorders>
              <w:top w:val="nil"/>
              <w:left w:val="nil"/>
              <w:bottom w:val="single" w:sz="4" w:space="0" w:color="auto"/>
              <w:right w:val="single" w:sz="4" w:space="0" w:color="auto"/>
            </w:tcBorders>
            <w:shd w:val="clear" w:color="000000" w:fill="D9D9D9"/>
            <w:noWrap/>
            <w:vAlign w:val="bottom"/>
            <w:hideMark/>
          </w:tcPr>
          <w:p w14:paraId="6B49D728"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2.479,85</w:t>
            </w:r>
          </w:p>
        </w:tc>
        <w:tc>
          <w:tcPr>
            <w:tcW w:w="397" w:type="pct"/>
            <w:tcBorders>
              <w:top w:val="nil"/>
              <w:left w:val="nil"/>
              <w:bottom w:val="single" w:sz="4" w:space="0" w:color="auto"/>
              <w:right w:val="single" w:sz="4" w:space="0" w:color="auto"/>
            </w:tcBorders>
            <w:shd w:val="clear" w:color="000000" w:fill="D9D9D9"/>
            <w:noWrap/>
            <w:vAlign w:val="bottom"/>
            <w:hideMark/>
          </w:tcPr>
          <w:p w14:paraId="0AD00FB2"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6AF6E45F"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12.637,33</w:t>
            </w:r>
          </w:p>
        </w:tc>
        <w:tc>
          <w:tcPr>
            <w:tcW w:w="526" w:type="pct"/>
            <w:tcBorders>
              <w:top w:val="nil"/>
              <w:left w:val="nil"/>
              <w:bottom w:val="single" w:sz="4" w:space="0" w:color="auto"/>
              <w:right w:val="single" w:sz="4" w:space="0" w:color="auto"/>
            </w:tcBorders>
            <w:shd w:val="clear" w:color="000000" w:fill="D9D9D9"/>
            <w:noWrap/>
            <w:vAlign w:val="bottom"/>
            <w:hideMark/>
          </w:tcPr>
          <w:p w14:paraId="1CA40002"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663.221,78</w:t>
            </w:r>
          </w:p>
        </w:tc>
        <w:tc>
          <w:tcPr>
            <w:tcW w:w="504" w:type="pct"/>
            <w:tcBorders>
              <w:top w:val="nil"/>
              <w:left w:val="nil"/>
              <w:bottom w:val="single" w:sz="4" w:space="0" w:color="auto"/>
              <w:right w:val="single" w:sz="4" w:space="0" w:color="auto"/>
            </w:tcBorders>
            <w:shd w:val="clear" w:color="000000" w:fill="D9D9D9"/>
            <w:noWrap/>
            <w:vAlign w:val="bottom"/>
            <w:hideMark/>
          </w:tcPr>
          <w:p w14:paraId="5AA10AFE"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163.735,15</w:t>
            </w:r>
          </w:p>
        </w:tc>
      </w:tr>
      <w:tr w:rsidR="00F87307" w:rsidRPr="00F87307" w14:paraId="05481A62" w14:textId="77777777" w:rsidTr="00F87307">
        <w:trPr>
          <w:trHeight w:val="284"/>
        </w:trPr>
        <w:tc>
          <w:tcPr>
            <w:tcW w:w="1686" w:type="pct"/>
            <w:tcBorders>
              <w:top w:val="nil"/>
              <w:left w:val="single" w:sz="4" w:space="0" w:color="auto"/>
              <w:bottom w:val="single" w:sz="4" w:space="0" w:color="auto"/>
              <w:right w:val="single" w:sz="4" w:space="0" w:color="auto"/>
            </w:tcBorders>
            <w:shd w:val="clear" w:color="000000" w:fill="D9D9D9"/>
            <w:vAlign w:val="bottom"/>
            <w:hideMark/>
          </w:tcPr>
          <w:p w14:paraId="0DCBA9F6"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 xml:space="preserve">Skupaj z </w:t>
            </w:r>
            <w:proofErr w:type="spellStart"/>
            <w:r w:rsidRPr="00F87307">
              <w:rPr>
                <w:rFonts w:ascii="Arial" w:hAnsi="Arial" w:cs="Arial"/>
                <w:b/>
                <w:bCs/>
                <w:color w:val="000000"/>
                <w:sz w:val="20"/>
                <w:szCs w:val="20"/>
              </w:rPr>
              <w:t>nepovračljivim</w:t>
            </w:r>
            <w:proofErr w:type="spellEnd"/>
            <w:r w:rsidRPr="00F87307">
              <w:rPr>
                <w:rFonts w:ascii="Arial" w:hAnsi="Arial" w:cs="Arial"/>
                <w:b/>
                <w:bCs/>
                <w:color w:val="000000"/>
                <w:sz w:val="20"/>
                <w:szCs w:val="20"/>
              </w:rPr>
              <w:t xml:space="preserve"> davkom na dodano vrednost</w:t>
            </w:r>
          </w:p>
        </w:tc>
        <w:tc>
          <w:tcPr>
            <w:tcW w:w="595" w:type="pct"/>
            <w:tcBorders>
              <w:top w:val="nil"/>
              <w:left w:val="nil"/>
              <w:bottom w:val="single" w:sz="4" w:space="0" w:color="auto"/>
              <w:right w:val="single" w:sz="4" w:space="0" w:color="auto"/>
            </w:tcBorders>
            <w:shd w:val="clear" w:color="000000" w:fill="D9D9D9"/>
            <w:noWrap/>
            <w:vAlign w:val="bottom"/>
            <w:hideMark/>
          </w:tcPr>
          <w:p w14:paraId="5943F9E3"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1.104.862,61</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1FD66A29"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288.063,17</w:t>
            </w:r>
          </w:p>
        </w:tc>
        <w:tc>
          <w:tcPr>
            <w:tcW w:w="447" w:type="pct"/>
            <w:tcBorders>
              <w:top w:val="nil"/>
              <w:left w:val="nil"/>
              <w:bottom w:val="single" w:sz="4" w:space="0" w:color="auto"/>
              <w:right w:val="single" w:sz="4" w:space="0" w:color="auto"/>
            </w:tcBorders>
            <w:shd w:val="clear" w:color="000000" w:fill="D9D9D9"/>
            <w:noWrap/>
            <w:vAlign w:val="bottom"/>
            <w:hideMark/>
          </w:tcPr>
          <w:p w14:paraId="7FB3618F"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2.479,85</w:t>
            </w:r>
          </w:p>
        </w:tc>
        <w:tc>
          <w:tcPr>
            <w:tcW w:w="397" w:type="pct"/>
            <w:tcBorders>
              <w:top w:val="nil"/>
              <w:left w:val="nil"/>
              <w:bottom w:val="single" w:sz="4" w:space="0" w:color="auto"/>
              <w:right w:val="single" w:sz="4" w:space="0" w:color="auto"/>
            </w:tcBorders>
            <w:shd w:val="clear" w:color="000000" w:fill="D9D9D9"/>
            <w:noWrap/>
            <w:vAlign w:val="bottom"/>
            <w:hideMark/>
          </w:tcPr>
          <w:p w14:paraId="1FB2B3C5"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47" w:type="pct"/>
            <w:tcBorders>
              <w:top w:val="nil"/>
              <w:left w:val="nil"/>
              <w:bottom w:val="single" w:sz="4" w:space="0" w:color="auto"/>
              <w:right w:val="single" w:sz="4" w:space="0" w:color="auto"/>
            </w:tcBorders>
            <w:shd w:val="clear" w:color="000000" w:fill="D9D9D9"/>
            <w:noWrap/>
            <w:vAlign w:val="bottom"/>
            <w:hideMark/>
          </w:tcPr>
          <w:p w14:paraId="25A75A1E"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526" w:type="pct"/>
            <w:tcBorders>
              <w:top w:val="nil"/>
              <w:left w:val="nil"/>
              <w:bottom w:val="single" w:sz="4" w:space="0" w:color="auto"/>
              <w:right w:val="single" w:sz="4" w:space="0" w:color="auto"/>
            </w:tcBorders>
            <w:shd w:val="clear" w:color="000000" w:fill="D9D9D9"/>
            <w:noWrap/>
            <w:vAlign w:val="bottom"/>
            <w:hideMark/>
          </w:tcPr>
          <w:p w14:paraId="20390AAA"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650.584,45</w:t>
            </w:r>
          </w:p>
        </w:tc>
        <w:tc>
          <w:tcPr>
            <w:tcW w:w="504" w:type="pct"/>
            <w:tcBorders>
              <w:top w:val="nil"/>
              <w:left w:val="nil"/>
              <w:bottom w:val="single" w:sz="4" w:space="0" w:color="auto"/>
              <w:right w:val="single" w:sz="4" w:space="0" w:color="auto"/>
            </w:tcBorders>
            <w:shd w:val="clear" w:color="000000" w:fill="D9D9D9"/>
            <w:noWrap/>
            <w:vAlign w:val="bottom"/>
            <w:hideMark/>
          </w:tcPr>
          <w:p w14:paraId="475AE676"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163.735,15</w:t>
            </w:r>
          </w:p>
        </w:tc>
      </w:tr>
    </w:tbl>
    <w:p w14:paraId="78164D45" w14:textId="77777777" w:rsidR="00F87307" w:rsidRDefault="00F87307" w:rsidP="009A4987">
      <w:pPr>
        <w:spacing w:after="120" w:line="276" w:lineRule="auto"/>
        <w:jc w:val="both"/>
        <w:rPr>
          <w:rFonts w:asciiTheme="majorHAnsi" w:hAnsiTheme="majorHAnsi" w:cstheme="majorHAnsi"/>
          <w:sz w:val="22"/>
          <w:szCs w:val="22"/>
        </w:rPr>
      </w:pPr>
    </w:p>
    <w:p w14:paraId="26B913A2" w14:textId="7D7CCA8A" w:rsidR="008D1C61" w:rsidRDefault="008D1C61" w:rsidP="00BD1D20">
      <w:pPr>
        <w:spacing w:after="120" w:line="276" w:lineRule="auto"/>
        <w:jc w:val="both"/>
        <w:rPr>
          <w:rFonts w:asciiTheme="majorHAnsi" w:hAnsiTheme="majorHAnsi" w:cstheme="majorHAnsi"/>
          <w:sz w:val="22"/>
          <w:szCs w:val="22"/>
        </w:rPr>
      </w:pPr>
      <w:bookmarkStart w:id="312" w:name="_Toc209528307"/>
      <w:r w:rsidRPr="00F11127">
        <w:rPr>
          <w:rFonts w:asciiTheme="majorHAnsi" w:hAnsiTheme="majorHAnsi" w:cstheme="majorHAnsi"/>
          <w:b/>
          <w:sz w:val="22"/>
          <w:szCs w:val="22"/>
        </w:rPr>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21</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Viri financiranja v stalnih cenah v EUR</w:t>
      </w:r>
      <w:bookmarkEnd w:id="312"/>
      <w:r w:rsidRPr="00F11127">
        <w:rPr>
          <w:rFonts w:asciiTheme="majorHAnsi" w:hAnsiTheme="majorHAnsi" w:cstheme="majorHAnsi"/>
          <w:sz w:val="22"/>
          <w:szCs w:val="22"/>
        </w:rPr>
        <w:t xml:space="preserve"> </w:t>
      </w:r>
    </w:p>
    <w:tbl>
      <w:tblPr>
        <w:tblW w:w="5000" w:type="pct"/>
        <w:tblCellMar>
          <w:left w:w="70" w:type="dxa"/>
          <w:right w:w="70" w:type="dxa"/>
        </w:tblCellMar>
        <w:tblLook w:val="04A0" w:firstRow="1" w:lastRow="0" w:firstColumn="1" w:lastColumn="0" w:noHBand="0" w:noVBand="1"/>
      </w:tblPr>
      <w:tblGrid>
        <w:gridCol w:w="2976"/>
        <w:gridCol w:w="1433"/>
        <w:gridCol w:w="1293"/>
        <w:gridCol w:w="1416"/>
        <w:gridCol w:w="1593"/>
        <w:gridCol w:w="1365"/>
        <w:gridCol w:w="1331"/>
        <w:gridCol w:w="1505"/>
        <w:gridCol w:w="1365"/>
      </w:tblGrid>
      <w:tr w:rsidR="00F87307" w:rsidRPr="002E10AB" w14:paraId="230EB139" w14:textId="77777777" w:rsidTr="00472C0E">
        <w:trPr>
          <w:trHeight w:val="300"/>
        </w:trPr>
        <w:tc>
          <w:tcPr>
            <w:tcW w:w="1042" w:type="pct"/>
            <w:tcBorders>
              <w:top w:val="single" w:sz="4" w:space="0" w:color="auto"/>
              <w:left w:val="single" w:sz="4" w:space="0" w:color="auto"/>
              <w:bottom w:val="single" w:sz="4" w:space="0" w:color="auto"/>
              <w:right w:val="single" w:sz="4" w:space="0" w:color="auto"/>
            </w:tcBorders>
            <w:shd w:val="clear" w:color="000000" w:fill="0B3040"/>
            <w:vAlign w:val="bottom"/>
            <w:hideMark/>
          </w:tcPr>
          <w:p w14:paraId="39A329A4" w14:textId="77777777" w:rsidR="00F87307" w:rsidRPr="002E10AB" w:rsidRDefault="00F87307" w:rsidP="00472C0E">
            <w:pPr>
              <w:rPr>
                <w:rFonts w:ascii="Arial" w:hAnsi="Arial" w:cs="Arial"/>
                <w:b/>
                <w:bCs/>
                <w:color w:val="FFFFFF"/>
                <w:sz w:val="20"/>
                <w:szCs w:val="20"/>
              </w:rPr>
            </w:pPr>
            <w:r w:rsidRPr="002E10AB">
              <w:rPr>
                <w:rFonts w:ascii="Arial" w:hAnsi="Arial" w:cs="Arial"/>
                <w:b/>
                <w:bCs/>
                <w:color w:val="FFFFFF"/>
                <w:sz w:val="20"/>
                <w:szCs w:val="20"/>
              </w:rPr>
              <w:t>VIRI FINANCIRANJA</w:t>
            </w:r>
          </w:p>
        </w:tc>
        <w:tc>
          <w:tcPr>
            <w:tcW w:w="502" w:type="pct"/>
            <w:tcBorders>
              <w:top w:val="single" w:sz="4" w:space="0" w:color="auto"/>
              <w:left w:val="nil"/>
              <w:bottom w:val="single" w:sz="4" w:space="0" w:color="auto"/>
              <w:right w:val="single" w:sz="4" w:space="0" w:color="auto"/>
            </w:tcBorders>
            <w:shd w:val="clear" w:color="000000" w:fill="0B3040"/>
            <w:noWrap/>
            <w:vAlign w:val="bottom"/>
            <w:hideMark/>
          </w:tcPr>
          <w:p w14:paraId="43814EE5" w14:textId="77777777" w:rsidR="00F87307" w:rsidRPr="002E10AB" w:rsidRDefault="00F87307" w:rsidP="00472C0E">
            <w:pPr>
              <w:rPr>
                <w:rFonts w:ascii="Arial" w:hAnsi="Arial" w:cs="Arial"/>
                <w:b/>
                <w:bCs/>
                <w:color w:val="FFFFFF"/>
                <w:sz w:val="20"/>
                <w:szCs w:val="20"/>
              </w:rPr>
            </w:pPr>
            <w:r w:rsidRPr="002E10AB">
              <w:rPr>
                <w:rFonts w:ascii="Arial" w:hAnsi="Arial" w:cs="Arial"/>
                <w:b/>
                <w:bCs/>
                <w:color w:val="FFFFFF"/>
                <w:sz w:val="20"/>
                <w:szCs w:val="20"/>
              </w:rPr>
              <w:t>SKUPAJ</w:t>
            </w:r>
          </w:p>
        </w:tc>
        <w:tc>
          <w:tcPr>
            <w:tcW w:w="453" w:type="pct"/>
            <w:tcBorders>
              <w:top w:val="single" w:sz="4" w:space="0" w:color="auto"/>
              <w:left w:val="nil"/>
              <w:bottom w:val="single" w:sz="4" w:space="0" w:color="auto"/>
              <w:right w:val="single" w:sz="4" w:space="0" w:color="auto"/>
            </w:tcBorders>
            <w:shd w:val="clear" w:color="000000" w:fill="0B3040"/>
            <w:noWrap/>
            <w:vAlign w:val="bottom"/>
            <w:hideMark/>
          </w:tcPr>
          <w:p w14:paraId="52BC8A9F" w14:textId="77777777" w:rsidR="00F87307" w:rsidRPr="002E10AB" w:rsidRDefault="00F87307" w:rsidP="00472C0E">
            <w:pPr>
              <w:rPr>
                <w:rFonts w:ascii="Arial" w:hAnsi="Arial" w:cs="Arial"/>
                <w:b/>
                <w:bCs/>
                <w:color w:val="FFFFFF"/>
                <w:sz w:val="20"/>
                <w:szCs w:val="20"/>
              </w:rPr>
            </w:pPr>
            <w:r w:rsidRPr="002E10AB">
              <w:rPr>
                <w:rFonts w:ascii="Arial" w:hAnsi="Arial" w:cs="Arial"/>
                <w:b/>
                <w:bCs/>
                <w:color w:val="FFFFFF"/>
                <w:sz w:val="20"/>
                <w:szCs w:val="20"/>
              </w:rPr>
              <w:t>DELEŽ</w:t>
            </w:r>
          </w:p>
        </w:tc>
        <w:tc>
          <w:tcPr>
            <w:tcW w:w="496" w:type="pct"/>
            <w:tcBorders>
              <w:top w:val="single" w:sz="4" w:space="0" w:color="auto"/>
              <w:left w:val="nil"/>
              <w:bottom w:val="single" w:sz="4" w:space="0" w:color="auto"/>
              <w:right w:val="single" w:sz="4" w:space="0" w:color="auto"/>
            </w:tcBorders>
            <w:shd w:val="clear" w:color="000000" w:fill="0B3040"/>
            <w:noWrap/>
            <w:vAlign w:val="bottom"/>
            <w:hideMark/>
          </w:tcPr>
          <w:p w14:paraId="261ED107"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2024</w:t>
            </w:r>
          </w:p>
        </w:tc>
        <w:tc>
          <w:tcPr>
            <w:tcW w:w="558" w:type="pct"/>
            <w:tcBorders>
              <w:top w:val="single" w:sz="4" w:space="0" w:color="auto"/>
              <w:left w:val="nil"/>
              <w:bottom w:val="single" w:sz="4" w:space="0" w:color="auto"/>
              <w:right w:val="single" w:sz="4" w:space="0" w:color="auto"/>
            </w:tcBorders>
            <w:shd w:val="clear" w:color="000000" w:fill="0B3040"/>
            <w:noWrap/>
            <w:vAlign w:val="bottom"/>
            <w:hideMark/>
          </w:tcPr>
          <w:p w14:paraId="0745B62A"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2025</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186A1AB7"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2026</w:t>
            </w:r>
          </w:p>
        </w:tc>
        <w:tc>
          <w:tcPr>
            <w:tcW w:w="466" w:type="pct"/>
            <w:tcBorders>
              <w:top w:val="single" w:sz="4" w:space="0" w:color="auto"/>
              <w:left w:val="nil"/>
              <w:bottom w:val="single" w:sz="4" w:space="0" w:color="auto"/>
              <w:right w:val="single" w:sz="4" w:space="0" w:color="auto"/>
            </w:tcBorders>
            <w:shd w:val="clear" w:color="000000" w:fill="0B3040"/>
            <w:noWrap/>
            <w:vAlign w:val="bottom"/>
            <w:hideMark/>
          </w:tcPr>
          <w:p w14:paraId="398F8D76"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2027</w:t>
            </w:r>
          </w:p>
        </w:tc>
        <w:tc>
          <w:tcPr>
            <w:tcW w:w="527" w:type="pct"/>
            <w:tcBorders>
              <w:top w:val="single" w:sz="4" w:space="0" w:color="auto"/>
              <w:left w:val="nil"/>
              <w:bottom w:val="single" w:sz="4" w:space="0" w:color="auto"/>
              <w:right w:val="single" w:sz="4" w:space="0" w:color="auto"/>
            </w:tcBorders>
            <w:shd w:val="clear" w:color="000000" w:fill="0B3040"/>
            <w:noWrap/>
            <w:vAlign w:val="bottom"/>
            <w:hideMark/>
          </w:tcPr>
          <w:p w14:paraId="5332BD6F"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2028</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5C9A35CC" w14:textId="77777777" w:rsidR="00F87307" w:rsidRPr="002E10AB" w:rsidRDefault="00F87307" w:rsidP="00472C0E">
            <w:pPr>
              <w:jc w:val="right"/>
              <w:rPr>
                <w:rFonts w:ascii="Arial" w:hAnsi="Arial" w:cs="Arial"/>
                <w:b/>
                <w:bCs/>
                <w:color w:val="FFFFFF"/>
                <w:sz w:val="20"/>
                <w:szCs w:val="20"/>
              </w:rPr>
            </w:pPr>
            <w:r w:rsidRPr="002E10AB">
              <w:rPr>
                <w:rFonts w:ascii="Arial" w:hAnsi="Arial" w:cs="Arial"/>
                <w:b/>
                <w:bCs/>
                <w:color w:val="FFFFFF"/>
                <w:sz w:val="20"/>
                <w:szCs w:val="20"/>
              </w:rPr>
              <w:t>2029</w:t>
            </w:r>
          </w:p>
        </w:tc>
      </w:tr>
      <w:tr w:rsidR="00F87307" w:rsidRPr="002E10AB" w14:paraId="4771F415"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05B19095" w14:textId="77777777" w:rsidR="00F87307" w:rsidRPr="002E10AB" w:rsidRDefault="00F87307" w:rsidP="00472C0E">
            <w:pPr>
              <w:rPr>
                <w:rFonts w:ascii="Arial" w:hAnsi="Arial" w:cs="Arial"/>
                <w:b/>
                <w:bCs/>
                <w:color w:val="000000"/>
                <w:sz w:val="20"/>
                <w:szCs w:val="20"/>
              </w:rPr>
            </w:pPr>
            <w:r w:rsidRPr="002E10AB">
              <w:rPr>
                <w:rFonts w:ascii="Arial" w:hAnsi="Arial" w:cs="Arial"/>
                <w:b/>
                <w:bCs/>
                <w:color w:val="000000"/>
                <w:sz w:val="20"/>
                <w:szCs w:val="20"/>
              </w:rPr>
              <w:t>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08045270"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2.371.097,85</w:t>
            </w:r>
          </w:p>
        </w:tc>
        <w:tc>
          <w:tcPr>
            <w:tcW w:w="453" w:type="pct"/>
            <w:tcBorders>
              <w:top w:val="nil"/>
              <w:left w:val="nil"/>
              <w:bottom w:val="single" w:sz="4" w:space="0" w:color="auto"/>
              <w:right w:val="single" w:sz="4" w:space="0" w:color="auto"/>
            </w:tcBorders>
            <w:shd w:val="clear" w:color="000000" w:fill="D9D9D9"/>
            <w:noWrap/>
            <w:vAlign w:val="bottom"/>
            <w:hideMark/>
          </w:tcPr>
          <w:p w14:paraId="28DB4FE8"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67,72%</w:t>
            </w:r>
          </w:p>
        </w:tc>
        <w:tc>
          <w:tcPr>
            <w:tcW w:w="496" w:type="pct"/>
            <w:tcBorders>
              <w:top w:val="nil"/>
              <w:left w:val="nil"/>
              <w:bottom w:val="single" w:sz="4" w:space="0" w:color="auto"/>
              <w:right w:val="single" w:sz="4" w:space="0" w:color="auto"/>
            </w:tcBorders>
            <w:shd w:val="clear" w:color="000000" w:fill="D9D9D9"/>
            <w:noWrap/>
            <w:vAlign w:val="bottom"/>
            <w:hideMark/>
          </w:tcPr>
          <w:p w14:paraId="00953A1F"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9.638,00</w:t>
            </w:r>
          </w:p>
        </w:tc>
        <w:tc>
          <w:tcPr>
            <w:tcW w:w="558" w:type="pct"/>
            <w:tcBorders>
              <w:top w:val="nil"/>
              <w:left w:val="nil"/>
              <w:bottom w:val="single" w:sz="4" w:space="0" w:color="auto"/>
              <w:right w:val="single" w:sz="4" w:space="0" w:color="auto"/>
            </w:tcBorders>
            <w:shd w:val="clear" w:color="000000" w:fill="D9D9D9"/>
            <w:noWrap/>
            <w:vAlign w:val="bottom"/>
            <w:hideMark/>
          </w:tcPr>
          <w:p w14:paraId="77E36BA2"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105.283,67</w:t>
            </w:r>
          </w:p>
        </w:tc>
        <w:tc>
          <w:tcPr>
            <w:tcW w:w="478" w:type="pct"/>
            <w:tcBorders>
              <w:top w:val="nil"/>
              <w:left w:val="nil"/>
              <w:bottom w:val="single" w:sz="4" w:space="0" w:color="auto"/>
              <w:right w:val="single" w:sz="4" w:space="0" w:color="auto"/>
            </w:tcBorders>
            <w:shd w:val="clear" w:color="000000" w:fill="D9D9D9"/>
            <w:noWrap/>
            <w:vAlign w:val="bottom"/>
            <w:hideMark/>
          </w:tcPr>
          <w:p w14:paraId="6AA524C7"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725.129,23</w:t>
            </w:r>
          </w:p>
        </w:tc>
        <w:tc>
          <w:tcPr>
            <w:tcW w:w="466" w:type="pct"/>
            <w:tcBorders>
              <w:top w:val="nil"/>
              <w:left w:val="nil"/>
              <w:bottom w:val="single" w:sz="4" w:space="0" w:color="auto"/>
              <w:right w:val="single" w:sz="4" w:space="0" w:color="auto"/>
            </w:tcBorders>
            <w:shd w:val="clear" w:color="000000" w:fill="D9D9D9"/>
            <w:noWrap/>
            <w:vAlign w:val="bottom"/>
            <w:hideMark/>
          </w:tcPr>
          <w:p w14:paraId="5C80E67E"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808.599,72</w:t>
            </w:r>
          </w:p>
        </w:tc>
        <w:tc>
          <w:tcPr>
            <w:tcW w:w="527" w:type="pct"/>
            <w:tcBorders>
              <w:top w:val="nil"/>
              <w:left w:val="nil"/>
              <w:bottom w:val="single" w:sz="4" w:space="0" w:color="auto"/>
              <w:right w:val="single" w:sz="4" w:space="0" w:color="auto"/>
            </w:tcBorders>
            <w:shd w:val="clear" w:color="000000" w:fill="D9D9D9"/>
            <w:noWrap/>
            <w:vAlign w:val="bottom"/>
            <w:hideMark/>
          </w:tcPr>
          <w:p w14:paraId="581767CF"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709.387,66</w:t>
            </w:r>
          </w:p>
        </w:tc>
        <w:tc>
          <w:tcPr>
            <w:tcW w:w="478" w:type="pct"/>
            <w:tcBorders>
              <w:top w:val="nil"/>
              <w:left w:val="nil"/>
              <w:bottom w:val="single" w:sz="4" w:space="0" w:color="auto"/>
              <w:right w:val="single" w:sz="4" w:space="0" w:color="auto"/>
            </w:tcBorders>
            <w:shd w:val="clear" w:color="000000" w:fill="D9D9D9"/>
            <w:noWrap/>
            <w:vAlign w:val="bottom"/>
            <w:hideMark/>
          </w:tcPr>
          <w:p w14:paraId="14F64997"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13.059,57</w:t>
            </w:r>
          </w:p>
        </w:tc>
      </w:tr>
      <w:tr w:rsidR="00F87307" w:rsidRPr="002E10AB" w14:paraId="381A00A1"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79AD9561"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13489C9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1.612.346,55</w:t>
            </w:r>
          </w:p>
        </w:tc>
        <w:tc>
          <w:tcPr>
            <w:tcW w:w="453" w:type="pct"/>
            <w:tcBorders>
              <w:top w:val="nil"/>
              <w:left w:val="nil"/>
              <w:bottom w:val="single" w:sz="4" w:space="0" w:color="auto"/>
              <w:right w:val="single" w:sz="4" w:space="0" w:color="auto"/>
            </w:tcBorders>
            <w:noWrap/>
            <w:vAlign w:val="bottom"/>
            <w:hideMark/>
          </w:tcPr>
          <w:p w14:paraId="63ABBACC"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46,05%</w:t>
            </w:r>
          </w:p>
        </w:tc>
        <w:tc>
          <w:tcPr>
            <w:tcW w:w="496" w:type="pct"/>
            <w:tcBorders>
              <w:top w:val="nil"/>
              <w:left w:val="nil"/>
              <w:bottom w:val="single" w:sz="4" w:space="0" w:color="auto"/>
              <w:right w:val="single" w:sz="4" w:space="0" w:color="auto"/>
            </w:tcBorders>
            <w:noWrap/>
            <w:vAlign w:val="bottom"/>
            <w:hideMark/>
          </w:tcPr>
          <w:p w14:paraId="4E2A069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3D4AB614"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7637E917"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493.087,88</w:t>
            </w:r>
          </w:p>
        </w:tc>
        <w:tc>
          <w:tcPr>
            <w:tcW w:w="466" w:type="pct"/>
            <w:tcBorders>
              <w:top w:val="nil"/>
              <w:left w:val="nil"/>
              <w:bottom w:val="single" w:sz="4" w:space="0" w:color="auto"/>
              <w:right w:val="single" w:sz="4" w:space="0" w:color="auto"/>
            </w:tcBorders>
            <w:noWrap/>
            <w:vAlign w:val="bottom"/>
            <w:hideMark/>
          </w:tcPr>
          <w:p w14:paraId="59F610A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549.847,81</w:t>
            </w:r>
          </w:p>
        </w:tc>
        <w:tc>
          <w:tcPr>
            <w:tcW w:w="527" w:type="pct"/>
            <w:tcBorders>
              <w:top w:val="nil"/>
              <w:left w:val="nil"/>
              <w:bottom w:val="single" w:sz="4" w:space="0" w:color="auto"/>
              <w:right w:val="single" w:sz="4" w:space="0" w:color="auto"/>
            </w:tcBorders>
            <w:noWrap/>
            <w:vAlign w:val="bottom"/>
            <w:hideMark/>
          </w:tcPr>
          <w:p w14:paraId="4FEA269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482.383,61</w:t>
            </w:r>
          </w:p>
        </w:tc>
        <w:tc>
          <w:tcPr>
            <w:tcW w:w="478" w:type="pct"/>
            <w:tcBorders>
              <w:top w:val="nil"/>
              <w:left w:val="nil"/>
              <w:bottom w:val="single" w:sz="4" w:space="0" w:color="auto"/>
              <w:right w:val="single" w:sz="4" w:space="0" w:color="auto"/>
            </w:tcBorders>
            <w:noWrap/>
            <w:vAlign w:val="bottom"/>
            <w:hideMark/>
          </w:tcPr>
          <w:p w14:paraId="64D77114"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8.880,51</w:t>
            </w:r>
          </w:p>
        </w:tc>
      </w:tr>
      <w:tr w:rsidR="00F87307" w:rsidRPr="002E10AB" w14:paraId="734434DD"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5896FDB3"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338F945E"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284.531,75</w:t>
            </w:r>
          </w:p>
        </w:tc>
        <w:tc>
          <w:tcPr>
            <w:tcW w:w="453" w:type="pct"/>
            <w:tcBorders>
              <w:top w:val="nil"/>
              <w:left w:val="nil"/>
              <w:bottom w:val="single" w:sz="4" w:space="0" w:color="auto"/>
              <w:right w:val="single" w:sz="4" w:space="0" w:color="auto"/>
            </w:tcBorders>
            <w:noWrap/>
            <w:vAlign w:val="bottom"/>
            <w:hideMark/>
          </w:tcPr>
          <w:p w14:paraId="263BB9E9"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8,13%</w:t>
            </w:r>
          </w:p>
        </w:tc>
        <w:tc>
          <w:tcPr>
            <w:tcW w:w="496" w:type="pct"/>
            <w:tcBorders>
              <w:top w:val="nil"/>
              <w:left w:val="nil"/>
              <w:bottom w:val="single" w:sz="4" w:space="0" w:color="auto"/>
              <w:right w:val="single" w:sz="4" w:space="0" w:color="auto"/>
            </w:tcBorders>
            <w:noWrap/>
            <w:vAlign w:val="bottom"/>
            <w:hideMark/>
          </w:tcPr>
          <w:p w14:paraId="5C57D85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311454E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7409278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87.015,51</w:t>
            </w:r>
          </w:p>
        </w:tc>
        <w:tc>
          <w:tcPr>
            <w:tcW w:w="466" w:type="pct"/>
            <w:tcBorders>
              <w:top w:val="nil"/>
              <w:left w:val="nil"/>
              <w:bottom w:val="single" w:sz="4" w:space="0" w:color="auto"/>
              <w:right w:val="single" w:sz="4" w:space="0" w:color="auto"/>
            </w:tcBorders>
            <w:noWrap/>
            <w:vAlign w:val="bottom"/>
            <w:hideMark/>
          </w:tcPr>
          <w:p w14:paraId="1E3F8167"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97.031,97</w:t>
            </w:r>
          </w:p>
        </w:tc>
        <w:tc>
          <w:tcPr>
            <w:tcW w:w="527" w:type="pct"/>
            <w:tcBorders>
              <w:top w:val="nil"/>
              <w:left w:val="nil"/>
              <w:bottom w:val="single" w:sz="4" w:space="0" w:color="auto"/>
              <w:right w:val="single" w:sz="4" w:space="0" w:color="auto"/>
            </w:tcBorders>
            <w:noWrap/>
            <w:vAlign w:val="bottom"/>
            <w:hideMark/>
          </w:tcPr>
          <w:p w14:paraId="055407F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85.126,52</w:t>
            </w:r>
          </w:p>
        </w:tc>
        <w:tc>
          <w:tcPr>
            <w:tcW w:w="478" w:type="pct"/>
            <w:tcBorders>
              <w:top w:val="nil"/>
              <w:left w:val="nil"/>
              <w:bottom w:val="single" w:sz="4" w:space="0" w:color="auto"/>
              <w:right w:val="single" w:sz="4" w:space="0" w:color="auto"/>
            </w:tcBorders>
            <w:noWrap/>
            <w:vAlign w:val="bottom"/>
            <w:hideMark/>
          </w:tcPr>
          <w:p w14:paraId="03C337E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1.567,15</w:t>
            </w:r>
          </w:p>
        </w:tc>
      </w:tr>
      <w:tr w:rsidR="00F87307" w:rsidRPr="002E10AB" w14:paraId="59E38DBD"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1AACF8F9"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78D8378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474.219,55</w:t>
            </w:r>
          </w:p>
        </w:tc>
        <w:tc>
          <w:tcPr>
            <w:tcW w:w="453" w:type="pct"/>
            <w:tcBorders>
              <w:top w:val="nil"/>
              <w:left w:val="nil"/>
              <w:bottom w:val="single" w:sz="4" w:space="0" w:color="auto"/>
              <w:right w:val="single" w:sz="4" w:space="0" w:color="auto"/>
            </w:tcBorders>
            <w:noWrap/>
            <w:vAlign w:val="bottom"/>
            <w:hideMark/>
          </w:tcPr>
          <w:p w14:paraId="19D641E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13,54%</w:t>
            </w:r>
          </w:p>
        </w:tc>
        <w:tc>
          <w:tcPr>
            <w:tcW w:w="496" w:type="pct"/>
            <w:tcBorders>
              <w:top w:val="nil"/>
              <w:left w:val="nil"/>
              <w:bottom w:val="single" w:sz="4" w:space="0" w:color="auto"/>
              <w:right w:val="single" w:sz="4" w:space="0" w:color="auto"/>
            </w:tcBorders>
            <w:noWrap/>
            <w:vAlign w:val="bottom"/>
            <w:hideMark/>
          </w:tcPr>
          <w:p w14:paraId="4BAB267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1.927,60</w:t>
            </w:r>
          </w:p>
        </w:tc>
        <w:tc>
          <w:tcPr>
            <w:tcW w:w="558" w:type="pct"/>
            <w:tcBorders>
              <w:top w:val="nil"/>
              <w:left w:val="nil"/>
              <w:bottom w:val="single" w:sz="4" w:space="0" w:color="auto"/>
              <w:right w:val="single" w:sz="4" w:space="0" w:color="auto"/>
            </w:tcBorders>
            <w:noWrap/>
            <w:vAlign w:val="bottom"/>
            <w:hideMark/>
          </w:tcPr>
          <w:p w14:paraId="7FEE89A0"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21.056,73</w:t>
            </w:r>
          </w:p>
        </w:tc>
        <w:tc>
          <w:tcPr>
            <w:tcW w:w="478" w:type="pct"/>
            <w:tcBorders>
              <w:top w:val="nil"/>
              <w:left w:val="nil"/>
              <w:bottom w:val="single" w:sz="4" w:space="0" w:color="auto"/>
              <w:right w:val="single" w:sz="4" w:space="0" w:color="auto"/>
            </w:tcBorders>
            <w:noWrap/>
            <w:vAlign w:val="bottom"/>
            <w:hideMark/>
          </w:tcPr>
          <w:p w14:paraId="7D22B16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145.025,84</w:t>
            </w:r>
          </w:p>
        </w:tc>
        <w:tc>
          <w:tcPr>
            <w:tcW w:w="466" w:type="pct"/>
            <w:tcBorders>
              <w:top w:val="nil"/>
              <w:left w:val="nil"/>
              <w:bottom w:val="single" w:sz="4" w:space="0" w:color="auto"/>
              <w:right w:val="single" w:sz="4" w:space="0" w:color="auto"/>
            </w:tcBorders>
            <w:noWrap/>
            <w:vAlign w:val="bottom"/>
            <w:hideMark/>
          </w:tcPr>
          <w:p w14:paraId="36FC235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161.719,94</w:t>
            </w:r>
          </w:p>
        </w:tc>
        <w:tc>
          <w:tcPr>
            <w:tcW w:w="527" w:type="pct"/>
            <w:tcBorders>
              <w:top w:val="nil"/>
              <w:left w:val="nil"/>
              <w:bottom w:val="single" w:sz="4" w:space="0" w:color="auto"/>
              <w:right w:val="single" w:sz="4" w:space="0" w:color="auto"/>
            </w:tcBorders>
            <w:noWrap/>
            <w:vAlign w:val="bottom"/>
            <w:hideMark/>
          </w:tcPr>
          <w:p w14:paraId="01E3BA1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141.877,53</w:t>
            </w:r>
          </w:p>
        </w:tc>
        <w:tc>
          <w:tcPr>
            <w:tcW w:w="478" w:type="pct"/>
            <w:tcBorders>
              <w:top w:val="nil"/>
              <w:left w:val="nil"/>
              <w:bottom w:val="single" w:sz="4" w:space="0" w:color="auto"/>
              <w:right w:val="single" w:sz="4" w:space="0" w:color="auto"/>
            </w:tcBorders>
            <w:noWrap/>
            <w:vAlign w:val="bottom"/>
            <w:hideMark/>
          </w:tcPr>
          <w:p w14:paraId="18679C4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2.611,91</w:t>
            </w:r>
          </w:p>
        </w:tc>
      </w:tr>
      <w:tr w:rsidR="00F87307" w:rsidRPr="002E10AB" w14:paraId="06DF6041" w14:textId="77777777" w:rsidTr="00472C0E">
        <w:trPr>
          <w:trHeight w:val="468"/>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09C167C0" w14:textId="77777777" w:rsidR="00F87307" w:rsidRPr="002E10AB" w:rsidRDefault="00F87307" w:rsidP="00472C0E">
            <w:pPr>
              <w:rPr>
                <w:rFonts w:ascii="Arial" w:hAnsi="Arial" w:cs="Arial"/>
                <w:b/>
                <w:bCs/>
                <w:color w:val="000000"/>
                <w:sz w:val="20"/>
                <w:szCs w:val="20"/>
              </w:rPr>
            </w:pPr>
            <w:r w:rsidRPr="002E10AB">
              <w:rPr>
                <w:rFonts w:ascii="Arial" w:hAnsi="Arial" w:cs="Arial"/>
                <w:b/>
                <w:bCs/>
                <w:color w:val="000000"/>
                <w:sz w:val="20"/>
                <w:szCs w:val="20"/>
              </w:rPr>
              <w:t xml:space="preserve">NEUPRAVIČENI STROŠKI BREZ POVRATNEGA </w:t>
            </w:r>
            <w:proofErr w:type="spellStart"/>
            <w:r w:rsidRPr="002E10AB">
              <w:rPr>
                <w:rFonts w:ascii="Arial" w:hAnsi="Arial" w:cs="Arial"/>
                <w:b/>
                <w:bCs/>
                <w:color w:val="000000"/>
                <w:sz w:val="20"/>
                <w:szCs w:val="20"/>
              </w:rPr>
              <w:t>DDVja</w:t>
            </w:r>
            <w:proofErr w:type="spellEnd"/>
          </w:p>
        </w:tc>
        <w:tc>
          <w:tcPr>
            <w:tcW w:w="502" w:type="pct"/>
            <w:tcBorders>
              <w:top w:val="nil"/>
              <w:left w:val="nil"/>
              <w:bottom w:val="single" w:sz="4" w:space="0" w:color="auto"/>
              <w:right w:val="single" w:sz="4" w:space="0" w:color="auto"/>
            </w:tcBorders>
            <w:shd w:val="clear" w:color="000000" w:fill="D9D9D9"/>
            <w:noWrap/>
            <w:vAlign w:val="bottom"/>
            <w:hideMark/>
          </w:tcPr>
          <w:p w14:paraId="5BB5ED4A"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1.104.862,61</w:t>
            </w:r>
          </w:p>
        </w:tc>
        <w:tc>
          <w:tcPr>
            <w:tcW w:w="453" w:type="pct"/>
            <w:tcBorders>
              <w:top w:val="nil"/>
              <w:left w:val="nil"/>
              <w:bottom w:val="single" w:sz="4" w:space="0" w:color="auto"/>
              <w:right w:val="single" w:sz="4" w:space="0" w:color="auto"/>
            </w:tcBorders>
            <w:shd w:val="clear" w:color="000000" w:fill="D9D9D9"/>
            <w:noWrap/>
            <w:vAlign w:val="bottom"/>
            <w:hideMark/>
          </w:tcPr>
          <w:p w14:paraId="6D5D2717"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31,56%</w:t>
            </w:r>
          </w:p>
        </w:tc>
        <w:tc>
          <w:tcPr>
            <w:tcW w:w="496" w:type="pct"/>
            <w:tcBorders>
              <w:top w:val="nil"/>
              <w:left w:val="nil"/>
              <w:bottom w:val="single" w:sz="4" w:space="0" w:color="auto"/>
              <w:right w:val="single" w:sz="4" w:space="0" w:color="auto"/>
            </w:tcBorders>
            <w:shd w:val="clear" w:color="000000" w:fill="D9D9D9"/>
            <w:noWrap/>
            <w:vAlign w:val="bottom"/>
            <w:hideMark/>
          </w:tcPr>
          <w:p w14:paraId="29B19D2F"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288.063,17</w:t>
            </w:r>
          </w:p>
        </w:tc>
        <w:tc>
          <w:tcPr>
            <w:tcW w:w="558" w:type="pct"/>
            <w:tcBorders>
              <w:top w:val="nil"/>
              <w:left w:val="nil"/>
              <w:bottom w:val="single" w:sz="4" w:space="0" w:color="auto"/>
              <w:right w:val="single" w:sz="4" w:space="0" w:color="auto"/>
            </w:tcBorders>
            <w:shd w:val="clear" w:color="000000" w:fill="D9D9D9"/>
            <w:noWrap/>
            <w:vAlign w:val="bottom"/>
            <w:hideMark/>
          </w:tcPr>
          <w:p w14:paraId="1DE7E96C"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2.479,85</w:t>
            </w:r>
          </w:p>
        </w:tc>
        <w:tc>
          <w:tcPr>
            <w:tcW w:w="478" w:type="pct"/>
            <w:tcBorders>
              <w:top w:val="nil"/>
              <w:left w:val="nil"/>
              <w:bottom w:val="single" w:sz="4" w:space="0" w:color="auto"/>
              <w:right w:val="single" w:sz="4" w:space="0" w:color="auto"/>
            </w:tcBorders>
            <w:shd w:val="clear" w:color="000000" w:fill="D9D9D9"/>
            <w:noWrap/>
            <w:vAlign w:val="bottom"/>
            <w:hideMark/>
          </w:tcPr>
          <w:p w14:paraId="64F28370"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46A94A29"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27" w:type="pct"/>
            <w:tcBorders>
              <w:top w:val="nil"/>
              <w:left w:val="nil"/>
              <w:bottom w:val="single" w:sz="4" w:space="0" w:color="auto"/>
              <w:right w:val="single" w:sz="4" w:space="0" w:color="auto"/>
            </w:tcBorders>
            <w:shd w:val="clear" w:color="000000" w:fill="D9D9D9"/>
            <w:noWrap/>
            <w:vAlign w:val="bottom"/>
            <w:hideMark/>
          </w:tcPr>
          <w:p w14:paraId="678EE501"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650.584,44</w:t>
            </w:r>
          </w:p>
        </w:tc>
        <w:tc>
          <w:tcPr>
            <w:tcW w:w="478" w:type="pct"/>
            <w:tcBorders>
              <w:top w:val="nil"/>
              <w:left w:val="nil"/>
              <w:bottom w:val="single" w:sz="4" w:space="0" w:color="auto"/>
              <w:right w:val="single" w:sz="4" w:space="0" w:color="auto"/>
            </w:tcBorders>
            <w:shd w:val="clear" w:color="000000" w:fill="D9D9D9"/>
            <w:noWrap/>
            <w:vAlign w:val="bottom"/>
            <w:hideMark/>
          </w:tcPr>
          <w:p w14:paraId="6FF43698"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163.735,15</w:t>
            </w:r>
          </w:p>
        </w:tc>
      </w:tr>
      <w:tr w:rsidR="00F87307" w:rsidRPr="002E10AB" w14:paraId="4CD06D8D"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427C5AFB"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37BB1FF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20C5CC8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5F4323D0"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2DC1D02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F5C6AF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177FB7E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19BE173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C8D891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F87307" w:rsidRPr="002E10AB" w14:paraId="226625DB"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73079748"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054395E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0CDB66D0"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5803F880"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2B61368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4B7554F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6F4A9BD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1C48915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6FBBBF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F87307" w:rsidRPr="002E10AB" w14:paraId="7D743415"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43C70E76"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46829EC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1.104.862,61</w:t>
            </w:r>
          </w:p>
        </w:tc>
        <w:tc>
          <w:tcPr>
            <w:tcW w:w="453" w:type="pct"/>
            <w:tcBorders>
              <w:top w:val="nil"/>
              <w:left w:val="nil"/>
              <w:bottom w:val="single" w:sz="4" w:space="0" w:color="auto"/>
              <w:right w:val="single" w:sz="4" w:space="0" w:color="auto"/>
            </w:tcBorders>
            <w:noWrap/>
            <w:vAlign w:val="bottom"/>
            <w:hideMark/>
          </w:tcPr>
          <w:p w14:paraId="1C12374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31,56%</w:t>
            </w:r>
          </w:p>
        </w:tc>
        <w:tc>
          <w:tcPr>
            <w:tcW w:w="496" w:type="pct"/>
            <w:tcBorders>
              <w:top w:val="nil"/>
              <w:left w:val="nil"/>
              <w:bottom w:val="single" w:sz="4" w:space="0" w:color="auto"/>
              <w:right w:val="single" w:sz="4" w:space="0" w:color="auto"/>
            </w:tcBorders>
            <w:noWrap/>
            <w:vAlign w:val="bottom"/>
            <w:hideMark/>
          </w:tcPr>
          <w:p w14:paraId="01E033E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288.063,17</w:t>
            </w:r>
          </w:p>
        </w:tc>
        <w:tc>
          <w:tcPr>
            <w:tcW w:w="558" w:type="pct"/>
            <w:tcBorders>
              <w:top w:val="nil"/>
              <w:left w:val="nil"/>
              <w:bottom w:val="single" w:sz="4" w:space="0" w:color="auto"/>
              <w:right w:val="single" w:sz="4" w:space="0" w:color="auto"/>
            </w:tcBorders>
            <w:noWrap/>
            <w:vAlign w:val="bottom"/>
            <w:hideMark/>
          </w:tcPr>
          <w:p w14:paraId="11330D57"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2.479,85</w:t>
            </w:r>
          </w:p>
        </w:tc>
        <w:tc>
          <w:tcPr>
            <w:tcW w:w="478" w:type="pct"/>
            <w:tcBorders>
              <w:top w:val="nil"/>
              <w:left w:val="nil"/>
              <w:bottom w:val="single" w:sz="4" w:space="0" w:color="auto"/>
              <w:right w:val="single" w:sz="4" w:space="0" w:color="auto"/>
            </w:tcBorders>
            <w:noWrap/>
            <w:vAlign w:val="bottom"/>
            <w:hideMark/>
          </w:tcPr>
          <w:p w14:paraId="6E938AD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2D42287B"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5E17D08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650.584,44</w:t>
            </w:r>
          </w:p>
        </w:tc>
        <w:tc>
          <w:tcPr>
            <w:tcW w:w="478" w:type="pct"/>
            <w:tcBorders>
              <w:top w:val="nil"/>
              <w:left w:val="nil"/>
              <w:bottom w:val="single" w:sz="4" w:space="0" w:color="auto"/>
              <w:right w:val="single" w:sz="4" w:space="0" w:color="auto"/>
            </w:tcBorders>
            <w:noWrap/>
            <w:vAlign w:val="bottom"/>
            <w:hideMark/>
          </w:tcPr>
          <w:p w14:paraId="52A7765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163.735,15</w:t>
            </w:r>
          </w:p>
        </w:tc>
      </w:tr>
      <w:tr w:rsidR="00F87307" w:rsidRPr="002E10AB" w14:paraId="0DA7C2C1"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6DFEFE37" w14:textId="77777777" w:rsidR="00F87307" w:rsidRPr="002E10AB" w:rsidRDefault="00F87307" w:rsidP="00472C0E">
            <w:pPr>
              <w:rPr>
                <w:rFonts w:ascii="Arial" w:hAnsi="Arial" w:cs="Arial"/>
                <w:b/>
                <w:bCs/>
                <w:color w:val="000000"/>
                <w:sz w:val="20"/>
                <w:szCs w:val="20"/>
              </w:rPr>
            </w:pPr>
            <w:r w:rsidRPr="002E10AB">
              <w:rPr>
                <w:rFonts w:ascii="Arial" w:hAnsi="Arial" w:cs="Arial"/>
                <w:b/>
                <w:bCs/>
                <w:color w:val="000000"/>
                <w:sz w:val="20"/>
                <w:szCs w:val="20"/>
              </w:rPr>
              <w:t>POVRATNI DDV</w:t>
            </w:r>
          </w:p>
        </w:tc>
        <w:tc>
          <w:tcPr>
            <w:tcW w:w="502" w:type="pct"/>
            <w:tcBorders>
              <w:top w:val="nil"/>
              <w:left w:val="nil"/>
              <w:bottom w:val="single" w:sz="4" w:space="0" w:color="auto"/>
              <w:right w:val="single" w:sz="4" w:space="0" w:color="auto"/>
            </w:tcBorders>
            <w:shd w:val="clear" w:color="000000" w:fill="D9D9D9"/>
            <w:noWrap/>
            <w:vAlign w:val="bottom"/>
            <w:hideMark/>
          </w:tcPr>
          <w:p w14:paraId="6A6B7618"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25.274,65</w:t>
            </w:r>
          </w:p>
        </w:tc>
        <w:tc>
          <w:tcPr>
            <w:tcW w:w="453" w:type="pct"/>
            <w:tcBorders>
              <w:top w:val="nil"/>
              <w:left w:val="nil"/>
              <w:bottom w:val="single" w:sz="4" w:space="0" w:color="auto"/>
              <w:right w:val="single" w:sz="4" w:space="0" w:color="auto"/>
            </w:tcBorders>
            <w:shd w:val="clear" w:color="000000" w:fill="D9D9D9"/>
            <w:noWrap/>
            <w:vAlign w:val="bottom"/>
            <w:hideMark/>
          </w:tcPr>
          <w:p w14:paraId="379E6923"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0,72%</w:t>
            </w:r>
          </w:p>
        </w:tc>
        <w:tc>
          <w:tcPr>
            <w:tcW w:w="496" w:type="pct"/>
            <w:tcBorders>
              <w:top w:val="nil"/>
              <w:left w:val="nil"/>
              <w:bottom w:val="single" w:sz="4" w:space="0" w:color="auto"/>
              <w:right w:val="single" w:sz="4" w:space="0" w:color="auto"/>
            </w:tcBorders>
            <w:shd w:val="clear" w:color="000000" w:fill="D9D9D9"/>
            <w:noWrap/>
            <w:vAlign w:val="bottom"/>
            <w:hideMark/>
          </w:tcPr>
          <w:p w14:paraId="53342534"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58" w:type="pct"/>
            <w:tcBorders>
              <w:top w:val="nil"/>
              <w:left w:val="nil"/>
              <w:bottom w:val="single" w:sz="4" w:space="0" w:color="auto"/>
              <w:right w:val="single" w:sz="4" w:space="0" w:color="auto"/>
            </w:tcBorders>
            <w:shd w:val="clear" w:color="000000" w:fill="D9D9D9"/>
            <w:noWrap/>
            <w:vAlign w:val="bottom"/>
            <w:hideMark/>
          </w:tcPr>
          <w:p w14:paraId="12840C4B"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78" w:type="pct"/>
            <w:tcBorders>
              <w:top w:val="nil"/>
              <w:left w:val="nil"/>
              <w:bottom w:val="single" w:sz="4" w:space="0" w:color="auto"/>
              <w:right w:val="single" w:sz="4" w:space="0" w:color="auto"/>
            </w:tcBorders>
            <w:shd w:val="clear" w:color="000000" w:fill="D9D9D9"/>
            <w:noWrap/>
            <w:vAlign w:val="bottom"/>
            <w:hideMark/>
          </w:tcPr>
          <w:p w14:paraId="6ED848E6"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7A718D79"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12.637,33</w:t>
            </w:r>
          </w:p>
        </w:tc>
        <w:tc>
          <w:tcPr>
            <w:tcW w:w="527" w:type="pct"/>
            <w:tcBorders>
              <w:top w:val="nil"/>
              <w:left w:val="nil"/>
              <w:bottom w:val="single" w:sz="4" w:space="0" w:color="auto"/>
              <w:right w:val="single" w:sz="4" w:space="0" w:color="auto"/>
            </w:tcBorders>
            <w:shd w:val="clear" w:color="000000" w:fill="D9D9D9"/>
            <w:noWrap/>
            <w:vAlign w:val="bottom"/>
            <w:hideMark/>
          </w:tcPr>
          <w:p w14:paraId="714D46C7"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12.637,33</w:t>
            </w:r>
          </w:p>
        </w:tc>
        <w:tc>
          <w:tcPr>
            <w:tcW w:w="478" w:type="pct"/>
            <w:tcBorders>
              <w:top w:val="nil"/>
              <w:left w:val="nil"/>
              <w:bottom w:val="single" w:sz="4" w:space="0" w:color="auto"/>
              <w:right w:val="single" w:sz="4" w:space="0" w:color="auto"/>
            </w:tcBorders>
            <w:shd w:val="clear" w:color="000000" w:fill="D9D9D9"/>
            <w:noWrap/>
            <w:vAlign w:val="bottom"/>
            <w:hideMark/>
          </w:tcPr>
          <w:p w14:paraId="3CA128D2"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r>
      <w:tr w:rsidR="00F87307" w:rsidRPr="002E10AB" w14:paraId="413DDC51"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77E71E02"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78771FE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0D0F870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27BD0F7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1B06E08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1DFAF5E"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2D57A8AE"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16EED4A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6361FD4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F87307" w:rsidRPr="002E10AB" w14:paraId="37A8C49C"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7D39D541"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2EB729E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43CF768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090323A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587BE59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423612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7C527E03"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03B9346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731CEC79"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F87307" w:rsidRPr="002E10AB" w14:paraId="4A09FEEA"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608B68D1"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5F40F317"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25.274,65</w:t>
            </w:r>
          </w:p>
        </w:tc>
        <w:tc>
          <w:tcPr>
            <w:tcW w:w="453" w:type="pct"/>
            <w:tcBorders>
              <w:top w:val="nil"/>
              <w:left w:val="nil"/>
              <w:bottom w:val="single" w:sz="4" w:space="0" w:color="auto"/>
              <w:right w:val="single" w:sz="4" w:space="0" w:color="auto"/>
            </w:tcBorders>
            <w:noWrap/>
            <w:vAlign w:val="bottom"/>
            <w:hideMark/>
          </w:tcPr>
          <w:p w14:paraId="59BA990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0,72%</w:t>
            </w:r>
          </w:p>
        </w:tc>
        <w:tc>
          <w:tcPr>
            <w:tcW w:w="496" w:type="pct"/>
            <w:tcBorders>
              <w:top w:val="nil"/>
              <w:left w:val="nil"/>
              <w:bottom w:val="single" w:sz="4" w:space="0" w:color="auto"/>
              <w:right w:val="single" w:sz="4" w:space="0" w:color="auto"/>
            </w:tcBorders>
            <w:noWrap/>
            <w:vAlign w:val="bottom"/>
            <w:hideMark/>
          </w:tcPr>
          <w:p w14:paraId="668DECB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DC04C9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05479B6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27213774"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12.637,33</w:t>
            </w:r>
          </w:p>
        </w:tc>
        <w:tc>
          <w:tcPr>
            <w:tcW w:w="527" w:type="pct"/>
            <w:tcBorders>
              <w:top w:val="nil"/>
              <w:left w:val="nil"/>
              <w:bottom w:val="single" w:sz="4" w:space="0" w:color="auto"/>
              <w:right w:val="single" w:sz="4" w:space="0" w:color="auto"/>
            </w:tcBorders>
            <w:noWrap/>
            <w:vAlign w:val="bottom"/>
            <w:hideMark/>
          </w:tcPr>
          <w:p w14:paraId="405914B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12.637,33</w:t>
            </w:r>
          </w:p>
        </w:tc>
        <w:tc>
          <w:tcPr>
            <w:tcW w:w="478" w:type="pct"/>
            <w:tcBorders>
              <w:top w:val="nil"/>
              <w:left w:val="nil"/>
              <w:bottom w:val="single" w:sz="4" w:space="0" w:color="auto"/>
              <w:right w:val="single" w:sz="4" w:space="0" w:color="auto"/>
            </w:tcBorders>
            <w:noWrap/>
            <w:vAlign w:val="bottom"/>
            <w:hideMark/>
          </w:tcPr>
          <w:p w14:paraId="347D67F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F87307" w:rsidRPr="002E10AB" w14:paraId="02623988"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7C8539D6" w14:textId="77777777" w:rsidR="00F87307" w:rsidRPr="002E10AB" w:rsidRDefault="00F87307" w:rsidP="00472C0E">
            <w:pPr>
              <w:rPr>
                <w:rFonts w:ascii="Arial" w:hAnsi="Arial" w:cs="Arial"/>
                <w:b/>
                <w:bCs/>
                <w:color w:val="000000"/>
                <w:sz w:val="20"/>
                <w:szCs w:val="20"/>
              </w:rPr>
            </w:pPr>
            <w:r w:rsidRPr="002E10AB">
              <w:rPr>
                <w:rFonts w:ascii="Arial" w:hAnsi="Arial" w:cs="Arial"/>
                <w:b/>
                <w:bCs/>
                <w:color w:val="000000"/>
                <w:sz w:val="20"/>
                <w:szCs w:val="20"/>
              </w:rPr>
              <w:t>SKUPAJ</w:t>
            </w:r>
          </w:p>
        </w:tc>
        <w:tc>
          <w:tcPr>
            <w:tcW w:w="502" w:type="pct"/>
            <w:tcBorders>
              <w:top w:val="nil"/>
              <w:left w:val="nil"/>
              <w:bottom w:val="single" w:sz="4" w:space="0" w:color="auto"/>
              <w:right w:val="single" w:sz="4" w:space="0" w:color="auto"/>
            </w:tcBorders>
            <w:shd w:val="clear" w:color="000000" w:fill="D9D9D9"/>
            <w:noWrap/>
            <w:vAlign w:val="bottom"/>
            <w:hideMark/>
          </w:tcPr>
          <w:p w14:paraId="1E08B6FD"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3.501.235,12</w:t>
            </w:r>
          </w:p>
        </w:tc>
        <w:tc>
          <w:tcPr>
            <w:tcW w:w="453" w:type="pct"/>
            <w:tcBorders>
              <w:top w:val="nil"/>
              <w:left w:val="nil"/>
              <w:bottom w:val="single" w:sz="4" w:space="0" w:color="auto"/>
              <w:right w:val="single" w:sz="4" w:space="0" w:color="auto"/>
            </w:tcBorders>
            <w:shd w:val="clear" w:color="000000" w:fill="D9D9D9"/>
            <w:noWrap/>
            <w:vAlign w:val="bottom"/>
            <w:hideMark/>
          </w:tcPr>
          <w:p w14:paraId="4F60BF48"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100,00%</w:t>
            </w:r>
          </w:p>
        </w:tc>
        <w:tc>
          <w:tcPr>
            <w:tcW w:w="496" w:type="pct"/>
            <w:tcBorders>
              <w:top w:val="nil"/>
              <w:left w:val="nil"/>
              <w:bottom w:val="single" w:sz="4" w:space="0" w:color="auto"/>
              <w:right w:val="single" w:sz="4" w:space="0" w:color="auto"/>
            </w:tcBorders>
            <w:shd w:val="clear" w:color="000000" w:fill="D9D9D9"/>
            <w:noWrap/>
            <w:vAlign w:val="bottom"/>
            <w:hideMark/>
          </w:tcPr>
          <w:p w14:paraId="4D970FE9"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297.701,17</w:t>
            </w:r>
          </w:p>
        </w:tc>
        <w:tc>
          <w:tcPr>
            <w:tcW w:w="558" w:type="pct"/>
            <w:tcBorders>
              <w:top w:val="nil"/>
              <w:left w:val="nil"/>
              <w:bottom w:val="single" w:sz="4" w:space="0" w:color="auto"/>
              <w:right w:val="single" w:sz="4" w:space="0" w:color="auto"/>
            </w:tcBorders>
            <w:shd w:val="clear" w:color="000000" w:fill="D9D9D9"/>
            <w:noWrap/>
            <w:vAlign w:val="bottom"/>
            <w:hideMark/>
          </w:tcPr>
          <w:p w14:paraId="374A46EB"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107.763,52</w:t>
            </w:r>
          </w:p>
        </w:tc>
        <w:tc>
          <w:tcPr>
            <w:tcW w:w="478" w:type="pct"/>
            <w:tcBorders>
              <w:top w:val="nil"/>
              <w:left w:val="nil"/>
              <w:bottom w:val="single" w:sz="4" w:space="0" w:color="auto"/>
              <w:right w:val="single" w:sz="4" w:space="0" w:color="auto"/>
            </w:tcBorders>
            <w:shd w:val="clear" w:color="000000" w:fill="D9D9D9"/>
            <w:noWrap/>
            <w:vAlign w:val="bottom"/>
            <w:hideMark/>
          </w:tcPr>
          <w:p w14:paraId="378F8714"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725.129,23</w:t>
            </w:r>
          </w:p>
        </w:tc>
        <w:tc>
          <w:tcPr>
            <w:tcW w:w="466" w:type="pct"/>
            <w:tcBorders>
              <w:top w:val="nil"/>
              <w:left w:val="nil"/>
              <w:bottom w:val="single" w:sz="4" w:space="0" w:color="auto"/>
              <w:right w:val="single" w:sz="4" w:space="0" w:color="auto"/>
            </w:tcBorders>
            <w:shd w:val="clear" w:color="000000" w:fill="D9D9D9"/>
            <w:noWrap/>
            <w:vAlign w:val="bottom"/>
            <w:hideMark/>
          </w:tcPr>
          <w:p w14:paraId="183DDEB6"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821.237,05</w:t>
            </w:r>
          </w:p>
        </w:tc>
        <w:tc>
          <w:tcPr>
            <w:tcW w:w="527" w:type="pct"/>
            <w:tcBorders>
              <w:top w:val="nil"/>
              <w:left w:val="nil"/>
              <w:bottom w:val="single" w:sz="4" w:space="0" w:color="auto"/>
              <w:right w:val="single" w:sz="4" w:space="0" w:color="auto"/>
            </w:tcBorders>
            <w:shd w:val="clear" w:color="000000" w:fill="D9D9D9"/>
            <w:noWrap/>
            <w:vAlign w:val="bottom"/>
            <w:hideMark/>
          </w:tcPr>
          <w:p w14:paraId="1895BACB"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1.372.609,43</w:t>
            </w:r>
          </w:p>
        </w:tc>
        <w:tc>
          <w:tcPr>
            <w:tcW w:w="478" w:type="pct"/>
            <w:tcBorders>
              <w:top w:val="nil"/>
              <w:left w:val="nil"/>
              <w:bottom w:val="single" w:sz="4" w:space="0" w:color="auto"/>
              <w:right w:val="single" w:sz="4" w:space="0" w:color="auto"/>
            </w:tcBorders>
            <w:shd w:val="clear" w:color="000000" w:fill="D9D9D9"/>
            <w:noWrap/>
            <w:vAlign w:val="bottom"/>
            <w:hideMark/>
          </w:tcPr>
          <w:p w14:paraId="432BCCF2" w14:textId="77777777" w:rsidR="00F87307" w:rsidRPr="002E10AB" w:rsidRDefault="00F87307" w:rsidP="00472C0E">
            <w:pPr>
              <w:jc w:val="right"/>
              <w:rPr>
                <w:rFonts w:ascii="Arial" w:hAnsi="Arial" w:cs="Arial"/>
                <w:b/>
                <w:bCs/>
                <w:color w:val="000000"/>
                <w:sz w:val="20"/>
                <w:szCs w:val="20"/>
              </w:rPr>
            </w:pPr>
            <w:r w:rsidRPr="002E10AB">
              <w:rPr>
                <w:rFonts w:ascii="Arial" w:hAnsi="Arial" w:cs="Arial"/>
                <w:b/>
                <w:bCs/>
                <w:color w:val="000000"/>
                <w:sz w:val="20"/>
                <w:szCs w:val="20"/>
              </w:rPr>
              <w:t>176.794,71</w:t>
            </w:r>
          </w:p>
        </w:tc>
      </w:tr>
      <w:tr w:rsidR="00F87307" w:rsidRPr="002E10AB" w14:paraId="7BFFC4D8"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0D45D32D"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4AC324BD"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1.612.346,55</w:t>
            </w:r>
          </w:p>
        </w:tc>
        <w:tc>
          <w:tcPr>
            <w:tcW w:w="453" w:type="pct"/>
            <w:tcBorders>
              <w:top w:val="nil"/>
              <w:left w:val="nil"/>
              <w:bottom w:val="single" w:sz="4" w:space="0" w:color="auto"/>
              <w:right w:val="single" w:sz="4" w:space="0" w:color="auto"/>
            </w:tcBorders>
            <w:noWrap/>
            <w:vAlign w:val="bottom"/>
            <w:hideMark/>
          </w:tcPr>
          <w:p w14:paraId="3B654AC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46,05%</w:t>
            </w:r>
          </w:p>
        </w:tc>
        <w:tc>
          <w:tcPr>
            <w:tcW w:w="496" w:type="pct"/>
            <w:tcBorders>
              <w:top w:val="nil"/>
              <w:left w:val="nil"/>
              <w:bottom w:val="single" w:sz="4" w:space="0" w:color="auto"/>
              <w:right w:val="single" w:sz="4" w:space="0" w:color="auto"/>
            </w:tcBorders>
            <w:noWrap/>
            <w:vAlign w:val="bottom"/>
            <w:hideMark/>
          </w:tcPr>
          <w:p w14:paraId="37F1B27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4E577B3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0D1E782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493.087,88</w:t>
            </w:r>
          </w:p>
        </w:tc>
        <w:tc>
          <w:tcPr>
            <w:tcW w:w="466" w:type="pct"/>
            <w:tcBorders>
              <w:top w:val="nil"/>
              <w:left w:val="nil"/>
              <w:bottom w:val="single" w:sz="4" w:space="0" w:color="auto"/>
              <w:right w:val="single" w:sz="4" w:space="0" w:color="auto"/>
            </w:tcBorders>
            <w:noWrap/>
            <w:vAlign w:val="bottom"/>
            <w:hideMark/>
          </w:tcPr>
          <w:p w14:paraId="64F3FFC0"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549.847,81</w:t>
            </w:r>
          </w:p>
        </w:tc>
        <w:tc>
          <w:tcPr>
            <w:tcW w:w="527" w:type="pct"/>
            <w:tcBorders>
              <w:top w:val="nil"/>
              <w:left w:val="nil"/>
              <w:bottom w:val="single" w:sz="4" w:space="0" w:color="auto"/>
              <w:right w:val="single" w:sz="4" w:space="0" w:color="auto"/>
            </w:tcBorders>
            <w:noWrap/>
            <w:vAlign w:val="bottom"/>
            <w:hideMark/>
          </w:tcPr>
          <w:p w14:paraId="7FA7608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482.383,61</w:t>
            </w:r>
          </w:p>
        </w:tc>
        <w:tc>
          <w:tcPr>
            <w:tcW w:w="478" w:type="pct"/>
            <w:tcBorders>
              <w:top w:val="nil"/>
              <w:left w:val="nil"/>
              <w:bottom w:val="single" w:sz="4" w:space="0" w:color="auto"/>
              <w:right w:val="single" w:sz="4" w:space="0" w:color="auto"/>
            </w:tcBorders>
            <w:noWrap/>
            <w:vAlign w:val="bottom"/>
            <w:hideMark/>
          </w:tcPr>
          <w:p w14:paraId="533038CC"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8.880,51</w:t>
            </w:r>
          </w:p>
        </w:tc>
      </w:tr>
      <w:tr w:rsidR="00F87307" w:rsidRPr="002E10AB" w14:paraId="13F72A0C"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1E2F9166"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21E9C482"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284.531,75</w:t>
            </w:r>
          </w:p>
        </w:tc>
        <w:tc>
          <w:tcPr>
            <w:tcW w:w="453" w:type="pct"/>
            <w:tcBorders>
              <w:top w:val="nil"/>
              <w:left w:val="nil"/>
              <w:bottom w:val="single" w:sz="4" w:space="0" w:color="auto"/>
              <w:right w:val="single" w:sz="4" w:space="0" w:color="auto"/>
            </w:tcBorders>
            <w:noWrap/>
            <w:vAlign w:val="bottom"/>
            <w:hideMark/>
          </w:tcPr>
          <w:p w14:paraId="2024698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8,13%</w:t>
            </w:r>
          </w:p>
        </w:tc>
        <w:tc>
          <w:tcPr>
            <w:tcW w:w="496" w:type="pct"/>
            <w:tcBorders>
              <w:top w:val="nil"/>
              <w:left w:val="nil"/>
              <w:bottom w:val="single" w:sz="4" w:space="0" w:color="auto"/>
              <w:right w:val="single" w:sz="4" w:space="0" w:color="auto"/>
            </w:tcBorders>
            <w:noWrap/>
            <w:vAlign w:val="bottom"/>
            <w:hideMark/>
          </w:tcPr>
          <w:p w14:paraId="2FF0F94C"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4A98944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5A7C4B9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87.015,51</w:t>
            </w:r>
          </w:p>
        </w:tc>
        <w:tc>
          <w:tcPr>
            <w:tcW w:w="466" w:type="pct"/>
            <w:tcBorders>
              <w:top w:val="nil"/>
              <w:left w:val="nil"/>
              <w:bottom w:val="single" w:sz="4" w:space="0" w:color="auto"/>
              <w:right w:val="single" w:sz="4" w:space="0" w:color="auto"/>
            </w:tcBorders>
            <w:noWrap/>
            <w:vAlign w:val="bottom"/>
            <w:hideMark/>
          </w:tcPr>
          <w:p w14:paraId="6D6BDE3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97.031,97</w:t>
            </w:r>
          </w:p>
        </w:tc>
        <w:tc>
          <w:tcPr>
            <w:tcW w:w="527" w:type="pct"/>
            <w:tcBorders>
              <w:top w:val="nil"/>
              <w:left w:val="nil"/>
              <w:bottom w:val="single" w:sz="4" w:space="0" w:color="auto"/>
              <w:right w:val="single" w:sz="4" w:space="0" w:color="auto"/>
            </w:tcBorders>
            <w:noWrap/>
            <w:vAlign w:val="bottom"/>
            <w:hideMark/>
          </w:tcPr>
          <w:p w14:paraId="5E394E21"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85.126,52</w:t>
            </w:r>
          </w:p>
        </w:tc>
        <w:tc>
          <w:tcPr>
            <w:tcW w:w="478" w:type="pct"/>
            <w:tcBorders>
              <w:top w:val="nil"/>
              <w:left w:val="nil"/>
              <w:bottom w:val="single" w:sz="4" w:space="0" w:color="auto"/>
              <w:right w:val="single" w:sz="4" w:space="0" w:color="auto"/>
            </w:tcBorders>
            <w:noWrap/>
            <w:vAlign w:val="bottom"/>
            <w:hideMark/>
          </w:tcPr>
          <w:p w14:paraId="577739F4"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1.567,15</w:t>
            </w:r>
          </w:p>
        </w:tc>
      </w:tr>
      <w:tr w:rsidR="00F87307" w:rsidRPr="002E10AB" w14:paraId="5530FB27"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0C14D120" w14:textId="77777777" w:rsidR="00F87307" w:rsidRPr="002E10AB" w:rsidRDefault="00F87307"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15A76609"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1.604.356,82</w:t>
            </w:r>
          </w:p>
        </w:tc>
        <w:tc>
          <w:tcPr>
            <w:tcW w:w="453" w:type="pct"/>
            <w:tcBorders>
              <w:top w:val="nil"/>
              <w:left w:val="nil"/>
              <w:bottom w:val="single" w:sz="4" w:space="0" w:color="auto"/>
              <w:right w:val="single" w:sz="4" w:space="0" w:color="auto"/>
            </w:tcBorders>
            <w:noWrap/>
            <w:vAlign w:val="bottom"/>
            <w:hideMark/>
          </w:tcPr>
          <w:p w14:paraId="52021D97"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45,82%</w:t>
            </w:r>
          </w:p>
        </w:tc>
        <w:tc>
          <w:tcPr>
            <w:tcW w:w="496" w:type="pct"/>
            <w:tcBorders>
              <w:top w:val="nil"/>
              <w:left w:val="nil"/>
              <w:bottom w:val="single" w:sz="4" w:space="0" w:color="auto"/>
              <w:right w:val="single" w:sz="4" w:space="0" w:color="auto"/>
            </w:tcBorders>
            <w:noWrap/>
            <w:vAlign w:val="bottom"/>
            <w:hideMark/>
          </w:tcPr>
          <w:p w14:paraId="36361E25"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289.990,77</w:t>
            </w:r>
          </w:p>
        </w:tc>
        <w:tc>
          <w:tcPr>
            <w:tcW w:w="558" w:type="pct"/>
            <w:tcBorders>
              <w:top w:val="nil"/>
              <w:left w:val="nil"/>
              <w:bottom w:val="single" w:sz="4" w:space="0" w:color="auto"/>
              <w:right w:val="single" w:sz="4" w:space="0" w:color="auto"/>
            </w:tcBorders>
            <w:noWrap/>
            <w:vAlign w:val="bottom"/>
            <w:hideMark/>
          </w:tcPr>
          <w:p w14:paraId="552F47AF"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23.536,58</w:t>
            </w:r>
          </w:p>
        </w:tc>
        <w:tc>
          <w:tcPr>
            <w:tcW w:w="478" w:type="pct"/>
            <w:tcBorders>
              <w:top w:val="nil"/>
              <w:left w:val="nil"/>
              <w:bottom w:val="single" w:sz="4" w:space="0" w:color="auto"/>
              <w:right w:val="single" w:sz="4" w:space="0" w:color="auto"/>
            </w:tcBorders>
            <w:noWrap/>
            <w:vAlign w:val="bottom"/>
            <w:hideMark/>
          </w:tcPr>
          <w:p w14:paraId="11DDE10A"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145.025,84</w:t>
            </w:r>
          </w:p>
        </w:tc>
        <w:tc>
          <w:tcPr>
            <w:tcW w:w="466" w:type="pct"/>
            <w:tcBorders>
              <w:top w:val="nil"/>
              <w:left w:val="nil"/>
              <w:bottom w:val="single" w:sz="4" w:space="0" w:color="auto"/>
              <w:right w:val="single" w:sz="4" w:space="0" w:color="auto"/>
            </w:tcBorders>
            <w:noWrap/>
            <w:vAlign w:val="bottom"/>
            <w:hideMark/>
          </w:tcPr>
          <w:p w14:paraId="080EF5A8"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174.357,27</w:t>
            </w:r>
          </w:p>
        </w:tc>
        <w:tc>
          <w:tcPr>
            <w:tcW w:w="527" w:type="pct"/>
            <w:tcBorders>
              <w:top w:val="nil"/>
              <w:left w:val="nil"/>
              <w:bottom w:val="single" w:sz="4" w:space="0" w:color="auto"/>
              <w:right w:val="single" w:sz="4" w:space="0" w:color="auto"/>
            </w:tcBorders>
            <w:noWrap/>
            <w:vAlign w:val="bottom"/>
            <w:hideMark/>
          </w:tcPr>
          <w:p w14:paraId="40F2EA46"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805.099,30</w:t>
            </w:r>
          </w:p>
        </w:tc>
        <w:tc>
          <w:tcPr>
            <w:tcW w:w="478" w:type="pct"/>
            <w:tcBorders>
              <w:top w:val="nil"/>
              <w:left w:val="nil"/>
              <w:bottom w:val="single" w:sz="4" w:space="0" w:color="auto"/>
              <w:right w:val="single" w:sz="4" w:space="0" w:color="auto"/>
            </w:tcBorders>
            <w:noWrap/>
            <w:vAlign w:val="bottom"/>
            <w:hideMark/>
          </w:tcPr>
          <w:p w14:paraId="42125AC4" w14:textId="77777777" w:rsidR="00F87307" w:rsidRPr="002E10AB" w:rsidRDefault="00F87307" w:rsidP="00472C0E">
            <w:pPr>
              <w:jc w:val="right"/>
              <w:rPr>
                <w:rFonts w:ascii="Arial" w:hAnsi="Arial" w:cs="Arial"/>
                <w:color w:val="000000"/>
                <w:sz w:val="20"/>
                <w:szCs w:val="20"/>
              </w:rPr>
            </w:pPr>
            <w:r w:rsidRPr="002E10AB">
              <w:rPr>
                <w:rFonts w:ascii="Arial" w:hAnsi="Arial" w:cs="Arial"/>
                <w:color w:val="000000"/>
                <w:sz w:val="20"/>
                <w:szCs w:val="20"/>
              </w:rPr>
              <w:t>166.347,05</w:t>
            </w:r>
          </w:p>
        </w:tc>
      </w:tr>
    </w:tbl>
    <w:p w14:paraId="1B7ED1CE" w14:textId="77777777" w:rsidR="00F87307" w:rsidRDefault="00F87307" w:rsidP="00BD1D20">
      <w:pPr>
        <w:spacing w:after="120" w:line="276" w:lineRule="auto"/>
        <w:jc w:val="both"/>
        <w:rPr>
          <w:rFonts w:asciiTheme="majorHAnsi" w:hAnsiTheme="majorHAnsi" w:cstheme="majorHAnsi"/>
          <w:b/>
          <w:sz w:val="22"/>
          <w:szCs w:val="22"/>
        </w:rPr>
      </w:pPr>
    </w:p>
    <w:p w14:paraId="1E90B8C6" w14:textId="29D56110" w:rsidR="008D1C61" w:rsidRDefault="008D1C61" w:rsidP="00BD1D20">
      <w:pPr>
        <w:spacing w:after="120" w:line="276" w:lineRule="auto"/>
        <w:jc w:val="both"/>
        <w:rPr>
          <w:rFonts w:asciiTheme="majorHAnsi" w:hAnsiTheme="majorHAnsi" w:cstheme="majorHAnsi"/>
          <w:sz w:val="22"/>
          <w:szCs w:val="22"/>
        </w:rPr>
      </w:pPr>
      <w:bookmarkStart w:id="313" w:name="_Toc209528308"/>
      <w:r w:rsidRPr="00F11127">
        <w:rPr>
          <w:rFonts w:asciiTheme="majorHAnsi" w:hAnsiTheme="majorHAnsi" w:cstheme="majorHAnsi"/>
          <w:b/>
          <w:sz w:val="22"/>
          <w:szCs w:val="22"/>
        </w:rPr>
        <w:lastRenderedPageBreak/>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22</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Finančni terminski plan investicije v tekočih cenah v EUR</w:t>
      </w:r>
      <w:bookmarkEnd w:id="313"/>
    </w:p>
    <w:tbl>
      <w:tblPr>
        <w:tblW w:w="4963" w:type="pct"/>
        <w:tblCellMar>
          <w:left w:w="70" w:type="dxa"/>
          <w:right w:w="70" w:type="dxa"/>
        </w:tblCellMar>
        <w:tblLook w:val="04A0" w:firstRow="1" w:lastRow="0" w:firstColumn="1" w:lastColumn="0" w:noHBand="0" w:noVBand="1"/>
      </w:tblPr>
      <w:tblGrid>
        <w:gridCol w:w="4816"/>
        <w:gridCol w:w="1414"/>
        <w:gridCol w:w="1142"/>
        <w:gridCol w:w="1417"/>
        <w:gridCol w:w="1275"/>
        <w:gridCol w:w="1275"/>
        <w:gridCol w:w="1562"/>
        <w:gridCol w:w="1270"/>
      </w:tblGrid>
      <w:tr w:rsidR="00F87307" w:rsidRPr="004A6E4D" w14:paraId="0C60BE9F" w14:textId="77777777" w:rsidTr="00F87307">
        <w:trPr>
          <w:trHeight w:val="284"/>
          <w:tblHeader/>
        </w:trPr>
        <w:tc>
          <w:tcPr>
            <w:tcW w:w="1699"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3A4106D6" w14:textId="77777777" w:rsidR="00F87307" w:rsidRPr="004A6E4D" w:rsidRDefault="00F87307" w:rsidP="00472C0E">
            <w:pPr>
              <w:rPr>
                <w:rFonts w:ascii="Arial" w:hAnsi="Arial" w:cs="Arial"/>
                <w:b/>
                <w:bCs/>
                <w:color w:val="FFFFFF"/>
                <w:sz w:val="20"/>
                <w:szCs w:val="20"/>
              </w:rPr>
            </w:pPr>
            <w:r w:rsidRPr="004A6E4D">
              <w:rPr>
                <w:rFonts w:ascii="Arial" w:hAnsi="Arial" w:cs="Arial"/>
                <w:b/>
                <w:bCs/>
                <w:color w:val="FFFFFF"/>
                <w:sz w:val="20"/>
                <w:szCs w:val="20"/>
              </w:rPr>
              <w:t>Postavka</w:t>
            </w:r>
          </w:p>
        </w:tc>
        <w:tc>
          <w:tcPr>
            <w:tcW w:w="499" w:type="pct"/>
            <w:tcBorders>
              <w:top w:val="single" w:sz="4" w:space="0" w:color="auto"/>
              <w:left w:val="nil"/>
              <w:bottom w:val="single" w:sz="4" w:space="0" w:color="auto"/>
              <w:right w:val="single" w:sz="4" w:space="0" w:color="auto"/>
            </w:tcBorders>
            <w:shd w:val="clear" w:color="000000" w:fill="153D64"/>
            <w:noWrap/>
            <w:vAlign w:val="bottom"/>
            <w:hideMark/>
          </w:tcPr>
          <w:p w14:paraId="6BB0215F" w14:textId="77777777" w:rsidR="00F87307" w:rsidRPr="004A6E4D" w:rsidRDefault="00F87307" w:rsidP="00472C0E">
            <w:pPr>
              <w:rPr>
                <w:rFonts w:ascii="Arial" w:hAnsi="Arial" w:cs="Arial"/>
                <w:b/>
                <w:bCs/>
                <w:color w:val="FFFFFF"/>
                <w:sz w:val="20"/>
                <w:szCs w:val="20"/>
              </w:rPr>
            </w:pPr>
            <w:r w:rsidRPr="004A6E4D">
              <w:rPr>
                <w:rFonts w:ascii="Arial" w:hAnsi="Arial" w:cs="Arial"/>
                <w:b/>
                <w:bCs/>
                <w:color w:val="FFFFFF"/>
                <w:sz w:val="20"/>
                <w:szCs w:val="20"/>
              </w:rPr>
              <w:t>Vrednost</w:t>
            </w:r>
          </w:p>
        </w:tc>
        <w:tc>
          <w:tcPr>
            <w:tcW w:w="403" w:type="pct"/>
            <w:tcBorders>
              <w:top w:val="single" w:sz="4" w:space="0" w:color="auto"/>
              <w:left w:val="nil"/>
              <w:bottom w:val="single" w:sz="4" w:space="0" w:color="auto"/>
              <w:right w:val="single" w:sz="4" w:space="0" w:color="auto"/>
            </w:tcBorders>
            <w:shd w:val="clear" w:color="000000" w:fill="153D64"/>
            <w:noWrap/>
            <w:vAlign w:val="bottom"/>
            <w:hideMark/>
          </w:tcPr>
          <w:p w14:paraId="31C1A8A4"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2024</w:t>
            </w:r>
          </w:p>
        </w:tc>
        <w:tc>
          <w:tcPr>
            <w:tcW w:w="500" w:type="pct"/>
            <w:tcBorders>
              <w:top w:val="single" w:sz="4" w:space="0" w:color="auto"/>
              <w:left w:val="nil"/>
              <w:bottom w:val="single" w:sz="4" w:space="0" w:color="auto"/>
              <w:right w:val="single" w:sz="4" w:space="0" w:color="auto"/>
            </w:tcBorders>
            <w:shd w:val="clear" w:color="000000" w:fill="153D64"/>
            <w:noWrap/>
            <w:vAlign w:val="bottom"/>
            <w:hideMark/>
          </w:tcPr>
          <w:p w14:paraId="6D6F7856"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2025</w:t>
            </w:r>
          </w:p>
        </w:tc>
        <w:tc>
          <w:tcPr>
            <w:tcW w:w="450" w:type="pct"/>
            <w:tcBorders>
              <w:top w:val="single" w:sz="4" w:space="0" w:color="auto"/>
              <w:left w:val="nil"/>
              <w:bottom w:val="single" w:sz="4" w:space="0" w:color="auto"/>
              <w:right w:val="single" w:sz="4" w:space="0" w:color="auto"/>
            </w:tcBorders>
            <w:shd w:val="clear" w:color="000000" w:fill="153D64"/>
            <w:noWrap/>
            <w:vAlign w:val="bottom"/>
            <w:hideMark/>
          </w:tcPr>
          <w:p w14:paraId="6868767F"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2026</w:t>
            </w:r>
          </w:p>
        </w:tc>
        <w:tc>
          <w:tcPr>
            <w:tcW w:w="450" w:type="pct"/>
            <w:tcBorders>
              <w:top w:val="single" w:sz="4" w:space="0" w:color="auto"/>
              <w:left w:val="nil"/>
              <w:bottom w:val="single" w:sz="4" w:space="0" w:color="auto"/>
              <w:right w:val="single" w:sz="4" w:space="0" w:color="auto"/>
            </w:tcBorders>
            <w:shd w:val="clear" w:color="000000" w:fill="153D64"/>
            <w:noWrap/>
            <w:vAlign w:val="bottom"/>
            <w:hideMark/>
          </w:tcPr>
          <w:p w14:paraId="0A96DEB3"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2027</w:t>
            </w:r>
          </w:p>
        </w:tc>
        <w:tc>
          <w:tcPr>
            <w:tcW w:w="551" w:type="pct"/>
            <w:tcBorders>
              <w:top w:val="single" w:sz="4" w:space="0" w:color="auto"/>
              <w:left w:val="nil"/>
              <w:bottom w:val="single" w:sz="4" w:space="0" w:color="auto"/>
              <w:right w:val="single" w:sz="4" w:space="0" w:color="auto"/>
            </w:tcBorders>
            <w:shd w:val="clear" w:color="000000" w:fill="153D64"/>
            <w:noWrap/>
            <w:vAlign w:val="bottom"/>
            <w:hideMark/>
          </w:tcPr>
          <w:p w14:paraId="58EA3678"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2028</w:t>
            </w:r>
          </w:p>
        </w:tc>
        <w:tc>
          <w:tcPr>
            <w:tcW w:w="450" w:type="pct"/>
            <w:tcBorders>
              <w:top w:val="single" w:sz="4" w:space="0" w:color="auto"/>
              <w:left w:val="nil"/>
              <w:bottom w:val="single" w:sz="4" w:space="0" w:color="auto"/>
              <w:right w:val="single" w:sz="4" w:space="0" w:color="auto"/>
            </w:tcBorders>
            <w:shd w:val="clear" w:color="000000" w:fill="153D64"/>
            <w:noWrap/>
            <w:vAlign w:val="bottom"/>
            <w:hideMark/>
          </w:tcPr>
          <w:p w14:paraId="2C387156" w14:textId="77777777" w:rsidR="00F87307" w:rsidRPr="004A6E4D" w:rsidRDefault="00F87307" w:rsidP="00472C0E">
            <w:pPr>
              <w:jc w:val="right"/>
              <w:rPr>
                <w:rFonts w:ascii="Arial" w:hAnsi="Arial" w:cs="Arial"/>
                <w:b/>
                <w:bCs/>
                <w:color w:val="FFFFFF"/>
                <w:sz w:val="20"/>
                <w:szCs w:val="20"/>
              </w:rPr>
            </w:pPr>
            <w:r w:rsidRPr="004A6E4D">
              <w:rPr>
                <w:rFonts w:ascii="Arial" w:hAnsi="Arial" w:cs="Arial"/>
                <w:b/>
                <w:bCs/>
                <w:color w:val="FFFFFF"/>
                <w:sz w:val="20"/>
                <w:szCs w:val="20"/>
              </w:rPr>
              <w:t>2029</w:t>
            </w:r>
          </w:p>
        </w:tc>
      </w:tr>
      <w:tr w:rsidR="00F87307" w:rsidRPr="004A6E4D" w14:paraId="6890C1E1"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767D8D16"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Govekarjeva cesta</w:t>
            </w:r>
          </w:p>
        </w:tc>
        <w:tc>
          <w:tcPr>
            <w:tcW w:w="499" w:type="pct"/>
            <w:tcBorders>
              <w:top w:val="nil"/>
              <w:left w:val="nil"/>
              <w:bottom w:val="single" w:sz="4" w:space="0" w:color="auto"/>
              <w:right w:val="single" w:sz="4" w:space="0" w:color="auto"/>
            </w:tcBorders>
            <w:noWrap/>
            <w:vAlign w:val="bottom"/>
            <w:hideMark/>
          </w:tcPr>
          <w:p w14:paraId="499A6F1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710.549,80</w:t>
            </w:r>
          </w:p>
        </w:tc>
        <w:tc>
          <w:tcPr>
            <w:tcW w:w="403" w:type="pct"/>
            <w:tcBorders>
              <w:top w:val="nil"/>
              <w:left w:val="nil"/>
              <w:bottom w:val="single" w:sz="4" w:space="0" w:color="auto"/>
              <w:right w:val="single" w:sz="4" w:space="0" w:color="auto"/>
            </w:tcBorders>
            <w:noWrap/>
            <w:vAlign w:val="bottom"/>
            <w:hideMark/>
          </w:tcPr>
          <w:p w14:paraId="7BA7056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518679C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EF9FCB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4761C2C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261.120,75</w:t>
            </w:r>
          </w:p>
        </w:tc>
        <w:tc>
          <w:tcPr>
            <w:tcW w:w="551" w:type="pct"/>
            <w:tcBorders>
              <w:top w:val="nil"/>
              <w:left w:val="nil"/>
              <w:bottom w:val="single" w:sz="4" w:space="0" w:color="auto"/>
              <w:right w:val="single" w:sz="4" w:space="0" w:color="auto"/>
            </w:tcBorders>
            <w:noWrap/>
            <w:vAlign w:val="bottom"/>
            <w:hideMark/>
          </w:tcPr>
          <w:p w14:paraId="0C79A67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449.429,05</w:t>
            </w:r>
          </w:p>
        </w:tc>
        <w:tc>
          <w:tcPr>
            <w:tcW w:w="450" w:type="pct"/>
            <w:tcBorders>
              <w:top w:val="nil"/>
              <w:left w:val="nil"/>
              <w:bottom w:val="single" w:sz="4" w:space="0" w:color="auto"/>
              <w:right w:val="single" w:sz="4" w:space="0" w:color="auto"/>
            </w:tcBorders>
            <w:noWrap/>
            <w:vAlign w:val="bottom"/>
            <w:hideMark/>
          </w:tcPr>
          <w:p w14:paraId="31F3946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7471ACBF"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146AB0C1"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Troštova ulica</w:t>
            </w:r>
          </w:p>
        </w:tc>
        <w:tc>
          <w:tcPr>
            <w:tcW w:w="499" w:type="pct"/>
            <w:tcBorders>
              <w:top w:val="nil"/>
              <w:left w:val="nil"/>
              <w:bottom w:val="single" w:sz="4" w:space="0" w:color="auto"/>
              <w:right w:val="single" w:sz="4" w:space="0" w:color="auto"/>
            </w:tcBorders>
            <w:noWrap/>
            <w:vAlign w:val="bottom"/>
            <w:hideMark/>
          </w:tcPr>
          <w:p w14:paraId="5C0B91B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166.335,43</w:t>
            </w:r>
          </w:p>
        </w:tc>
        <w:tc>
          <w:tcPr>
            <w:tcW w:w="403" w:type="pct"/>
            <w:tcBorders>
              <w:top w:val="nil"/>
              <w:left w:val="nil"/>
              <w:bottom w:val="single" w:sz="4" w:space="0" w:color="auto"/>
              <w:right w:val="single" w:sz="4" w:space="0" w:color="auto"/>
            </w:tcBorders>
            <w:noWrap/>
            <w:vAlign w:val="bottom"/>
            <w:hideMark/>
          </w:tcPr>
          <w:p w14:paraId="48475A5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7462C73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C81D84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C54194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166.335,43</w:t>
            </w:r>
          </w:p>
        </w:tc>
        <w:tc>
          <w:tcPr>
            <w:tcW w:w="551" w:type="pct"/>
            <w:tcBorders>
              <w:top w:val="nil"/>
              <w:left w:val="nil"/>
              <w:bottom w:val="single" w:sz="4" w:space="0" w:color="auto"/>
              <w:right w:val="single" w:sz="4" w:space="0" w:color="auto"/>
            </w:tcBorders>
            <w:noWrap/>
            <w:vAlign w:val="bottom"/>
            <w:hideMark/>
          </w:tcPr>
          <w:p w14:paraId="7159A22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16AFE1A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56E384C4"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7FD01BD"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Križišče Govekarjeva-Troštova</w:t>
            </w:r>
          </w:p>
        </w:tc>
        <w:tc>
          <w:tcPr>
            <w:tcW w:w="499" w:type="pct"/>
            <w:tcBorders>
              <w:top w:val="nil"/>
              <w:left w:val="nil"/>
              <w:bottom w:val="single" w:sz="4" w:space="0" w:color="auto"/>
              <w:right w:val="single" w:sz="4" w:space="0" w:color="auto"/>
            </w:tcBorders>
            <w:noWrap/>
            <w:vAlign w:val="bottom"/>
            <w:hideMark/>
          </w:tcPr>
          <w:p w14:paraId="50388E4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161.849,79</w:t>
            </w:r>
          </w:p>
        </w:tc>
        <w:tc>
          <w:tcPr>
            <w:tcW w:w="403" w:type="pct"/>
            <w:tcBorders>
              <w:top w:val="nil"/>
              <w:left w:val="nil"/>
              <w:bottom w:val="single" w:sz="4" w:space="0" w:color="auto"/>
              <w:right w:val="single" w:sz="4" w:space="0" w:color="auto"/>
            </w:tcBorders>
            <w:noWrap/>
            <w:vAlign w:val="bottom"/>
            <w:hideMark/>
          </w:tcPr>
          <w:p w14:paraId="37D67B6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3A47F81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604E7D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53DFA8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161.849,79</w:t>
            </w:r>
          </w:p>
        </w:tc>
        <w:tc>
          <w:tcPr>
            <w:tcW w:w="551" w:type="pct"/>
            <w:tcBorders>
              <w:top w:val="nil"/>
              <w:left w:val="nil"/>
              <w:bottom w:val="single" w:sz="4" w:space="0" w:color="auto"/>
              <w:right w:val="single" w:sz="4" w:space="0" w:color="auto"/>
            </w:tcBorders>
            <w:noWrap/>
            <w:vAlign w:val="bottom"/>
            <w:hideMark/>
          </w:tcPr>
          <w:p w14:paraId="25C07FC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4F2EFB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1346835B"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71693701"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Javni sistem izposoje koles</w:t>
            </w:r>
          </w:p>
        </w:tc>
        <w:tc>
          <w:tcPr>
            <w:tcW w:w="499" w:type="pct"/>
            <w:tcBorders>
              <w:top w:val="nil"/>
              <w:left w:val="nil"/>
              <w:bottom w:val="single" w:sz="4" w:space="0" w:color="auto"/>
              <w:right w:val="single" w:sz="4" w:space="0" w:color="auto"/>
            </w:tcBorders>
            <w:noWrap/>
            <w:vAlign w:val="bottom"/>
            <w:hideMark/>
          </w:tcPr>
          <w:p w14:paraId="6C701F7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57.333,76</w:t>
            </w:r>
          </w:p>
        </w:tc>
        <w:tc>
          <w:tcPr>
            <w:tcW w:w="403" w:type="pct"/>
            <w:tcBorders>
              <w:top w:val="nil"/>
              <w:left w:val="nil"/>
              <w:bottom w:val="single" w:sz="4" w:space="0" w:color="auto"/>
              <w:right w:val="single" w:sz="4" w:space="0" w:color="auto"/>
            </w:tcBorders>
            <w:noWrap/>
            <w:vAlign w:val="bottom"/>
            <w:hideMark/>
          </w:tcPr>
          <w:p w14:paraId="13253FB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170AAF8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FFC38D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A1D5A6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57.333,76</w:t>
            </w:r>
          </w:p>
        </w:tc>
        <w:tc>
          <w:tcPr>
            <w:tcW w:w="551" w:type="pct"/>
            <w:tcBorders>
              <w:top w:val="nil"/>
              <w:left w:val="nil"/>
              <w:bottom w:val="single" w:sz="4" w:space="0" w:color="auto"/>
              <w:right w:val="single" w:sz="4" w:space="0" w:color="auto"/>
            </w:tcBorders>
            <w:noWrap/>
            <w:vAlign w:val="bottom"/>
            <w:hideMark/>
          </w:tcPr>
          <w:p w14:paraId="3323355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8C2C68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51511EF3"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132A05E4"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Parkirišča za kolesa - Govekarjeva cesta</w:t>
            </w:r>
          </w:p>
        </w:tc>
        <w:tc>
          <w:tcPr>
            <w:tcW w:w="499" w:type="pct"/>
            <w:tcBorders>
              <w:top w:val="nil"/>
              <w:left w:val="nil"/>
              <w:bottom w:val="single" w:sz="4" w:space="0" w:color="auto"/>
              <w:right w:val="single" w:sz="4" w:space="0" w:color="auto"/>
            </w:tcBorders>
            <w:noWrap/>
            <w:vAlign w:val="bottom"/>
            <w:hideMark/>
          </w:tcPr>
          <w:p w14:paraId="4E30A86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403" w:type="pct"/>
            <w:tcBorders>
              <w:top w:val="nil"/>
              <w:left w:val="nil"/>
              <w:bottom w:val="single" w:sz="4" w:space="0" w:color="auto"/>
              <w:right w:val="single" w:sz="4" w:space="0" w:color="auto"/>
            </w:tcBorders>
            <w:noWrap/>
            <w:vAlign w:val="bottom"/>
            <w:hideMark/>
          </w:tcPr>
          <w:p w14:paraId="5B5EB92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5BF2C57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B8E696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16F7CD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551" w:type="pct"/>
            <w:tcBorders>
              <w:top w:val="nil"/>
              <w:left w:val="nil"/>
              <w:bottom w:val="single" w:sz="4" w:space="0" w:color="auto"/>
              <w:right w:val="single" w:sz="4" w:space="0" w:color="auto"/>
            </w:tcBorders>
            <w:noWrap/>
            <w:vAlign w:val="bottom"/>
            <w:hideMark/>
          </w:tcPr>
          <w:p w14:paraId="5D1478A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5657BF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7463B81A"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301D2BEA"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Parkirišča za kolesa - staro župnišče</w:t>
            </w:r>
          </w:p>
        </w:tc>
        <w:tc>
          <w:tcPr>
            <w:tcW w:w="499" w:type="pct"/>
            <w:tcBorders>
              <w:top w:val="nil"/>
              <w:left w:val="nil"/>
              <w:bottom w:val="single" w:sz="4" w:space="0" w:color="auto"/>
              <w:right w:val="single" w:sz="4" w:space="0" w:color="auto"/>
            </w:tcBorders>
            <w:noWrap/>
            <w:vAlign w:val="bottom"/>
            <w:hideMark/>
          </w:tcPr>
          <w:p w14:paraId="6A2A8F7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6.665,11</w:t>
            </w:r>
          </w:p>
        </w:tc>
        <w:tc>
          <w:tcPr>
            <w:tcW w:w="403" w:type="pct"/>
            <w:tcBorders>
              <w:top w:val="nil"/>
              <w:left w:val="nil"/>
              <w:bottom w:val="single" w:sz="4" w:space="0" w:color="auto"/>
              <w:right w:val="single" w:sz="4" w:space="0" w:color="auto"/>
            </w:tcBorders>
            <w:noWrap/>
            <w:vAlign w:val="bottom"/>
            <w:hideMark/>
          </w:tcPr>
          <w:p w14:paraId="7D88030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65E9F40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B44409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46F68C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211283E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6.665,11</w:t>
            </w:r>
          </w:p>
        </w:tc>
        <w:tc>
          <w:tcPr>
            <w:tcW w:w="450" w:type="pct"/>
            <w:tcBorders>
              <w:top w:val="nil"/>
              <w:left w:val="nil"/>
              <w:bottom w:val="single" w:sz="4" w:space="0" w:color="auto"/>
              <w:right w:val="single" w:sz="4" w:space="0" w:color="auto"/>
            </w:tcBorders>
            <w:noWrap/>
            <w:vAlign w:val="bottom"/>
            <w:hideMark/>
          </w:tcPr>
          <w:p w14:paraId="5E5B6CA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7BE64985"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309AA632"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Parkirišča za kolesa - trg (kolesarnica)</w:t>
            </w:r>
          </w:p>
        </w:tc>
        <w:tc>
          <w:tcPr>
            <w:tcW w:w="499" w:type="pct"/>
            <w:tcBorders>
              <w:top w:val="nil"/>
              <w:left w:val="nil"/>
              <w:bottom w:val="single" w:sz="4" w:space="0" w:color="auto"/>
              <w:right w:val="single" w:sz="4" w:space="0" w:color="auto"/>
            </w:tcBorders>
            <w:noWrap/>
            <w:vAlign w:val="bottom"/>
            <w:hideMark/>
          </w:tcPr>
          <w:p w14:paraId="37E6A39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64.993,90</w:t>
            </w:r>
          </w:p>
        </w:tc>
        <w:tc>
          <w:tcPr>
            <w:tcW w:w="403" w:type="pct"/>
            <w:tcBorders>
              <w:top w:val="nil"/>
              <w:left w:val="nil"/>
              <w:bottom w:val="single" w:sz="4" w:space="0" w:color="auto"/>
              <w:right w:val="single" w:sz="4" w:space="0" w:color="auto"/>
            </w:tcBorders>
            <w:noWrap/>
            <w:vAlign w:val="bottom"/>
            <w:hideMark/>
          </w:tcPr>
          <w:p w14:paraId="196D642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14A83B2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14F150B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8B202E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3027096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64.993,90</w:t>
            </w:r>
          </w:p>
        </w:tc>
        <w:tc>
          <w:tcPr>
            <w:tcW w:w="450" w:type="pct"/>
            <w:tcBorders>
              <w:top w:val="nil"/>
              <w:left w:val="nil"/>
              <w:bottom w:val="single" w:sz="4" w:space="0" w:color="auto"/>
              <w:right w:val="single" w:sz="4" w:space="0" w:color="auto"/>
            </w:tcBorders>
            <w:noWrap/>
            <w:vAlign w:val="bottom"/>
            <w:hideMark/>
          </w:tcPr>
          <w:p w14:paraId="64A07CF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4F70171A"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C9F6BF3"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Parkirišča za kolesa - telovadnica</w:t>
            </w:r>
          </w:p>
        </w:tc>
        <w:tc>
          <w:tcPr>
            <w:tcW w:w="499" w:type="pct"/>
            <w:tcBorders>
              <w:top w:val="nil"/>
              <w:left w:val="nil"/>
              <w:bottom w:val="single" w:sz="4" w:space="0" w:color="auto"/>
              <w:right w:val="single" w:sz="4" w:space="0" w:color="auto"/>
            </w:tcBorders>
            <w:noWrap/>
            <w:vAlign w:val="bottom"/>
            <w:hideMark/>
          </w:tcPr>
          <w:p w14:paraId="1AFD343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403" w:type="pct"/>
            <w:tcBorders>
              <w:top w:val="nil"/>
              <w:left w:val="nil"/>
              <w:bottom w:val="single" w:sz="4" w:space="0" w:color="auto"/>
              <w:right w:val="single" w:sz="4" w:space="0" w:color="auto"/>
            </w:tcBorders>
            <w:noWrap/>
            <w:vAlign w:val="bottom"/>
            <w:hideMark/>
          </w:tcPr>
          <w:p w14:paraId="699A947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6A3FC97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C21BC3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53D805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551" w:type="pct"/>
            <w:tcBorders>
              <w:top w:val="nil"/>
              <w:left w:val="nil"/>
              <w:bottom w:val="single" w:sz="4" w:space="0" w:color="auto"/>
              <w:right w:val="single" w:sz="4" w:space="0" w:color="auto"/>
            </w:tcBorders>
            <w:noWrap/>
            <w:vAlign w:val="bottom"/>
            <w:hideMark/>
          </w:tcPr>
          <w:p w14:paraId="4371499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C212AB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71CEB230"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1A3326E0"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Parkirišča za kolesa - park</w:t>
            </w:r>
          </w:p>
        </w:tc>
        <w:tc>
          <w:tcPr>
            <w:tcW w:w="499" w:type="pct"/>
            <w:tcBorders>
              <w:top w:val="nil"/>
              <w:left w:val="nil"/>
              <w:bottom w:val="single" w:sz="4" w:space="0" w:color="auto"/>
              <w:right w:val="single" w:sz="4" w:space="0" w:color="auto"/>
            </w:tcBorders>
            <w:noWrap/>
            <w:vAlign w:val="bottom"/>
            <w:hideMark/>
          </w:tcPr>
          <w:p w14:paraId="37671E7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403" w:type="pct"/>
            <w:tcBorders>
              <w:top w:val="nil"/>
              <w:left w:val="nil"/>
              <w:bottom w:val="single" w:sz="4" w:space="0" w:color="auto"/>
              <w:right w:val="single" w:sz="4" w:space="0" w:color="auto"/>
            </w:tcBorders>
            <w:noWrap/>
            <w:vAlign w:val="bottom"/>
            <w:hideMark/>
          </w:tcPr>
          <w:p w14:paraId="05F5691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32CD794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FB2CED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9B7035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6.528,02</w:t>
            </w:r>
          </w:p>
        </w:tc>
        <w:tc>
          <w:tcPr>
            <w:tcW w:w="551" w:type="pct"/>
            <w:tcBorders>
              <w:top w:val="nil"/>
              <w:left w:val="nil"/>
              <w:bottom w:val="single" w:sz="4" w:space="0" w:color="auto"/>
              <w:right w:val="single" w:sz="4" w:space="0" w:color="auto"/>
            </w:tcBorders>
            <w:noWrap/>
            <w:vAlign w:val="bottom"/>
            <w:hideMark/>
          </w:tcPr>
          <w:p w14:paraId="5D07577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DB3B25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45A16657"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2196C6F6"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Merilniki, prikazovalniki in števci</w:t>
            </w:r>
          </w:p>
        </w:tc>
        <w:tc>
          <w:tcPr>
            <w:tcW w:w="499" w:type="pct"/>
            <w:tcBorders>
              <w:top w:val="nil"/>
              <w:left w:val="nil"/>
              <w:bottom w:val="single" w:sz="4" w:space="0" w:color="auto"/>
              <w:right w:val="single" w:sz="4" w:space="0" w:color="auto"/>
            </w:tcBorders>
            <w:noWrap/>
            <w:vAlign w:val="bottom"/>
            <w:hideMark/>
          </w:tcPr>
          <w:p w14:paraId="305B980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50.547,11</w:t>
            </w:r>
          </w:p>
        </w:tc>
        <w:tc>
          <w:tcPr>
            <w:tcW w:w="403" w:type="pct"/>
            <w:tcBorders>
              <w:top w:val="nil"/>
              <w:left w:val="nil"/>
              <w:bottom w:val="single" w:sz="4" w:space="0" w:color="auto"/>
              <w:right w:val="single" w:sz="4" w:space="0" w:color="auto"/>
            </w:tcBorders>
            <w:noWrap/>
            <w:vAlign w:val="bottom"/>
            <w:hideMark/>
          </w:tcPr>
          <w:p w14:paraId="71E397B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4340B9F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52A710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83ED38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4D461F3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50.547,11</w:t>
            </w:r>
          </w:p>
        </w:tc>
        <w:tc>
          <w:tcPr>
            <w:tcW w:w="450" w:type="pct"/>
            <w:tcBorders>
              <w:top w:val="nil"/>
              <w:left w:val="nil"/>
              <w:bottom w:val="single" w:sz="4" w:space="0" w:color="auto"/>
              <w:right w:val="single" w:sz="4" w:space="0" w:color="auto"/>
            </w:tcBorders>
            <w:noWrap/>
            <w:vAlign w:val="bottom"/>
            <w:hideMark/>
          </w:tcPr>
          <w:p w14:paraId="1629334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7ED15749"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5BDFE3E2"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Avtobusno postajališče - nivo ceste</w:t>
            </w:r>
          </w:p>
        </w:tc>
        <w:tc>
          <w:tcPr>
            <w:tcW w:w="499" w:type="pct"/>
            <w:tcBorders>
              <w:top w:val="nil"/>
              <w:left w:val="nil"/>
              <w:bottom w:val="single" w:sz="4" w:space="0" w:color="auto"/>
              <w:right w:val="single" w:sz="4" w:space="0" w:color="auto"/>
            </w:tcBorders>
            <w:noWrap/>
            <w:vAlign w:val="bottom"/>
            <w:hideMark/>
          </w:tcPr>
          <w:p w14:paraId="37362B7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310.487,47</w:t>
            </w:r>
          </w:p>
        </w:tc>
        <w:tc>
          <w:tcPr>
            <w:tcW w:w="403" w:type="pct"/>
            <w:tcBorders>
              <w:top w:val="nil"/>
              <w:left w:val="nil"/>
              <w:bottom w:val="single" w:sz="4" w:space="0" w:color="auto"/>
              <w:right w:val="single" w:sz="4" w:space="0" w:color="auto"/>
            </w:tcBorders>
            <w:noWrap/>
            <w:vAlign w:val="bottom"/>
            <w:hideMark/>
          </w:tcPr>
          <w:p w14:paraId="1A2F4E2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23D504F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E2CE57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310.487,47</w:t>
            </w:r>
          </w:p>
        </w:tc>
        <w:tc>
          <w:tcPr>
            <w:tcW w:w="450" w:type="pct"/>
            <w:tcBorders>
              <w:top w:val="nil"/>
              <w:left w:val="nil"/>
              <w:bottom w:val="single" w:sz="4" w:space="0" w:color="auto"/>
              <w:right w:val="single" w:sz="4" w:space="0" w:color="auto"/>
            </w:tcBorders>
            <w:noWrap/>
            <w:vAlign w:val="bottom"/>
            <w:hideMark/>
          </w:tcPr>
          <w:p w14:paraId="5B6C606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67BBE6A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E8D53B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2EC34B9F"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00E9A7C"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Avtobusno postajališče - nadstrešnica</w:t>
            </w:r>
          </w:p>
        </w:tc>
        <w:tc>
          <w:tcPr>
            <w:tcW w:w="499" w:type="pct"/>
            <w:tcBorders>
              <w:top w:val="nil"/>
              <w:left w:val="nil"/>
              <w:bottom w:val="single" w:sz="4" w:space="0" w:color="auto"/>
              <w:right w:val="single" w:sz="4" w:space="0" w:color="auto"/>
            </w:tcBorders>
            <w:noWrap/>
            <w:vAlign w:val="bottom"/>
            <w:hideMark/>
          </w:tcPr>
          <w:p w14:paraId="0B49506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255.528,12</w:t>
            </w:r>
          </w:p>
        </w:tc>
        <w:tc>
          <w:tcPr>
            <w:tcW w:w="403" w:type="pct"/>
            <w:tcBorders>
              <w:top w:val="nil"/>
              <w:left w:val="nil"/>
              <w:bottom w:val="single" w:sz="4" w:space="0" w:color="auto"/>
              <w:right w:val="single" w:sz="4" w:space="0" w:color="auto"/>
            </w:tcBorders>
            <w:noWrap/>
            <w:vAlign w:val="bottom"/>
            <w:hideMark/>
          </w:tcPr>
          <w:p w14:paraId="52D3362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0BD18B6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0DEA7D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255.528,12</w:t>
            </w:r>
          </w:p>
        </w:tc>
        <w:tc>
          <w:tcPr>
            <w:tcW w:w="450" w:type="pct"/>
            <w:tcBorders>
              <w:top w:val="nil"/>
              <w:left w:val="nil"/>
              <w:bottom w:val="single" w:sz="4" w:space="0" w:color="auto"/>
              <w:right w:val="single" w:sz="4" w:space="0" w:color="auto"/>
            </w:tcBorders>
            <w:noWrap/>
            <w:vAlign w:val="bottom"/>
            <w:hideMark/>
          </w:tcPr>
          <w:p w14:paraId="78D9DBB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58CFCC6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6E29D8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5E5C9B6B"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1538CFFB"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Parkirišče z vhodom v šolo</w:t>
            </w:r>
          </w:p>
        </w:tc>
        <w:tc>
          <w:tcPr>
            <w:tcW w:w="499" w:type="pct"/>
            <w:tcBorders>
              <w:top w:val="nil"/>
              <w:left w:val="nil"/>
              <w:bottom w:val="single" w:sz="4" w:space="0" w:color="auto"/>
              <w:right w:val="single" w:sz="4" w:space="0" w:color="auto"/>
            </w:tcBorders>
            <w:noWrap/>
            <w:vAlign w:val="bottom"/>
            <w:hideMark/>
          </w:tcPr>
          <w:p w14:paraId="3F8F930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713.840,52</w:t>
            </w:r>
          </w:p>
        </w:tc>
        <w:tc>
          <w:tcPr>
            <w:tcW w:w="403" w:type="pct"/>
            <w:tcBorders>
              <w:top w:val="nil"/>
              <w:left w:val="nil"/>
              <w:bottom w:val="single" w:sz="4" w:space="0" w:color="auto"/>
              <w:right w:val="single" w:sz="4" w:space="0" w:color="auto"/>
            </w:tcBorders>
            <w:noWrap/>
            <w:vAlign w:val="bottom"/>
            <w:hideMark/>
          </w:tcPr>
          <w:p w14:paraId="08307D2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473E0F7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2E4584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D1CA49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4EE22EA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568.683,94</w:t>
            </w:r>
          </w:p>
        </w:tc>
        <w:tc>
          <w:tcPr>
            <w:tcW w:w="450" w:type="pct"/>
            <w:tcBorders>
              <w:top w:val="nil"/>
              <w:left w:val="nil"/>
              <w:bottom w:val="single" w:sz="4" w:space="0" w:color="auto"/>
              <w:right w:val="single" w:sz="4" w:space="0" w:color="auto"/>
            </w:tcBorders>
            <w:noWrap/>
            <w:vAlign w:val="bottom"/>
            <w:hideMark/>
          </w:tcPr>
          <w:p w14:paraId="5624D71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145.156,58</w:t>
            </w:r>
          </w:p>
        </w:tc>
      </w:tr>
      <w:tr w:rsidR="00F87307" w:rsidRPr="004A6E4D" w14:paraId="04FB69A1" w14:textId="77777777" w:rsidTr="00F87307">
        <w:trPr>
          <w:trHeight w:val="284"/>
        </w:trPr>
        <w:tc>
          <w:tcPr>
            <w:tcW w:w="1699" w:type="pct"/>
            <w:tcBorders>
              <w:top w:val="nil"/>
              <w:left w:val="single" w:sz="4" w:space="0" w:color="auto"/>
              <w:bottom w:val="single" w:sz="4" w:space="0" w:color="auto"/>
              <w:right w:val="single" w:sz="4" w:space="0" w:color="auto"/>
            </w:tcBorders>
            <w:shd w:val="clear" w:color="000000" w:fill="D9D9D9"/>
            <w:vAlign w:val="bottom"/>
            <w:hideMark/>
          </w:tcPr>
          <w:p w14:paraId="21C340B3" w14:textId="77777777" w:rsidR="00F87307" w:rsidRPr="004A6E4D" w:rsidRDefault="00F87307" w:rsidP="00472C0E">
            <w:pPr>
              <w:rPr>
                <w:rFonts w:ascii="Arial" w:hAnsi="Arial" w:cs="Arial"/>
                <w:i/>
                <w:iCs/>
                <w:color w:val="000000"/>
                <w:sz w:val="20"/>
                <w:szCs w:val="20"/>
              </w:rPr>
            </w:pPr>
            <w:r w:rsidRPr="004A6E4D">
              <w:rPr>
                <w:rFonts w:ascii="Arial" w:hAnsi="Arial" w:cs="Arial"/>
                <w:i/>
                <w:iCs/>
                <w:color w:val="000000"/>
                <w:sz w:val="20"/>
                <w:szCs w:val="20"/>
              </w:rPr>
              <w:t>Skupaj GOI dela</w:t>
            </w:r>
          </w:p>
        </w:tc>
        <w:tc>
          <w:tcPr>
            <w:tcW w:w="499" w:type="pct"/>
            <w:tcBorders>
              <w:top w:val="nil"/>
              <w:left w:val="nil"/>
              <w:bottom w:val="single" w:sz="4" w:space="0" w:color="auto"/>
              <w:right w:val="single" w:sz="4" w:space="0" w:color="auto"/>
            </w:tcBorders>
            <w:shd w:val="clear" w:color="000000" w:fill="D9D9D9"/>
            <w:noWrap/>
            <w:vAlign w:val="bottom"/>
            <w:hideMark/>
          </w:tcPr>
          <w:p w14:paraId="5A95CAEC"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2.517.715,06</w:t>
            </w:r>
          </w:p>
        </w:tc>
        <w:tc>
          <w:tcPr>
            <w:tcW w:w="403" w:type="pct"/>
            <w:tcBorders>
              <w:top w:val="nil"/>
              <w:left w:val="nil"/>
              <w:bottom w:val="single" w:sz="4" w:space="0" w:color="auto"/>
              <w:right w:val="single" w:sz="4" w:space="0" w:color="auto"/>
            </w:tcBorders>
            <w:shd w:val="clear" w:color="000000" w:fill="D9D9D9"/>
            <w:noWrap/>
            <w:vAlign w:val="bottom"/>
            <w:hideMark/>
          </w:tcPr>
          <w:p w14:paraId="12740CB6"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500" w:type="pct"/>
            <w:tcBorders>
              <w:top w:val="nil"/>
              <w:left w:val="nil"/>
              <w:bottom w:val="single" w:sz="4" w:space="0" w:color="auto"/>
              <w:right w:val="single" w:sz="4" w:space="0" w:color="auto"/>
            </w:tcBorders>
            <w:shd w:val="clear" w:color="000000" w:fill="D9D9D9"/>
            <w:noWrap/>
            <w:vAlign w:val="bottom"/>
            <w:hideMark/>
          </w:tcPr>
          <w:p w14:paraId="09186016"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0,00</w:t>
            </w:r>
          </w:p>
        </w:tc>
        <w:tc>
          <w:tcPr>
            <w:tcW w:w="450" w:type="pct"/>
            <w:tcBorders>
              <w:top w:val="nil"/>
              <w:left w:val="nil"/>
              <w:bottom w:val="single" w:sz="4" w:space="0" w:color="auto"/>
              <w:right w:val="single" w:sz="4" w:space="0" w:color="auto"/>
            </w:tcBorders>
            <w:shd w:val="clear" w:color="000000" w:fill="D9D9D9"/>
            <w:noWrap/>
            <w:vAlign w:val="bottom"/>
            <w:hideMark/>
          </w:tcPr>
          <w:p w14:paraId="072AE7CA"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566.015,59</w:t>
            </w:r>
          </w:p>
        </w:tc>
        <w:tc>
          <w:tcPr>
            <w:tcW w:w="450" w:type="pct"/>
            <w:tcBorders>
              <w:top w:val="nil"/>
              <w:left w:val="nil"/>
              <w:bottom w:val="single" w:sz="4" w:space="0" w:color="auto"/>
              <w:right w:val="single" w:sz="4" w:space="0" w:color="auto"/>
            </w:tcBorders>
            <w:shd w:val="clear" w:color="000000" w:fill="D9D9D9"/>
            <w:noWrap/>
            <w:vAlign w:val="bottom"/>
            <w:hideMark/>
          </w:tcPr>
          <w:p w14:paraId="140AE1EA"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666.223,79</w:t>
            </w:r>
          </w:p>
        </w:tc>
        <w:tc>
          <w:tcPr>
            <w:tcW w:w="551" w:type="pct"/>
            <w:tcBorders>
              <w:top w:val="nil"/>
              <w:left w:val="nil"/>
              <w:bottom w:val="single" w:sz="4" w:space="0" w:color="auto"/>
              <w:right w:val="single" w:sz="4" w:space="0" w:color="auto"/>
            </w:tcBorders>
            <w:shd w:val="clear" w:color="000000" w:fill="D9D9D9"/>
            <w:noWrap/>
            <w:vAlign w:val="bottom"/>
            <w:hideMark/>
          </w:tcPr>
          <w:p w14:paraId="008983F6"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1.140.319,11</w:t>
            </w:r>
          </w:p>
        </w:tc>
        <w:tc>
          <w:tcPr>
            <w:tcW w:w="450" w:type="pct"/>
            <w:tcBorders>
              <w:top w:val="nil"/>
              <w:left w:val="nil"/>
              <w:bottom w:val="single" w:sz="4" w:space="0" w:color="auto"/>
              <w:right w:val="single" w:sz="4" w:space="0" w:color="auto"/>
            </w:tcBorders>
            <w:shd w:val="clear" w:color="000000" w:fill="D9D9D9"/>
            <w:noWrap/>
            <w:vAlign w:val="bottom"/>
            <w:hideMark/>
          </w:tcPr>
          <w:p w14:paraId="36981F74" w14:textId="77777777" w:rsidR="00F87307" w:rsidRPr="004A6E4D" w:rsidRDefault="00F87307" w:rsidP="00472C0E">
            <w:pPr>
              <w:jc w:val="right"/>
              <w:rPr>
                <w:rFonts w:ascii="Arial" w:hAnsi="Arial" w:cs="Arial"/>
                <w:i/>
                <w:iCs/>
                <w:color w:val="000000"/>
                <w:sz w:val="20"/>
                <w:szCs w:val="20"/>
              </w:rPr>
            </w:pPr>
            <w:r w:rsidRPr="004A6E4D">
              <w:rPr>
                <w:rFonts w:ascii="Arial" w:hAnsi="Arial" w:cs="Arial"/>
                <w:i/>
                <w:iCs/>
                <w:color w:val="000000"/>
                <w:sz w:val="20"/>
                <w:szCs w:val="20"/>
              </w:rPr>
              <w:t>145.156,58</w:t>
            </w:r>
          </w:p>
        </w:tc>
      </w:tr>
      <w:tr w:rsidR="00F87307" w:rsidRPr="004A6E4D" w14:paraId="3D8DBEC6"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3C10052E"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Strokovni nadzor</w:t>
            </w:r>
          </w:p>
        </w:tc>
        <w:tc>
          <w:tcPr>
            <w:tcW w:w="499" w:type="pct"/>
            <w:tcBorders>
              <w:top w:val="nil"/>
              <w:left w:val="nil"/>
              <w:bottom w:val="single" w:sz="4" w:space="0" w:color="auto"/>
              <w:right w:val="single" w:sz="4" w:space="0" w:color="auto"/>
            </w:tcBorders>
            <w:noWrap/>
            <w:vAlign w:val="bottom"/>
            <w:hideMark/>
          </w:tcPr>
          <w:p w14:paraId="4DA3785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75.531,45</w:t>
            </w:r>
          </w:p>
        </w:tc>
        <w:tc>
          <w:tcPr>
            <w:tcW w:w="403" w:type="pct"/>
            <w:tcBorders>
              <w:top w:val="nil"/>
              <w:left w:val="nil"/>
              <w:bottom w:val="single" w:sz="4" w:space="0" w:color="auto"/>
              <w:right w:val="single" w:sz="4" w:space="0" w:color="auto"/>
            </w:tcBorders>
            <w:noWrap/>
            <w:vAlign w:val="bottom"/>
            <w:hideMark/>
          </w:tcPr>
          <w:p w14:paraId="5E2A217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1153128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AF96F6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16.980,47</w:t>
            </w:r>
          </w:p>
        </w:tc>
        <w:tc>
          <w:tcPr>
            <w:tcW w:w="450" w:type="pct"/>
            <w:tcBorders>
              <w:top w:val="nil"/>
              <w:left w:val="nil"/>
              <w:bottom w:val="single" w:sz="4" w:space="0" w:color="auto"/>
              <w:right w:val="single" w:sz="4" w:space="0" w:color="auto"/>
            </w:tcBorders>
            <w:noWrap/>
            <w:vAlign w:val="bottom"/>
            <w:hideMark/>
          </w:tcPr>
          <w:p w14:paraId="0E34618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19.986,71</w:t>
            </w:r>
          </w:p>
        </w:tc>
        <w:tc>
          <w:tcPr>
            <w:tcW w:w="551" w:type="pct"/>
            <w:tcBorders>
              <w:top w:val="nil"/>
              <w:left w:val="nil"/>
              <w:bottom w:val="single" w:sz="4" w:space="0" w:color="auto"/>
              <w:right w:val="single" w:sz="4" w:space="0" w:color="auto"/>
            </w:tcBorders>
            <w:noWrap/>
            <w:vAlign w:val="bottom"/>
            <w:hideMark/>
          </w:tcPr>
          <w:p w14:paraId="0A8EED2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34.209,57</w:t>
            </w:r>
          </w:p>
        </w:tc>
        <w:tc>
          <w:tcPr>
            <w:tcW w:w="450" w:type="pct"/>
            <w:tcBorders>
              <w:top w:val="nil"/>
              <w:left w:val="nil"/>
              <w:bottom w:val="single" w:sz="4" w:space="0" w:color="auto"/>
              <w:right w:val="single" w:sz="4" w:space="0" w:color="auto"/>
            </w:tcBorders>
            <w:noWrap/>
            <w:vAlign w:val="bottom"/>
            <w:hideMark/>
          </w:tcPr>
          <w:p w14:paraId="282C10D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4.354,70</w:t>
            </w:r>
          </w:p>
        </w:tc>
      </w:tr>
      <w:tr w:rsidR="00F87307" w:rsidRPr="004A6E4D" w14:paraId="0A287619"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01DC8926"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Projektna dokumentacija</w:t>
            </w:r>
          </w:p>
        </w:tc>
        <w:tc>
          <w:tcPr>
            <w:tcW w:w="499" w:type="pct"/>
            <w:tcBorders>
              <w:top w:val="nil"/>
              <w:left w:val="nil"/>
              <w:bottom w:val="single" w:sz="4" w:space="0" w:color="auto"/>
              <w:right w:val="single" w:sz="4" w:space="0" w:color="auto"/>
            </w:tcBorders>
            <w:noWrap/>
            <w:vAlign w:val="bottom"/>
            <w:hideMark/>
          </w:tcPr>
          <w:p w14:paraId="04863AC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97.869,62</w:t>
            </w:r>
          </w:p>
        </w:tc>
        <w:tc>
          <w:tcPr>
            <w:tcW w:w="403" w:type="pct"/>
            <w:tcBorders>
              <w:top w:val="nil"/>
              <w:left w:val="nil"/>
              <w:bottom w:val="single" w:sz="4" w:space="0" w:color="auto"/>
              <w:right w:val="single" w:sz="4" w:space="0" w:color="auto"/>
            </w:tcBorders>
            <w:noWrap/>
            <w:vAlign w:val="bottom"/>
            <w:hideMark/>
          </w:tcPr>
          <w:p w14:paraId="289DFE5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7.200,00</w:t>
            </w:r>
          </w:p>
        </w:tc>
        <w:tc>
          <w:tcPr>
            <w:tcW w:w="500" w:type="pct"/>
            <w:tcBorders>
              <w:top w:val="nil"/>
              <w:left w:val="nil"/>
              <w:bottom w:val="single" w:sz="4" w:space="0" w:color="auto"/>
              <w:right w:val="single" w:sz="4" w:space="0" w:color="auto"/>
            </w:tcBorders>
            <w:noWrap/>
            <w:vAlign w:val="bottom"/>
            <w:hideMark/>
          </w:tcPr>
          <w:p w14:paraId="503357F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72.732,21</w:t>
            </w:r>
          </w:p>
        </w:tc>
        <w:tc>
          <w:tcPr>
            <w:tcW w:w="450" w:type="pct"/>
            <w:tcBorders>
              <w:top w:val="nil"/>
              <w:left w:val="nil"/>
              <w:bottom w:val="single" w:sz="4" w:space="0" w:color="auto"/>
              <w:right w:val="single" w:sz="4" w:space="0" w:color="auto"/>
            </w:tcBorders>
            <w:noWrap/>
            <w:vAlign w:val="bottom"/>
            <w:hideMark/>
          </w:tcPr>
          <w:p w14:paraId="5CC16BD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8.504,32</w:t>
            </w:r>
          </w:p>
        </w:tc>
        <w:tc>
          <w:tcPr>
            <w:tcW w:w="450" w:type="pct"/>
            <w:tcBorders>
              <w:top w:val="nil"/>
              <w:left w:val="nil"/>
              <w:bottom w:val="single" w:sz="4" w:space="0" w:color="auto"/>
              <w:right w:val="single" w:sz="4" w:space="0" w:color="auto"/>
            </w:tcBorders>
            <w:noWrap/>
            <w:vAlign w:val="bottom"/>
            <w:hideMark/>
          </w:tcPr>
          <w:p w14:paraId="0352EA9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4.028,22</w:t>
            </w:r>
          </w:p>
        </w:tc>
        <w:tc>
          <w:tcPr>
            <w:tcW w:w="551" w:type="pct"/>
            <w:tcBorders>
              <w:top w:val="nil"/>
              <w:left w:val="nil"/>
              <w:bottom w:val="single" w:sz="4" w:space="0" w:color="auto"/>
              <w:right w:val="single" w:sz="4" w:space="0" w:color="auto"/>
            </w:tcBorders>
            <w:noWrap/>
            <w:vAlign w:val="bottom"/>
            <w:hideMark/>
          </w:tcPr>
          <w:p w14:paraId="1EFDF09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4.112,82</w:t>
            </w:r>
          </w:p>
        </w:tc>
        <w:tc>
          <w:tcPr>
            <w:tcW w:w="450" w:type="pct"/>
            <w:tcBorders>
              <w:top w:val="nil"/>
              <w:left w:val="nil"/>
              <w:bottom w:val="single" w:sz="4" w:space="0" w:color="auto"/>
              <w:right w:val="single" w:sz="4" w:space="0" w:color="auto"/>
            </w:tcBorders>
            <w:noWrap/>
            <w:vAlign w:val="bottom"/>
            <w:hideMark/>
          </w:tcPr>
          <w:p w14:paraId="0F033C2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1.292,06</w:t>
            </w:r>
          </w:p>
        </w:tc>
      </w:tr>
      <w:tr w:rsidR="00F87307" w:rsidRPr="004A6E4D" w14:paraId="5B2B682C"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D475833"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Inženiring</w:t>
            </w:r>
          </w:p>
        </w:tc>
        <w:tc>
          <w:tcPr>
            <w:tcW w:w="499" w:type="pct"/>
            <w:tcBorders>
              <w:top w:val="nil"/>
              <w:left w:val="nil"/>
              <w:bottom w:val="single" w:sz="4" w:space="0" w:color="auto"/>
              <w:right w:val="single" w:sz="4" w:space="0" w:color="auto"/>
            </w:tcBorders>
            <w:noWrap/>
            <w:vAlign w:val="bottom"/>
            <w:hideMark/>
          </w:tcPr>
          <w:p w14:paraId="450F826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25.177,15</w:t>
            </w:r>
          </w:p>
        </w:tc>
        <w:tc>
          <w:tcPr>
            <w:tcW w:w="403" w:type="pct"/>
            <w:tcBorders>
              <w:top w:val="nil"/>
              <w:left w:val="nil"/>
              <w:bottom w:val="single" w:sz="4" w:space="0" w:color="auto"/>
              <w:right w:val="single" w:sz="4" w:space="0" w:color="auto"/>
            </w:tcBorders>
            <w:noWrap/>
            <w:vAlign w:val="bottom"/>
            <w:hideMark/>
          </w:tcPr>
          <w:p w14:paraId="79C67B1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4E6C6C3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080F5A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5.660,16</w:t>
            </w:r>
          </w:p>
        </w:tc>
        <w:tc>
          <w:tcPr>
            <w:tcW w:w="450" w:type="pct"/>
            <w:tcBorders>
              <w:top w:val="nil"/>
              <w:left w:val="nil"/>
              <w:bottom w:val="single" w:sz="4" w:space="0" w:color="auto"/>
              <w:right w:val="single" w:sz="4" w:space="0" w:color="auto"/>
            </w:tcBorders>
            <w:noWrap/>
            <w:vAlign w:val="bottom"/>
            <w:hideMark/>
          </w:tcPr>
          <w:p w14:paraId="5E5D599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6.662,24</w:t>
            </w:r>
          </w:p>
        </w:tc>
        <w:tc>
          <w:tcPr>
            <w:tcW w:w="551" w:type="pct"/>
            <w:tcBorders>
              <w:top w:val="nil"/>
              <w:left w:val="nil"/>
              <w:bottom w:val="single" w:sz="4" w:space="0" w:color="auto"/>
              <w:right w:val="single" w:sz="4" w:space="0" w:color="auto"/>
            </w:tcBorders>
            <w:noWrap/>
            <w:vAlign w:val="bottom"/>
            <w:hideMark/>
          </w:tcPr>
          <w:p w14:paraId="3E43DA9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11.403,19</w:t>
            </w:r>
          </w:p>
        </w:tc>
        <w:tc>
          <w:tcPr>
            <w:tcW w:w="450" w:type="pct"/>
            <w:tcBorders>
              <w:top w:val="nil"/>
              <w:left w:val="nil"/>
              <w:bottom w:val="single" w:sz="4" w:space="0" w:color="auto"/>
              <w:right w:val="single" w:sz="4" w:space="0" w:color="auto"/>
            </w:tcBorders>
            <w:noWrap/>
            <w:vAlign w:val="bottom"/>
            <w:hideMark/>
          </w:tcPr>
          <w:p w14:paraId="4C25A4A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1.451,57</w:t>
            </w:r>
          </w:p>
        </w:tc>
      </w:tr>
      <w:tr w:rsidR="00F87307" w:rsidRPr="004A6E4D" w14:paraId="211B2222"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2B484C55"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Obveščanje javnosti</w:t>
            </w:r>
          </w:p>
        </w:tc>
        <w:tc>
          <w:tcPr>
            <w:tcW w:w="499" w:type="pct"/>
            <w:tcBorders>
              <w:top w:val="nil"/>
              <w:left w:val="nil"/>
              <w:bottom w:val="single" w:sz="4" w:space="0" w:color="auto"/>
              <w:right w:val="single" w:sz="4" w:space="0" w:color="auto"/>
            </w:tcBorders>
            <w:noWrap/>
            <w:vAlign w:val="bottom"/>
            <w:hideMark/>
          </w:tcPr>
          <w:p w14:paraId="0FA5256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4.327,11</w:t>
            </w:r>
          </w:p>
        </w:tc>
        <w:tc>
          <w:tcPr>
            <w:tcW w:w="403" w:type="pct"/>
            <w:tcBorders>
              <w:top w:val="nil"/>
              <w:left w:val="nil"/>
              <w:bottom w:val="single" w:sz="4" w:space="0" w:color="auto"/>
              <w:right w:val="single" w:sz="4" w:space="0" w:color="auto"/>
            </w:tcBorders>
            <w:noWrap/>
            <w:vAlign w:val="bottom"/>
            <w:hideMark/>
          </w:tcPr>
          <w:p w14:paraId="574D96C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569F351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4C4FF3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1.677,04</w:t>
            </w:r>
          </w:p>
        </w:tc>
        <w:tc>
          <w:tcPr>
            <w:tcW w:w="450" w:type="pct"/>
            <w:tcBorders>
              <w:top w:val="nil"/>
              <w:left w:val="nil"/>
              <w:bottom w:val="single" w:sz="4" w:space="0" w:color="auto"/>
              <w:right w:val="single" w:sz="4" w:space="0" w:color="auto"/>
            </w:tcBorders>
            <w:noWrap/>
            <w:vAlign w:val="bottom"/>
            <w:hideMark/>
          </w:tcPr>
          <w:p w14:paraId="0480840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428,07</w:t>
            </w:r>
          </w:p>
        </w:tc>
        <w:tc>
          <w:tcPr>
            <w:tcW w:w="551" w:type="pct"/>
            <w:tcBorders>
              <w:top w:val="nil"/>
              <w:left w:val="nil"/>
              <w:bottom w:val="single" w:sz="4" w:space="0" w:color="auto"/>
              <w:right w:val="single" w:sz="4" w:space="0" w:color="auto"/>
            </w:tcBorders>
            <w:noWrap/>
            <w:vAlign w:val="bottom"/>
            <w:hideMark/>
          </w:tcPr>
          <w:p w14:paraId="5154E0B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437,06</w:t>
            </w:r>
          </w:p>
        </w:tc>
        <w:tc>
          <w:tcPr>
            <w:tcW w:w="450" w:type="pct"/>
            <w:tcBorders>
              <w:top w:val="nil"/>
              <w:left w:val="nil"/>
              <w:bottom w:val="single" w:sz="4" w:space="0" w:color="auto"/>
              <w:right w:val="single" w:sz="4" w:space="0" w:color="auto"/>
            </w:tcBorders>
            <w:noWrap/>
            <w:vAlign w:val="bottom"/>
            <w:hideMark/>
          </w:tcPr>
          <w:p w14:paraId="403DE23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1.784,93</w:t>
            </w:r>
          </w:p>
        </w:tc>
      </w:tr>
      <w:tr w:rsidR="00F87307" w:rsidRPr="004A6E4D" w14:paraId="309ADEF3"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28F92BE6"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Investicijska in ostala dokumentacija</w:t>
            </w:r>
          </w:p>
        </w:tc>
        <w:tc>
          <w:tcPr>
            <w:tcW w:w="499" w:type="pct"/>
            <w:tcBorders>
              <w:top w:val="nil"/>
              <w:left w:val="nil"/>
              <w:bottom w:val="single" w:sz="4" w:space="0" w:color="auto"/>
              <w:right w:val="single" w:sz="4" w:space="0" w:color="auto"/>
            </w:tcBorders>
            <w:noWrap/>
            <w:vAlign w:val="bottom"/>
            <w:hideMark/>
          </w:tcPr>
          <w:p w14:paraId="7A15DD3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14.265,88</w:t>
            </w:r>
          </w:p>
        </w:tc>
        <w:tc>
          <w:tcPr>
            <w:tcW w:w="403" w:type="pct"/>
            <w:tcBorders>
              <w:top w:val="nil"/>
              <w:left w:val="nil"/>
              <w:bottom w:val="single" w:sz="4" w:space="0" w:color="auto"/>
              <w:right w:val="single" w:sz="4" w:space="0" w:color="auto"/>
            </w:tcBorders>
            <w:noWrap/>
            <w:vAlign w:val="bottom"/>
            <w:hideMark/>
          </w:tcPr>
          <w:p w14:paraId="7179F95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700,00</w:t>
            </w:r>
          </w:p>
        </w:tc>
        <w:tc>
          <w:tcPr>
            <w:tcW w:w="500" w:type="pct"/>
            <w:tcBorders>
              <w:top w:val="nil"/>
              <w:left w:val="nil"/>
              <w:bottom w:val="single" w:sz="4" w:space="0" w:color="auto"/>
              <w:right w:val="single" w:sz="4" w:space="0" w:color="auto"/>
            </w:tcBorders>
            <w:noWrap/>
            <w:vAlign w:val="bottom"/>
            <w:hideMark/>
          </w:tcPr>
          <w:p w14:paraId="6F5E616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13.565,88</w:t>
            </w:r>
          </w:p>
        </w:tc>
        <w:tc>
          <w:tcPr>
            <w:tcW w:w="450" w:type="pct"/>
            <w:tcBorders>
              <w:top w:val="nil"/>
              <w:left w:val="nil"/>
              <w:bottom w:val="single" w:sz="4" w:space="0" w:color="auto"/>
              <w:right w:val="single" w:sz="4" w:space="0" w:color="auto"/>
            </w:tcBorders>
            <w:noWrap/>
            <w:vAlign w:val="bottom"/>
            <w:hideMark/>
          </w:tcPr>
          <w:p w14:paraId="12CBA9A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A3726A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20D3CCF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86AB47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62323932"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067EB51"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Stroški varnosti pri delu</w:t>
            </w:r>
          </w:p>
        </w:tc>
        <w:tc>
          <w:tcPr>
            <w:tcW w:w="499" w:type="pct"/>
            <w:tcBorders>
              <w:top w:val="nil"/>
              <w:left w:val="nil"/>
              <w:bottom w:val="single" w:sz="4" w:space="0" w:color="auto"/>
              <w:right w:val="single" w:sz="4" w:space="0" w:color="auto"/>
            </w:tcBorders>
            <w:noWrap/>
            <w:vAlign w:val="bottom"/>
            <w:hideMark/>
          </w:tcPr>
          <w:p w14:paraId="6DBB508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7.055,62</w:t>
            </w:r>
          </w:p>
        </w:tc>
        <w:tc>
          <w:tcPr>
            <w:tcW w:w="403" w:type="pct"/>
            <w:tcBorders>
              <w:top w:val="nil"/>
              <w:left w:val="nil"/>
              <w:bottom w:val="single" w:sz="4" w:space="0" w:color="auto"/>
              <w:right w:val="single" w:sz="4" w:space="0" w:color="auto"/>
            </w:tcBorders>
            <w:noWrap/>
            <w:vAlign w:val="bottom"/>
            <w:hideMark/>
          </w:tcPr>
          <w:p w14:paraId="5A9B418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112CD8F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08C532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2.032,56</w:t>
            </w:r>
          </w:p>
        </w:tc>
        <w:tc>
          <w:tcPr>
            <w:tcW w:w="450" w:type="pct"/>
            <w:tcBorders>
              <w:top w:val="nil"/>
              <w:left w:val="nil"/>
              <w:bottom w:val="single" w:sz="4" w:space="0" w:color="auto"/>
              <w:right w:val="single" w:sz="4" w:space="0" w:color="auto"/>
            </w:tcBorders>
            <w:noWrap/>
            <w:vAlign w:val="bottom"/>
            <w:hideMark/>
          </w:tcPr>
          <w:p w14:paraId="225F97D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1.614,07</w:t>
            </w:r>
          </w:p>
        </w:tc>
        <w:tc>
          <w:tcPr>
            <w:tcW w:w="551" w:type="pct"/>
            <w:tcBorders>
              <w:top w:val="nil"/>
              <w:left w:val="nil"/>
              <w:bottom w:val="single" w:sz="4" w:space="0" w:color="auto"/>
              <w:right w:val="single" w:sz="4" w:space="0" w:color="auto"/>
            </w:tcBorders>
            <w:noWrap/>
            <w:vAlign w:val="bottom"/>
            <w:hideMark/>
          </w:tcPr>
          <w:p w14:paraId="48514A0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1.647,97</w:t>
            </w:r>
          </w:p>
        </w:tc>
        <w:tc>
          <w:tcPr>
            <w:tcW w:w="450" w:type="pct"/>
            <w:tcBorders>
              <w:top w:val="nil"/>
              <w:left w:val="nil"/>
              <w:bottom w:val="single" w:sz="4" w:space="0" w:color="auto"/>
              <w:right w:val="single" w:sz="4" w:space="0" w:color="auto"/>
            </w:tcBorders>
            <w:noWrap/>
            <w:vAlign w:val="bottom"/>
            <w:hideMark/>
          </w:tcPr>
          <w:p w14:paraId="7190FC7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1.761,02</w:t>
            </w:r>
          </w:p>
        </w:tc>
      </w:tr>
      <w:tr w:rsidR="00F87307" w:rsidRPr="004A6E4D" w14:paraId="3C573A55"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3BC91698"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Arheologija</w:t>
            </w:r>
          </w:p>
        </w:tc>
        <w:tc>
          <w:tcPr>
            <w:tcW w:w="499" w:type="pct"/>
            <w:tcBorders>
              <w:top w:val="nil"/>
              <w:left w:val="nil"/>
              <w:bottom w:val="single" w:sz="4" w:space="0" w:color="auto"/>
              <w:right w:val="single" w:sz="4" w:space="0" w:color="auto"/>
            </w:tcBorders>
            <w:noWrap/>
            <w:vAlign w:val="bottom"/>
            <w:hideMark/>
          </w:tcPr>
          <w:p w14:paraId="2C74A07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15.780,75</w:t>
            </w:r>
          </w:p>
        </w:tc>
        <w:tc>
          <w:tcPr>
            <w:tcW w:w="403" w:type="pct"/>
            <w:tcBorders>
              <w:top w:val="nil"/>
              <w:left w:val="nil"/>
              <w:bottom w:val="single" w:sz="4" w:space="0" w:color="auto"/>
              <w:right w:val="single" w:sz="4" w:space="0" w:color="auto"/>
            </w:tcBorders>
            <w:noWrap/>
            <w:vAlign w:val="bottom"/>
            <w:hideMark/>
          </w:tcPr>
          <w:p w14:paraId="7D3E5E9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5CBF02B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6D92F0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3.813,12</w:t>
            </w:r>
          </w:p>
        </w:tc>
        <w:tc>
          <w:tcPr>
            <w:tcW w:w="450" w:type="pct"/>
            <w:tcBorders>
              <w:top w:val="nil"/>
              <w:left w:val="nil"/>
              <w:bottom w:val="single" w:sz="4" w:space="0" w:color="auto"/>
              <w:right w:val="single" w:sz="4" w:space="0" w:color="auto"/>
            </w:tcBorders>
            <w:noWrap/>
            <w:vAlign w:val="bottom"/>
            <w:hideMark/>
          </w:tcPr>
          <w:p w14:paraId="74EE10F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4.145,53</w:t>
            </w:r>
          </w:p>
        </w:tc>
        <w:tc>
          <w:tcPr>
            <w:tcW w:w="551" w:type="pct"/>
            <w:tcBorders>
              <w:top w:val="nil"/>
              <w:left w:val="nil"/>
              <w:bottom w:val="single" w:sz="4" w:space="0" w:color="auto"/>
              <w:right w:val="single" w:sz="4" w:space="0" w:color="auto"/>
            </w:tcBorders>
            <w:noWrap/>
            <w:vAlign w:val="bottom"/>
            <w:hideMark/>
          </w:tcPr>
          <w:p w14:paraId="6C0E6D8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6.811,12</w:t>
            </w:r>
          </w:p>
        </w:tc>
        <w:tc>
          <w:tcPr>
            <w:tcW w:w="450" w:type="pct"/>
            <w:tcBorders>
              <w:top w:val="nil"/>
              <w:left w:val="nil"/>
              <w:bottom w:val="single" w:sz="4" w:space="0" w:color="auto"/>
              <w:right w:val="single" w:sz="4" w:space="0" w:color="auto"/>
            </w:tcBorders>
            <w:noWrap/>
            <w:vAlign w:val="bottom"/>
            <w:hideMark/>
          </w:tcPr>
          <w:p w14:paraId="008D007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1.010,98</w:t>
            </w:r>
          </w:p>
        </w:tc>
      </w:tr>
      <w:tr w:rsidR="00F87307" w:rsidRPr="004A6E4D" w14:paraId="2735A2EF"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7965A0B3"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Čiščenje in pregled kanalizacije</w:t>
            </w:r>
          </w:p>
        </w:tc>
        <w:tc>
          <w:tcPr>
            <w:tcW w:w="499" w:type="pct"/>
            <w:tcBorders>
              <w:top w:val="nil"/>
              <w:left w:val="nil"/>
              <w:bottom w:val="single" w:sz="4" w:space="0" w:color="auto"/>
              <w:right w:val="single" w:sz="4" w:space="0" w:color="auto"/>
            </w:tcBorders>
            <w:noWrap/>
            <w:vAlign w:val="bottom"/>
            <w:hideMark/>
          </w:tcPr>
          <w:p w14:paraId="4AD2E5D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3.355,44</w:t>
            </w:r>
          </w:p>
        </w:tc>
        <w:tc>
          <w:tcPr>
            <w:tcW w:w="403" w:type="pct"/>
            <w:tcBorders>
              <w:top w:val="nil"/>
              <w:left w:val="nil"/>
              <w:bottom w:val="single" w:sz="4" w:space="0" w:color="auto"/>
              <w:right w:val="single" w:sz="4" w:space="0" w:color="auto"/>
            </w:tcBorders>
            <w:noWrap/>
            <w:vAlign w:val="bottom"/>
            <w:hideMark/>
          </w:tcPr>
          <w:p w14:paraId="57D10AC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0996FF7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0D307D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3.355,44</w:t>
            </w:r>
          </w:p>
        </w:tc>
        <w:tc>
          <w:tcPr>
            <w:tcW w:w="450" w:type="pct"/>
            <w:tcBorders>
              <w:top w:val="nil"/>
              <w:left w:val="nil"/>
              <w:bottom w:val="single" w:sz="4" w:space="0" w:color="auto"/>
              <w:right w:val="single" w:sz="4" w:space="0" w:color="auto"/>
            </w:tcBorders>
            <w:noWrap/>
            <w:vAlign w:val="bottom"/>
            <w:hideMark/>
          </w:tcPr>
          <w:p w14:paraId="3ADFAE6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32315D5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AD7787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15BC6356"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FB870A8"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Nakup nepremičnine</w:t>
            </w:r>
          </w:p>
        </w:tc>
        <w:tc>
          <w:tcPr>
            <w:tcW w:w="499" w:type="pct"/>
            <w:tcBorders>
              <w:top w:val="nil"/>
              <w:left w:val="nil"/>
              <w:bottom w:val="single" w:sz="4" w:space="0" w:color="auto"/>
              <w:right w:val="single" w:sz="4" w:space="0" w:color="auto"/>
            </w:tcBorders>
            <w:noWrap/>
            <w:vAlign w:val="bottom"/>
            <w:hideMark/>
          </w:tcPr>
          <w:p w14:paraId="71C6C1F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280.000,00</w:t>
            </w:r>
          </w:p>
        </w:tc>
        <w:tc>
          <w:tcPr>
            <w:tcW w:w="403" w:type="pct"/>
            <w:tcBorders>
              <w:top w:val="nil"/>
              <w:left w:val="nil"/>
              <w:bottom w:val="single" w:sz="4" w:space="0" w:color="auto"/>
              <w:right w:val="single" w:sz="4" w:space="0" w:color="auto"/>
            </w:tcBorders>
            <w:noWrap/>
            <w:vAlign w:val="bottom"/>
            <w:hideMark/>
          </w:tcPr>
          <w:p w14:paraId="6BF2FCE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280.000,00</w:t>
            </w:r>
          </w:p>
        </w:tc>
        <w:tc>
          <w:tcPr>
            <w:tcW w:w="500" w:type="pct"/>
            <w:tcBorders>
              <w:top w:val="nil"/>
              <w:left w:val="nil"/>
              <w:bottom w:val="single" w:sz="4" w:space="0" w:color="auto"/>
              <w:right w:val="single" w:sz="4" w:space="0" w:color="auto"/>
            </w:tcBorders>
            <w:noWrap/>
            <w:vAlign w:val="bottom"/>
            <w:hideMark/>
          </w:tcPr>
          <w:p w14:paraId="63DE23C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C0F8A18"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B319DC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197E93B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7F5A4B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69903BB6"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773B9AD4"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Druga dela ob rušenju objekta (neobdavčeno)</w:t>
            </w:r>
          </w:p>
        </w:tc>
        <w:tc>
          <w:tcPr>
            <w:tcW w:w="499" w:type="pct"/>
            <w:tcBorders>
              <w:top w:val="nil"/>
              <w:left w:val="nil"/>
              <w:bottom w:val="single" w:sz="4" w:space="0" w:color="auto"/>
              <w:right w:val="single" w:sz="4" w:space="0" w:color="auto"/>
            </w:tcBorders>
            <w:noWrap/>
            <w:vAlign w:val="bottom"/>
            <w:hideMark/>
          </w:tcPr>
          <w:p w14:paraId="44AFA6E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776,00</w:t>
            </w:r>
          </w:p>
        </w:tc>
        <w:tc>
          <w:tcPr>
            <w:tcW w:w="403" w:type="pct"/>
            <w:tcBorders>
              <w:top w:val="nil"/>
              <w:left w:val="nil"/>
              <w:bottom w:val="single" w:sz="4" w:space="0" w:color="auto"/>
              <w:right w:val="single" w:sz="4" w:space="0" w:color="auto"/>
            </w:tcBorders>
            <w:noWrap/>
            <w:vAlign w:val="bottom"/>
            <w:hideMark/>
          </w:tcPr>
          <w:p w14:paraId="60E4738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776,00</w:t>
            </w:r>
          </w:p>
        </w:tc>
        <w:tc>
          <w:tcPr>
            <w:tcW w:w="500" w:type="pct"/>
            <w:tcBorders>
              <w:top w:val="nil"/>
              <w:left w:val="nil"/>
              <w:bottom w:val="single" w:sz="4" w:space="0" w:color="auto"/>
              <w:right w:val="single" w:sz="4" w:space="0" w:color="auto"/>
            </w:tcBorders>
            <w:noWrap/>
            <w:vAlign w:val="bottom"/>
            <w:hideMark/>
          </w:tcPr>
          <w:p w14:paraId="3731AD6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7D5552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1E31919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6EAC0DF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99FFBE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2D09B55B"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5D4FB10C"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Druga dela ob rušenju objekta (9,5% DDV)</w:t>
            </w:r>
          </w:p>
        </w:tc>
        <w:tc>
          <w:tcPr>
            <w:tcW w:w="499" w:type="pct"/>
            <w:tcBorders>
              <w:top w:val="nil"/>
              <w:left w:val="nil"/>
              <w:bottom w:val="single" w:sz="4" w:space="0" w:color="auto"/>
              <w:right w:val="single" w:sz="4" w:space="0" w:color="auto"/>
            </w:tcBorders>
            <w:noWrap/>
            <w:vAlign w:val="bottom"/>
            <w:hideMark/>
          </w:tcPr>
          <w:p w14:paraId="554803D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545,96</w:t>
            </w:r>
          </w:p>
        </w:tc>
        <w:tc>
          <w:tcPr>
            <w:tcW w:w="403" w:type="pct"/>
            <w:tcBorders>
              <w:top w:val="nil"/>
              <w:left w:val="nil"/>
              <w:bottom w:val="single" w:sz="4" w:space="0" w:color="auto"/>
              <w:right w:val="single" w:sz="4" w:space="0" w:color="auto"/>
            </w:tcBorders>
            <w:noWrap/>
            <w:vAlign w:val="bottom"/>
            <w:hideMark/>
          </w:tcPr>
          <w:p w14:paraId="7CFBFAA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545,96</w:t>
            </w:r>
          </w:p>
        </w:tc>
        <w:tc>
          <w:tcPr>
            <w:tcW w:w="500" w:type="pct"/>
            <w:tcBorders>
              <w:top w:val="nil"/>
              <w:left w:val="nil"/>
              <w:bottom w:val="single" w:sz="4" w:space="0" w:color="auto"/>
              <w:right w:val="single" w:sz="4" w:space="0" w:color="auto"/>
            </w:tcBorders>
            <w:noWrap/>
            <w:vAlign w:val="bottom"/>
            <w:hideMark/>
          </w:tcPr>
          <w:p w14:paraId="69CB609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A46246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FEF543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0B7DAE4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6F9472E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0D6DBF96"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687F3401" w14:textId="77777777" w:rsidR="00F87307" w:rsidRPr="004A6E4D" w:rsidRDefault="00F87307" w:rsidP="00472C0E">
            <w:pPr>
              <w:rPr>
                <w:rFonts w:ascii="Roboto" w:hAnsi="Roboto"/>
                <w:color w:val="000000"/>
                <w:sz w:val="20"/>
                <w:szCs w:val="20"/>
              </w:rPr>
            </w:pPr>
            <w:r w:rsidRPr="004A6E4D">
              <w:rPr>
                <w:rFonts w:ascii="Roboto" w:hAnsi="Roboto"/>
                <w:color w:val="000000"/>
                <w:sz w:val="20"/>
                <w:szCs w:val="20"/>
              </w:rPr>
              <w:t>Druga dela ob rušenju objekta</w:t>
            </w:r>
          </w:p>
        </w:tc>
        <w:tc>
          <w:tcPr>
            <w:tcW w:w="499" w:type="pct"/>
            <w:tcBorders>
              <w:top w:val="nil"/>
              <w:left w:val="nil"/>
              <w:bottom w:val="single" w:sz="4" w:space="0" w:color="auto"/>
              <w:right w:val="single" w:sz="4" w:space="0" w:color="auto"/>
            </w:tcBorders>
            <w:noWrap/>
            <w:vAlign w:val="bottom"/>
            <w:hideMark/>
          </w:tcPr>
          <w:p w14:paraId="72FB034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5.483,07</w:t>
            </w:r>
          </w:p>
        </w:tc>
        <w:tc>
          <w:tcPr>
            <w:tcW w:w="403" w:type="pct"/>
            <w:tcBorders>
              <w:top w:val="nil"/>
              <w:left w:val="nil"/>
              <w:bottom w:val="single" w:sz="4" w:space="0" w:color="auto"/>
              <w:right w:val="single" w:sz="4" w:space="0" w:color="auto"/>
            </w:tcBorders>
            <w:noWrap/>
            <w:vAlign w:val="bottom"/>
            <w:hideMark/>
          </w:tcPr>
          <w:p w14:paraId="623DC66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5.483,07</w:t>
            </w:r>
          </w:p>
        </w:tc>
        <w:tc>
          <w:tcPr>
            <w:tcW w:w="500" w:type="pct"/>
            <w:tcBorders>
              <w:top w:val="nil"/>
              <w:left w:val="nil"/>
              <w:bottom w:val="single" w:sz="4" w:space="0" w:color="auto"/>
              <w:right w:val="single" w:sz="4" w:space="0" w:color="auto"/>
            </w:tcBorders>
            <w:noWrap/>
            <w:vAlign w:val="bottom"/>
            <w:hideMark/>
          </w:tcPr>
          <w:p w14:paraId="76F134A2"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1E7D152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FA22F9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4C08C8A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806F18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07D7EAF4"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465B9FA7"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Vpis v kataster</w:t>
            </w:r>
          </w:p>
        </w:tc>
        <w:tc>
          <w:tcPr>
            <w:tcW w:w="499" w:type="pct"/>
            <w:tcBorders>
              <w:top w:val="nil"/>
              <w:left w:val="nil"/>
              <w:bottom w:val="single" w:sz="4" w:space="0" w:color="auto"/>
              <w:right w:val="single" w:sz="4" w:space="0" w:color="auto"/>
            </w:tcBorders>
            <w:noWrap/>
            <w:vAlign w:val="bottom"/>
            <w:hideMark/>
          </w:tcPr>
          <w:p w14:paraId="4408B26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971,93</w:t>
            </w:r>
          </w:p>
        </w:tc>
        <w:tc>
          <w:tcPr>
            <w:tcW w:w="403" w:type="pct"/>
            <w:tcBorders>
              <w:top w:val="nil"/>
              <w:left w:val="nil"/>
              <w:bottom w:val="single" w:sz="4" w:space="0" w:color="auto"/>
              <w:right w:val="single" w:sz="4" w:space="0" w:color="auto"/>
            </w:tcBorders>
            <w:noWrap/>
            <w:vAlign w:val="bottom"/>
            <w:hideMark/>
          </w:tcPr>
          <w:p w14:paraId="620E382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568E557D"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2D72844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1D48CEB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0D2FFEA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54A20C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971,93</w:t>
            </w:r>
          </w:p>
        </w:tc>
      </w:tr>
      <w:tr w:rsidR="00F87307" w:rsidRPr="004A6E4D" w14:paraId="513C11A0"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015D4DC3"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Notar, zemljiška knjiga</w:t>
            </w:r>
          </w:p>
        </w:tc>
        <w:tc>
          <w:tcPr>
            <w:tcW w:w="499" w:type="pct"/>
            <w:tcBorders>
              <w:top w:val="nil"/>
              <w:left w:val="nil"/>
              <w:bottom w:val="single" w:sz="4" w:space="0" w:color="auto"/>
              <w:right w:val="single" w:sz="4" w:space="0" w:color="auto"/>
            </w:tcBorders>
            <w:noWrap/>
            <w:vAlign w:val="bottom"/>
            <w:hideMark/>
          </w:tcPr>
          <w:p w14:paraId="737CF16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03" w:type="pct"/>
            <w:tcBorders>
              <w:top w:val="nil"/>
              <w:left w:val="nil"/>
              <w:bottom w:val="single" w:sz="4" w:space="0" w:color="auto"/>
              <w:right w:val="single" w:sz="4" w:space="0" w:color="auto"/>
            </w:tcBorders>
            <w:noWrap/>
            <w:vAlign w:val="bottom"/>
            <w:hideMark/>
          </w:tcPr>
          <w:p w14:paraId="3EE90A7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0D43FAC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3F8AC4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5F6605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07DB7C3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A393F3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04931032"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087D1ABE"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Geodetski načrt</w:t>
            </w:r>
          </w:p>
        </w:tc>
        <w:tc>
          <w:tcPr>
            <w:tcW w:w="499" w:type="pct"/>
            <w:tcBorders>
              <w:top w:val="nil"/>
              <w:left w:val="nil"/>
              <w:bottom w:val="single" w:sz="4" w:space="0" w:color="auto"/>
              <w:right w:val="single" w:sz="4" w:space="0" w:color="auto"/>
            </w:tcBorders>
            <w:noWrap/>
            <w:vAlign w:val="bottom"/>
            <w:hideMark/>
          </w:tcPr>
          <w:p w14:paraId="4277A8E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2.032,66</w:t>
            </w:r>
          </w:p>
        </w:tc>
        <w:tc>
          <w:tcPr>
            <w:tcW w:w="403" w:type="pct"/>
            <w:tcBorders>
              <w:top w:val="nil"/>
              <w:left w:val="nil"/>
              <w:bottom w:val="single" w:sz="4" w:space="0" w:color="auto"/>
              <w:right w:val="single" w:sz="4" w:space="0" w:color="auto"/>
            </w:tcBorders>
            <w:noWrap/>
            <w:vAlign w:val="bottom"/>
            <w:hideMark/>
          </w:tcPr>
          <w:p w14:paraId="777FFE2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0446E04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2.032,66</w:t>
            </w:r>
          </w:p>
        </w:tc>
        <w:tc>
          <w:tcPr>
            <w:tcW w:w="450" w:type="pct"/>
            <w:tcBorders>
              <w:top w:val="nil"/>
              <w:left w:val="nil"/>
              <w:bottom w:val="single" w:sz="4" w:space="0" w:color="auto"/>
              <w:right w:val="single" w:sz="4" w:space="0" w:color="auto"/>
            </w:tcBorders>
            <w:noWrap/>
            <w:vAlign w:val="bottom"/>
            <w:hideMark/>
          </w:tcPr>
          <w:p w14:paraId="2E17259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4908E55F"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7554421A"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3C78E26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016A5C11"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18E1022B"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lastRenderedPageBreak/>
              <w:t>Baza cestnih podatkov</w:t>
            </w:r>
          </w:p>
        </w:tc>
        <w:tc>
          <w:tcPr>
            <w:tcW w:w="499" w:type="pct"/>
            <w:tcBorders>
              <w:top w:val="nil"/>
              <w:left w:val="nil"/>
              <w:bottom w:val="single" w:sz="4" w:space="0" w:color="auto"/>
              <w:right w:val="single" w:sz="4" w:space="0" w:color="auto"/>
            </w:tcBorders>
            <w:noWrap/>
            <w:vAlign w:val="bottom"/>
            <w:hideMark/>
          </w:tcPr>
          <w:p w14:paraId="0B1CE15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874,11</w:t>
            </w:r>
          </w:p>
        </w:tc>
        <w:tc>
          <w:tcPr>
            <w:tcW w:w="403" w:type="pct"/>
            <w:tcBorders>
              <w:top w:val="nil"/>
              <w:left w:val="nil"/>
              <w:bottom w:val="single" w:sz="4" w:space="0" w:color="auto"/>
              <w:right w:val="single" w:sz="4" w:space="0" w:color="auto"/>
            </w:tcBorders>
            <w:noWrap/>
            <w:vAlign w:val="bottom"/>
            <w:hideMark/>
          </w:tcPr>
          <w:p w14:paraId="3D1C9539"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0C95854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5F259E0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412D1C3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51" w:type="pct"/>
            <w:tcBorders>
              <w:top w:val="nil"/>
              <w:left w:val="nil"/>
              <w:bottom w:val="single" w:sz="4" w:space="0" w:color="auto"/>
              <w:right w:val="single" w:sz="4" w:space="0" w:color="auto"/>
            </w:tcBorders>
            <w:noWrap/>
            <w:vAlign w:val="bottom"/>
            <w:hideMark/>
          </w:tcPr>
          <w:p w14:paraId="7AA0F685"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874,11</w:t>
            </w:r>
          </w:p>
        </w:tc>
        <w:tc>
          <w:tcPr>
            <w:tcW w:w="450" w:type="pct"/>
            <w:tcBorders>
              <w:top w:val="nil"/>
              <w:left w:val="nil"/>
              <w:bottom w:val="single" w:sz="4" w:space="0" w:color="auto"/>
              <w:right w:val="single" w:sz="4" w:space="0" w:color="auto"/>
            </w:tcBorders>
            <w:noWrap/>
            <w:vAlign w:val="bottom"/>
            <w:hideMark/>
          </w:tcPr>
          <w:p w14:paraId="0C1E4C8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4BE1E3F8" w14:textId="77777777" w:rsidTr="00F87307">
        <w:trPr>
          <w:trHeight w:val="284"/>
        </w:trPr>
        <w:tc>
          <w:tcPr>
            <w:tcW w:w="1699" w:type="pct"/>
            <w:tcBorders>
              <w:top w:val="nil"/>
              <w:left w:val="single" w:sz="4" w:space="0" w:color="auto"/>
              <w:bottom w:val="single" w:sz="4" w:space="0" w:color="auto"/>
              <w:right w:val="single" w:sz="4" w:space="0" w:color="auto"/>
            </w:tcBorders>
            <w:shd w:val="clear" w:color="000000" w:fill="D9D9D9"/>
            <w:vAlign w:val="bottom"/>
            <w:hideMark/>
          </w:tcPr>
          <w:p w14:paraId="685AB22B" w14:textId="77777777" w:rsidR="00F87307" w:rsidRPr="004A6E4D" w:rsidRDefault="00F87307" w:rsidP="00472C0E">
            <w:pPr>
              <w:rPr>
                <w:rFonts w:ascii="Arial" w:hAnsi="Arial" w:cs="Arial"/>
                <w:b/>
                <w:bCs/>
                <w:color w:val="000000"/>
                <w:sz w:val="20"/>
                <w:szCs w:val="20"/>
              </w:rPr>
            </w:pPr>
            <w:r w:rsidRPr="004A6E4D">
              <w:rPr>
                <w:rFonts w:ascii="Arial" w:hAnsi="Arial" w:cs="Arial"/>
                <w:b/>
                <w:bCs/>
                <w:color w:val="000000"/>
                <w:sz w:val="20"/>
                <w:szCs w:val="20"/>
              </w:rPr>
              <w:t>Skupaj brez DDV</w:t>
            </w:r>
          </w:p>
        </w:tc>
        <w:tc>
          <w:tcPr>
            <w:tcW w:w="499" w:type="pct"/>
            <w:tcBorders>
              <w:top w:val="nil"/>
              <w:left w:val="nil"/>
              <w:bottom w:val="single" w:sz="4" w:space="0" w:color="auto"/>
              <w:right w:val="single" w:sz="4" w:space="0" w:color="auto"/>
            </w:tcBorders>
            <w:shd w:val="clear" w:color="000000" w:fill="D9D9D9"/>
            <w:noWrap/>
            <w:vAlign w:val="bottom"/>
            <w:hideMark/>
          </w:tcPr>
          <w:p w14:paraId="7A720C16"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3.051.761,81</w:t>
            </w:r>
          </w:p>
        </w:tc>
        <w:tc>
          <w:tcPr>
            <w:tcW w:w="403" w:type="pct"/>
            <w:tcBorders>
              <w:top w:val="nil"/>
              <w:left w:val="nil"/>
              <w:bottom w:val="single" w:sz="4" w:space="0" w:color="auto"/>
              <w:right w:val="single" w:sz="4" w:space="0" w:color="auto"/>
            </w:tcBorders>
            <w:shd w:val="clear" w:color="000000" w:fill="D9D9D9"/>
            <w:noWrap/>
            <w:vAlign w:val="bottom"/>
            <w:hideMark/>
          </w:tcPr>
          <w:p w14:paraId="25591BCB"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294.705,03</w:t>
            </w:r>
          </w:p>
        </w:tc>
        <w:tc>
          <w:tcPr>
            <w:tcW w:w="500" w:type="pct"/>
            <w:tcBorders>
              <w:top w:val="nil"/>
              <w:left w:val="nil"/>
              <w:bottom w:val="single" w:sz="4" w:space="0" w:color="auto"/>
              <w:right w:val="single" w:sz="4" w:space="0" w:color="auto"/>
            </w:tcBorders>
            <w:shd w:val="clear" w:color="000000" w:fill="D9D9D9"/>
            <w:noWrap/>
            <w:vAlign w:val="bottom"/>
            <w:hideMark/>
          </w:tcPr>
          <w:p w14:paraId="668BFD48"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88.330,75</w:t>
            </w:r>
          </w:p>
        </w:tc>
        <w:tc>
          <w:tcPr>
            <w:tcW w:w="450" w:type="pct"/>
            <w:tcBorders>
              <w:top w:val="nil"/>
              <w:left w:val="nil"/>
              <w:bottom w:val="single" w:sz="4" w:space="0" w:color="auto"/>
              <w:right w:val="single" w:sz="4" w:space="0" w:color="auto"/>
            </w:tcBorders>
            <w:shd w:val="clear" w:color="000000" w:fill="D9D9D9"/>
            <w:noWrap/>
            <w:vAlign w:val="bottom"/>
            <w:hideMark/>
          </w:tcPr>
          <w:p w14:paraId="23809863"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608.038,69</w:t>
            </w:r>
          </w:p>
        </w:tc>
        <w:tc>
          <w:tcPr>
            <w:tcW w:w="450" w:type="pct"/>
            <w:tcBorders>
              <w:top w:val="nil"/>
              <w:left w:val="nil"/>
              <w:bottom w:val="single" w:sz="4" w:space="0" w:color="auto"/>
              <w:right w:val="single" w:sz="4" w:space="0" w:color="auto"/>
            </w:tcBorders>
            <w:shd w:val="clear" w:color="000000" w:fill="D9D9D9"/>
            <w:noWrap/>
            <w:vAlign w:val="bottom"/>
            <w:hideMark/>
          </w:tcPr>
          <w:p w14:paraId="1762D0A7"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703.088,63</w:t>
            </w:r>
          </w:p>
        </w:tc>
        <w:tc>
          <w:tcPr>
            <w:tcW w:w="551" w:type="pct"/>
            <w:tcBorders>
              <w:top w:val="nil"/>
              <w:left w:val="nil"/>
              <w:bottom w:val="single" w:sz="4" w:space="0" w:color="auto"/>
              <w:right w:val="single" w:sz="4" w:space="0" w:color="auto"/>
            </w:tcBorders>
            <w:shd w:val="clear" w:color="000000" w:fill="D9D9D9"/>
            <w:noWrap/>
            <w:vAlign w:val="bottom"/>
            <w:hideMark/>
          </w:tcPr>
          <w:p w14:paraId="44EB6378"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1.199.814,94</w:t>
            </w:r>
          </w:p>
        </w:tc>
        <w:tc>
          <w:tcPr>
            <w:tcW w:w="450" w:type="pct"/>
            <w:tcBorders>
              <w:top w:val="nil"/>
              <w:left w:val="nil"/>
              <w:bottom w:val="single" w:sz="4" w:space="0" w:color="auto"/>
              <w:right w:val="single" w:sz="4" w:space="0" w:color="auto"/>
            </w:tcBorders>
            <w:shd w:val="clear" w:color="000000" w:fill="D9D9D9"/>
            <w:noWrap/>
            <w:vAlign w:val="bottom"/>
            <w:hideMark/>
          </w:tcPr>
          <w:p w14:paraId="1553D367"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157.783,76</w:t>
            </w:r>
          </w:p>
        </w:tc>
      </w:tr>
      <w:tr w:rsidR="00F87307" w:rsidRPr="004A6E4D" w14:paraId="2BA876E7"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33F37ADC"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Davek na dodano vrednost</w:t>
            </w:r>
          </w:p>
        </w:tc>
        <w:tc>
          <w:tcPr>
            <w:tcW w:w="499" w:type="pct"/>
            <w:tcBorders>
              <w:top w:val="nil"/>
              <w:left w:val="nil"/>
              <w:bottom w:val="single" w:sz="4" w:space="0" w:color="auto"/>
              <w:right w:val="single" w:sz="4" w:space="0" w:color="auto"/>
            </w:tcBorders>
            <w:noWrap/>
            <w:vAlign w:val="bottom"/>
            <w:hideMark/>
          </w:tcPr>
          <w:p w14:paraId="1EBD14A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609.548,62</w:t>
            </w:r>
          </w:p>
        </w:tc>
        <w:tc>
          <w:tcPr>
            <w:tcW w:w="403" w:type="pct"/>
            <w:tcBorders>
              <w:top w:val="nil"/>
              <w:left w:val="nil"/>
              <w:bottom w:val="single" w:sz="4" w:space="0" w:color="auto"/>
              <w:right w:val="single" w:sz="4" w:space="0" w:color="auto"/>
            </w:tcBorders>
            <w:noWrap/>
            <w:vAlign w:val="bottom"/>
            <w:hideMark/>
          </w:tcPr>
          <w:p w14:paraId="15AA0A11"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2.996,14</w:t>
            </w:r>
          </w:p>
        </w:tc>
        <w:tc>
          <w:tcPr>
            <w:tcW w:w="500" w:type="pct"/>
            <w:tcBorders>
              <w:top w:val="nil"/>
              <w:left w:val="nil"/>
              <w:bottom w:val="single" w:sz="4" w:space="0" w:color="auto"/>
              <w:right w:val="single" w:sz="4" w:space="0" w:color="auto"/>
            </w:tcBorders>
            <w:noWrap/>
            <w:vAlign w:val="bottom"/>
            <w:hideMark/>
          </w:tcPr>
          <w:p w14:paraId="3750FD7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19.432,77</w:t>
            </w:r>
          </w:p>
        </w:tc>
        <w:tc>
          <w:tcPr>
            <w:tcW w:w="450" w:type="pct"/>
            <w:tcBorders>
              <w:top w:val="nil"/>
              <w:left w:val="nil"/>
              <w:bottom w:val="single" w:sz="4" w:space="0" w:color="auto"/>
              <w:right w:val="single" w:sz="4" w:space="0" w:color="auto"/>
            </w:tcBorders>
            <w:noWrap/>
            <w:vAlign w:val="bottom"/>
            <w:hideMark/>
          </w:tcPr>
          <w:p w14:paraId="3918055C"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133.768,51</w:t>
            </w:r>
          </w:p>
        </w:tc>
        <w:tc>
          <w:tcPr>
            <w:tcW w:w="450" w:type="pct"/>
            <w:tcBorders>
              <w:top w:val="nil"/>
              <w:left w:val="nil"/>
              <w:bottom w:val="single" w:sz="4" w:space="0" w:color="auto"/>
              <w:right w:val="single" w:sz="4" w:space="0" w:color="auto"/>
            </w:tcBorders>
            <w:noWrap/>
            <w:vAlign w:val="bottom"/>
            <w:hideMark/>
          </w:tcPr>
          <w:p w14:paraId="6992796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154.679,50</w:t>
            </w:r>
          </w:p>
        </w:tc>
        <w:tc>
          <w:tcPr>
            <w:tcW w:w="551" w:type="pct"/>
            <w:tcBorders>
              <w:top w:val="nil"/>
              <w:left w:val="nil"/>
              <w:bottom w:val="single" w:sz="4" w:space="0" w:color="auto"/>
              <w:right w:val="single" w:sz="4" w:space="0" w:color="auto"/>
            </w:tcBorders>
            <w:noWrap/>
            <w:vAlign w:val="bottom"/>
            <w:hideMark/>
          </w:tcPr>
          <w:p w14:paraId="3349571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263.959,28</w:t>
            </w:r>
          </w:p>
        </w:tc>
        <w:tc>
          <w:tcPr>
            <w:tcW w:w="450" w:type="pct"/>
            <w:tcBorders>
              <w:top w:val="nil"/>
              <w:left w:val="nil"/>
              <w:bottom w:val="single" w:sz="4" w:space="0" w:color="auto"/>
              <w:right w:val="single" w:sz="4" w:space="0" w:color="auto"/>
            </w:tcBorders>
            <w:noWrap/>
            <w:vAlign w:val="bottom"/>
            <w:hideMark/>
          </w:tcPr>
          <w:p w14:paraId="1F9ED6F0"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34.712,42</w:t>
            </w:r>
          </w:p>
        </w:tc>
      </w:tr>
      <w:tr w:rsidR="00F87307" w:rsidRPr="004A6E4D" w14:paraId="33D6E2C3" w14:textId="77777777" w:rsidTr="00F87307">
        <w:trPr>
          <w:trHeight w:val="284"/>
        </w:trPr>
        <w:tc>
          <w:tcPr>
            <w:tcW w:w="1699" w:type="pct"/>
            <w:tcBorders>
              <w:top w:val="nil"/>
              <w:left w:val="single" w:sz="4" w:space="0" w:color="auto"/>
              <w:bottom w:val="single" w:sz="4" w:space="0" w:color="auto"/>
              <w:right w:val="single" w:sz="4" w:space="0" w:color="auto"/>
            </w:tcBorders>
            <w:vAlign w:val="bottom"/>
            <w:hideMark/>
          </w:tcPr>
          <w:p w14:paraId="78E63ADB" w14:textId="77777777" w:rsidR="00F87307" w:rsidRPr="004A6E4D" w:rsidRDefault="00F87307" w:rsidP="00472C0E">
            <w:pPr>
              <w:rPr>
                <w:rFonts w:ascii="Arial" w:hAnsi="Arial" w:cs="Arial"/>
                <w:color w:val="000000"/>
                <w:sz w:val="20"/>
                <w:szCs w:val="20"/>
              </w:rPr>
            </w:pPr>
            <w:r w:rsidRPr="004A6E4D">
              <w:rPr>
                <w:rFonts w:ascii="Arial" w:hAnsi="Arial" w:cs="Arial"/>
                <w:color w:val="000000"/>
                <w:sz w:val="20"/>
                <w:szCs w:val="20"/>
              </w:rPr>
              <w:t>Povračljiv davek na dodano vrednost</w:t>
            </w:r>
          </w:p>
        </w:tc>
        <w:tc>
          <w:tcPr>
            <w:tcW w:w="499" w:type="pct"/>
            <w:tcBorders>
              <w:top w:val="nil"/>
              <w:left w:val="nil"/>
              <w:bottom w:val="single" w:sz="4" w:space="0" w:color="auto"/>
              <w:right w:val="single" w:sz="4" w:space="0" w:color="auto"/>
            </w:tcBorders>
            <w:noWrap/>
            <w:vAlign w:val="bottom"/>
            <w:hideMark/>
          </w:tcPr>
          <w:p w14:paraId="336CD394"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26.676,13</w:t>
            </w:r>
          </w:p>
        </w:tc>
        <w:tc>
          <w:tcPr>
            <w:tcW w:w="403" w:type="pct"/>
            <w:tcBorders>
              <w:top w:val="nil"/>
              <w:left w:val="nil"/>
              <w:bottom w:val="single" w:sz="4" w:space="0" w:color="auto"/>
              <w:right w:val="single" w:sz="4" w:space="0" w:color="auto"/>
            </w:tcBorders>
            <w:noWrap/>
            <w:vAlign w:val="bottom"/>
            <w:hideMark/>
          </w:tcPr>
          <w:p w14:paraId="4C90DF77"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500" w:type="pct"/>
            <w:tcBorders>
              <w:top w:val="nil"/>
              <w:left w:val="nil"/>
              <w:bottom w:val="single" w:sz="4" w:space="0" w:color="auto"/>
              <w:right w:val="single" w:sz="4" w:space="0" w:color="auto"/>
            </w:tcBorders>
            <w:noWrap/>
            <w:vAlign w:val="bottom"/>
            <w:hideMark/>
          </w:tcPr>
          <w:p w14:paraId="6CD9C4A6"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795A0E23"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c>
          <w:tcPr>
            <w:tcW w:w="450" w:type="pct"/>
            <w:tcBorders>
              <w:top w:val="nil"/>
              <w:left w:val="nil"/>
              <w:bottom w:val="single" w:sz="4" w:space="0" w:color="auto"/>
              <w:right w:val="single" w:sz="4" w:space="0" w:color="auto"/>
            </w:tcBorders>
            <w:noWrap/>
            <w:vAlign w:val="bottom"/>
            <w:hideMark/>
          </w:tcPr>
          <w:p w14:paraId="0EDD3C0B"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13.199,47</w:t>
            </w:r>
          </w:p>
        </w:tc>
        <w:tc>
          <w:tcPr>
            <w:tcW w:w="551" w:type="pct"/>
            <w:tcBorders>
              <w:top w:val="nil"/>
              <w:left w:val="nil"/>
              <w:bottom w:val="single" w:sz="4" w:space="0" w:color="auto"/>
              <w:right w:val="single" w:sz="4" w:space="0" w:color="auto"/>
            </w:tcBorders>
            <w:noWrap/>
            <w:vAlign w:val="bottom"/>
            <w:hideMark/>
          </w:tcPr>
          <w:p w14:paraId="5855380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13.476,66</w:t>
            </w:r>
          </w:p>
        </w:tc>
        <w:tc>
          <w:tcPr>
            <w:tcW w:w="450" w:type="pct"/>
            <w:tcBorders>
              <w:top w:val="nil"/>
              <w:left w:val="nil"/>
              <w:bottom w:val="single" w:sz="4" w:space="0" w:color="auto"/>
              <w:right w:val="single" w:sz="4" w:space="0" w:color="auto"/>
            </w:tcBorders>
            <w:noWrap/>
            <w:vAlign w:val="bottom"/>
            <w:hideMark/>
          </w:tcPr>
          <w:p w14:paraId="5854448E" w14:textId="77777777" w:rsidR="00F87307" w:rsidRPr="004A6E4D" w:rsidRDefault="00F87307" w:rsidP="00472C0E">
            <w:pPr>
              <w:jc w:val="right"/>
              <w:rPr>
                <w:rFonts w:ascii="Arial" w:hAnsi="Arial" w:cs="Arial"/>
                <w:color w:val="000000"/>
                <w:sz w:val="20"/>
                <w:szCs w:val="20"/>
              </w:rPr>
            </w:pPr>
            <w:r w:rsidRPr="004A6E4D">
              <w:rPr>
                <w:rFonts w:ascii="Arial" w:hAnsi="Arial" w:cs="Arial"/>
                <w:color w:val="000000"/>
                <w:sz w:val="20"/>
                <w:szCs w:val="20"/>
              </w:rPr>
              <w:t>0,00</w:t>
            </w:r>
          </w:p>
        </w:tc>
      </w:tr>
      <w:tr w:rsidR="00F87307" w:rsidRPr="004A6E4D" w14:paraId="38ACF648" w14:textId="77777777" w:rsidTr="00F87307">
        <w:trPr>
          <w:trHeight w:val="284"/>
        </w:trPr>
        <w:tc>
          <w:tcPr>
            <w:tcW w:w="1699" w:type="pct"/>
            <w:tcBorders>
              <w:top w:val="nil"/>
              <w:left w:val="single" w:sz="4" w:space="0" w:color="auto"/>
              <w:bottom w:val="single" w:sz="4" w:space="0" w:color="auto"/>
              <w:right w:val="single" w:sz="4" w:space="0" w:color="auto"/>
            </w:tcBorders>
            <w:shd w:val="clear" w:color="000000" w:fill="D9D9D9"/>
            <w:vAlign w:val="bottom"/>
            <w:hideMark/>
          </w:tcPr>
          <w:p w14:paraId="55C63140" w14:textId="77777777" w:rsidR="00F87307" w:rsidRPr="004A6E4D" w:rsidRDefault="00F87307" w:rsidP="00472C0E">
            <w:pPr>
              <w:rPr>
                <w:rFonts w:ascii="Arial" w:hAnsi="Arial" w:cs="Arial"/>
                <w:b/>
                <w:bCs/>
                <w:color w:val="000000"/>
                <w:sz w:val="20"/>
                <w:szCs w:val="20"/>
              </w:rPr>
            </w:pPr>
            <w:r w:rsidRPr="004A6E4D">
              <w:rPr>
                <w:rFonts w:ascii="Arial" w:hAnsi="Arial" w:cs="Arial"/>
                <w:b/>
                <w:bCs/>
                <w:color w:val="000000"/>
                <w:sz w:val="20"/>
                <w:szCs w:val="20"/>
              </w:rPr>
              <w:t>Skupaj z davkom na dodano vrednost</w:t>
            </w:r>
          </w:p>
        </w:tc>
        <w:tc>
          <w:tcPr>
            <w:tcW w:w="499" w:type="pct"/>
            <w:tcBorders>
              <w:top w:val="nil"/>
              <w:left w:val="nil"/>
              <w:bottom w:val="single" w:sz="4" w:space="0" w:color="auto"/>
              <w:right w:val="single" w:sz="4" w:space="0" w:color="auto"/>
            </w:tcBorders>
            <w:shd w:val="clear" w:color="000000" w:fill="D9D9D9"/>
            <w:noWrap/>
            <w:vAlign w:val="bottom"/>
            <w:hideMark/>
          </w:tcPr>
          <w:p w14:paraId="2F5C38FF"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3.661.310,43</w:t>
            </w:r>
          </w:p>
        </w:tc>
        <w:tc>
          <w:tcPr>
            <w:tcW w:w="403" w:type="pct"/>
            <w:tcBorders>
              <w:top w:val="nil"/>
              <w:left w:val="nil"/>
              <w:bottom w:val="single" w:sz="4" w:space="0" w:color="auto"/>
              <w:right w:val="single" w:sz="4" w:space="0" w:color="auto"/>
            </w:tcBorders>
            <w:shd w:val="clear" w:color="000000" w:fill="D9D9D9"/>
            <w:noWrap/>
            <w:vAlign w:val="bottom"/>
            <w:hideMark/>
          </w:tcPr>
          <w:p w14:paraId="1A8D275F"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500" w:type="pct"/>
            <w:tcBorders>
              <w:top w:val="nil"/>
              <w:left w:val="nil"/>
              <w:bottom w:val="single" w:sz="4" w:space="0" w:color="auto"/>
              <w:right w:val="single" w:sz="4" w:space="0" w:color="auto"/>
            </w:tcBorders>
            <w:shd w:val="clear" w:color="000000" w:fill="D9D9D9"/>
            <w:noWrap/>
            <w:vAlign w:val="bottom"/>
            <w:hideMark/>
          </w:tcPr>
          <w:p w14:paraId="342C1C44"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50" w:type="pct"/>
            <w:tcBorders>
              <w:top w:val="nil"/>
              <w:left w:val="nil"/>
              <w:bottom w:val="single" w:sz="4" w:space="0" w:color="auto"/>
              <w:right w:val="single" w:sz="4" w:space="0" w:color="auto"/>
            </w:tcBorders>
            <w:shd w:val="clear" w:color="000000" w:fill="D9D9D9"/>
            <w:noWrap/>
            <w:vAlign w:val="bottom"/>
            <w:hideMark/>
          </w:tcPr>
          <w:p w14:paraId="1B451936"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741.807,21</w:t>
            </w:r>
          </w:p>
        </w:tc>
        <w:tc>
          <w:tcPr>
            <w:tcW w:w="450" w:type="pct"/>
            <w:tcBorders>
              <w:top w:val="nil"/>
              <w:left w:val="nil"/>
              <w:bottom w:val="single" w:sz="4" w:space="0" w:color="auto"/>
              <w:right w:val="single" w:sz="4" w:space="0" w:color="auto"/>
            </w:tcBorders>
            <w:shd w:val="clear" w:color="000000" w:fill="D9D9D9"/>
            <w:noWrap/>
            <w:vAlign w:val="bottom"/>
            <w:hideMark/>
          </w:tcPr>
          <w:p w14:paraId="44E4E6CD"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857.768,13</w:t>
            </w:r>
          </w:p>
        </w:tc>
        <w:tc>
          <w:tcPr>
            <w:tcW w:w="551" w:type="pct"/>
            <w:tcBorders>
              <w:top w:val="nil"/>
              <w:left w:val="nil"/>
              <w:bottom w:val="single" w:sz="4" w:space="0" w:color="auto"/>
              <w:right w:val="single" w:sz="4" w:space="0" w:color="auto"/>
            </w:tcBorders>
            <w:shd w:val="clear" w:color="000000" w:fill="D9D9D9"/>
            <w:noWrap/>
            <w:vAlign w:val="bottom"/>
            <w:hideMark/>
          </w:tcPr>
          <w:p w14:paraId="1C770ED2"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1.463.774,22</w:t>
            </w:r>
          </w:p>
        </w:tc>
        <w:tc>
          <w:tcPr>
            <w:tcW w:w="450" w:type="pct"/>
            <w:tcBorders>
              <w:top w:val="nil"/>
              <w:left w:val="nil"/>
              <w:bottom w:val="single" w:sz="4" w:space="0" w:color="auto"/>
              <w:right w:val="single" w:sz="4" w:space="0" w:color="auto"/>
            </w:tcBorders>
            <w:shd w:val="clear" w:color="000000" w:fill="D9D9D9"/>
            <w:noWrap/>
            <w:vAlign w:val="bottom"/>
            <w:hideMark/>
          </w:tcPr>
          <w:p w14:paraId="1E803CE6"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192.496,18</w:t>
            </w:r>
          </w:p>
        </w:tc>
      </w:tr>
      <w:tr w:rsidR="00F87307" w:rsidRPr="004A6E4D" w14:paraId="6F35FE09" w14:textId="77777777" w:rsidTr="00F87307">
        <w:trPr>
          <w:trHeight w:val="284"/>
        </w:trPr>
        <w:tc>
          <w:tcPr>
            <w:tcW w:w="1699" w:type="pct"/>
            <w:tcBorders>
              <w:top w:val="nil"/>
              <w:left w:val="single" w:sz="4" w:space="0" w:color="auto"/>
              <w:bottom w:val="single" w:sz="4" w:space="0" w:color="auto"/>
              <w:right w:val="single" w:sz="4" w:space="0" w:color="auto"/>
            </w:tcBorders>
            <w:shd w:val="clear" w:color="000000" w:fill="D9D9D9"/>
            <w:vAlign w:val="bottom"/>
            <w:hideMark/>
          </w:tcPr>
          <w:p w14:paraId="5E7100DF" w14:textId="77777777" w:rsidR="00F87307" w:rsidRPr="004A6E4D" w:rsidRDefault="00F87307" w:rsidP="00472C0E">
            <w:pPr>
              <w:rPr>
                <w:rFonts w:ascii="Arial" w:hAnsi="Arial" w:cs="Arial"/>
                <w:b/>
                <w:bCs/>
                <w:color w:val="000000"/>
                <w:sz w:val="20"/>
                <w:szCs w:val="20"/>
              </w:rPr>
            </w:pPr>
            <w:r w:rsidRPr="004A6E4D">
              <w:rPr>
                <w:rFonts w:ascii="Arial" w:hAnsi="Arial" w:cs="Arial"/>
                <w:b/>
                <w:bCs/>
                <w:color w:val="000000"/>
                <w:sz w:val="20"/>
                <w:szCs w:val="20"/>
              </w:rPr>
              <w:t xml:space="preserve">Skupaj z </w:t>
            </w:r>
            <w:proofErr w:type="spellStart"/>
            <w:r w:rsidRPr="004A6E4D">
              <w:rPr>
                <w:rFonts w:ascii="Arial" w:hAnsi="Arial" w:cs="Arial"/>
                <w:b/>
                <w:bCs/>
                <w:color w:val="000000"/>
                <w:sz w:val="20"/>
                <w:szCs w:val="20"/>
              </w:rPr>
              <w:t>nepovračljivim</w:t>
            </w:r>
            <w:proofErr w:type="spellEnd"/>
            <w:r w:rsidRPr="004A6E4D">
              <w:rPr>
                <w:rFonts w:ascii="Arial" w:hAnsi="Arial" w:cs="Arial"/>
                <w:b/>
                <w:bCs/>
                <w:color w:val="000000"/>
                <w:sz w:val="20"/>
                <w:szCs w:val="20"/>
              </w:rPr>
              <w:t xml:space="preserve"> davkom na dodano vrednost</w:t>
            </w:r>
          </w:p>
        </w:tc>
        <w:tc>
          <w:tcPr>
            <w:tcW w:w="499" w:type="pct"/>
            <w:tcBorders>
              <w:top w:val="nil"/>
              <w:left w:val="nil"/>
              <w:bottom w:val="single" w:sz="4" w:space="0" w:color="auto"/>
              <w:right w:val="single" w:sz="4" w:space="0" w:color="auto"/>
            </w:tcBorders>
            <w:shd w:val="clear" w:color="000000" w:fill="D9D9D9"/>
            <w:noWrap/>
            <w:vAlign w:val="bottom"/>
            <w:hideMark/>
          </w:tcPr>
          <w:p w14:paraId="303B4740"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3.634.634,30</w:t>
            </w:r>
          </w:p>
        </w:tc>
        <w:tc>
          <w:tcPr>
            <w:tcW w:w="403" w:type="pct"/>
            <w:tcBorders>
              <w:top w:val="nil"/>
              <w:left w:val="nil"/>
              <w:bottom w:val="single" w:sz="4" w:space="0" w:color="auto"/>
              <w:right w:val="single" w:sz="4" w:space="0" w:color="auto"/>
            </w:tcBorders>
            <w:shd w:val="clear" w:color="000000" w:fill="D9D9D9"/>
            <w:noWrap/>
            <w:vAlign w:val="bottom"/>
            <w:hideMark/>
          </w:tcPr>
          <w:p w14:paraId="5FA5CA8A"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297.701,17</w:t>
            </w:r>
          </w:p>
        </w:tc>
        <w:tc>
          <w:tcPr>
            <w:tcW w:w="500" w:type="pct"/>
            <w:tcBorders>
              <w:top w:val="nil"/>
              <w:left w:val="nil"/>
              <w:bottom w:val="single" w:sz="4" w:space="0" w:color="auto"/>
              <w:right w:val="single" w:sz="4" w:space="0" w:color="auto"/>
            </w:tcBorders>
            <w:shd w:val="clear" w:color="000000" w:fill="D9D9D9"/>
            <w:noWrap/>
            <w:vAlign w:val="bottom"/>
            <w:hideMark/>
          </w:tcPr>
          <w:p w14:paraId="7657EA6B"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107.763,52</w:t>
            </w:r>
          </w:p>
        </w:tc>
        <w:tc>
          <w:tcPr>
            <w:tcW w:w="450" w:type="pct"/>
            <w:tcBorders>
              <w:top w:val="nil"/>
              <w:left w:val="nil"/>
              <w:bottom w:val="single" w:sz="4" w:space="0" w:color="auto"/>
              <w:right w:val="single" w:sz="4" w:space="0" w:color="auto"/>
            </w:tcBorders>
            <w:shd w:val="clear" w:color="000000" w:fill="D9D9D9"/>
            <w:noWrap/>
            <w:vAlign w:val="bottom"/>
            <w:hideMark/>
          </w:tcPr>
          <w:p w14:paraId="25C9065B"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741.807,21</w:t>
            </w:r>
          </w:p>
        </w:tc>
        <w:tc>
          <w:tcPr>
            <w:tcW w:w="450" w:type="pct"/>
            <w:tcBorders>
              <w:top w:val="nil"/>
              <w:left w:val="nil"/>
              <w:bottom w:val="single" w:sz="4" w:space="0" w:color="auto"/>
              <w:right w:val="single" w:sz="4" w:space="0" w:color="auto"/>
            </w:tcBorders>
            <w:shd w:val="clear" w:color="000000" w:fill="D9D9D9"/>
            <w:noWrap/>
            <w:vAlign w:val="bottom"/>
            <w:hideMark/>
          </w:tcPr>
          <w:p w14:paraId="2C0591B9"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844.568,66</w:t>
            </w:r>
          </w:p>
        </w:tc>
        <w:tc>
          <w:tcPr>
            <w:tcW w:w="551" w:type="pct"/>
            <w:tcBorders>
              <w:top w:val="nil"/>
              <w:left w:val="nil"/>
              <w:bottom w:val="single" w:sz="4" w:space="0" w:color="auto"/>
              <w:right w:val="single" w:sz="4" w:space="0" w:color="auto"/>
            </w:tcBorders>
            <w:shd w:val="clear" w:color="000000" w:fill="D9D9D9"/>
            <w:noWrap/>
            <w:vAlign w:val="bottom"/>
            <w:hideMark/>
          </w:tcPr>
          <w:p w14:paraId="6CB436AD"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1.450.297,56</w:t>
            </w:r>
          </w:p>
        </w:tc>
        <w:tc>
          <w:tcPr>
            <w:tcW w:w="450" w:type="pct"/>
            <w:tcBorders>
              <w:top w:val="nil"/>
              <w:left w:val="nil"/>
              <w:bottom w:val="single" w:sz="4" w:space="0" w:color="auto"/>
              <w:right w:val="single" w:sz="4" w:space="0" w:color="auto"/>
            </w:tcBorders>
            <w:shd w:val="clear" w:color="000000" w:fill="D9D9D9"/>
            <w:noWrap/>
            <w:vAlign w:val="bottom"/>
            <w:hideMark/>
          </w:tcPr>
          <w:p w14:paraId="58A28E32" w14:textId="77777777" w:rsidR="00F87307" w:rsidRPr="004A6E4D" w:rsidRDefault="00F87307" w:rsidP="00472C0E">
            <w:pPr>
              <w:jc w:val="right"/>
              <w:rPr>
                <w:rFonts w:ascii="Arial" w:hAnsi="Arial" w:cs="Arial"/>
                <w:b/>
                <w:bCs/>
                <w:color w:val="000000"/>
                <w:sz w:val="20"/>
                <w:szCs w:val="20"/>
              </w:rPr>
            </w:pPr>
            <w:r w:rsidRPr="004A6E4D">
              <w:rPr>
                <w:rFonts w:ascii="Arial" w:hAnsi="Arial" w:cs="Arial"/>
                <w:b/>
                <w:bCs/>
                <w:color w:val="000000"/>
                <w:sz w:val="20"/>
                <w:szCs w:val="20"/>
              </w:rPr>
              <w:t>192.496,18</w:t>
            </w:r>
          </w:p>
        </w:tc>
      </w:tr>
    </w:tbl>
    <w:p w14:paraId="7B4A2A4E" w14:textId="77777777" w:rsidR="00F87307" w:rsidRDefault="00F87307" w:rsidP="00CD0D39">
      <w:pPr>
        <w:spacing w:after="120" w:line="276" w:lineRule="auto"/>
        <w:jc w:val="both"/>
        <w:rPr>
          <w:rFonts w:asciiTheme="majorHAnsi" w:hAnsiTheme="majorHAnsi" w:cstheme="majorHAnsi"/>
          <w:b/>
          <w:sz w:val="22"/>
          <w:szCs w:val="22"/>
        </w:rPr>
      </w:pPr>
      <w:bookmarkStart w:id="314" w:name="_Toc209528309"/>
    </w:p>
    <w:p w14:paraId="31AFD239" w14:textId="43BE6C36" w:rsidR="00CD0D39" w:rsidRDefault="00CD0D39" w:rsidP="00CD0D39">
      <w:pPr>
        <w:spacing w:after="120" w:line="276" w:lineRule="auto"/>
        <w:jc w:val="both"/>
        <w:rPr>
          <w:rFonts w:asciiTheme="majorHAnsi" w:hAnsiTheme="majorHAnsi" w:cstheme="majorHAnsi"/>
          <w:sz w:val="22"/>
          <w:szCs w:val="22"/>
        </w:rPr>
      </w:pPr>
      <w:r w:rsidRPr="00F11127">
        <w:rPr>
          <w:rFonts w:asciiTheme="majorHAnsi" w:hAnsiTheme="majorHAnsi" w:cstheme="majorHAnsi"/>
          <w:b/>
          <w:sz w:val="22"/>
          <w:szCs w:val="22"/>
        </w:rPr>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23</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Finančni terminski plan </w:t>
      </w:r>
      <w:r>
        <w:rPr>
          <w:rFonts w:asciiTheme="majorHAnsi" w:hAnsiTheme="majorHAnsi" w:cstheme="majorHAnsi"/>
          <w:sz w:val="22"/>
          <w:szCs w:val="22"/>
        </w:rPr>
        <w:t>upravičenih stroškov</w:t>
      </w:r>
      <w:r w:rsidRPr="00F11127">
        <w:rPr>
          <w:rFonts w:asciiTheme="majorHAnsi" w:hAnsiTheme="majorHAnsi" w:cstheme="majorHAnsi"/>
          <w:sz w:val="22"/>
          <w:szCs w:val="22"/>
        </w:rPr>
        <w:t xml:space="preserve"> v </w:t>
      </w:r>
      <w:r w:rsidR="00097406">
        <w:rPr>
          <w:rFonts w:asciiTheme="majorHAnsi" w:hAnsiTheme="majorHAnsi" w:cstheme="majorHAnsi"/>
          <w:sz w:val="22"/>
          <w:szCs w:val="22"/>
        </w:rPr>
        <w:t>tekočih</w:t>
      </w:r>
      <w:r w:rsidRPr="00F11127">
        <w:rPr>
          <w:rFonts w:asciiTheme="majorHAnsi" w:hAnsiTheme="majorHAnsi" w:cstheme="majorHAnsi"/>
          <w:sz w:val="22"/>
          <w:szCs w:val="22"/>
        </w:rPr>
        <w:t xml:space="preserve"> cenah v EUR</w:t>
      </w:r>
      <w:bookmarkEnd w:id="314"/>
    </w:p>
    <w:tbl>
      <w:tblPr>
        <w:tblW w:w="14260" w:type="dxa"/>
        <w:tblCellMar>
          <w:left w:w="70" w:type="dxa"/>
          <w:right w:w="70" w:type="dxa"/>
        </w:tblCellMar>
        <w:tblLook w:val="04A0" w:firstRow="1" w:lastRow="0" w:firstColumn="1" w:lastColumn="0" w:noHBand="0" w:noVBand="1"/>
      </w:tblPr>
      <w:tblGrid>
        <w:gridCol w:w="4815"/>
        <w:gridCol w:w="1417"/>
        <w:gridCol w:w="1276"/>
        <w:gridCol w:w="1276"/>
        <w:gridCol w:w="1276"/>
        <w:gridCol w:w="1220"/>
        <w:gridCol w:w="1560"/>
        <w:gridCol w:w="1420"/>
      </w:tblGrid>
      <w:tr w:rsidR="00B0343F" w:rsidRPr="00B0343F" w14:paraId="51333521" w14:textId="77777777" w:rsidTr="00B0343F">
        <w:trPr>
          <w:trHeight w:val="284"/>
        </w:trPr>
        <w:tc>
          <w:tcPr>
            <w:tcW w:w="4815" w:type="dxa"/>
            <w:tcBorders>
              <w:top w:val="single" w:sz="4" w:space="0" w:color="auto"/>
              <w:left w:val="single" w:sz="4" w:space="0" w:color="auto"/>
              <w:bottom w:val="single" w:sz="4" w:space="0" w:color="auto"/>
              <w:right w:val="single" w:sz="4" w:space="0" w:color="auto"/>
            </w:tcBorders>
            <w:shd w:val="clear" w:color="000000" w:fill="153D64"/>
            <w:vAlign w:val="bottom"/>
            <w:hideMark/>
          </w:tcPr>
          <w:p w14:paraId="6B85A217" w14:textId="77777777" w:rsidR="00B0343F" w:rsidRPr="00B0343F" w:rsidRDefault="00B0343F">
            <w:pPr>
              <w:rPr>
                <w:rFonts w:ascii="Arial" w:hAnsi="Arial" w:cs="Arial"/>
                <w:b/>
                <w:bCs/>
                <w:color w:val="FFFFFF"/>
                <w:sz w:val="20"/>
                <w:szCs w:val="20"/>
              </w:rPr>
            </w:pPr>
            <w:r w:rsidRPr="00B0343F">
              <w:rPr>
                <w:rFonts w:ascii="Arial" w:hAnsi="Arial" w:cs="Arial"/>
                <w:b/>
                <w:bCs/>
                <w:color w:val="FFFFFF"/>
                <w:sz w:val="20"/>
                <w:szCs w:val="20"/>
              </w:rPr>
              <w:t>Postavka</w:t>
            </w:r>
          </w:p>
        </w:tc>
        <w:tc>
          <w:tcPr>
            <w:tcW w:w="1417" w:type="dxa"/>
            <w:tcBorders>
              <w:top w:val="single" w:sz="4" w:space="0" w:color="auto"/>
              <w:left w:val="nil"/>
              <w:bottom w:val="single" w:sz="4" w:space="0" w:color="auto"/>
              <w:right w:val="single" w:sz="4" w:space="0" w:color="auto"/>
            </w:tcBorders>
            <w:shd w:val="clear" w:color="000000" w:fill="153D64"/>
            <w:noWrap/>
            <w:vAlign w:val="bottom"/>
            <w:hideMark/>
          </w:tcPr>
          <w:p w14:paraId="00A8455E" w14:textId="77777777" w:rsidR="00B0343F" w:rsidRPr="00B0343F" w:rsidRDefault="00B0343F">
            <w:pPr>
              <w:rPr>
                <w:rFonts w:ascii="Arial" w:hAnsi="Arial" w:cs="Arial"/>
                <w:b/>
                <w:bCs/>
                <w:color w:val="FFFFFF"/>
                <w:sz w:val="20"/>
                <w:szCs w:val="20"/>
              </w:rPr>
            </w:pPr>
            <w:r w:rsidRPr="00B0343F">
              <w:rPr>
                <w:rFonts w:ascii="Arial" w:hAnsi="Arial" w:cs="Arial"/>
                <w:b/>
                <w:bCs/>
                <w:color w:val="FFFFFF"/>
                <w:sz w:val="20"/>
                <w:szCs w:val="20"/>
              </w:rPr>
              <w:t>UPRAVIČENI STROŠKI</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5279E81C"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2024</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29CA6685"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2025</w:t>
            </w:r>
          </w:p>
        </w:tc>
        <w:tc>
          <w:tcPr>
            <w:tcW w:w="1276" w:type="dxa"/>
            <w:tcBorders>
              <w:top w:val="single" w:sz="4" w:space="0" w:color="auto"/>
              <w:left w:val="nil"/>
              <w:bottom w:val="single" w:sz="4" w:space="0" w:color="auto"/>
              <w:right w:val="single" w:sz="4" w:space="0" w:color="auto"/>
            </w:tcBorders>
            <w:shd w:val="clear" w:color="000000" w:fill="153D64"/>
            <w:noWrap/>
            <w:vAlign w:val="bottom"/>
            <w:hideMark/>
          </w:tcPr>
          <w:p w14:paraId="54CBD448"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2026</w:t>
            </w:r>
          </w:p>
        </w:tc>
        <w:tc>
          <w:tcPr>
            <w:tcW w:w="1220" w:type="dxa"/>
            <w:tcBorders>
              <w:top w:val="single" w:sz="4" w:space="0" w:color="auto"/>
              <w:left w:val="nil"/>
              <w:bottom w:val="single" w:sz="4" w:space="0" w:color="auto"/>
              <w:right w:val="single" w:sz="4" w:space="0" w:color="auto"/>
            </w:tcBorders>
            <w:shd w:val="clear" w:color="000000" w:fill="153D64"/>
            <w:noWrap/>
            <w:vAlign w:val="bottom"/>
            <w:hideMark/>
          </w:tcPr>
          <w:p w14:paraId="2A9BB170"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2027</w:t>
            </w:r>
          </w:p>
        </w:tc>
        <w:tc>
          <w:tcPr>
            <w:tcW w:w="1560" w:type="dxa"/>
            <w:tcBorders>
              <w:top w:val="single" w:sz="4" w:space="0" w:color="auto"/>
              <w:left w:val="nil"/>
              <w:bottom w:val="single" w:sz="4" w:space="0" w:color="auto"/>
              <w:right w:val="single" w:sz="4" w:space="0" w:color="auto"/>
            </w:tcBorders>
            <w:shd w:val="clear" w:color="000000" w:fill="153D64"/>
            <w:noWrap/>
            <w:vAlign w:val="bottom"/>
            <w:hideMark/>
          </w:tcPr>
          <w:p w14:paraId="31F2E304"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2028</w:t>
            </w:r>
          </w:p>
        </w:tc>
        <w:tc>
          <w:tcPr>
            <w:tcW w:w="1420" w:type="dxa"/>
            <w:tcBorders>
              <w:top w:val="single" w:sz="4" w:space="0" w:color="auto"/>
              <w:left w:val="nil"/>
              <w:bottom w:val="single" w:sz="4" w:space="0" w:color="auto"/>
              <w:right w:val="single" w:sz="4" w:space="0" w:color="auto"/>
            </w:tcBorders>
            <w:shd w:val="clear" w:color="000000" w:fill="153D64"/>
            <w:noWrap/>
            <w:vAlign w:val="bottom"/>
            <w:hideMark/>
          </w:tcPr>
          <w:p w14:paraId="4DFBD550" w14:textId="77777777" w:rsidR="00B0343F" w:rsidRPr="00B0343F" w:rsidRDefault="00B0343F">
            <w:pPr>
              <w:jc w:val="right"/>
              <w:rPr>
                <w:rFonts w:ascii="Arial" w:hAnsi="Arial" w:cs="Arial"/>
                <w:b/>
                <w:bCs/>
                <w:color w:val="FFFFFF"/>
                <w:sz w:val="20"/>
                <w:szCs w:val="20"/>
              </w:rPr>
            </w:pPr>
            <w:r w:rsidRPr="00B0343F">
              <w:rPr>
                <w:rFonts w:ascii="Arial" w:hAnsi="Arial" w:cs="Arial"/>
                <w:b/>
                <w:bCs/>
                <w:color w:val="FFFFFF"/>
                <w:sz w:val="20"/>
                <w:szCs w:val="20"/>
              </w:rPr>
              <w:t>2029</w:t>
            </w:r>
          </w:p>
        </w:tc>
      </w:tr>
      <w:tr w:rsidR="00B0343F" w:rsidRPr="00B0343F" w14:paraId="51BA3AE1"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348A0F60"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Govekarjeva cesta</w:t>
            </w:r>
          </w:p>
        </w:tc>
        <w:tc>
          <w:tcPr>
            <w:tcW w:w="1417" w:type="dxa"/>
            <w:tcBorders>
              <w:top w:val="nil"/>
              <w:left w:val="nil"/>
              <w:bottom w:val="single" w:sz="4" w:space="0" w:color="auto"/>
              <w:right w:val="single" w:sz="4" w:space="0" w:color="auto"/>
            </w:tcBorders>
            <w:noWrap/>
            <w:vAlign w:val="bottom"/>
            <w:hideMark/>
          </w:tcPr>
          <w:p w14:paraId="2F7CAE4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710.549,80</w:t>
            </w:r>
          </w:p>
        </w:tc>
        <w:tc>
          <w:tcPr>
            <w:tcW w:w="1276" w:type="dxa"/>
            <w:tcBorders>
              <w:top w:val="nil"/>
              <w:left w:val="nil"/>
              <w:bottom w:val="single" w:sz="4" w:space="0" w:color="auto"/>
              <w:right w:val="single" w:sz="4" w:space="0" w:color="auto"/>
            </w:tcBorders>
            <w:noWrap/>
            <w:vAlign w:val="bottom"/>
            <w:hideMark/>
          </w:tcPr>
          <w:p w14:paraId="5D37339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9C3C2A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60EAE5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C42681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261.120,75</w:t>
            </w:r>
          </w:p>
        </w:tc>
        <w:tc>
          <w:tcPr>
            <w:tcW w:w="1560" w:type="dxa"/>
            <w:tcBorders>
              <w:top w:val="nil"/>
              <w:left w:val="nil"/>
              <w:bottom w:val="single" w:sz="4" w:space="0" w:color="auto"/>
              <w:right w:val="single" w:sz="4" w:space="0" w:color="auto"/>
            </w:tcBorders>
            <w:noWrap/>
            <w:vAlign w:val="bottom"/>
            <w:hideMark/>
          </w:tcPr>
          <w:p w14:paraId="6AA00E3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449.429,05</w:t>
            </w:r>
          </w:p>
        </w:tc>
        <w:tc>
          <w:tcPr>
            <w:tcW w:w="1420" w:type="dxa"/>
            <w:tcBorders>
              <w:top w:val="nil"/>
              <w:left w:val="nil"/>
              <w:bottom w:val="single" w:sz="4" w:space="0" w:color="auto"/>
              <w:right w:val="single" w:sz="4" w:space="0" w:color="auto"/>
            </w:tcBorders>
            <w:noWrap/>
            <w:vAlign w:val="bottom"/>
            <w:hideMark/>
          </w:tcPr>
          <w:p w14:paraId="194D9E2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2B75A17"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7071A05A"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Troštova ulica</w:t>
            </w:r>
          </w:p>
        </w:tc>
        <w:tc>
          <w:tcPr>
            <w:tcW w:w="1417" w:type="dxa"/>
            <w:tcBorders>
              <w:top w:val="nil"/>
              <w:left w:val="nil"/>
              <w:bottom w:val="single" w:sz="4" w:space="0" w:color="auto"/>
              <w:right w:val="single" w:sz="4" w:space="0" w:color="auto"/>
            </w:tcBorders>
            <w:noWrap/>
            <w:vAlign w:val="bottom"/>
            <w:hideMark/>
          </w:tcPr>
          <w:p w14:paraId="52219BF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166.335,43</w:t>
            </w:r>
          </w:p>
        </w:tc>
        <w:tc>
          <w:tcPr>
            <w:tcW w:w="1276" w:type="dxa"/>
            <w:tcBorders>
              <w:top w:val="nil"/>
              <w:left w:val="nil"/>
              <w:bottom w:val="single" w:sz="4" w:space="0" w:color="auto"/>
              <w:right w:val="single" w:sz="4" w:space="0" w:color="auto"/>
            </w:tcBorders>
            <w:noWrap/>
            <w:vAlign w:val="bottom"/>
            <w:hideMark/>
          </w:tcPr>
          <w:p w14:paraId="6E6A76D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55E74A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3ADA3B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76DE7F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166.335,43</w:t>
            </w:r>
          </w:p>
        </w:tc>
        <w:tc>
          <w:tcPr>
            <w:tcW w:w="1560" w:type="dxa"/>
            <w:tcBorders>
              <w:top w:val="nil"/>
              <w:left w:val="nil"/>
              <w:bottom w:val="single" w:sz="4" w:space="0" w:color="auto"/>
              <w:right w:val="single" w:sz="4" w:space="0" w:color="auto"/>
            </w:tcBorders>
            <w:noWrap/>
            <w:vAlign w:val="bottom"/>
            <w:hideMark/>
          </w:tcPr>
          <w:p w14:paraId="1E69A63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561A1C2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F3B3F56"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0F07EE3D"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Križišče Govekarjeva-Troštova</w:t>
            </w:r>
          </w:p>
        </w:tc>
        <w:tc>
          <w:tcPr>
            <w:tcW w:w="1417" w:type="dxa"/>
            <w:tcBorders>
              <w:top w:val="nil"/>
              <w:left w:val="nil"/>
              <w:bottom w:val="single" w:sz="4" w:space="0" w:color="auto"/>
              <w:right w:val="single" w:sz="4" w:space="0" w:color="auto"/>
            </w:tcBorders>
            <w:noWrap/>
            <w:vAlign w:val="bottom"/>
            <w:hideMark/>
          </w:tcPr>
          <w:p w14:paraId="3E4B516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161.849,79</w:t>
            </w:r>
          </w:p>
        </w:tc>
        <w:tc>
          <w:tcPr>
            <w:tcW w:w="1276" w:type="dxa"/>
            <w:tcBorders>
              <w:top w:val="nil"/>
              <w:left w:val="nil"/>
              <w:bottom w:val="single" w:sz="4" w:space="0" w:color="auto"/>
              <w:right w:val="single" w:sz="4" w:space="0" w:color="auto"/>
            </w:tcBorders>
            <w:noWrap/>
            <w:vAlign w:val="bottom"/>
            <w:hideMark/>
          </w:tcPr>
          <w:p w14:paraId="6A7DF16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CA3876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88DC1E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6155565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161.849,79</w:t>
            </w:r>
          </w:p>
        </w:tc>
        <w:tc>
          <w:tcPr>
            <w:tcW w:w="1560" w:type="dxa"/>
            <w:tcBorders>
              <w:top w:val="nil"/>
              <w:left w:val="nil"/>
              <w:bottom w:val="single" w:sz="4" w:space="0" w:color="auto"/>
              <w:right w:val="single" w:sz="4" w:space="0" w:color="auto"/>
            </w:tcBorders>
            <w:noWrap/>
            <w:vAlign w:val="bottom"/>
            <w:hideMark/>
          </w:tcPr>
          <w:p w14:paraId="21DF59F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108B68A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3A3CA528"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EF9B091"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Javni sistem izposoje koles</w:t>
            </w:r>
          </w:p>
        </w:tc>
        <w:tc>
          <w:tcPr>
            <w:tcW w:w="1417" w:type="dxa"/>
            <w:tcBorders>
              <w:top w:val="nil"/>
              <w:left w:val="nil"/>
              <w:bottom w:val="single" w:sz="4" w:space="0" w:color="auto"/>
              <w:right w:val="single" w:sz="4" w:space="0" w:color="auto"/>
            </w:tcBorders>
            <w:noWrap/>
            <w:vAlign w:val="bottom"/>
            <w:hideMark/>
          </w:tcPr>
          <w:p w14:paraId="3BF77AD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57.333,76</w:t>
            </w:r>
          </w:p>
        </w:tc>
        <w:tc>
          <w:tcPr>
            <w:tcW w:w="1276" w:type="dxa"/>
            <w:tcBorders>
              <w:top w:val="nil"/>
              <w:left w:val="nil"/>
              <w:bottom w:val="single" w:sz="4" w:space="0" w:color="auto"/>
              <w:right w:val="single" w:sz="4" w:space="0" w:color="auto"/>
            </w:tcBorders>
            <w:noWrap/>
            <w:vAlign w:val="bottom"/>
            <w:hideMark/>
          </w:tcPr>
          <w:p w14:paraId="2030BE4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901B09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0E1880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72C13D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57.333,76</w:t>
            </w:r>
          </w:p>
        </w:tc>
        <w:tc>
          <w:tcPr>
            <w:tcW w:w="1560" w:type="dxa"/>
            <w:tcBorders>
              <w:top w:val="nil"/>
              <w:left w:val="nil"/>
              <w:bottom w:val="single" w:sz="4" w:space="0" w:color="auto"/>
              <w:right w:val="single" w:sz="4" w:space="0" w:color="auto"/>
            </w:tcBorders>
            <w:noWrap/>
            <w:vAlign w:val="bottom"/>
            <w:hideMark/>
          </w:tcPr>
          <w:p w14:paraId="4102DC4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5C9653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28175F2D"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4398AF85"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Parkirišča za kolesa - Govekarjeva cesta</w:t>
            </w:r>
          </w:p>
        </w:tc>
        <w:tc>
          <w:tcPr>
            <w:tcW w:w="1417" w:type="dxa"/>
            <w:tcBorders>
              <w:top w:val="nil"/>
              <w:left w:val="nil"/>
              <w:bottom w:val="single" w:sz="4" w:space="0" w:color="auto"/>
              <w:right w:val="single" w:sz="4" w:space="0" w:color="auto"/>
            </w:tcBorders>
            <w:noWrap/>
            <w:vAlign w:val="bottom"/>
            <w:hideMark/>
          </w:tcPr>
          <w:p w14:paraId="53925FC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276" w:type="dxa"/>
            <w:tcBorders>
              <w:top w:val="nil"/>
              <w:left w:val="nil"/>
              <w:bottom w:val="single" w:sz="4" w:space="0" w:color="auto"/>
              <w:right w:val="single" w:sz="4" w:space="0" w:color="auto"/>
            </w:tcBorders>
            <w:noWrap/>
            <w:vAlign w:val="bottom"/>
            <w:hideMark/>
          </w:tcPr>
          <w:p w14:paraId="3172173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0F04C8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DB3AFF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1171FB3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560" w:type="dxa"/>
            <w:tcBorders>
              <w:top w:val="nil"/>
              <w:left w:val="nil"/>
              <w:bottom w:val="single" w:sz="4" w:space="0" w:color="auto"/>
              <w:right w:val="single" w:sz="4" w:space="0" w:color="auto"/>
            </w:tcBorders>
            <w:noWrap/>
            <w:vAlign w:val="bottom"/>
            <w:hideMark/>
          </w:tcPr>
          <w:p w14:paraId="5CBFF8B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BB634E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D0DE612"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3AB071C"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Parkirišča za kolesa - staro župnišče</w:t>
            </w:r>
          </w:p>
        </w:tc>
        <w:tc>
          <w:tcPr>
            <w:tcW w:w="1417" w:type="dxa"/>
            <w:tcBorders>
              <w:top w:val="nil"/>
              <w:left w:val="nil"/>
              <w:bottom w:val="single" w:sz="4" w:space="0" w:color="auto"/>
              <w:right w:val="single" w:sz="4" w:space="0" w:color="auto"/>
            </w:tcBorders>
            <w:noWrap/>
            <w:vAlign w:val="bottom"/>
            <w:hideMark/>
          </w:tcPr>
          <w:p w14:paraId="733C74C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6.665,11</w:t>
            </w:r>
          </w:p>
        </w:tc>
        <w:tc>
          <w:tcPr>
            <w:tcW w:w="1276" w:type="dxa"/>
            <w:tcBorders>
              <w:top w:val="nil"/>
              <w:left w:val="nil"/>
              <w:bottom w:val="single" w:sz="4" w:space="0" w:color="auto"/>
              <w:right w:val="single" w:sz="4" w:space="0" w:color="auto"/>
            </w:tcBorders>
            <w:noWrap/>
            <w:vAlign w:val="bottom"/>
            <w:hideMark/>
          </w:tcPr>
          <w:p w14:paraId="71587AD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A6E4D4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49739F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58969F4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256940A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6.665,11</w:t>
            </w:r>
          </w:p>
        </w:tc>
        <w:tc>
          <w:tcPr>
            <w:tcW w:w="1420" w:type="dxa"/>
            <w:tcBorders>
              <w:top w:val="nil"/>
              <w:left w:val="nil"/>
              <w:bottom w:val="single" w:sz="4" w:space="0" w:color="auto"/>
              <w:right w:val="single" w:sz="4" w:space="0" w:color="auto"/>
            </w:tcBorders>
            <w:noWrap/>
            <w:vAlign w:val="bottom"/>
            <w:hideMark/>
          </w:tcPr>
          <w:p w14:paraId="51E1588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201710C4"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9400EC4"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Parkirišča za kolesa - trg (kolesarnica)</w:t>
            </w:r>
          </w:p>
        </w:tc>
        <w:tc>
          <w:tcPr>
            <w:tcW w:w="1417" w:type="dxa"/>
            <w:tcBorders>
              <w:top w:val="nil"/>
              <w:left w:val="nil"/>
              <w:bottom w:val="single" w:sz="4" w:space="0" w:color="auto"/>
              <w:right w:val="single" w:sz="4" w:space="0" w:color="auto"/>
            </w:tcBorders>
            <w:noWrap/>
            <w:vAlign w:val="bottom"/>
            <w:hideMark/>
          </w:tcPr>
          <w:p w14:paraId="198340F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64.993,90</w:t>
            </w:r>
          </w:p>
        </w:tc>
        <w:tc>
          <w:tcPr>
            <w:tcW w:w="1276" w:type="dxa"/>
            <w:tcBorders>
              <w:top w:val="nil"/>
              <w:left w:val="nil"/>
              <w:bottom w:val="single" w:sz="4" w:space="0" w:color="auto"/>
              <w:right w:val="single" w:sz="4" w:space="0" w:color="auto"/>
            </w:tcBorders>
            <w:noWrap/>
            <w:vAlign w:val="bottom"/>
            <w:hideMark/>
          </w:tcPr>
          <w:p w14:paraId="5B5FC2F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3C7F81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298478B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5A171A4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435913C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64.993,90</w:t>
            </w:r>
          </w:p>
        </w:tc>
        <w:tc>
          <w:tcPr>
            <w:tcW w:w="1420" w:type="dxa"/>
            <w:tcBorders>
              <w:top w:val="nil"/>
              <w:left w:val="nil"/>
              <w:bottom w:val="single" w:sz="4" w:space="0" w:color="auto"/>
              <w:right w:val="single" w:sz="4" w:space="0" w:color="auto"/>
            </w:tcBorders>
            <w:noWrap/>
            <w:vAlign w:val="bottom"/>
            <w:hideMark/>
          </w:tcPr>
          <w:p w14:paraId="4B58934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2CC74F73"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FEB005A"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Parkirišča za kolesa - telovadnica</w:t>
            </w:r>
          </w:p>
        </w:tc>
        <w:tc>
          <w:tcPr>
            <w:tcW w:w="1417" w:type="dxa"/>
            <w:tcBorders>
              <w:top w:val="nil"/>
              <w:left w:val="nil"/>
              <w:bottom w:val="single" w:sz="4" w:space="0" w:color="auto"/>
              <w:right w:val="single" w:sz="4" w:space="0" w:color="auto"/>
            </w:tcBorders>
            <w:noWrap/>
            <w:vAlign w:val="bottom"/>
            <w:hideMark/>
          </w:tcPr>
          <w:p w14:paraId="65794BA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276" w:type="dxa"/>
            <w:tcBorders>
              <w:top w:val="nil"/>
              <w:left w:val="nil"/>
              <w:bottom w:val="single" w:sz="4" w:space="0" w:color="auto"/>
              <w:right w:val="single" w:sz="4" w:space="0" w:color="auto"/>
            </w:tcBorders>
            <w:noWrap/>
            <w:vAlign w:val="bottom"/>
            <w:hideMark/>
          </w:tcPr>
          <w:p w14:paraId="7958CA3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E51A94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DD886D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76BB170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560" w:type="dxa"/>
            <w:tcBorders>
              <w:top w:val="nil"/>
              <w:left w:val="nil"/>
              <w:bottom w:val="single" w:sz="4" w:space="0" w:color="auto"/>
              <w:right w:val="single" w:sz="4" w:space="0" w:color="auto"/>
            </w:tcBorders>
            <w:noWrap/>
            <w:vAlign w:val="bottom"/>
            <w:hideMark/>
          </w:tcPr>
          <w:p w14:paraId="026FC88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156DB50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6FCF722A"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753FC132"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Parkirišča za kolesa - park</w:t>
            </w:r>
          </w:p>
        </w:tc>
        <w:tc>
          <w:tcPr>
            <w:tcW w:w="1417" w:type="dxa"/>
            <w:tcBorders>
              <w:top w:val="nil"/>
              <w:left w:val="nil"/>
              <w:bottom w:val="single" w:sz="4" w:space="0" w:color="auto"/>
              <w:right w:val="single" w:sz="4" w:space="0" w:color="auto"/>
            </w:tcBorders>
            <w:noWrap/>
            <w:vAlign w:val="bottom"/>
            <w:hideMark/>
          </w:tcPr>
          <w:p w14:paraId="29E393E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276" w:type="dxa"/>
            <w:tcBorders>
              <w:top w:val="nil"/>
              <w:left w:val="nil"/>
              <w:bottom w:val="single" w:sz="4" w:space="0" w:color="auto"/>
              <w:right w:val="single" w:sz="4" w:space="0" w:color="auto"/>
            </w:tcBorders>
            <w:noWrap/>
            <w:vAlign w:val="bottom"/>
            <w:hideMark/>
          </w:tcPr>
          <w:p w14:paraId="1AACC3D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0E1727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3F1CA0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3DE127D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6.528,02</w:t>
            </w:r>
          </w:p>
        </w:tc>
        <w:tc>
          <w:tcPr>
            <w:tcW w:w="1560" w:type="dxa"/>
            <w:tcBorders>
              <w:top w:val="nil"/>
              <w:left w:val="nil"/>
              <w:bottom w:val="single" w:sz="4" w:space="0" w:color="auto"/>
              <w:right w:val="single" w:sz="4" w:space="0" w:color="auto"/>
            </w:tcBorders>
            <w:noWrap/>
            <w:vAlign w:val="bottom"/>
            <w:hideMark/>
          </w:tcPr>
          <w:p w14:paraId="01C167A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73B131C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2A4988B8"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045BA222"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Merilniki, prikazovalniki in števci</w:t>
            </w:r>
          </w:p>
        </w:tc>
        <w:tc>
          <w:tcPr>
            <w:tcW w:w="1417" w:type="dxa"/>
            <w:tcBorders>
              <w:top w:val="nil"/>
              <w:left w:val="nil"/>
              <w:bottom w:val="single" w:sz="4" w:space="0" w:color="auto"/>
              <w:right w:val="single" w:sz="4" w:space="0" w:color="auto"/>
            </w:tcBorders>
            <w:noWrap/>
            <w:vAlign w:val="bottom"/>
            <w:hideMark/>
          </w:tcPr>
          <w:p w14:paraId="4A67A2F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50.547,11</w:t>
            </w:r>
          </w:p>
        </w:tc>
        <w:tc>
          <w:tcPr>
            <w:tcW w:w="1276" w:type="dxa"/>
            <w:tcBorders>
              <w:top w:val="nil"/>
              <w:left w:val="nil"/>
              <w:bottom w:val="single" w:sz="4" w:space="0" w:color="auto"/>
              <w:right w:val="single" w:sz="4" w:space="0" w:color="auto"/>
            </w:tcBorders>
            <w:noWrap/>
            <w:vAlign w:val="bottom"/>
            <w:hideMark/>
          </w:tcPr>
          <w:p w14:paraId="04E44C9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55B8C7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429310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1B4B04C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28023BD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50.547,11</w:t>
            </w:r>
          </w:p>
        </w:tc>
        <w:tc>
          <w:tcPr>
            <w:tcW w:w="1420" w:type="dxa"/>
            <w:tcBorders>
              <w:top w:val="nil"/>
              <w:left w:val="nil"/>
              <w:bottom w:val="single" w:sz="4" w:space="0" w:color="auto"/>
              <w:right w:val="single" w:sz="4" w:space="0" w:color="auto"/>
            </w:tcBorders>
            <w:noWrap/>
            <w:vAlign w:val="bottom"/>
            <w:hideMark/>
          </w:tcPr>
          <w:p w14:paraId="78BDF41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5CE64F0C"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620ED295" w14:textId="77777777" w:rsidR="00B0343F" w:rsidRPr="00B0343F" w:rsidRDefault="00B0343F">
            <w:pPr>
              <w:rPr>
                <w:rFonts w:ascii="Roboto" w:hAnsi="Roboto"/>
                <w:color w:val="000000"/>
                <w:sz w:val="20"/>
                <w:szCs w:val="20"/>
              </w:rPr>
            </w:pPr>
            <w:r w:rsidRPr="00B0343F">
              <w:rPr>
                <w:rFonts w:ascii="Roboto" w:hAnsi="Roboto"/>
                <w:color w:val="000000"/>
                <w:sz w:val="20"/>
                <w:szCs w:val="20"/>
              </w:rPr>
              <w:t>Avtobusno postajališče - nivo ceste</w:t>
            </w:r>
          </w:p>
        </w:tc>
        <w:tc>
          <w:tcPr>
            <w:tcW w:w="1417" w:type="dxa"/>
            <w:tcBorders>
              <w:top w:val="nil"/>
              <w:left w:val="nil"/>
              <w:bottom w:val="single" w:sz="4" w:space="0" w:color="auto"/>
              <w:right w:val="single" w:sz="4" w:space="0" w:color="auto"/>
            </w:tcBorders>
            <w:noWrap/>
            <w:vAlign w:val="bottom"/>
            <w:hideMark/>
          </w:tcPr>
          <w:p w14:paraId="6DB192D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310.487,47</w:t>
            </w:r>
          </w:p>
        </w:tc>
        <w:tc>
          <w:tcPr>
            <w:tcW w:w="1276" w:type="dxa"/>
            <w:tcBorders>
              <w:top w:val="nil"/>
              <w:left w:val="nil"/>
              <w:bottom w:val="single" w:sz="4" w:space="0" w:color="auto"/>
              <w:right w:val="single" w:sz="4" w:space="0" w:color="auto"/>
            </w:tcBorders>
            <w:noWrap/>
            <w:vAlign w:val="bottom"/>
            <w:hideMark/>
          </w:tcPr>
          <w:p w14:paraId="505C285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A84556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1CDAC1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310.487,47</w:t>
            </w:r>
          </w:p>
        </w:tc>
        <w:tc>
          <w:tcPr>
            <w:tcW w:w="1220" w:type="dxa"/>
            <w:tcBorders>
              <w:top w:val="nil"/>
              <w:left w:val="nil"/>
              <w:bottom w:val="single" w:sz="4" w:space="0" w:color="auto"/>
              <w:right w:val="single" w:sz="4" w:space="0" w:color="auto"/>
            </w:tcBorders>
            <w:noWrap/>
            <w:vAlign w:val="bottom"/>
            <w:hideMark/>
          </w:tcPr>
          <w:p w14:paraId="0A50778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4C06493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8338E4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5D707FC7"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0A7378F9" w14:textId="77777777" w:rsidR="00B0343F" w:rsidRPr="00B0343F" w:rsidRDefault="00B0343F">
            <w:pPr>
              <w:rPr>
                <w:rFonts w:ascii="Roboto" w:hAnsi="Roboto"/>
                <w:color w:val="000000"/>
                <w:sz w:val="20"/>
                <w:szCs w:val="20"/>
              </w:rPr>
            </w:pPr>
            <w:r w:rsidRPr="00B0343F">
              <w:rPr>
                <w:rFonts w:ascii="Roboto" w:hAnsi="Roboto"/>
                <w:color w:val="000000"/>
                <w:sz w:val="20"/>
                <w:szCs w:val="20"/>
              </w:rPr>
              <w:t>Avtobusno postajališče - nadstrešnica</w:t>
            </w:r>
          </w:p>
        </w:tc>
        <w:tc>
          <w:tcPr>
            <w:tcW w:w="1417" w:type="dxa"/>
            <w:tcBorders>
              <w:top w:val="nil"/>
              <w:left w:val="nil"/>
              <w:bottom w:val="single" w:sz="4" w:space="0" w:color="auto"/>
              <w:right w:val="single" w:sz="4" w:space="0" w:color="auto"/>
            </w:tcBorders>
            <w:noWrap/>
            <w:vAlign w:val="bottom"/>
            <w:hideMark/>
          </w:tcPr>
          <w:p w14:paraId="0AF4945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255.528,12</w:t>
            </w:r>
          </w:p>
        </w:tc>
        <w:tc>
          <w:tcPr>
            <w:tcW w:w="1276" w:type="dxa"/>
            <w:tcBorders>
              <w:top w:val="nil"/>
              <w:left w:val="nil"/>
              <w:bottom w:val="single" w:sz="4" w:space="0" w:color="auto"/>
              <w:right w:val="single" w:sz="4" w:space="0" w:color="auto"/>
            </w:tcBorders>
            <w:noWrap/>
            <w:vAlign w:val="bottom"/>
            <w:hideMark/>
          </w:tcPr>
          <w:p w14:paraId="63EC9E8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78BA79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3A85AC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255.528,12</w:t>
            </w:r>
          </w:p>
        </w:tc>
        <w:tc>
          <w:tcPr>
            <w:tcW w:w="1220" w:type="dxa"/>
            <w:tcBorders>
              <w:top w:val="nil"/>
              <w:left w:val="nil"/>
              <w:bottom w:val="single" w:sz="4" w:space="0" w:color="auto"/>
              <w:right w:val="single" w:sz="4" w:space="0" w:color="auto"/>
            </w:tcBorders>
            <w:noWrap/>
            <w:vAlign w:val="bottom"/>
            <w:hideMark/>
          </w:tcPr>
          <w:p w14:paraId="3CAFCD8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3F6D6FB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6463A2F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61AFA579"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3FE2D427" w14:textId="77777777" w:rsidR="00B0343F" w:rsidRPr="00B0343F" w:rsidRDefault="00B0343F">
            <w:pPr>
              <w:rPr>
                <w:rFonts w:ascii="Roboto" w:hAnsi="Roboto"/>
                <w:color w:val="000000"/>
                <w:sz w:val="20"/>
                <w:szCs w:val="20"/>
              </w:rPr>
            </w:pPr>
            <w:r w:rsidRPr="00B0343F">
              <w:rPr>
                <w:rFonts w:ascii="Roboto" w:hAnsi="Roboto"/>
                <w:color w:val="000000"/>
                <w:sz w:val="20"/>
                <w:szCs w:val="20"/>
              </w:rPr>
              <w:t>Parkirišče z vhodom v šolo</w:t>
            </w:r>
          </w:p>
        </w:tc>
        <w:tc>
          <w:tcPr>
            <w:tcW w:w="1417" w:type="dxa"/>
            <w:tcBorders>
              <w:top w:val="nil"/>
              <w:left w:val="nil"/>
              <w:bottom w:val="single" w:sz="4" w:space="0" w:color="auto"/>
              <w:right w:val="single" w:sz="4" w:space="0" w:color="auto"/>
            </w:tcBorders>
            <w:noWrap/>
            <w:vAlign w:val="bottom"/>
            <w:hideMark/>
          </w:tcPr>
          <w:p w14:paraId="7BF1B45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2A0FF3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56CD4D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B2E752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7052494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1FD2852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6A4B314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02674A75" w14:textId="77777777" w:rsidTr="00B0343F">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2A6C03E0" w14:textId="77777777" w:rsidR="00B0343F" w:rsidRPr="00B0343F" w:rsidRDefault="00B0343F">
            <w:pPr>
              <w:rPr>
                <w:rFonts w:ascii="Arial" w:hAnsi="Arial" w:cs="Arial"/>
                <w:i/>
                <w:iCs/>
                <w:color w:val="000000"/>
                <w:sz w:val="20"/>
                <w:szCs w:val="20"/>
              </w:rPr>
            </w:pPr>
            <w:r w:rsidRPr="00B0343F">
              <w:rPr>
                <w:rFonts w:ascii="Arial" w:hAnsi="Arial" w:cs="Arial"/>
                <w:i/>
                <w:iCs/>
                <w:color w:val="000000"/>
                <w:sz w:val="20"/>
                <w:szCs w:val="20"/>
              </w:rPr>
              <w:t>Skupaj GOI dela</w:t>
            </w:r>
          </w:p>
        </w:tc>
        <w:tc>
          <w:tcPr>
            <w:tcW w:w="1417" w:type="dxa"/>
            <w:tcBorders>
              <w:top w:val="nil"/>
              <w:left w:val="nil"/>
              <w:bottom w:val="single" w:sz="4" w:space="0" w:color="auto"/>
              <w:right w:val="single" w:sz="4" w:space="0" w:color="auto"/>
            </w:tcBorders>
            <w:shd w:val="clear" w:color="000000" w:fill="D9D9D9"/>
            <w:noWrap/>
            <w:vAlign w:val="bottom"/>
            <w:hideMark/>
          </w:tcPr>
          <w:p w14:paraId="0CDD77F4" w14:textId="77777777" w:rsidR="00B0343F" w:rsidRPr="00B0343F" w:rsidRDefault="00B0343F">
            <w:pPr>
              <w:jc w:val="right"/>
              <w:rPr>
                <w:rFonts w:ascii="Arial" w:hAnsi="Arial" w:cs="Arial"/>
                <w:i/>
                <w:iCs/>
                <w:color w:val="000000"/>
                <w:sz w:val="20"/>
                <w:szCs w:val="20"/>
              </w:rPr>
            </w:pPr>
            <w:r w:rsidRPr="00B0343F">
              <w:rPr>
                <w:rFonts w:ascii="Arial" w:hAnsi="Arial" w:cs="Arial"/>
                <w:i/>
                <w:iCs/>
                <w:color w:val="000000"/>
                <w:sz w:val="20"/>
                <w:szCs w:val="20"/>
              </w:rPr>
              <w:t>1.803.874,54</w:t>
            </w:r>
          </w:p>
        </w:tc>
        <w:tc>
          <w:tcPr>
            <w:tcW w:w="1276" w:type="dxa"/>
            <w:tcBorders>
              <w:top w:val="nil"/>
              <w:left w:val="nil"/>
              <w:bottom w:val="single" w:sz="4" w:space="0" w:color="auto"/>
              <w:right w:val="single" w:sz="4" w:space="0" w:color="auto"/>
            </w:tcBorders>
            <w:shd w:val="clear" w:color="000000" w:fill="D9D9D9"/>
            <w:noWrap/>
            <w:vAlign w:val="bottom"/>
            <w:hideMark/>
          </w:tcPr>
          <w:p w14:paraId="274F7B5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shd w:val="clear" w:color="000000" w:fill="D9D9D9"/>
            <w:noWrap/>
            <w:vAlign w:val="bottom"/>
            <w:hideMark/>
          </w:tcPr>
          <w:p w14:paraId="2F3CBA0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shd w:val="clear" w:color="000000" w:fill="D9D9D9"/>
            <w:noWrap/>
            <w:vAlign w:val="bottom"/>
            <w:hideMark/>
          </w:tcPr>
          <w:p w14:paraId="47B9D2E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566.015,59</w:t>
            </w:r>
          </w:p>
        </w:tc>
        <w:tc>
          <w:tcPr>
            <w:tcW w:w="1220" w:type="dxa"/>
            <w:tcBorders>
              <w:top w:val="nil"/>
              <w:left w:val="nil"/>
              <w:bottom w:val="single" w:sz="4" w:space="0" w:color="auto"/>
              <w:right w:val="single" w:sz="4" w:space="0" w:color="auto"/>
            </w:tcBorders>
            <w:shd w:val="clear" w:color="000000" w:fill="D9D9D9"/>
            <w:noWrap/>
            <w:vAlign w:val="bottom"/>
            <w:hideMark/>
          </w:tcPr>
          <w:p w14:paraId="3EDC7D0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666.223,79</w:t>
            </w:r>
          </w:p>
        </w:tc>
        <w:tc>
          <w:tcPr>
            <w:tcW w:w="1560" w:type="dxa"/>
            <w:tcBorders>
              <w:top w:val="nil"/>
              <w:left w:val="nil"/>
              <w:bottom w:val="single" w:sz="4" w:space="0" w:color="auto"/>
              <w:right w:val="single" w:sz="4" w:space="0" w:color="auto"/>
            </w:tcBorders>
            <w:shd w:val="clear" w:color="000000" w:fill="D9D9D9"/>
            <w:noWrap/>
            <w:vAlign w:val="bottom"/>
            <w:hideMark/>
          </w:tcPr>
          <w:p w14:paraId="2BB617B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571.635,16</w:t>
            </w:r>
          </w:p>
        </w:tc>
        <w:tc>
          <w:tcPr>
            <w:tcW w:w="1420" w:type="dxa"/>
            <w:tcBorders>
              <w:top w:val="nil"/>
              <w:left w:val="nil"/>
              <w:bottom w:val="single" w:sz="4" w:space="0" w:color="auto"/>
              <w:right w:val="single" w:sz="4" w:space="0" w:color="auto"/>
            </w:tcBorders>
            <w:shd w:val="clear" w:color="000000" w:fill="D9D9D9"/>
            <w:noWrap/>
            <w:vAlign w:val="bottom"/>
            <w:hideMark/>
          </w:tcPr>
          <w:p w14:paraId="03B99A7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AFBC475"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4FA016B6"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Strokovni nadzor</w:t>
            </w:r>
          </w:p>
        </w:tc>
        <w:tc>
          <w:tcPr>
            <w:tcW w:w="1417" w:type="dxa"/>
            <w:tcBorders>
              <w:top w:val="nil"/>
              <w:left w:val="nil"/>
              <w:bottom w:val="single" w:sz="4" w:space="0" w:color="auto"/>
              <w:right w:val="single" w:sz="4" w:space="0" w:color="auto"/>
            </w:tcBorders>
            <w:noWrap/>
            <w:vAlign w:val="bottom"/>
            <w:hideMark/>
          </w:tcPr>
          <w:p w14:paraId="4B94246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75.531,45</w:t>
            </w:r>
          </w:p>
        </w:tc>
        <w:tc>
          <w:tcPr>
            <w:tcW w:w="1276" w:type="dxa"/>
            <w:tcBorders>
              <w:top w:val="nil"/>
              <w:left w:val="nil"/>
              <w:bottom w:val="single" w:sz="4" w:space="0" w:color="auto"/>
              <w:right w:val="single" w:sz="4" w:space="0" w:color="auto"/>
            </w:tcBorders>
            <w:noWrap/>
            <w:vAlign w:val="bottom"/>
            <w:hideMark/>
          </w:tcPr>
          <w:p w14:paraId="0D455D8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922FE2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E7C274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16.980,47</w:t>
            </w:r>
          </w:p>
        </w:tc>
        <w:tc>
          <w:tcPr>
            <w:tcW w:w="1220" w:type="dxa"/>
            <w:tcBorders>
              <w:top w:val="nil"/>
              <w:left w:val="nil"/>
              <w:bottom w:val="single" w:sz="4" w:space="0" w:color="auto"/>
              <w:right w:val="single" w:sz="4" w:space="0" w:color="auto"/>
            </w:tcBorders>
            <w:noWrap/>
            <w:vAlign w:val="bottom"/>
            <w:hideMark/>
          </w:tcPr>
          <w:p w14:paraId="4BFADEB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19.986,71</w:t>
            </w:r>
          </w:p>
        </w:tc>
        <w:tc>
          <w:tcPr>
            <w:tcW w:w="1560" w:type="dxa"/>
            <w:tcBorders>
              <w:top w:val="nil"/>
              <w:left w:val="nil"/>
              <w:bottom w:val="single" w:sz="4" w:space="0" w:color="auto"/>
              <w:right w:val="single" w:sz="4" w:space="0" w:color="auto"/>
            </w:tcBorders>
            <w:noWrap/>
            <w:vAlign w:val="bottom"/>
            <w:hideMark/>
          </w:tcPr>
          <w:p w14:paraId="723E5D0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34.209,57</w:t>
            </w:r>
          </w:p>
        </w:tc>
        <w:tc>
          <w:tcPr>
            <w:tcW w:w="1420" w:type="dxa"/>
            <w:tcBorders>
              <w:top w:val="nil"/>
              <w:left w:val="nil"/>
              <w:bottom w:val="single" w:sz="4" w:space="0" w:color="auto"/>
              <w:right w:val="single" w:sz="4" w:space="0" w:color="auto"/>
            </w:tcBorders>
            <w:noWrap/>
            <w:vAlign w:val="bottom"/>
            <w:hideMark/>
          </w:tcPr>
          <w:p w14:paraId="5D84CEB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4.354,70</w:t>
            </w:r>
          </w:p>
        </w:tc>
      </w:tr>
      <w:tr w:rsidR="00B0343F" w:rsidRPr="00B0343F" w14:paraId="6D3E3389"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37ACA541"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Projektna dokumentacija</w:t>
            </w:r>
          </w:p>
        </w:tc>
        <w:tc>
          <w:tcPr>
            <w:tcW w:w="1417" w:type="dxa"/>
            <w:tcBorders>
              <w:top w:val="nil"/>
              <w:left w:val="nil"/>
              <w:bottom w:val="single" w:sz="4" w:space="0" w:color="auto"/>
              <w:right w:val="single" w:sz="4" w:space="0" w:color="auto"/>
            </w:tcBorders>
            <w:noWrap/>
            <w:vAlign w:val="bottom"/>
            <w:hideMark/>
          </w:tcPr>
          <w:p w14:paraId="754C85E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97.869,62</w:t>
            </w:r>
          </w:p>
        </w:tc>
        <w:tc>
          <w:tcPr>
            <w:tcW w:w="1276" w:type="dxa"/>
            <w:tcBorders>
              <w:top w:val="nil"/>
              <w:left w:val="nil"/>
              <w:bottom w:val="single" w:sz="4" w:space="0" w:color="auto"/>
              <w:right w:val="single" w:sz="4" w:space="0" w:color="auto"/>
            </w:tcBorders>
            <w:noWrap/>
            <w:vAlign w:val="bottom"/>
            <w:hideMark/>
          </w:tcPr>
          <w:p w14:paraId="13B9E03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7.200,00</w:t>
            </w:r>
          </w:p>
        </w:tc>
        <w:tc>
          <w:tcPr>
            <w:tcW w:w="1276" w:type="dxa"/>
            <w:tcBorders>
              <w:top w:val="nil"/>
              <w:left w:val="nil"/>
              <w:bottom w:val="single" w:sz="4" w:space="0" w:color="auto"/>
              <w:right w:val="single" w:sz="4" w:space="0" w:color="auto"/>
            </w:tcBorders>
            <w:noWrap/>
            <w:vAlign w:val="bottom"/>
            <w:hideMark/>
          </w:tcPr>
          <w:p w14:paraId="5CDB43A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72.732,21</w:t>
            </w:r>
          </w:p>
        </w:tc>
        <w:tc>
          <w:tcPr>
            <w:tcW w:w="1276" w:type="dxa"/>
            <w:tcBorders>
              <w:top w:val="nil"/>
              <w:left w:val="nil"/>
              <w:bottom w:val="single" w:sz="4" w:space="0" w:color="auto"/>
              <w:right w:val="single" w:sz="4" w:space="0" w:color="auto"/>
            </w:tcBorders>
            <w:noWrap/>
            <w:vAlign w:val="bottom"/>
            <w:hideMark/>
          </w:tcPr>
          <w:p w14:paraId="62BFDEF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8.504,32</w:t>
            </w:r>
          </w:p>
        </w:tc>
        <w:tc>
          <w:tcPr>
            <w:tcW w:w="1220" w:type="dxa"/>
            <w:tcBorders>
              <w:top w:val="nil"/>
              <w:left w:val="nil"/>
              <w:bottom w:val="single" w:sz="4" w:space="0" w:color="auto"/>
              <w:right w:val="single" w:sz="4" w:space="0" w:color="auto"/>
            </w:tcBorders>
            <w:noWrap/>
            <w:vAlign w:val="bottom"/>
            <w:hideMark/>
          </w:tcPr>
          <w:p w14:paraId="75D9C6D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4.028,22</w:t>
            </w:r>
          </w:p>
        </w:tc>
        <w:tc>
          <w:tcPr>
            <w:tcW w:w="1560" w:type="dxa"/>
            <w:tcBorders>
              <w:top w:val="nil"/>
              <w:left w:val="nil"/>
              <w:bottom w:val="single" w:sz="4" w:space="0" w:color="auto"/>
              <w:right w:val="single" w:sz="4" w:space="0" w:color="auto"/>
            </w:tcBorders>
            <w:noWrap/>
            <w:vAlign w:val="bottom"/>
            <w:hideMark/>
          </w:tcPr>
          <w:p w14:paraId="3EAE959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4.112,82</w:t>
            </w:r>
          </w:p>
        </w:tc>
        <w:tc>
          <w:tcPr>
            <w:tcW w:w="1420" w:type="dxa"/>
            <w:tcBorders>
              <w:top w:val="nil"/>
              <w:left w:val="nil"/>
              <w:bottom w:val="single" w:sz="4" w:space="0" w:color="auto"/>
              <w:right w:val="single" w:sz="4" w:space="0" w:color="auto"/>
            </w:tcBorders>
            <w:noWrap/>
            <w:vAlign w:val="bottom"/>
            <w:hideMark/>
          </w:tcPr>
          <w:p w14:paraId="4AAD165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1.292,06</w:t>
            </w:r>
          </w:p>
        </w:tc>
      </w:tr>
      <w:tr w:rsidR="00B0343F" w:rsidRPr="00B0343F" w14:paraId="20A154BA"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064BF041"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Inženiring</w:t>
            </w:r>
          </w:p>
        </w:tc>
        <w:tc>
          <w:tcPr>
            <w:tcW w:w="1417" w:type="dxa"/>
            <w:tcBorders>
              <w:top w:val="nil"/>
              <w:left w:val="nil"/>
              <w:bottom w:val="single" w:sz="4" w:space="0" w:color="auto"/>
              <w:right w:val="single" w:sz="4" w:space="0" w:color="auto"/>
            </w:tcBorders>
            <w:noWrap/>
            <w:vAlign w:val="bottom"/>
            <w:hideMark/>
          </w:tcPr>
          <w:p w14:paraId="2A4CAD3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25.177,15</w:t>
            </w:r>
          </w:p>
        </w:tc>
        <w:tc>
          <w:tcPr>
            <w:tcW w:w="1276" w:type="dxa"/>
            <w:tcBorders>
              <w:top w:val="nil"/>
              <w:left w:val="nil"/>
              <w:bottom w:val="single" w:sz="4" w:space="0" w:color="auto"/>
              <w:right w:val="single" w:sz="4" w:space="0" w:color="auto"/>
            </w:tcBorders>
            <w:noWrap/>
            <w:vAlign w:val="bottom"/>
            <w:hideMark/>
          </w:tcPr>
          <w:p w14:paraId="5A9E6C1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AA5053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7C619E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5.660,16</w:t>
            </w:r>
          </w:p>
        </w:tc>
        <w:tc>
          <w:tcPr>
            <w:tcW w:w="1220" w:type="dxa"/>
            <w:tcBorders>
              <w:top w:val="nil"/>
              <w:left w:val="nil"/>
              <w:bottom w:val="single" w:sz="4" w:space="0" w:color="auto"/>
              <w:right w:val="single" w:sz="4" w:space="0" w:color="auto"/>
            </w:tcBorders>
            <w:noWrap/>
            <w:vAlign w:val="bottom"/>
            <w:hideMark/>
          </w:tcPr>
          <w:p w14:paraId="05DC5D4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6.662,24</w:t>
            </w:r>
          </w:p>
        </w:tc>
        <w:tc>
          <w:tcPr>
            <w:tcW w:w="1560" w:type="dxa"/>
            <w:tcBorders>
              <w:top w:val="nil"/>
              <w:left w:val="nil"/>
              <w:bottom w:val="single" w:sz="4" w:space="0" w:color="auto"/>
              <w:right w:val="single" w:sz="4" w:space="0" w:color="auto"/>
            </w:tcBorders>
            <w:noWrap/>
            <w:vAlign w:val="bottom"/>
            <w:hideMark/>
          </w:tcPr>
          <w:p w14:paraId="71F2523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11.403,19</w:t>
            </w:r>
          </w:p>
        </w:tc>
        <w:tc>
          <w:tcPr>
            <w:tcW w:w="1420" w:type="dxa"/>
            <w:tcBorders>
              <w:top w:val="nil"/>
              <w:left w:val="nil"/>
              <w:bottom w:val="single" w:sz="4" w:space="0" w:color="auto"/>
              <w:right w:val="single" w:sz="4" w:space="0" w:color="auto"/>
            </w:tcBorders>
            <w:noWrap/>
            <w:vAlign w:val="bottom"/>
            <w:hideMark/>
          </w:tcPr>
          <w:p w14:paraId="7848EC6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1.451,57</w:t>
            </w:r>
          </w:p>
        </w:tc>
      </w:tr>
      <w:tr w:rsidR="00B0343F" w:rsidRPr="00B0343F" w14:paraId="46837BD6"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683C376A"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Obveščanje javnosti</w:t>
            </w:r>
          </w:p>
        </w:tc>
        <w:tc>
          <w:tcPr>
            <w:tcW w:w="1417" w:type="dxa"/>
            <w:tcBorders>
              <w:top w:val="nil"/>
              <w:left w:val="nil"/>
              <w:bottom w:val="single" w:sz="4" w:space="0" w:color="auto"/>
              <w:right w:val="single" w:sz="4" w:space="0" w:color="auto"/>
            </w:tcBorders>
            <w:noWrap/>
            <w:vAlign w:val="bottom"/>
            <w:hideMark/>
          </w:tcPr>
          <w:p w14:paraId="6926C12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4.327,11</w:t>
            </w:r>
          </w:p>
        </w:tc>
        <w:tc>
          <w:tcPr>
            <w:tcW w:w="1276" w:type="dxa"/>
            <w:tcBorders>
              <w:top w:val="nil"/>
              <w:left w:val="nil"/>
              <w:bottom w:val="single" w:sz="4" w:space="0" w:color="auto"/>
              <w:right w:val="single" w:sz="4" w:space="0" w:color="auto"/>
            </w:tcBorders>
            <w:noWrap/>
            <w:vAlign w:val="bottom"/>
            <w:hideMark/>
          </w:tcPr>
          <w:p w14:paraId="0ECD321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106666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D9462E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1.677,04</w:t>
            </w:r>
          </w:p>
        </w:tc>
        <w:tc>
          <w:tcPr>
            <w:tcW w:w="1220" w:type="dxa"/>
            <w:tcBorders>
              <w:top w:val="nil"/>
              <w:left w:val="nil"/>
              <w:bottom w:val="single" w:sz="4" w:space="0" w:color="auto"/>
              <w:right w:val="single" w:sz="4" w:space="0" w:color="auto"/>
            </w:tcBorders>
            <w:noWrap/>
            <w:vAlign w:val="bottom"/>
            <w:hideMark/>
          </w:tcPr>
          <w:p w14:paraId="60A302C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428,07</w:t>
            </w:r>
          </w:p>
        </w:tc>
        <w:tc>
          <w:tcPr>
            <w:tcW w:w="1560" w:type="dxa"/>
            <w:tcBorders>
              <w:top w:val="nil"/>
              <w:left w:val="nil"/>
              <w:bottom w:val="single" w:sz="4" w:space="0" w:color="auto"/>
              <w:right w:val="single" w:sz="4" w:space="0" w:color="auto"/>
            </w:tcBorders>
            <w:noWrap/>
            <w:vAlign w:val="bottom"/>
            <w:hideMark/>
          </w:tcPr>
          <w:p w14:paraId="68AE2B0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437,06</w:t>
            </w:r>
          </w:p>
        </w:tc>
        <w:tc>
          <w:tcPr>
            <w:tcW w:w="1420" w:type="dxa"/>
            <w:tcBorders>
              <w:top w:val="nil"/>
              <w:left w:val="nil"/>
              <w:bottom w:val="single" w:sz="4" w:space="0" w:color="auto"/>
              <w:right w:val="single" w:sz="4" w:space="0" w:color="auto"/>
            </w:tcBorders>
            <w:noWrap/>
            <w:vAlign w:val="bottom"/>
            <w:hideMark/>
          </w:tcPr>
          <w:p w14:paraId="7CB4FE0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1.784,93</w:t>
            </w:r>
          </w:p>
        </w:tc>
      </w:tr>
      <w:tr w:rsidR="00B0343F" w:rsidRPr="00B0343F" w14:paraId="6134D097"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3D329A48"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Investicijska in ostala dokumentacija</w:t>
            </w:r>
          </w:p>
        </w:tc>
        <w:tc>
          <w:tcPr>
            <w:tcW w:w="1417" w:type="dxa"/>
            <w:tcBorders>
              <w:top w:val="nil"/>
              <w:left w:val="nil"/>
              <w:bottom w:val="single" w:sz="4" w:space="0" w:color="auto"/>
              <w:right w:val="single" w:sz="4" w:space="0" w:color="auto"/>
            </w:tcBorders>
            <w:noWrap/>
            <w:vAlign w:val="bottom"/>
            <w:hideMark/>
          </w:tcPr>
          <w:p w14:paraId="5955985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14.265,88</w:t>
            </w:r>
          </w:p>
        </w:tc>
        <w:tc>
          <w:tcPr>
            <w:tcW w:w="1276" w:type="dxa"/>
            <w:tcBorders>
              <w:top w:val="nil"/>
              <w:left w:val="nil"/>
              <w:bottom w:val="single" w:sz="4" w:space="0" w:color="auto"/>
              <w:right w:val="single" w:sz="4" w:space="0" w:color="auto"/>
            </w:tcBorders>
            <w:noWrap/>
            <w:vAlign w:val="bottom"/>
            <w:hideMark/>
          </w:tcPr>
          <w:p w14:paraId="43C1454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700,00</w:t>
            </w:r>
          </w:p>
        </w:tc>
        <w:tc>
          <w:tcPr>
            <w:tcW w:w="1276" w:type="dxa"/>
            <w:tcBorders>
              <w:top w:val="nil"/>
              <w:left w:val="nil"/>
              <w:bottom w:val="single" w:sz="4" w:space="0" w:color="auto"/>
              <w:right w:val="single" w:sz="4" w:space="0" w:color="auto"/>
            </w:tcBorders>
            <w:noWrap/>
            <w:vAlign w:val="bottom"/>
            <w:hideMark/>
          </w:tcPr>
          <w:p w14:paraId="688C67B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13.565,88</w:t>
            </w:r>
          </w:p>
        </w:tc>
        <w:tc>
          <w:tcPr>
            <w:tcW w:w="1276" w:type="dxa"/>
            <w:tcBorders>
              <w:top w:val="nil"/>
              <w:left w:val="nil"/>
              <w:bottom w:val="single" w:sz="4" w:space="0" w:color="auto"/>
              <w:right w:val="single" w:sz="4" w:space="0" w:color="auto"/>
            </w:tcBorders>
            <w:noWrap/>
            <w:vAlign w:val="bottom"/>
            <w:hideMark/>
          </w:tcPr>
          <w:p w14:paraId="6D7317D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7367715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6273305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7811E2C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AAB509B"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42331FF9"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lastRenderedPageBreak/>
              <w:t>Stroški varnosti pri delu</w:t>
            </w:r>
          </w:p>
        </w:tc>
        <w:tc>
          <w:tcPr>
            <w:tcW w:w="1417" w:type="dxa"/>
            <w:tcBorders>
              <w:top w:val="nil"/>
              <w:left w:val="nil"/>
              <w:bottom w:val="single" w:sz="4" w:space="0" w:color="auto"/>
              <w:right w:val="single" w:sz="4" w:space="0" w:color="auto"/>
            </w:tcBorders>
            <w:noWrap/>
            <w:vAlign w:val="bottom"/>
            <w:hideMark/>
          </w:tcPr>
          <w:p w14:paraId="3E5E7B9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7.055,62</w:t>
            </w:r>
          </w:p>
        </w:tc>
        <w:tc>
          <w:tcPr>
            <w:tcW w:w="1276" w:type="dxa"/>
            <w:tcBorders>
              <w:top w:val="nil"/>
              <w:left w:val="nil"/>
              <w:bottom w:val="single" w:sz="4" w:space="0" w:color="auto"/>
              <w:right w:val="single" w:sz="4" w:space="0" w:color="auto"/>
            </w:tcBorders>
            <w:noWrap/>
            <w:vAlign w:val="bottom"/>
            <w:hideMark/>
          </w:tcPr>
          <w:p w14:paraId="49B8D59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2E67AA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EFC94C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2.032,56</w:t>
            </w:r>
          </w:p>
        </w:tc>
        <w:tc>
          <w:tcPr>
            <w:tcW w:w="1220" w:type="dxa"/>
            <w:tcBorders>
              <w:top w:val="nil"/>
              <w:left w:val="nil"/>
              <w:bottom w:val="single" w:sz="4" w:space="0" w:color="auto"/>
              <w:right w:val="single" w:sz="4" w:space="0" w:color="auto"/>
            </w:tcBorders>
            <w:noWrap/>
            <w:vAlign w:val="bottom"/>
            <w:hideMark/>
          </w:tcPr>
          <w:p w14:paraId="6AE5CD3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1.614,07</w:t>
            </w:r>
          </w:p>
        </w:tc>
        <w:tc>
          <w:tcPr>
            <w:tcW w:w="1560" w:type="dxa"/>
            <w:tcBorders>
              <w:top w:val="nil"/>
              <w:left w:val="nil"/>
              <w:bottom w:val="single" w:sz="4" w:space="0" w:color="auto"/>
              <w:right w:val="single" w:sz="4" w:space="0" w:color="auto"/>
            </w:tcBorders>
            <w:noWrap/>
            <w:vAlign w:val="bottom"/>
            <w:hideMark/>
          </w:tcPr>
          <w:p w14:paraId="0CFEDFA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1.647,97</w:t>
            </w:r>
          </w:p>
        </w:tc>
        <w:tc>
          <w:tcPr>
            <w:tcW w:w="1420" w:type="dxa"/>
            <w:tcBorders>
              <w:top w:val="nil"/>
              <w:left w:val="nil"/>
              <w:bottom w:val="single" w:sz="4" w:space="0" w:color="auto"/>
              <w:right w:val="single" w:sz="4" w:space="0" w:color="auto"/>
            </w:tcBorders>
            <w:noWrap/>
            <w:vAlign w:val="bottom"/>
            <w:hideMark/>
          </w:tcPr>
          <w:p w14:paraId="28D691F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1.761,02</w:t>
            </w:r>
          </w:p>
        </w:tc>
      </w:tr>
      <w:tr w:rsidR="00B0343F" w:rsidRPr="00B0343F" w14:paraId="71437491"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9401EE8"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Arheologija</w:t>
            </w:r>
          </w:p>
        </w:tc>
        <w:tc>
          <w:tcPr>
            <w:tcW w:w="1417" w:type="dxa"/>
            <w:tcBorders>
              <w:top w:val="nil"/>
              <w:left w:val="nil"/>
              <w:bottom w:val="single" w:sz="4" w:space="0" w:color="auto"/>
              <w:right w:val="single" w:sz="4" w:space="0" w:color="auto"/>
            </w:tcBorders>
            <w:noWrap/>
            <w:vAlign w:val="bottom"/>
            <w:hideMark/>
          </w:tcPr>
          <w:p w14:paraId="1BEE608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15.780,75</w:t>
            </w:r>
          </w:p>
        </w:tc>
        <w:tc>
          <w:tcPr>
            <w:tcW w:w="1276" w:type="dxa"/>
            <w:tcBorders>
              <w:top w:val="nil"/>
              <w:left w:val="nil"/>
              <w:bottom w:val="single" w:sz="4" w:space="0" w:color="auto"/>
              <w:right w:val="single" w:sz="4" w:space="0" w:color="auto"/>
            </w:tcBorders>
            <w:noWrap/>
            <w:vAlign w:val="bottom"/>
            <w:hideMark/>
          </w:tcPr>
          <w:p w14:paraId="22FA085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D1FB22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40237E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3.813,12</w:t>
            </w:r>
          </w:p>
        </w:tc>
        <w:tc>
          <w:tcPr>
            <w:tcW w:w="1220" w:type="dxa"/>
            <w:tcBorders>
              <w:top w:val="nil"/>
              <w:left w:val="nil"/>
              <w:bottom w:val="single" w:sz="4" w:space="0" w:color="auto"/>
              <w:right w:val="single" w:sz="4" w:space="0" w:color="auto"/>
            </w:tcBorders>
            <w:noWrap/>
            <w:vAlign w:val="bottom"/>
            <w:hideMark/>
          </w:tcPr>
          <w:p w14:paraId="142708D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4.145,53</w:t>
            </w:r>
          </w:p>
        </w:tc>
        <w:tc>
          <w:tcPr>
            <w:tcW w:w="1560" w:type="dxa"/>
            <w:tcBorders>
              <w:top w:val="nil"/>
              <w:left w:val="nil"/>
              <w:bottom w:val="single" w:sz="4" w:space="0" w:color="auto"/>
              <w:right w:val="single" w:sz="4" w:space="0" w:color="auto"/>
            </w:tcBorders>
            <w:noWrap/>
            <w:vAlign w:val="bottom"/>
            <w:hideMark/>
          </w:tcPr>
          <w:p w14:paraId="3889C51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6.811,12</w:t>
            </w:r>
          </w:p>
        </w:tc>
        <w:tc>
          <w:tcPr>
            <w:tcW w:w="1420" w:type="dxa"/>
            <w:tcBorders>
              <w:top w:val="nil"/>
              <w:left w:val="nil"/>
              <w:bottom w:val="single" w:sz="4" w:space="0" w:color="auto"/>
              <w:right w:val="single" w:sz="4" w:space="0" w:color="auto"/>
            </w:tcBorders>
            <w:noWrap/>
            <w:vAlign w:val="bottom"/>
            <w:hideMark/>
          </w:tcPr>
          <w:p w14:paraId="185ADFA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1.010,98</w:t>
            </w:r>
          </w:p>
        </w:tc>
      </w:tr>
      <w:tr w:rsidR="00B0343F" w:rsidRPr="00B0343F" w14:paraId="514C4D64"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43DBC986"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Čiščenje in pregled kanalizacije</w:t>
            </w:r>
          </w:p>
        </w:tc>
        <w:tc>
          <w:tcPr>
            <w:tcW w:w="1417" w:type="dxa"/>
            <w:tcBorders>
              <w:top w:val="nil"/>
              <w:left w:val="nil"/>
              <w:bottom w:val="single" w:sz="4" w:space="0" w:color="auto"/>
              <w:right w:val="single" w:sz="4" w:space="0" w:color="auto"/>
            </w:tcBorders>
            <w:noWrap/>
            <w:vAlign w:val="bottom"/>
            <w:hideMark/>
          </w:tcPr>
          <w:p w14:paraId="61CEF46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3.355,44</w:t>
            </w:r>
          </w:p>
        </w:tc>
        <w:tc>
          <w:tcPr>
            <w:tcW w:w="1276" w:type="dxa"/>
            <w:tcBorders>
              <w:top w:val="nil"/>
              <w:left w:val="nil"/>
              <w:bottom w:val="single" w:sz="4" w:space="0" w:color="auto"/>
              <w:right w:val="single" w:sz="4" w:space="0" w:color="auto"/>
            </w:tcBorders>
            <w:noWrap/>
            <w:vAlign w:val="bottom"/>
            <w:hideMark/>
          </w:tcPr>
          <w:p w14:paraId="5B83856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FA2E7F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7AAA7A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3.355,44</w:t>
            </w:r>
          </w:p>
        </w:tc>
        <w:tc>
          <w:tcPr>
            <w:tcW w:w="1220" w:type="dxa"/>
            <w:tcBorders>
              <w:top w:val="nil"/>
              <w:left w:val="nil"/>
              <w:bottom w:val="single" w:sz="4" w:space="0" w:color="auto"/>
              <w:right w:val="single" w:sz="4" w:space="0" w:color="auto"/>
            </w:tcBorders>
            <w:noWrap/>
            <w:vAlign w:val="bottom"/>
            <w:hideMark/>
          </w:tcPr>
          <w:p w14:paraId="38EDB9B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12FA360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3F6E21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0EF9CFC8"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7741E8A4"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Nakup nepremičnine</w:t>
            </w:r>
          </w:p>
        </w:tc>
        <w:tc>
          <w:tcPr>
            <w:tcW w:w="1417" w:type="dxa"/>
            <w:tcBorders>
              <w:top w:val="nil"/>
              <w:left w:val="nil"/>
              <w:bottom w:val="single" w:sz="4" w:space="0" w:color="auto"/>
              <w:right w:val="single" w:sz="4" w:space="0" w:color="auto"/>
            </w:tcBorders>
            <w:noWrap/>
            <w:vAlign w:val="bottom"/>
            <w:hideMark/>
          </w:tcPr>
          <w:p w14:paraId="3686CA5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C0C979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3A21241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24739B3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20" w:type="dxa"/>
            <w:tcBorders>
              <w:top w:val="nil"/>
              <w:left w:val="nil"/>
              <w:bottom w:val="single" w:sz="4" w:space="0" w:color="auto"/>
              <w:right w:val="single" w:sz="4" w:space="0" w:color="auto"/>
            </w:tcBorders>
            <w:noWrap/>
            <w:vAlign w:val="bottom"/>
            <w:hideMark/>
          </w:tcPr>
          <w:p w14:paraId="0215902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560" w:type="dxa"/>
            <w:tcBorders>
              <w:top w:val="nil"/>
              <w:left w:val="nil"/>
              <w:bottom w:val="single" w:sz="4" w:space="0" w:color="auto"/>
              <w:right w:val="single" w:sz="4" w:space="0" w:color="auto"/>
            </w:tcBorders>
            <w:noWrap/>
            <w:vAlign w:val="bottom"/>
            <w:hideMark/>
          </w:tcPr>
          <w:p w14:paraId="1047EA7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420" w:type="dxa"/>
            <w:tcBorders>
              <w:top w:val="nil"/>
              <w:left w:val="nil"/>
              <w:bottom w:val="single" w:sz="4" w:space="0" w:color="auto"/>
              <w:right w:val="single" w:sz="4" w:space="0" w:color="auto"/>
            </w:tcBorders>
            <w:noWrap/>
            <w:vAlign w:val="bottom"/>
            <w:hideMark/>
          </w:tcPr>
          <w:p w14:paraId="31FB410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r>
      <w:tr w:rsidR="00B0343F" w:rsidRPr="00B0343F" w14:paraId="32CBC8C4"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0A4EE45" w14:textId="77777777" w:rsidR="00B0343F" w:rsidRPr="00B0343F" w:rsidRDefault="00B0343F">
            <w:pPr>
              <w:rPr>
                <w:rFonts w:ascii="Roboto" w:hAnsi="Roboto"/>
                <w:color w:val="000000"/>
                <w:sz w:val="20"/>
                <w:szCs w:val="20"/>
              </w:rPr>
            </w:pPr>
            <w:r w:rsidRPr="00B0343F">
              <w:rPr>
                <w:rFonts w:ascii="Roboto" w:hAnsi="Roboto"/>
                <w:color w:val="000000"/>
                <w:sz w:val="20"/>
                <w:szCs w:val="20"/>
              </w:rPr>
              <w:t>Druga dela ob rušenju objekta (neobdavčeno)</w:t>
            </w:r>
          </w:p>
        </w:tc>
        <w:tc>
          <w:tcPr>
            <w:tcW w:w="1417" w:type="dxa"/>
            <w:tcBorders>
              <w:top w:val="nil"/>
              <w:left w:val="nil"/>
              <w:bottom w:val="single" w:sz="4" w:space="0" w:color="auto"/>
              <w:right w:val="single" w:sz="4" w:space="0" w:color="auto"/>
            </w:tcBorders>
            <w:noWrap/>
            <w:vAlign w:val="bottom"/>
            <w:hideMark/>
          </w:tcPr>
          <w:p w14:paraId="725592E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7F1667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62F5704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7CE1F7D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20" w:type="dxa"/>
            <w:tcBorders>
              <w:top w:val="nil"/>
              <w:left w:val="nil"/>
              <w:bottom w:val="single" w:sz="4" w:space="0" w:color="auto"/>
              <w:right w:val="single" w:sz="4" w:space="0" w:color="auto"/>
            </w:tcBorders>
            <w:noWrap/>
            <w:vAlign w:val="bottom"/>
            <w:hideMark/>
          </w:tcPr>
          <w:p w14:paraId="03EEB47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560" w:type="dxa"/>
            <w:tcBorders>
              <w:top w:val="nil"/>
              <w:left w:val="nil"/>
              <w:bottom w:val="single" w:sz="4" w:space="0" w:color="auto"/>
              <w:right w:val="single" w:sz="4" w:space="0" w:color="auto"/>
            </w:tcBorders>
            <w:noWrap/>
            <w:vAlign w:val="bottom"/>
            <w:hideMark/>
          </w:tcPr>
          <w:p w14:paraId="778E620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420" w:type="dxa"/>
            <w:tcBorders>
              <w:top w:val="nil"/>
              <w:left w:val="nil"/>
              <w:bottom w:val="single" w:sz="4" w:space="0" w:color="auto"/>
              <w:right w:val="single" w:sz="4" w:space="0" w:color="auto"/>
            </w:tcBorders>
            <w:noWrap/>
            <w:vAlign w:val="bottom"/>
            <w:hideMark/>
          </w:tcPr>
          <w:p w14:paraId="2C5422E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r>
      <w:tr w:rsidR="00B0343F" w:rsidRPr="00B0343F" w14:paraId="1B2AC282"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4EE1E0AB" w14:textId="77777777" w:rsidR="00B0343F" w:rsidRPr="00B0343F" w:rsidRDefault="00B0343F">
            <w:pPr>
              <w:rPr>
                <w:rFonts w:ascii="Roboto" w:hAnsi="Roboto"/>
                <w:color w:val="000000"/>
                <w:sz w:val="20"/>
                <w:szCs w:val="20"/>
              </w:rPr>
            </w:pPr>
            <w:r w:rsidRPr="00B0343F">
              <w:rPr>
                <w:rFonts w:ascii="Roboto" w:hAnsi="Roboto"/>
                <w:color w:val="000000"/>
                <w:sz w:val="20"/>
                <w:szCs w:val="20"/>
              </w:rPr>
              <w:t>Druga dela ob rušenju objekta (9,5% DDV)</w:t>
            </w:r>
          </w:p>
        </w:tc>
        <w:tc>
          <w:tcPr>
            <w:tcW w:w="1417" w:type="dxa"/>
            <w:tcBorders>
              <w:top w:val="nil"/>
              <w:left w:val="nil"/>
              <w:bottom w:val="single" w:sz="4" w:space="0" w:color="auto"/>
              <w:right w:val="single" w:sz="4" w:space="0" w:color="auto"/>
            </w:tcBorders>
            <w:noWrap/>
            <w:vAlign w:val="bottom"/>
            <w:hideMark/>
          </w:tcPr>
          <w:p w14:paraId="4A74D55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F284C0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47FAA7CD"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760440E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220" w:type="dxa"/>
            <w:tcBorders>
              <w:top w:val="nil"/>
              <w:left w:val="nil"/>
              <w:bottom w:val="single" w:sz="4" w:space="0" w:color="auto"/>
              <w:right w:val="single" w:sz="4" w:space="0" w:color="auto"/>
            </w:tcBorders>
            <w:noWrap/>
            <w:vAlign w:val="bottom"/>
            <w:hideMark/>
          </w:tcPr>
          <w:p w14:paraId="1C3AF18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560" w:type="dxa"/>
            <w:tcBorders>
              <w:top w:val="nil"/>
              <w:left w:val="nil"/>
              <w:bottom w:val="single" w:sz="4" w:space="0" w:color="auto"/>
              <w:right w:val="single" w:sz="4" w:space="0" w:color="auto"/>
            </w:tcBorders>
            <w:noWrap/>
            <w:vAlign w:val="bottom"/>
            <w:hideMark/>
          </w:tcPr>
          <w:p w14:paraId="1C509B9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c>
          <w:tcPr>
            <w:tcW w:w="1420" w:type="dxa"/>
            <w:tcBorders>
              <w:top w:val="nil"/>
              <w:left w:val="nil"/>
              <w:bottom w:val="single" w:sz="4" w:space="0" w:color="auto"/>
              <w:right w:val="single" w:sz="4" w:space="0" w:color="auto"/>
            </w:tcBorders>
            <w:noWrap/>
            <w:vAlign w:val="bottom"/>
            <w:hideMark/>
          </w:tcPr>
          <w:p w14:paraId="5B6DB7A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 </w:t>
            </w:r>
          </w:p>
        </w:tc>
      </w:tr>
      <w:tr w:rsidR="00B0343F" w:rsidRPr="00B0343F" w14:paraId="321BE79B"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5274A3FB" w14:textId="77777777" w:rsidR="00B0343F" w:rsidRPr="00B0343F" w:rsidRDefault="00B0343F">
            <w:pPr>
              <w:rPr>
                <w:rFonts w:ascii="Roboto" w:hAnsi="Roboto"/>
                <w:color w:val="000000"/>
                <w:sz w:val="20"/>
                <w:szCs w:val="20"/>
              </w:rPr>
            </w:pPr>
            <w:r w:rsidRPr="00B0343F">
              <w:rPr>
                <w:rFonts w:ascii="Roboto" w:hAnsi="Roboto"/>
                <w:color w:val="000000"/>
                <w:sz w:val="20"/>
                <w:szCs w:val="20"/>
              </w:rPr>
              <w:t>Druga dela ob rušenju objekta</w:t>
            </w:r>
          </w:p>
        </w:tc>
        <w:tc>
          <w:tcPr>
            <w:tcW w:w="1417" w:type="dxa"/>
            <w:tcBorders>
              <w:top w:val="nil"/>
              <w:left w:val="nil"/>
              <w:bottom w:val="single" w:sz="4" w:space="0" w:color="auto"/>
              <w:right w:val="single" w:sz="4" w:space="0" w:color="auto"/>
            </w:tcBorders>
            <w:noWrap/>
            <w:vAlign w:val="bottom"/>
            <w:hideMark/>
          </w:tcPr>
          <w:p w14:paraId="5FC3BB3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2F1D71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2D56A5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105D757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6C70BC6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3BF8E1F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5602524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4584C9C7"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7390EF69"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Vpis v kataster</w:t>
            </w:r>
          </w:p>
        </w:tc>
        <w:tc>
          <w:tcPr>
            <w:tcW w:w="1417" w:type="dxa"/>
            <w:tcBorders>
              <w:top w:val="nil"/>
              <w:left w:val="nil"/>
              <w:bottom w:val="single" w:sz="4" w:space="0" w:color="auto"/>
              <w:right w:val="single" w:sz="4" w:space="0" w:color="auto"/>
            </w:tcBorders>
            <w:noWrap/>
            <w:vAlign w:val="bottom"/>
            <w:hideMark/>
          </w:tcPr>
          <w:p w14:paraId="1A3D81A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4A312A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F101CC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82C3B3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3E930D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24033286"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29B5FBA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7F58BD05"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123DBE66"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Notar, zemljiška knjiga</w:t>
            </w:r>
          </w:p>
        </w:tc>
        <w:tc>
          <w:tcPr>
            <w:tcW w:w="1417" w:type="dxa"/>
            <w:tcBorders>
              <w:top w:val="nil"/>
              <w:left w:val="nil"/>
              <w:bottom w:val="single" w:sz="4" w:space="0" w:color="auto"/>
              <w:right w:val="single" w:sz="4" w:space="0" w:color="auto"/>
            </w:tcBorders>
            <w:noWrap/>
            <w:vAlign w:val="bottom"/>
            <w:hideMark/>
          </w:tcPr>
          <w:p w14:paraId="65BE002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517F13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28DB527"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16B81C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245E2BE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4BC7CFE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4B7FC29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1031A6FD"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0A58626E"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Geodetski načrt</w:t>
            </w:r>
          </w:p>
        </w:tc>
        <w:tc>
          <w:tcPr>
            <w:tcW w:w="1417" w:type="dxa"/>
            <w:tcBorders>
              <w:top w:val="nil"/>
              <w:left w:val="nil"/>
              <w:bottom w:val="single" w:sz="4" w:space="0" w:color="auto"/>
              <w:right w:val="single" w:sz="4" w:space="0" w:color="auto"/>
            </w:tcBorders>
            <w:noWrap/>
            <w:vAlign w:val="bottom"/>
            <w:hideMark/>
          </w:tcPr>
          <w:p w14:paraId="7BC4C1F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46512C4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331D08E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BEB1640"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4C18605"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0F3F2F8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420" w:type="dxa"/>
            <w:tcBorders>
              <w:top w:val="nil"/>
              <w:left w:val="nil"/>
              <w:bottom w:val="single" w:sz="4" w:space="0" w:color="auto"/>
              <w:right w:val="single" w:sz="4" w:space="0" w:color="auto"/>
            </w:tcBorders>
            <w:noWrap/>
            <w:vAlign w:val="bottom"/>
            <w:hideMark/>
          </w:tcPr>
          <w:p w14:paraId="060F335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53DCC85C"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5BE00097"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Baza cestnih podatkov</w:t>
            </w:r>
          </w:p>
        </w:tc>
        <w:tc>
          <w:tcPr>
            <w:tcW w:w="1417" w:type="dxa"/>
            <w:tcBorders>
              <w:top w:val="nil"/>
              <w:left w:val="nil"/>
              <w:bottom w:val="single" w:sz="4" w:space="0" w:color="auto"/>
              <w:right w:val="single" w:sz="4" w:space="0" w:color="auto"/>
            </w:tcBorders>
            <w:noWrap/>
            <w:vAlign w:val="bottom"/>
            <w:hideMark/>
          </w:tcPr>
          <w:p w14:paraId="3B83820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874,11</w:t>
            </w:r>
          </w:p>
        </w:tc>
        <w:tc>
          <w:tcPr>
            <w:tcW w:w="1276" w:type="dxa"/>
            <w:tcBorders>
              <w:top w:val="nil"/>
              <w:left w:val="nil"/>
              <w:bottom w:val="single" w:sz="4" w:space="0" w:color="auto"/>
              <w:right w:val="single" w:sz="4" w:space="0" w:color="auto"/>
            </w:tcBorders>
            <w:noWrap/>
            <w:vAlign w:val="bottom"/>
            <w:hideMark/>
          </w:tcPr>
          <w:p w14:paraId="3F2083A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5D67D5EA"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738664F2"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20" w:type="dxa"/>
            <w:tcBorders>
              <w:top w:val="nil"/>
              <w:left w:val="nil"/>
              <w:bottom w:val="single" w:sz="4" w:space="0" w:color="auto"/>
              <w:right w:val="single" w:sz="4" w:space="0" w:color="auto"/>
            </w:tcBorders>
            <w:noWrap/>
            <w:vAlign w:val="bottom"/>
            <w:hideMark/>
          </w:tcPr>
          <w:p w14:paraId="05DB8A2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560" w:type="dxa"/>
            <w:tcBorders>
              <w:top w:val="nil"/>
              <w:left w:val="nil"/>
              <w:bottom w:val="single" w:sz="4" w:space="0" w:color="auto"/>
              <w:right w:val="single" w:sz="4" w:space="0" w:color="auto"/>
            </w:tcBorders>
            <w:noWrap/>
            <w:vAlign w:val="bottom"/>
            <w:hideMark/>
          </w:tcPr>
          <w:p w14:paraId="5250E0B3"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874,11</w:t>
            </w:r>
          </w:p>
        </w:tc>
        <w:tc>
          <w:tcPr>
            <w:tcW w:w="1420" w:type="dxa"/>
            <w:tcBorders>
              <w:top w:val="nil"/>
              <w:left w:val="nil"/>
              <w:bottom w:val="single" w:sz="4" w:space="0" w:color="auto"/>
              <w:right w:val="single" w:sz="4" w:space="0" w:color="auto"/>
            </w:tcBorders>
            <w:noWrap/>
            <w:vAlign w:val="bottom"/>
            <w:hideMark/>
          </w:tcPr>
          <w:p w14:paraId="03C912A4"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r>
      <w:tr w:rsidR="00B0343F" w:rsidRPr="00B0343F" w14:paraId="69EAB4F2" w14:textId="77777777" w:rsidTr="00B0343F">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57FF66C2" w14:textId="77777777" w:rsidR="00B0343F" w:rsidRPr="00B0343F" w:rsidRDefault="00B0343F">
            <w:pPr>
              <w:rPr>
                <w:rFonts w:ascii="Arial" w:hAnsi="Arial" w:cs="Arial"/>
                <w:b/>
                <w:bCs/>
                <w:color w:val="000000"/>
                <w:sz w:val="20"/>
                <w:szCs w:val="20"/>
              </w:rPr>
            </w:pPr>
            <w:r w:rsidRPr="00B0343F">
              <w:rPr>
                <w:rFonts w:ascii="Arial" w:hAnsi="Arial" w:cs="Arial"/>
                <w:b/>
                <w:bCs/>
                <w:color w:val="000000"/>
                <w:sz w:val="20"/>
                <w:szCs w:val="20"/>
              </w:rPr>
              <w:t>Skupaj brez DDV</w:t>
            </w:r>
          </w:p>
        </w:tc>
        <w:tc>
          <w:tcPr>
            <w:tcW w:w="1417" w:type="dxa"/>
            <w:tcBorders>
              <w:top w:val="nil"/>
              <w:left w:val="nil"/>
              <w:bottom w:val="single" w:sz="4" w:space="0" w:color="auto"/>
              <w:right w:val="single" w:sz="4" w:space="0" w:color="auto"/>
            </w:tcBorders>
            <w:shd w:val="clear" w:color="000000" w:fill="D9D9D9"/>
            <w:noWrap/>
            <w:vAlign w:val="bottom"/>
            <w:hideMark/>
          </w:tcPr>
          <w:p w14:paraId="7C160B8C"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2.048.111,66</w:t>
            </w:r>
          </w:p>
        </w:tc>
        <w:tc>
          <w:tcPr>
            <w:tcW w:w="1276" w:type="dxa"/>
            <w:tcBorders>
              <w:top w:val="nil"/>
              <w:left w:val="nil"/>
              <w:bottom w:val="single" w:sz="4" w:space="0" w:color="auto"/>
              <w:right w:val="single" w:sz="4" w:space="0" w:color="auto"/>
            </w:tcBorders>
            <w:shd w:val="clear" w:color="000000" w:fill="D9D9D9"/>
            <w:noWrap/>
            <w:vAlign w:val="bottom"/>
            <w:hideMark/>
          </w:tcPr>
          <w:p w14:paraId="74C5E95A"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7.900,00</w:t>
            </w:r>
          </w:p>
        </w:tc>
        <w:tc>
          <w:tcPr>
            <w:tcW w:w="1276" w:type="dxa"/>
            <w:tcBorders>
              <w:top w:val="nil"/>
              <w:left w:val="nil"/>
              <w:bottom w:val="single" w:sz="4" w:space="0" w:color="auto"/>
              <w:right w:val="single" w:sz="4" w:space="0" w:color="auto"/>
            </w:tcBorders>
            <w:shd w:val="clear" w:color="000000" w:fill="D9D9D9"/>
            <w:noWrap/>
            <w:vAlign w:val="bottom"/>
            <w:hideMark/>
          </w:tcPr>
          <w:p w14:paraId="67960652"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86.298,09</w:t>
            </w:r>
          </w:p>
        </w:tc>
        <w:tc>
          <w:tcPr>
            <w:tcW w:w="1276" w:type="dxa"/>
            <w:tcBorders>
              <w:top w:val="nil"/>
              <w:left w:val="nil"/>
              <w:bottom w:val="single" w:sz="4" w:space="0" w:color="auto"/>
              <w:right w:val="single" w:sz="4" w:space="0" w:color="auto"/>
            </w:tcBorders>
            <w:shd w:val="clear" w:color="000000" w:fill="D9D9D9"/>
            <w:noWrap/>
            <w:vAlign w:val="bottom"/>
            <w:hideMark/>
          </w:tcPr>
          <w:p w14:paraId="017D75E6"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608.038,69</w:t>
            </w:r>
          </w:p>
        </w:tc>
        <w:tc>
          <w:tcPr>
            <w:tcW w:w="1220" w:type="dxa"/>
            <w:tcBorders>
              <w:top w:val="nil"/>
              <w:left w:val="nil"/>
              <w:bottom w:val="single" w:sz="4" w:space="0" w:color="auto"/>
              <w:right w:val="single" w:sz="4" w:space="0" w:color="auto"/>
            </w:tcBorders>
            <w:shd w:val="clear" w:color="000000" w:fill="D9D9D9"/>
            <w:noWrap/>
            <w:vAlign w:val="bottom"/>
            <w:hideMark/>
          </w:tcPr>
          <w:p w14:paraId="4520A091"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703.088,63</w:t>
            </w:r>
          </w:p>
        </w:tc>
        <w:tc>
          <w:tcPr>
            <w:tcW w:w="1560" w:type="dxa"/>
            <w:tcBorders>
              <w:top w:val="nil"/>
              <w:left w:val="nil"/>
              <w:bottom w:val="single" w:sz="4" w:space="0" w:color="auto"/>
              <w:right w:val="single" w:sz="4" w:space="0" w:color="auto"/>
            </w:tcBorders>
            <w:shd w:val="clear" w:color="000000" w:fill="D9D9D9"/>
            <w:noWrap/>
            <w:vAlign w:val="bottom"/>
            <w:hideMark/>
          </w:tcPr>
          <w:p w14:paraId="0FBCB45F"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631.131,00</w:t>
            </w:r>
          </w:p>
        </w:tc>
        <w:tc>
          <w:tcPr>
            <w:tcW w:w="1420" w:type="dxa"/>
            <w:tcBorders>
              <w:top w:val="nil"/>
              <w:left w:val="nil"/>
              <w:bottom w:val="single" w:sz="4" w:space="0" w:color="auto"/>
              <w:right w:val="single" w:sz="4" w:space="0" w:color="auto"/>
            </w:tcBorders>
            <w:shd w:val="clear" w:color="000000" w:fill="D9D9D9"/>
            <w:noWrap/>
            <w:vAlign w:val="bottom"/>
            <w:hideMark/>
          </w:tcPr>
          <w:p w14:paraId="55604959"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11.655,26</w:t>
            </w:r>
          </w:p>
        </w:tc>
      </w:tr>
      <w:tr w:rsidR="00B0343F" w:rsidRPr="00B0343F" w14:paraId="41C7E5EA"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6C2C8B0B"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Davek na dodano vrednost</w:t>
            </w:r>
          </w:p>
        </w:tc>
        <w:tc>
          <w:tcPr>
            <w:tcW w:w="1417" w:type="dxa"/>
            <w:tcBorders>
              <w:top w:val="nil"/>
              <w:left w:val="nil"/>
              <w:bottom w:val="single" w:sz="4" w:space="0" w:color="auto"/>
              <w:right w:val="single" w:sz="4" w:space="0" w:color="auto"/>
            </w:tcBorders>
            <w:noWrap/>
            <w:vAlign w:val="bottom"/>
            <w:hideMark/>
          </w:tcPr>
          <w:p w14:paraId="03DF0AC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423.908,45</w:t>
            </w:r>
          </w:p>
        </w:tc>
        <w:tc>
          <w:tcPr>
            <w:tcW w:w="1276" w:type="dxa"/>
            <w:tcBorders>
              <w:top w:val="nil"/>
              <w:left w:val="nil"/>
              <w:bottom w:val="single" w:sz="4" w:space="0" w:color="auto"/>
              <w:right w:val="single" w:sz="4" w:space="0" w:color="auto"/>
            </w:tcBorders>
            <w:noWrap/>
            <w:vAlign w:val="bottom"/>
            <w:hideMark/>
          </w:tcPr>
          <w:p w14:paraId="1EAC350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1.738,00</w:t>
            </w:r>
          </w:p>
        </w:tc>
        <w:tc>
          <w:tcPr>
            <w:tcW w:w="1276" w:type="dxa"/>
            <w:tcBorders>
              <w:top w:val="nil"/>
              <w:left w:val="nil"/>
              <w:bottom w:val="single" w:sz="4" w:space="0" w:color="auto"/>
              <w:right w:val="single" w:sz="4" w:space="0" w:color="auto"/>
            </w:tcBorders>
            <w:noWrap/>
            <w:vAlign w:val="bottom"/>
            <w:hideMark/>
          </w:tcPr>
          <w:p w14:paraId="4F7A2541"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18.985,58</w:t>
            </w:r>
          </w:p>
        </w:tc>
        <w:tc>
          <w:tcPr>
            <w:tcW w:w="1276" w:type="dxa"/>
            <w:tcBorders>
              <w:top w:val="nil"/>
              <w:left w:val="nil"/>
              <w:bottom w:val="single" w:sz="4" w:space="0" w:color="auto"/>
              <w:right w:val="single" w:sz="4" w:space="0" w:color="auto"/>
            </w:tcBorders>
            <w:noWrap/>
            <w:vAlign w:val="bottom"/>
            <w:hideMark/>
          </w:tcPr>
          <w:p w14:paraId="1BF409CE"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133.768,52</w:t>
            </w:r>
          </w:p>
        </w:tc>
        <w:tc>
          <w:tcPr>
            <w:tcW w:w="1220" w:type="dxa"/>
            <w:tcBorders>
              <w:top w:val="nil"/>
              <w:left w:val="nil"/>
              <w:bottom w:val="single" w:sz="4" w:space="0" w:color="auto"/>
              <w:right w:val="single" w:sz="4" w:space="0" w:color="auto"/>
            </w:tcBorders>
            <w:noWrap/>
            <w:vAlign w:val="bottom"/>
            <w:hideMark/>
          </w:tcPr>
          <w:p w14:paraId="7C28D97B"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141.480,04</w:t>
            </w:r>
          </w:p>
        </w:tc>
        <w:tc>
          <w:tcPr>
            <w:tcW w:w="1560" w:type="dxa"/>
            <w:tcBorders>
              <w:top w:val="nil"/>
              <w:left w:val="nil"/>
              <w:bottom w:val="single" w:sz="4" w:space="0" w:color="auto"/>
              <w:right w:val="single" w:sz="4" w:space="0" w:color="auto"/>
            </w:tcBorders>
            <w:noWrap/>
            <w:vAlign w:val="bottom"/>
            <w:hideMark/>
          </w:tcPr>
          <w:p w14:paraId="462C45FC"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125.372,15</w:t>
            </w:r>
          </w:p>
        </w:tc>
        <w:tc>
          <w:tcPr>
            <w:tcW w:w="1420" w:type="dxa"/>
            <w:tcBorders>
              <w:top w:val="nil"/>
              <w:left w:val="nil"/>
              <w:bottom w:val="single" w:sz="4" w:space="0" w:color="auto"/>
              <w:right w:val="single" w:sz="4" w:space="0" w:color="auto"/>
            </w:tcBorders>
            <w:noWrap/>
            <w:vAlign w:val="bottom"/>
            <w:hideMark/>
          </w:tcPr>
          <w:p w14:paraId="2B85A998"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2.564,16</w:t>
            </w:r>
          </w:p>
        </w:tc>
      </w:tr>
      <w:tr w:rsidR="00B0343F" w:rsidRPr="00B0343F" w14:paraId="1DF469EC" w14:textId="77777777" w:rsidTr="00B0343F">
        <w:trPr>
          <w:trHeight w:val="284"/>
        </w:trPr>
        <w:tc>
          <w:tcPr>
            <w:tcW w:w="4815" w:type="dxa"/>
            <w:tcBorders>
              <w:top w:val="nil"/>
              <w:left w:val="single" w:sz="4" w:space="0" w:color="auto"/>
              <w:bottom w:val="single" w:sz="4" w:space="0" w:color="auto"/>
              <w:right w:val="single" w:sz="4" w:space="0" w:color="auto"/>
            </w:tcBorders>
            <w:vAlign w:val="bottom"/>
            <w:hideMark/>
          </w:tcPr>
          <w:p w14:paraId="2CCC169A"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Povračljiv davek na dodano vrednost</w:t>
            </w:r>
          </w:p>
        </w:tc>
        <w:tc>
          <w:tcPr>
            <w:tcW w:w="1417" w:type="dxa"/>
            <w:tcBorders>
              <w:top w:val="nil"/>
              <w:left w:val="nil"/>
              <w:bottom w:val="single" w:sz="4" w:space="0" w:color="auto"/>
              <w:right w:val="single" w:sz="4" w:space="0" w:color="auto"/>
            </w:tcBorders>
            <w:noWrap/>
            <w:vAlign w:val="bottom"/>
            <w:hideMark/>
          </w:tcPr>
          <w:p w14:paraId="2C8BEE8F"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0F4BAAE9" w14:textId="77777777" w:rsidR="00B0343F" w:rsidRPr="00B0343F" w:rsidRDefault="00B0343F">
            <w:pPr>
              <w:jc w:val="right"/>
              <w:rPr>
                <w:rFonts w:ascii="Arial" w:hAnsi="Arial" w:cs="Arial"/>
                <w:color w:val="000000"/>
                <w:sz w:val="20"/>
                <w:szCs w:val="20"/>
              </w:rPr>
            </w:pPr>
            <w:r w:rsidRPr="00B0343F">
              <w:rPr>
                <w:rFonts w:ascii="Arial" w:hAnsi="Arial" w:cs="Arial"/>
                <w:color w:val="000000"/>
                <w:sz w:val="20"/>
                <w:szCs w:val="20"/>
              </w:rPr>
              <w:t>0,00</w:t>
            </w:r>
          </w:p>
        </w:tc>
        <w:tc>
          <w:tcPr>
            <w:tcW w:w="1276" w:type="dxa"/>
            <w:tcBorders>
              <w:top w:val="nil"/>
              <w:left w:val="nil"/>
              <w:bottom w:val="single" w:sz="4" w:space="0" w:color="auto"/>
              <w:right w:val="single" w:sz="4" w:space="0" w:color="auto"/>
            </w:tcBorders>
            <w:noWrap/>
            <w:vAlign w:val="bottom"/>
            <w:hideMark/>
          </w:tcPr>
          <w:p w14:paraId="64E860A5"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 </w:t>
            </w:r>
          </w:p>
        </w:tc>
        <w:tc>
          <w:tcPr>
            <w:tcW w:w="1276" w:type="dxa"/>
            <w:tcBorders>
              <w:top w:val="nil"/>
              <w:left w:val="nil"/>
              <w:bottom w:val="single" w:sz="4" w:space="0" w:color="auto"/>
              <w:right w:val="single" w:sz="4" w:space="0" w:color="auto"/>
            </w:tcBorders>
            <w:noWrap/>
            <w:vAlign w:val="bottom"/>
            <w:hideMark/>
          </w:tcPr>
          <w:p w14:paraId="41D07607"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 </w:t>
            </w:r>
          </w:p>
        </w:tc>
        <w:tc>
          <w:tcPr>
            <w:tcW w:w="1220" w:type="dxa"/>
            <w:tcBorders>
              <w:top w:val="nil"/>
              <w:left w:val="nil"/>
              <w:bottom w:val="single" w:sz="4" w:space="0" w:color="auto"/>
              <w:right w:val="single" w:sz="4" w:space="0" w:color="auto"/>
            </w:tcBorders>
            <w:noWrap/>
            <w:vAlign w:val="bottom"/>
            <w:hideMark/>
          </w:tcPr>
          <w:p w14:paraId="754CCD72"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 </w:t>
            </w:r>
          </w:p>
        </w:tc>
        <w:tc>
          <w:tcPr>
            <w:tcW w:w="1560" w:type="dxa"/>
            <w:tcBorders>
              <w:top w:val="nil"/>
              <w:left w:val="nil"/>
              <w:bottom w:val="single" w:sz="4" w:space="0" w:color="auto"/>
              <w:right w:val="single" w:sz="4" w:space="0" w:color="auto"/>
            </w:tcBorders>
            <w:noWrap/>
            <w:vAlign w:val="bottom"/>
            <w:hideMark/>
          </w:tcPr>
          <w:p w14:paraId="1E7285A1"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 </w:t>
            </w:r>
          </w:p>
        </w:tc>
        <w:tc>
          <w:tcPr>
            <w:tcW w:w="1420" w:type="dxa"/>
            <w:tcBorders>
              <w:top w:val="nil"/>
              <w:left w:val="nil"/>
              <w:bottom w:val="single" w:sz="4" w:space="0" w:color="auto"/>
              <w:right w:val="single" w:sz="4" w:space="0" w:color="auto"/>
            </w:tcBorders>
            <w:noWrap/>
            <w:vAlign w:val="bottom"/>
            <w:hideMark/>
          </w:tcPr>
          <w:p w14:paraId="2A7D24AA" w14:textId="77777777" w:rsidR="00B0343F" w:rsidRPr="00B0343F" w:rsidRDefault="00B0343F">
            <w:pPr>
              <w:rPr>
                <w:rFonts w:ascii="Arial" w:hAnsi="Arial" w:cs="Arial"/>
                <w:color w:val="000000"/>
                <w:sz w:val="20"/>
                <w:szCs w:val="20"/>
              </w:rPr>
            </w:pPr>
            <w:r w:rsidRPr="00B0343F">
              <w:rPr>
                <w:rFonts w:ascii="Arial" w:hAnsi="Arial" w:cs="Arial"/>
                <w:color w:val="000000"/>
                <w:sz w:val="20"/>
                <w:szCs w:val="20"/>
              </w:rPr>
              <w:t> </w:t>
            </w:r>
          </w:p>
        </w:tc>
      </w:tr>
      <w:tr w:rsidR="00B0343F" w:rsidRPr="00B0343F" w14:paraId="434EC807" w14:textId="77777777" w:rsidTr="00B0343F">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4490463F" w14:textId="77777777" w:rsidR="00B0343F" w:rsidRPr="00B0343F" w:rsidRDefault="00B0343F">
            <w:pPr>
              <w:rPr>
                <w:rFonts w:ascii="Arial" w:hAnsi="Arial" w:cs="Arial"/>
                <w:b/>
                <w:bCs/>
                <w:color w:val="000000"/>
                <w:sz w:val="20"/>
                <w:szCs w:val="20"/>
              </w:rPr>
            </w:pPr>
            <w:r w:rsidRPr="00B0343F">
              <w:rPr>
                <w:rFonts w:ascii="Arial" w:hAnsi="Arial" w:cs="Arial"/>
                <w:b/>
                <w:bCs/>
                <w:color w:val="000000"/>
                <w:sz w:val="20"/>
                <w:szCs w:val="20"/>
              </w:rPr>
              <w:t>Skupaj z davkom na dodano vrednost</w:t>
            </w:r>
          </w:p>
        </w:tc>
        <w:tc>
          <w:tcPr>
            <w:tcW w:w="1417" w:type="dxa"/>
            <w:tcBorders>
              <w:top w:val="nil"/>
              <w:left w:val="nil"/>
              <w:bottom w:val="single" w:sz="4" w:space="0" w:color="auto"/>
              <w:right w:val="single" w:sz="4" w:space="0" w:color="auto"/>
            </w:tcBorders>
            <w:shd w:val="clear" w:color="000000" w:fill="D9D9D9"/>
            <w:noWrap/>
            <w:vAlign w:val="bottom"/>
            <w:hideMark/>
          </w:tcPr>
          <w:p w14:paraId="6DE3AB9C"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2.472.020,11</w:t>
            </w:r>
          </w:p>
        </w:tc>
        <w:tc>
          <w:tcPr>
            <w:tcW w:w="1276" w:type="dxa"/>
            <w:tcBorders>
              <w:top w:val="nil"/>
              <w:left w:val="nil"/>
              <w:bottom w:val="single" w:sz="4" w:space="0" w:color="auto"/>
              <w:right w:val="single" w:sz="4" w:space="0" w:color="auto"/>
            </w:tcBorders>
            <w:shd w:val="clear" w:color="000000" w:fill="D9D9D9"/>
            <w:noWrap/>
            <w:vAlign w:val="bottom"/>
            <w:hideMark/>
          </w:tcPr>
          <w:p w14:paraId="523B7FE0"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9.638,00</w:t>
            </w:r>
          </w:p>
        </w:tc>
        <w:tc>
          <w:tcPr>
            <w:tcW w:w="1276" w:type="dxa"/>
            <w:tcBorders>
              <w:top w:val="nil"/>
              <w:left w:val="nil"/>
              <w:bottom w:val="single" w:sz="4" w:space="0" w:color="auto"/>
              <w:right w:val="single" w:sz="4" w:space="0" w:color="auto"/>
            </w:tcBorders>
            <w:shd w:val="clear" w:color="000000" w:fill="D9D9D9"/>
            <w:noWrap/>
            <w:vAlign w:val="bottom"/>
            <w:hideMark/>
          </w:tcPr>
          <w:p w14:paraId="4FA5861F"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105.283,67</w:t>
            </w:r>
          </w:p>
        </w:tc>
        <w:tc>
          <w:tcPr>
            <w:tcW w:w="1276" w:type="dxa"/>
            <w:tcBorders>
              <w:top w:val="nil"/>
              <w:left w:val="nil"/>
              <w:bottom w:val="single" w:sz="4" w:space="0" w:color="auto"/>
              <w:right w:val="single" w:sz="4" w:space="0" w:color="auto"/>
            </w:tcBorders>
            <w:shd w:val="clear" w:color="000000" w:fill="D9D9D9"/>
            <w:noWrap/>
            <w:vAlign w:val="bottom"/>
            <w:hideMark/>
          </w:tcPr>
          <w:p w14:paraId="1C17339F"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741.807,21</w:t>
            </w:r>
          </w:p>
        </w:tc>
        <w:tc>
          <w:tcPr>
            <w:tcW w:w="1220" w:type="dxa"/>
            <w:tcBorders>
              <w:top w:val="nil"/>
              <w:left w:val="nil"/>
              <w:bottom w:val="single" w:sz="4" w:space="0" w:color="auto"/>
              <w:right w:val="single" w:sz="4" w:space="0" w:color="auto"/>
            </w:tcBorders>
            <w:shd w:val="clear" w:color="000000" w:fill="D9D9D9"/>
            <w:noWrap/>
            <w:vAlign w:val="bottom"/>
            <w:hideMark/>
          </w:tcPr>
          <w:p w14:paraId="412424DE"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844.568,66</w:t>
            </w:r>
          </w:p>
        </w:tc>
        <w:tc>
          <w:tcPr>
            <w:tcW w:w="1560" w:type="dxa"/>
            <w:tcBorders>
              <w:top w:val="nil"/>
              <w:left w:val="nil"/>
              <w:bottom w:val="single" w:sz="4" w:space="0" w:color="auto"/>
              <w:right w:val="single" w:sz="4" w:space="0" w:color="auto"/>
            </w:tcBorders>
            <w:shd w:val="clear" w:color="000000" w:fill="D9D9D9"/>
            <w:noWrap/>
            <w:vAlign w:val="bottom"/>
            <w:hideMark/>
          </w:tcPr>
          <w:p w14:paraId="22A724C7"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756.503,15</w:t>
            </w:r>
          </w:p>
        </w:tc>
        <w:tc>
          <w:tcPr>
            <w:tcW w:w="1420" w:type="dxa"/>
            <w:tcBorders>
              <w:top w:val="nil"/>
              <w:left w:val="nil"/>
              <w:bottom w:val="single" w:sz="4" w:space="0" w:color="auto"/>
              <w:right w:val="single" w:sz="4" w:space="0" w:color="auto"/>
            </w:tcBorders>
            <w:shd w:val="clear" w:color="000000" w:fill="D9D9D9"/>
            <w:noWrap/>
            <w:vAlign w:val="bottom"/>
            <w:hideMark/>
          </w:tcPr>
          <w:p w14:paraId="013AAEC1"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14.219,42</w:t>
            </w:r>
          </w:p>
        </w:tc>
      </w:tr>
      <w:tr w:rsidR="00B0343F" w:rsidRPr="00B0343F" w14:paraId="5A220E97" w14:textId="77777777" w:rsidTr="00B0343F">
        <w:trPr>
          <w:trHeight w:val="284"/>
        </w:trPr>
        <w:tc>
          <w:tcPr>
            <w:tcW w:w="4815" w:type="dxa"/>
            <w:tcBorders>
              <w:top w:val="nil"/>
              <w:left w:val="single" w:sz="4" w:space="0" w:color="auto"/>
              <w:bottom w:val="single" w:sz="4" w:space="0" w:color="auto"/>
              <w:right w:val="single" w:sz="4" w:space="0" w:color="auto"/>
            </w:tcBorders>
            <w:shd w:val="clear" w:color="000000" w:fill="D9D9D9"/>
            <w:vAlign w:val="bottom"/>
            <w:hideMark/>
          </w:tcPr>
          <w:p w14:paraId="405C8AF0" w14:textId="77777777" w:rsidR="00B0343F" w:rsidRPr="00B0343F" w:rsidRDefault="00B0343F">
            <w:pPr>
              <w:rPr>
                <w:rFonts w:ascii="Arial" w:hAnsi="Arial" w:cs="Arial"/>
                <w:b/>
                <w:bCs/>
                <w:color w:val="000000"/>
                <w:sz w:val="20"/>
                <w:szCs w:val="20"/>
              </w:rPr>
            </w:pPr>
            <w:r w:rsidRPr="00B0343F">
              <w:rPr>
                <w:rFonts w:ascii="Arial" w:hAnsi="Arial" w:cs="Arial"/>
                <w:b/>
                <w:bCs/>
                <w:color w:val="000000"/>
                <w:sz w:val="20"/>
                <w:szCs w:val="20"/>
              </w:rPr>
              <w:t xml:space="preserve">Skupaj z </w:t>
            </w:r>
            <w:proofErr w:type="spellStart"/>
            <w:r w:rsidRPr="00B0343F">
              <w:rPr>
                <w:rFonts w:ascii="Arial" w:hAnsi="Arial" w:cs="Arial"/>
                <w:b/>
                <w:bCs/>
                <w:color w:val="000000"/>
                <w:sz w:val="20"/>
                <w:szCs w:val="20"/>
              </w:rPr>
              <w:t>nepovračljivim</w:t>
            </w:r>
            <w:proofErr w:type="spellEnd"/>
            <w:r w:rsidRPr="00B0343F">
              <w:rPr>
                <w:rFonts w:ascii="Arial" w:hAnsi="Arial" w:cs="Arial"/>
                <w:b/>
                <w:bCs/>
                <w:color w:val="000000"/>
                <w:sz w:val="20"/>
                <w:szCs w:val="20"/>
              </w:rPr>
              <w:t xml:space="preserve"> davkom na dodano vrednost</w:t>
            </w:r>
          </w:p>
        </w:tc>
        <w:tc>
          <w:tcPr>
            <w:tcW w:w="1417" w:type="dxa"/>
            <w:tcBorders>
              <w:top w:val="nil"/>
              <w:left w:val="nil"/>
              <w:bottom w:val="single" w:sz="4" w:space="0" w:color="auto"/>
              <w:right w:val="single" w:sz="4" w:space="0" w:color="auto"/>
            </w:tcBorders>
            <w:shd w:val="clear" w:color="000000" w:fill="D9D9D9"/>
            <w:noWrap/>
            <w:vAlign w:val="bottom"/>
            <w:hideMark/>
          </w:tcPr>
          <w:p w14:paraId="394AE8B0"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2.472.020,11</w:t>
            </w:r>
          </w:p>
        </w:tc>
        <w:tc>
          <w:tcPr>
            <w:tcW w:w="1276" w:type="dxa"/>
            <w:tcBorders>
              <w:top w:val="nil"/>
              <w:left w:val="nil"/>
              <w:bottom w:val="single" w:sz="4" w:space="0" w:color="auto"/>
              <w:right w:val="single" w:sz="4" w:space="0" w:color="auto"/>
            </w:tcBorders>
            <w:shd w:val="clear" w:color="000000" w:fill="D9D9D9"/>
            <w:noWrap/>
            <w:vAlign w:val="bottom"/>
            <w:hideMark/>
          </w:tcPr>
          <w:p w14:paraId="09CD7711"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9.638,00</w:t>
            </w:r>
          </w:p>
        </w:tc>
        <w:tc>
          <w:tcPr>
            <w:tcW w:w="1276" w:type="dxa"/>
            <w:tcBorders>
              <w:top w:val="nil"/>
              <w:left w:val="nil"/>
              <w:bottom w:val="single" w:sz="4" w:space="0" w:color="auto"/>
              <w:right w:val="single" w:sz="4" w:space="0" w:color="auto"/>
            </w:tcBorders>
            <w:shd w:val="clear" w:color="000000" w:fill="D9D9D9"/>
            <w:noWrap/>
            <w:vAlign w:val="bottom"/>
            <w:hideMark/>
          </w:tcPr>
          <w:p w14:paraId="2A5D7376"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105.283,67</w:t>
            </w:r>
          </w:p>
        </w:tc>
        <w:tc>
          <w:tcPr>
            <w:tcW w:w="1276" w:type="dxa"/>
            <w:tcBorders>
              <w:top w:val="nil"/>
              <w:left w:val="nil"/>
              <w:bottom w:val="single" w:sz="4" w:space="0" w:color="auto"/>
              <w:right w:val="single" w:sz="4" w:space="0" w:color="auto"/>
            </w:tcBorders>
            <w:shd w:val="clear" w:color="000000" w:fill="D9D9D9"/>
            <w:noWrap/>
            <w:vAlign w:val="bottom"/>
            <w:hideMark/>
          </w:tcPr>
          <w:p w14:paraId="5E2336C1"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741.807,21</w:t>
            </w:r>
          </w:p>
        </w:tc>
        <w:tc>
          <w:tcPr>
            <w:tcW w:w="1220" w:type="dxa"/>
            <w:tcBorders>
              <w:top w:val="nil"/>
              <w:left w:val="nil"/>
              <w:bottom w:val="single" w:sz="4" w:space="0" w:color="auto"/>
              <w:right w:val="single" w:sz="4" w:space="0" w:color="auto"/>
            </w:tcBorders>
            <w:shd w:val="clear" w:color="000000" w:fill="D9D9D9"/>
            <w:noWrap/>
            <w:vAlign w:val="bottom"/>
            <w:hideMark/>
          </w:tcPr>
          <w:p w14:paraId="07F86F7F"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844.568,66</w:t>
            </w:r>
          </w:p>
        </w:tc>
        <w:tc>
          <w:tcPr>
            <w:tcW w:w="1560" w:type="dxa"/>
            <w:tcBorders>
              <w:top w:val="nil"/>
              <w:left w:val="nil"/>
              <w:bottom w:val="single" w:sz="4" w:space="0" w:color="auto"/>
              <w:right w:val="single" w:sz="4" w:space="0" w:color="auto"/>
            </w:tcBorders>
            <w:shd w:val="clear" w:color="000000" w:fill="D9D9D9"/>
            <w:noWrap/>
            <w:vAlign w:val="bottom"/>
            <w:hideMark/>
          </w:tcPr>
          <w:p w14:paraId="60DA0565"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756.503,15</w:t>
            </w:r>
          </w:p>
        </w:tc>
        <w:tc>
          <w:tcPr>
            <w:tcW w:w="1420" w:type="dxa"/>
            <w:tcBorders>
              <w:top w:val="nil"/>
              <w:left w:val="nil"/>
              <w:bottom w:val="single" w:sz="4" w:space="0" w:color="auto"/>
              <w:right w:val="single" w:sz="4" w:space="0" w:color="auto"/>
            </w:tcBorders>
            <w:shd w:val="clear" w:color="000000" w:fill="D9D9D9"/>
            <w:noWrap/>
            <w:vAlign w:val="bottom"/>
            <w:hideMark/>
          </w:tcPr>
          <w:p w14:paraId="270DDE9E" w14:textId="77777777" w:rsidR="00B0343F" w:rsidRPr="00B0343F" w:rsidRDefault="00B0343F">
            <w:pPr>
              <w:jc w:val="right"/>
              <w:rPr>
                <w:rFonts w:ascii="Arial" w:hAnsi="Arial" w:cs="Arial"/>
                <w:b/>
                <w:bCs/>
                <w:color w:val="000000"/>
                <w:sz w:val="20"/>
                <w:szCs w:val="20"/>
              </w:rPr>
            </w:pPr>
            <w:r w:rsidRPr="00B0343F">
              <w:rPr>
                <w:rFonts w:ascii="Arial" w:hAnsi="Arial" w:cs="Arial"/>
                <w:b/>
                <w:bCs/>
                <w:color w:val="000000"/>
                <w:sz w:val="20"/>
                <w:szCs w:val="20"/>
              </w:rPr>
              <w:t>14.219,42</w:t>
            </w:r>
          </w:p>
        </w:tc>
      </w:tr>
    </w:tbl>
    <w:p w14:paraId="025F3F55" w14:textId="77777777" w:rsidR="00F87307" w:rsidRDefault="00F87307" w:rsidP="00CD0D39">
      <w:pPr>
        <w:spacing w:after="120" w:line="276" w:lineRule="auto"/>
        <w:jc w:val="both"/>
        <w:rPr>
          <w:rFonts w:asciiTheme="majorHAnsi" w:hAnsiTheme="majorHAnsi" w:cstheme="majorHAnsi"/>
          <w:sz w:val="22"/>
          <w:szCs w:val="22"/>
        </w:rPr>
      </w:pPr>
    </w:p>
    <w:p w14:paraId="7FF3878A" w14:textId="77777777" w:rsidR="00CD0D39" w:rsidRDefault="00CD0D39" w:rsidP="00CD0D39">
      <w:pPr>
        <w:spacing w:after="120" w:line="276" w:lineRule="auto"/>
        <w:rPr>
          <w:rFonts w:asciiTheme="majorHAnsi" w:hAnsiTheme="majorHAnsi" w:cstheme="majorHAnsi"/>
          <w:strike/>
          <w:color w:val="FF0000"/>
          <w:sz w:val="22"/>
          <w:szCs w:val="22"/>
        </w:rPr>
      </w:pPr>
    </w:p>
    <w:p w14:paraId="1C157895" w14:textId="1528CCD1" w:rsidR="00CD0D39" w:rsidRDefault="00CD0D39" w:rsidP="00CD0D39">
      <w:pPr>
        <w:spacing w:after="120" w:line="276" w:lineRule="auto"/>
        <w:jc w:val="both"/>
        <w:rPr>
          <w:rFonts w:asciiTheme="majorHAnsi" w:hAnsiTheme="majorHAnsi" w:cstheme="majorHAnsi"/>
          <w:sz w:val="22"/>
          <w:szCs w:val="22"/>
        </w:rPr>
      </w:pPr>
      <w:bookmarkStart w:id="315" w:name="_Toc209528310"/>
      <w:r w:rsidRPr="00F11127">
        <w:rPr>
          <w:rFonts w:asciiTheme="majorHAnsi" w:hAnsiTheme="majorHAnsi" w:cstheme="majorHAnsi"/>
          <w:b/>
          <w:sz w:val="22"/>
          <w:szCs w:val="22"/>
        </w:rPr>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24</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Finančni terminski plan </w:t>
      </w:r>
      <w:r>
        <w:rPr>
          <w:rFonts w:asciiTheme="majorHAnsi" w:hAnsiTheme="majorHAnsi" w:cstheme="majorHAnsi"/>
          <w:sz w:val="22"/>
          <w:szCs w:val="22"/>
        </w:rPr>
        <w:t>neupravičenih stroškov</w:t>
      </w:r>
      <w:r w:rsidRPr="00F11127">
        <w:rPr>
          <w:rFonts w:asciiTheme="majorHAnsi" w:hAnsiTheme="majorHAnsi" w:cstheme="majorHAnsi"/>
          <w:sz w:val="22"/>
          <w:szCs w:val="22"/>
        </w:rPr>
        <w:t xml:space="preserve"> v </w:t>
      </w:r>
      <w:r w:rsidR="00097406">
        <w:rPr>
          <w:rFonts w:asciiTheme="majorHAnsi" w:hAnsiTheme="majorHAnsi" w:cstheme="majorHAnsi"/>
          <w:sz w:val="22"/>
          <w:szCs w:val="22"/>
        </w:rPr>
        <w:t>te</w:t>
      </w:r>
      <w:r w:rsidR="0073644F">
        <w:rPr>
          <w:rFonts w:asciiTheme="majorHAnsi" w:hAnsiTheme="majorHAnsi" w:cstheme="majorHAnsi"/>
          <w:sz w:val="22"/>
          <w:szCs w:val="22"/>
        </w:rPr>
        <w:t>kočih</w:t>
      </w:r>
      <w:r w:rsidRPr="00F11127">
        <w:rPr>
          <w:rFonts w:asciiTheme="majorHAnsi" w:hAnsiTheme="majorHAnsi" w:cstheme="majorHAnsi"/>
          <w:sz w:val="22"/>
          <w:szCs w:val="22"/>
        </w:rPr>
        <w:t xml:space="preserve"> cenah v EUR</w:t>
      </w:r>
      <w:bookmarkEnd w:id="315"/>
    </w:p>
    <w:tbl>
      <w:tblPr>
        <w:tblW w:w="5000" w:type="pct"/>
        <w:tblCellMar>
          <w:left w:w="70" w:type="dxa"/>
          <w:right w:w="70" w:type="dxa"/>
        </w:tblCellMar>
        <w:tblLook w:val="04A0" w:firstRow="1" w:lastRow="0" w:firstColumn="1" w:lastColumn="0" w:noHBand="0" w:noVBand="1"/>
      </w:tblPr>
      <w:tblGrid>
        <w:gridCol w:w="4685"/>
        <w:gridCol w:w="1830"/>
        <w:gridCol w:w="1142"/>
        <w:gridCol w:w="1271"/>
        <w:gridCol w:w="1131"/>
        <w:gridCol w:w="1419"/>
        <w:gridCol w:w="1585"/>
        <w:gridCol w:w="1214"/>
      </w:tblGrid>
      <w:tr w:rsidR="00B0343F" w:rsidRPr="00F87307" w14:paraId="3AD00431" w14:textId="77777777" w:rsidTr="00B0343F">
        <w:trPr>
          <w:trHeight w:val="284"/>
        </w:trPr>
        <w:tc>
          <w:tcPr>
            <w:tcW w:w="1641" w:type="pct"/>
            <w:tcBorders>
              <w:top w:val="single" w:sz="4" w:space="0" w:color="auto"/>
              <w:left w:val="single" w:sz="4" w:space="0" w:color="auto"/>
              <w:bottom w:val="single" w:sz="4" w:space="0" w:color="auto"/>
              <w:right w:val="single" w:sz="4" w:space="0" w:color="auto"/>
            </w:tcBorders>
            <w:shd w:val="clear" w:color="000000" w:fill="153D64"/>
            <w:vAlign w:val="bottom"/>
            <w:hideMark/>
          </w:tcPr>
          <w:p w14:paraId="1EAEE573" w14:textId="77777777" w:rsidR="00F87307" w:rsidRPr="00F87307" w:rsidRDefault="00F87307">
            <w:pPr>
              <w:rPr>
                <w:rFonts w:ascii="Arial" w:hAnsi="Arial" w:cs="Arial"/>
                <w:b/>
                <w:bCs/>
                <w:color w:val="FFFFFF"/>
                <w:sz w:val="20"/>
                <w:szCs w:val="20"/>
              </w:rPr>
            </w:pPr>
            <w:r w:rsidRPr="00F87307">
              <w:rPr>
                <w:rFonts w:ascii="Arial" w:hAnsi="Arial" w:cs="Arial"/>
                <w:b/>
                <w:bCs/>
                <w:color w:val="FFFFFF"/>
                <w:sz w:val="20"/>
                <w:szCs w:val="20"/>
              </w:rPr>
              <w:t>Postavka</w:t>
            </w:r>
          </w:p>
        </w:tc>
        <w:tc>
          <w:tcPr>
            <w:tcW w:w="641" w:type="pct"/>
            <w:tcBorders>
              <w:top w:val="single" w:sz="4" w:space="0" w:color="auto"/>
              <w:left w:val="nil"/>
              <w:bottom w:val="single" w:sz="4" w:space="0" w:color="auto"/>
              <w:right w:val="single" w:sz="4" w:space="0" w:color="auto"/>
            </w:tcBorders>
            <w:shd w:val="clear" w:color="000000" w:fill="153D64"/>
            <w:noWrap/>
            <w:vAlign w:val="bottom"/>
            <w:hideMark/>
          </w:tcPr>
          <w:p w14:paraId="6F7B2D6A" w14:textId="77777777" w:rsidR="00B0343F" w:rsidRDefault="00F87307">
            <w:pPr>
              <w:rPr>
                <w:rFonts w:ascii="Arial" w:hAnsi="Arial" w:cs="Arial"/>
                <w:b/>
                <w:bCs/>
                <w:color w:val="FFFFFF"/>
                <w:sz w:val="20"/>
                <w:szCs w:val="20"/>
              </w:rPr>
            </w:pPr>
            <w:r w:rsidRPr="00F87307">
              <w:rPr>
                <w:rFonts w:ascii="Arial" w:hAnsi="Arial" w:cs="Arial"/>
                <w:b/>
                <w:bCs/>
                <w:color w:val="FFFFFF"/>
                <w:sz w:val="20"/>
                <w:szCs w:val="20"/>
              </w:rPr>
              <w:t xml:space="preserve">NEUPRAVIČENI </w:t>
            </w:r>
          </w:p>
          <w:p w14:paraId="36A53695" w14:textId="733C6853" w:rsidR="00F87307" w:rsidRPr="00F87307" w:rsidRDefault="00F87307">
            <w:pPr>
              <w:rPr>
                <w:rFonts w:ascii="Arial" w:hAnsi="Arial" w:cs="Arial"/>
                <w:b/>
                <w:bCs/>
                <w:color w:val="FFFFFF"/>
                <w:sz w:val="20"/>
                <w:szCs w:val="20"/>
              </w:rPr>
            </w:pPr>
            <w:r w:rsidRPr="00F87307">
              <w:rPr>
                <w:rFonts w:ascii="Arial" w:hAnsi="Arial" w:cs="Arial"/>
                <w:b/>
                <w:bCs/>
                <w:color w:val="FFFFFF"/>
                <w:sz w:val="20"/>
                <w:szCs w:val="20"/>
              </w:rPr>
              <w:t>STROŠKI</w:t>
            </w:r>
          </w:p>
        </w:tc>
        <w:tc>
          <w:tcPr>
            <w:tcW w:w="400" w:type="pct"/>
            <w:tcBorders>
              <w:top w:val="single" w:sz="4" w:space="0" w:color="auto"/>
              <w:left w:val="single" w:sz="4" w:space="0" w:color="auto"/>
              <w:bottom w:val="single" w:sz="4" w:space="0" w:color="auto"/>
              <w:right w:val="single" w:sz="4" w:space="0" w:color="auto"/>
            </w:tcBorders>
            <w:shd w:val="clear" w:color="000000" w:fill="153D64"/>
            <w:noWrap/>
            <w:vAlign w:val="bottom"/>
            <w:hideMark/>
          </w:tcPr>
          <w:p w14:paraId="7B2BC8BE"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2024</w:t>
            </w:r>
          </w:p>
        </w:tc>
        <w:tc>
          <w:tcPr>
            <w:tcW w:w="445" w:type="pct"/>
            <w:tcBorders>
              <w:top w:val="single" w:sz="4" w:space="0" w:color="auto"/>
              <w:left w:val="nil"/>
              <w:bottom w:val="single" w:sz="4" w:space="0" w:color="auto"/>
              <w:right w:val="single" w:sz="4" w:space="0" w:color="auto"/>
            </w:tcBorders>
            <w:shd w:val="clear" w:color="000000" w:fill="153D64"/>
            <w:noWrap/>
            <w:vAlign w:val="bottom"/>
            <w:hideMark/>
          </w:tcPr>
          <w:p w14:paraId="59C12053"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2025</w:t>
            </w:r>
          </w:p>
        </w:tc>
        <w:tc>
          <w:tcPr>
            <w:tcW w:w="396" w:type="pct"/>
            <w:tcBorders>
              <w:top w:val="single" w:sz="4" w:space="0" w:color="auto"/>
              <w:left w:val="nil"/>
              <w:bottom w:val="single" w:sz="4" w:space="0" w:color="auto"/>
              <w:right w:val="single" w:sz="4" w:space="0" w:color="auto"/>
            </w:tcBorders>
            <w:shd w:val="clear" w:color="000000" w:fill="153D64"/>
            <w:noWrap/>
            <w:vAlign w:val="bottom"/>
            <w:hideMark/>
          </w:tcPr>
          <w:p w14:paraId="6102015E"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2026</w:t>
            </w:r>
          </w:p>
        </w:tc>
        <w:tc>
          <w:tcPr>
            <w:tcW w:w="497" w:type="pct"/>
            <w:tcBorders>
              <w:top w:val="single" w:sz="4" w:space="0" w:color="auto"/>
              <w:left w:val="nil"/>
              <w:bottom w:val="single" w:sz="4" w:space="0" w:color="auto"/>
              <w:right w:val="single" w:sz="4" w:space="0" w:color="auto"/>
            </w:tcBorders>
            <w:shd w:val="clear" w:color="000000" w:fill="153D64"/>
            <w:noWrap/>
            <w:vAlign w:val="bottom"/>
            <w:hideMark/>
          </w:tcPr>
          <w:p w14:paraId="24FB5E99"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2027</w:t>
            </w:r>
          </w:p>
        </w:tc>
        <w:tc>
          <w:tcPr>
            <w:tcW w:w="555" w:type="pct"/>
            <w:tcBorders>
              <w:top w:val="single" w:sz="4" w:space="0" w:color="auto"/>
              <w:left w:val="nil"/>
              <w:bottom w:val="single" w:sz="4" w:space="0" w:color="auto"/>
              <w:right w:val="single" w:sz="4" w:space="0" w:color="auto"/>
            </w:tcBorders>
            <w:shd w:val="clear" w:color="000000" w:fill="153D64"/>
            <w:noWrap/>
            <w:vAlign w:val="bottom"/>
            <w:hideMark/>
          </w:tcPr>
          <w:p w14:paraId="5A68D930"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2028</w:t>
            </w:r>
          </w:p>
        </w:tc>
        <w:tc>
          <w:tcPr>
            <w:tcW w:w="425" w:type="pct"/>
            <w:tcBorders>
              <w:top w:val="single" w:sz="4" w:space="0" w:color="auto"/>
              <w:left w:val="nil"/>
              <w:bottom w:val="single" w:sz="4" w:space="0" w:color="auto"/>
              <w:right w:val="single" w:sz="4" w:space="0" w:color="auto"/>
            </w:tcBorders>
            <w:shd w:val="clear" w:color="000000" w:fill="153D64"/>
            <w:noWrap/>
            <w:vAlign w:val="bottom"/>
            <w:hideMark/>
          </w:tcPr>
          <w:p w14:paraId="0360FCD4" w14:textId="77777777" w:rsidR="00F87307" w:rsidRPr="00F87307" w:rsidRDefault="00F87307">
            <w:pPr>
              <w:jc w:val="right"/>
              <w:rPr>
                <w:rFonts w:ascii="Arial" w:hAnsi="Arial" w:cs="Arial"/>
                <w:b/>
                <w:bCs/>
                <w:color w:val="FFFFFF"/>
                <w:sz w:val="20"/>
                <w:szCs w:val="20"/>
              </w:rPr>
            </w:pPr>
            <w:r w:rsidRPr="00F87307">
              <w:rPr>
                <w:rFonts w:ascii="Arial" w:hAnsi="Arial" w:cs="Arial"/>
                <w:b/>
                <w:bCs/>
                <w:color w:val="FFFFFF"/>
                <w:sz w:val="20"/>
                <w:szCs w:val="20"/>
              </w:rPr>
              <w:t>2029</w:t>
            </w:r>
          </w:p>
        </w:tc>
      </w:tr>
      <w:tr w:rsidR="00B0343F" w:rsidRPr="00F87307" w14:paraId="651C8E3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593DA7F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Govekarjeva cesta</w:t>
            </w:r>
          </w:p>
        </w:tc>
        <w:tc>
          <w:tcPr>
            <w:tcW w:w="641" w:type="pct"/>
            <w:tcBorders>
              <w:top w:val="nil"/>
              <w:left w:val="nil"/>
              <w:bottom w:val="single" w:sz="4" w:space="0" w:color="auto"/>
              <w:right w:val="single" w:sz="4" w:space="0" w:color="auto"/>
            </w:tcBorders>
            <w:noWrap/>
            <w:vAlign w:val="bottom"/>
            <w:hideMark/>
          </w:tcPr>
          <w:p w14:paraId="2D61723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E68814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5A334E1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7D479A0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EECD7E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1F24BA2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F05305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3D06F81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387A8B3"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Troštova ulica</w:t>
            </w:r>
          </w:p>
        </w:tc>
        <w:tc>
          <w:tcPr>
            <w:tcW w:w="641" w:type="pct"/>
            <w:tcBorders>
              <w:top w:val="nil"/>
              <w:left w:val="nil"/>
              <w:bottom w:val="single" w:sz="4" w:space="0" w:color="auto"/>
              <w:right w:val="single" w:sz="4" w:space="0" w:color="auto"/>
            </w:tcBorders>
            <w:noWrap/>
            <w:vAlign w:val="bottom"/>
            <w:hideMark/>
          </w:tcPr>
          <w:p w14:paraId="565F85A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9978BC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35DADE1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2885D43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12A477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3E04C77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865309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4A220EB1"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F674F69"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Križišče Govekarjeva-Troštova</w:t>
            </w:r>
          </w:p>
        </w:tc>
        <w:tc>
          <w:tcPr>
            <w:tcW w:w="641" w:type="pct"/>
            <w:tcBorders>
              <w:top w:val="nil"/>
              <w:left w:val="nil"/>
              <w:bottom w:val="single" w:sz="4" w:space="0" w:color="auto"/>
              <w:right w:val="single" w:sz="4" w:space="0" w:color="auto"/>
            </w:tcBorders>
            <w:noWrap/>
            <w:vAlign w:val="bottom"/>
            <w:hideMark/>
          </w:tcPr>
          <w:p w14:paraId="495E419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40062A0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4786F38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F3A847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2F7FEE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1EFAB69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133A999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53BF07EE"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79A6CED"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Javni sistem izposoje koles</w:t>
            </w:r>
          </w:p>
        </w:tc>
        <w:tc>
          <w:tcPr>
            <w:tcW w:w="641" w:type="pct"/>
            <w:tcBorders>
              <w:top w:val="nil"/>
              <w:left w:val="nil"/>
              <w:bottom w:val="single" w:sz="4" w:space="0" w:color="auto"/>
              <w:right w:val="single" w:sz="4" w:space="0" w:color="auto"/>
            </w:tcBorders>
            <w:noWrap/>
            <w:vAlign w:val="bottom"/>
            <w:hideMark/>
          </w:tcPr>
          <w:p w14:paraId="1A5184A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445B029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727F215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22FC3B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D739ED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7A17EC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3988E4D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333FBE34"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62A025C7"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Govekarjeva cesta</w:t>
            </w:r>
          </w:p>
        </w:tc>
        <w:tc>
          <w:tcPr>
            <w:tcW w:w="641" w:type="pct"/>
            <w:tcBorders>
              <w:top w:val="nil"/>
              <w:left w:val="nil"/>
              <w:bottom w:val="single" w:sz="4" w:space="0" w:color="auto"/>
              <w:right w:val="single" w:sz="4" w:space="0" w:color="auto"/>
            </w:tcBorders>
            <w:noWrap/>
            <w:vAlign w:val="bottom"/>
            <w:hideMark/>
          </w:tcPr>
          <w:p w14:paraId="34D627D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6C3808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6526ACE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7C52A4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1F3133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535451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47A8D6A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5D90C74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2F709C32"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staro župnišče</w:t>
            </w:r>
          </w:p>
        </w:tc>
        <w:tc>
          <w:tcPr>
            <w:tcW w:w="641" w:type="pct"/>
            <w:tcBorders>
              <w:top w:val="nil"/>
              <w:left w:val="nil"/>
              <w:bottom w:val="single" w:sz="4" w:space="0" w:color="auto"/>
              <w:right w:val="single" w:sz="4" w:space="0" w:color="auto"/>
            </w:tcBorders>
            <w:noWrap/>
            <w:vAlign w:val="bottom"/>
            <w:hideMark/>
          </w:tcPr>
          <w:p w14:paraId="0E24F2B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3A7F69E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450EE1E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66FDB8C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EA6A44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49F9068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717CD8A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5FD9D758"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638C5D5"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trg (kolesarnica)</w:t>
            </w:r>
          </w:p>
        </w:tc>
        <w:tc>
          <w:tcPr>
            <w:tcW w:w="641" w:type="pct"/>
            <w:tcBorders>
              <w:top w:val="nil"/>
              <w:left w:val="nil"/>
              <w:bottom w:val="single" w:sz="4" w:space="0" w:color="auto"/>
              <w:right w:val="single" w:sz="4" w:space="0" w:color="auto"/>
            </w:tcBorders>
            <w:noWrap/>
            <w:vAlign w:val="bottom"/>
            <w:hideMark/>
          </w:tcPr>
          <w:p w14:paraId="1B0A3F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327FBB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5FF09A6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2C607C9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C98B3E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59397E5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0DB124B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2992EFB3"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3272F8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telovadnica</w:t>
            </w:r>
          </w:p>
        </w:tc>
        <w:tc>
          <w:tcPr>
            <w:tcW w:w="641" w:type="pct"/>
            <w:tcBorders>
              <w:top w:val="nil"/>
              <w:left w:val="nil"/>
              <w:bottom w:val="single" w:sz="4" w:space="0" w:color="auto"/>
              <w:right w:val="single" w:sz="4" w:space="0" w:color="auto"/>
            </w:tcBorders>
            <w:noWrap/>
            <w:vAlign w:val="bottom"/>
            <w:hideMark/>
          </w:tcPr>
          <w:p w14:paraId="5156F86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0836CC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1CF078A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5050F27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C726C4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5CB0268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6CC3AB6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2F970F9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05026DE3"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Parkirišča za kolesa - park</w:t>
            </w:r>
          </w:p>
        </w:tc>
        <w:tc>
          <w:tcPr>
            <w:tcW w:w="641" w:type="pct"/>
            <w:tcBorders>
              <w:top w:val="nil"/>
              <w:left w:val="nil"/>
              <w:bottom w:val="single" w:sz="4" w:space="0" w:color="auto"/>
              <w:right w:val="single" w:sz="4" w:space="0" w:color="auto"/>
            </w:tcBorders>
            <w:noWrap/>
            <w:vAlign w:val="bottom"/>
            <w:hideMark/>
          </w:tcPr>
          <w:p w14:paraId="493E585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7D0926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178DFA4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3CC71C6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D98A3F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23D7BFD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6E80F1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6EDA25BA"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513CE1FA"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lastRenderedPageBreak/>
              <w:t>Merilniki, prikazovalniki in števci</w:t>
            </w:r>
          </w:p>
        </w:tc>
        <w:tc>
          <w:tcPr>
            <w:tcW w:w="641" w:type="pct"/>
            <w:tcBorders>
              <w:top w:val="nil"/>
              <w:left w:val="nil"/>
              <w:bottom w:val="single" w:sz="4" w:space="0" w:color="auto"/>
              <w:right w:val="single" w:sz="4" w:space="0" w:color="auto"/>
            </w:tcBorders>
            <w:noWrap/>
            <w:vAlign w:val="bottom"/>
            <w:hideMark/>
          </w:tcPr>
          <w:p w14:paraId="27B6056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CFAAC4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07B08B9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AE8119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3F7EA1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8DBF6C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9961CC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7C06F23F"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1E635F3" w14:textId="77777777" w:rsidR="00F87307" w:rsidRPr="00F87307" w:rsidRDefault="00F87307">
            <w:pPr>
              <w:rPr>
                <w:rFonts w:ascii="Roboto" w:hAnsi="Roboto"/>
                <w:color w:val="000000"/>
                <w:sz w:val="20"/>
                <w:szCs w:val="20"/>
              </w:rPr>
            </w:pPr>
            <w:r w:rsidRPr="00F87307">
              <w:rPr>
                <w:rFonts w:ascii="Roboto" w:hAnsi="Roboto"/>
                <w:color w:val="000000"/>
                <w:sz w:val="20"/>
                <w:szCs w:val="20"/>
              </w:rPr>
              <w:t>Avtobusno postajališče - nivo ceste</w:t>
            </w:r>
          </w:p>
        </w:tc>
        <w:tc>
          <w:tcPr>
            <w:tcW w:w="641" w:type="pct"/>
            <w:tcBorders>
              <w:top w:val="nil"/>
              <w:left w:val="nil"/>
              <w:bottom w:val="single" w:sz="4" w:space="0" w:color="auto"/>
              <w:right w:val="single" w:sz="4" w:space="0" w:color="auto"/>
            </w:tcBorders>
            <w:noWrap/>
            <w:vAlign w:val="bottom"/>
            <w:hideMark/>
          </w:tcPr>
          <w:p w14:paraId="37B07BF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890F15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3B87C0C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61FB0C7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77196B2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2531573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70EAD55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103F8AB5"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3188491C" w14:textId="77777777" w:rsidR="00F87307" w:rsidRPr="00F87307" w:rsidRDefault="00F87307">
            <w:pPr>
              <w:rPr>
                <w:rFonts w:ascii="Roboto" w:hAnsi="Roboto"/>
                <w:color w:val="000000"/>
                <w:sz w:val="20"/>
                <w:szCs w:val="20"/>
              </w:rPr>
            </w:pPr>
            <w:r w:rsidRPr="00F87307">
              <w:rPr>
                <w:rFonts w:ascii="Roboto" w:hAnsi="Roboto"/>
                <w:color w:val="000000"/>
                <w:sz w:val="20"/>
                <w:szCs w:val="20"/>
              </w:rPr>
              <w:t>Avtobusno postajališče - nadstrešnica</w:t>
            </w:r>
          </w:p>
        </w:tc>
        <w:tc>
          <w:tcPr>
            <w:tcW w:w="641" w:type="pct"/>
            <w:tcBorders>
              <w:top w:val="nil"/>
              <w:left w:val="nil"/>
              <w:bottom w:val="single" w:sz="4" w:space="0" w:color="auto"/>
              <w:right w:val="single" w:sz="4" w:space="0" w:color="auto"/>
            </w:tcBorders>
            <w:noWrap/>
            <w:vAlign w:val="bottom"/>
            <w:hideMark/>
          </w:tcPr>
          <w:p w14:paraId="5469722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6C4CA70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53B1344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502F553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2E42AF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465225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86AB21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6EEF34A6"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70B8ED82" w14:textId="77777777" w:rsidR="00F87307" w:rsidRPr="00F87307" w:rsidRDefault="00F87307">
            <w:pPr>
              <w:rPr>
                <w:rFonts w:ascii="Roboto" w:hAnsi="Roboto"/>
                <w:color w:val="000000"/>
                <w:sz w:val="20"/>
                <w:szCs w:val="20"/>
              </w:rPr>
            </w:pPr>
            <w:r w:rsidRPr="00F87307">
              <w:rPr>
                <w:rFonts w:ascii="Roboto" w:hAnsi="Roboto"/>
                <w:color w:val="000000"/>
                <w:sz w:val="20"/>
                <w:szCs w:val="20"/>
              </w:rPr>
              <w:t>Parkirišče z vhodom v šolo</w:t>
            </w:r>
          </w:p>
        </w:tc>
        <w:tc>
          <w:tcPr>
            <w:tcW w:w="641" w:type="pct"/>
            <w:tcBorders>
              <w:top w:val="nil"/>
              <w:left w:val="nil"/>
              <w:bottom w:val="single" w:sz="4" w:space="0" w:color="auto"/>
              <w:right w:val="single" w:sz="4" w:space="0" w:color="auto"/>
            </w:tcBorders>
            <w:noWrap/>
            <w:vAlign w:val="bottom"/>
            <w:hideMark/>
          </w:tcPr>
          <w:p w14:paraId="017C976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713.840,52</w:t>
            </w:r>
          </w:p>
        </w:tc>
        <w:tc>
          <w:tcPr>
            <w:tcW w:w="400" w:type="pct"/>
            <w:tcBorders>
              <w:top w:val="nil"/>
              <w:left w:val="single" w:sz="4" w:space="0" w:color="auto"/>
              <w:bottom w:val="single" w:sz="4" w:space="0" w:color="auto"/>
              <w:right w:val="single" w:sz="4" w:space="0" w:color="auto"/>
            </w:tcBorders>
            <w:noWrap/>
            <w:vAlign w:val="bottom"/>
            <w:hideMark/>
          </w:tcPr>
          <w:p w14:paraId="23CA0C8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194FB8B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226F0F4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9A8F19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0149F0B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568.683,94</w:t>
            </w:r>
          </w:p>
        </w:tc>
        <w:tc>
          <w:tcPr>
            <w:tcW w:w="425" w:type="pct"/>
            <w:tcBorders>
              <w:top w:val="nil"/>
              <w:left w:val="nil"/>
              <w:bottom w:val="single" w:sz="4" w:space="0" w:color="auto"/>
              <w:right w:val="single" w:sz="4" w:space="0" w:color="auto"/>
            </w:tcBorders>
            <w:noWrap/>
            <w:vAlign w:val="bottom"/>
            <w:hideMark/>
          </w:tcPr>
          <w:p w14:paraId="0CA3473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145.156,58</w:t>
            </w:r>
          </w:p>
        </w:tc>
      </w:tr>
      <w:tr w:rsidR="00B0343F" w:rsidRPr="00F87307" w14:paraId="73EC1503" w14:textId="77777777" w:rsidTr="00B0343F">
        <w:trPr>
          <w:trHeight w:val="284"/>
        </w:trPr>
        <w:tc>
          <w:tcPr>
            <w:tcW w:w="1641" w:type="pct"/>
            <w:tcBorders>
              <w:top w:val="nil"/>
              <w:left w:val="single" w:sz="4" w:space="0" w:color="auto"/>
              <w:bottom w:val="single" w:sz="4" w:space="0" w:color="auto"/>
              <w:right w:val="single" w:sz="4" w:space="0" w:color="auto"/>
            </w:tcBorders>
            <w:shd w:val="clear" w:color="000000" w:fill="D9D9D9"/>
            <w:vAlign w:val="bottom"/>
            <w:hideMark/>
          </w:tcPr>
          <w:p w14:paraId="69C3AC14" w14:textId="77777777" w:rsidR="00F87307" w:rsidRPr="00F87307" w:rsidRDefault="00F87307">
            <w:pPr>
              <w:rPr>
                <w:rFonts w:ascii="Arial" w:hAnsi="Arial" w:cs="Arial"/>
                <w:i/>
                <w:iCs/>
                <w:color w:val="000000"/>
                <w:sz w:val="20"/>
                <w:szCs w:val="20"/>
              </w:rPr>
            </w:pPr>
            <w:r w:rsidRPr="00F87307">
              <w:rPr>
                <w:rFonts w:ascii="Arial" w:hAnsi="Arial" w:cs="Arial"/>
                <w:i/>
                <w:iCs/>
                <w:color w:val="000000"/>
                <w:sz w:val="20"/>
                <w:szCs w:val="20"/>
              </w:rPr>
              <w:t>Skupaj GOI dela</w:t>
            </w:r>
          </w:p>
        </w:tc>
        <w:tc>
          <w:tcPr>
            <w:tcW w:w="641" w:type="pct"/>
            <w:tcBorders>
              <w:top w:val="nil"/>
              <w:left w:val="nil"/>
              <w:bottom w:val="single" w:sz="4" w:space="0" w:color="auto"/>
              <w:right w:val="single" w:sz="4" w:space="0" w:color="auto"/>
            </w:tcBorders>
            <w:shd w:val="clear" w:color="000000" w:fill="D9D9D9"/>
            <w:noWrap/>
            <w:vAlign w:val="bottom"/>
            <w:hideMark/>
          </w:tcPr>
          <w:p w14:paraId="12AD6B23" w14:textId="77777777" w:rsidR="00F87307" w:rsidRPr="00F87307" w:rsidRDefault="00F87307">
            <w:pPr>
              <w:jc w:val="right"/>
              <w:rPr>
                <w:rFonts w:ascii="Arial" w:hAnsi="Arial" w:cs="Arial"/>
                <w:i/>
                <w:iCs/>
                <w:color w:val="000000"/>
                <w:sz w:val="20"/>
                <w:szCs w:val="20"/>
              </w:rPr>
            </w:pPr>
            <w:r w:rsidRPr="00F87307">
              <w:rPr>
                <w:rFonts w:ascii="Arial" w:hAnsi="Arial" w:cs="Arial"/>
                <w:i/>
                <w:iCs/>
                <w:color w:val="000000"/>
                <w:sz w:val="20"/>
                <w:szCs w:val="20"/>
              </w:rPr>
              <w:t>713.840,52</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21F3D87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shd w:val="clear" w:color="000000" w:fill="D9D9D9"/>
            <w:noWrap/>
            <w:vAlign w:val="bottom"/>
            <w:hideMark/>
          </w:tcPr>
          <w:p w14:paraId="22C3E9E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shd w:val="clear" w:color="000000" w:fill="D9D9D9"/>
            <w:noWrap/>
            <w:vAlign w:val="bottom"/>
            <w:hideMark/>
          </w:tcPr>
          <w:p w14:paraId="50F218B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shd w:val="clear" w:color="000000" w:fill="D9D9D9"/>
            <w:noWrap/>
            <w:vAlign w:val="bottom"/>
            <w:hideMark/>
          </w:tcPr>
          <w:p w14:paraId="72ABFD3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shd w:val="clear" w:color="000000" w:fill="D9D9D9"/>
            <w:noWrap/>
            <w:vAlign w:val="bottom"/>
            <w:hideMark/>
          </w:tcPr>
          <w:p w14:paraId="4B1E697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568.683,94</w:t>
            </w:r>
          </w:p>
        </w:tc>
        <w:tc>
          <w:tcPr>
            <w:tcW w:w="425" w:type="pct"/>
            <w:tcBorders>
              <w:top w:val="nil"/>
              <w:left w:val="nil"/>
              <w:bottom w:val="single" w:sz="4" w:space="0" w:color="auto"/>
              <w:right w:val="single" w:sz="4" w:space="0" w:color="auto"/>
            </w:tcBorders>
            <w:shd w:val="clear" w:color="000000" w:fill="D9D9D9"/>
            <w:noWrap/>
            <w:vAlign w:val="bottom"/>
            <w:hideMark/>
          </w:tcPr>
          <w:p w14:paraId="68C1F54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145.156,58</w:t>
            </w:r>
          </w:p>
        </w:tc>
      </w:tr>
      <w:tr w:rsidR="00B0343F" w:rsidRPr="00F87307" w14:paraId="71477EBD"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2EEFAF7"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Strokovni nadzor</w:t>
            </w:r>
          </w:p>
        </w:tc>
        <w:tc>
          <w:tcPr>
            <w:tcW w:w="641" w:type="pct"/>
            <w:tcBorders>
              <w:top w:val="nil"/>
              <w:left w:val="nil"/>
              <w:bottom w:val="single" w:sz="4" w:space="0" w:color="auto"/>
              <w:right w:val="single" w:sz="4" w:space="0" w:color="auto"/>
            </w:tcBorders>
            <w:noWrap/>
            <w:vAlign w:val="bottom"/>
            <w:hideMark/>
          </w:tcPr>
          <w:p w14:paraId="651EBEB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6786EB9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3E08BE6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707E026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D2F536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0BA0825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7B54C9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71DE5F0B"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5ED6029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Projektna dokumentacija</w:t>
            </w:r>
          </w:p>
        </w:tc>
        <w:tc>
          <w:tcPr>
            <w:tcW w:w="641" w:type="pct"/>
            <w:tcBorders>
              <w:top w:val="nil"/>
              <w:left w:val="nil"/>
              <w:bottom w:val="single" w:sz="4" w:space="0" w:color="auto"/>
              <w:right w:val="single" w:sz="4" w:space="0" w:color="auto"/>
            </w:tcBorders>
            <w:noWrap/>
            <w:vAlign w:val="bottom"/>
            <w:hideMark/>
          </w:tcPr>
          <w:p w14:paraId="532EEE8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4A81219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56F3277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493E49F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75A7552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2F799DC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67A64CD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1713505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7AF116C3"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Inženiring</w:t>
            </w:r>
          </w:p>
        </w:tc>
        <w:tc>
          <w:tcPr>
            <w:tcW w:w="641" w:type="pct"/>
            <w:tcBorders>
              <w:top w:val="nil"/>
              <w:left w:val="nil"/>
              <w:bottom w:val="single" w:sz="4" w:space="0" w:color="auto"/>
              <w:right w:val="single" w:sz="4" w:space="0" w:color="auto"/>
            </w:tcBorders>
            <w:noWrap/>
            <w:vAlign w:val="bottom"/>
            <w:hideMark/>
          </w:tcPr>
          <w:p w14:paraId="0E033B1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2CFEABC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4110197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21AE3BA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43369C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336EF28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425A239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2A9852F6"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5AFCD059"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Obveščanje javnosti</w:t>
            </w:r>
          </w:p>
        </w:tc>
        <w:tc>
          <w:tcPr>
            <w:tcW w:w="641" w:type="pct"/>
            <w:tcBorders>
              <w:top w:val="nil"/>
              <w:left w:val="nil"/>
              <w:bottom w:val="single" w:sz="4" w:space="0" w:color="auto"/>
              <w:right w:val="single" w:sz="4" w:space="0" w:color="auto"/>
            </w:tcBorders>
            <w:noWrap/>
            <w:vAlign w:val="bottom"/>
            <w:hideMark/>
          </w:tcPr>
          <w:p w14:paraId="2FD1C48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D6CE22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752CE91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56F688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4AD4B22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5CC4160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698EE94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7F3EB6B0"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30B37F1C"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Investicijska in ostala dokumentacija</w:t>
            </w:r>
          </w:p>
        </w:tc>
        <w:tc>
          <w:tcPr>
            <w:tcW w:w="641" w:type="pct"/>
            <w:tcBorders>
              <w:top w:val="nil"/>
              <w:left w:val="nil"/>
              <w:bottom w:val="single" w:sz="4" w:space="0" w:color="auto"/>
              <w:right w:val="single" w:sz="4" w:space="0" w:color="auto"/>
            </w:tcBorders>
            <w:noWrap/>
            <w:vAlign w:val="bottom"/>
            <w:hideMark/>
          </w:tcPr>
          <w:p w14:paraId="7120238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79008B8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24F6640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B686F9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08D777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1E2C6C3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93F5F7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6136F8AE"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23F3894E"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Stroški varnosti pri delu</w:t>
            </w:r>
          </w:p>
        </w:tc>
        <w:tc>
          <w:tcPr>
            <w:tcW w:w="641" w:type="pct"/>
            <w:tcBorders>
              <w:top w:val="nil"/>
              <w:left w:val="nil"/>
              <w:bottom w:val="single" w:sz="4" w:space="0" w:color="auto"/>
              <w:right w:val="single" w:sz="4" w:space="0" w:color="auto"/>
            </w:tcBorders>
            <w:noWrap/>
            <w:vAlign w:val="bottom"/>
            <w:hideMark/>
          </w:tcPr>
          <w:p w14:paraId="50E7497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53FACCD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5791808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03FC201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7A671D6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0DF70C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76F6480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2A4BF8BC"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4EF230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Arheologija</w:t>
            </w:r>
          </w:p>
        </w:tc>
        <w:tc>
          <w:tcPr>
            <w:tcW w:w="641" w:type="pct"/>
            <w:tcBorders>
              <w:top w:val="nil"/>
              <w:left w:val="nil"/>
              <w:bottom w:val="single" w:sz="4" w:space="0" w:color="auto"/>
              <w:right w:val="single" w:sz="4" w:space="0" w:color="auto"/>
            </w:tcBorders>
            <w:noWrap/>
            <w:vAlign w:val="bottom"/>
            <w:hideMark/>
          </w:tcPr>
          <w:p w14:paraId="351F61A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0FF2915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67BECDF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DF02CE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21F7B89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3772544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3818CBB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6A2D6DD8"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3F920230"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Čiščenje in pregled kanalizacije</w:t>
            </w:r>
          </w:p>
        </w:tc>
        <w:tc>
          <w:tcPr>
            <w:tcW w:w="641" w:type="pct"/>
            <w:tcBorders>
              <w:top w:val="nil"/>
              <w:left w:val="nil"/>
              <w:bottom w:val="single" w:sz="4" w:space="0" w:color="auto"/>
              <w:right w:val="single" w:sz="4" w:space="0" w:color="auto"/>
            </w:tcBorders>
            <w:noWrap/>
            <w:vAlign w:val="bottom"/>
            <w:hideMark/>
          </w:tcPr>
          <w:p w14:paraId="5F6AC6A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E52C42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683B4EA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464531A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678E134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5087700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76E27EF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56F9C0E8"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6BDBE696"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Nakup nepremičnine</w:t>
            </w:r>
          </w:p>
        </w:tc>
        <w:tc>
          <w:tcPr>
            <w:tcW w:w="641" w:type="pct"/>
            <w:tcBorders>
              <w:top w:val="nil"/>
              <w:left w:val="nil"/>
              <w:bottom w:val="single" w:sz="4" w:space="0" w:color="auto"/>
              <w:right w:val="single" w:sz="4" w:space="0" w:color="auto"/>
            </w:tcBorders>
            <w:noWrap/>
            <w:vAlign w:val="bottom"/>
            <w:hideMark/>
          </w:tcPr>
          <w:p w14:paraId="6E29F0A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280.000,00</w:t>
            </w:r>
          </w:p>
        </w:tc>
        <w:tc>
          <w:tcPr>
            <w:tcW w:w="400" w:type="pct"/>
            <w:tcBorders>
              <w:top w:val="nil"/>
              <w:left w:val="single" w:sz="4" w:space="0" w:color="auto"/>
              <w:bottom w:val="single" w:sz="4" w:space="0" w:color="auto"/>
              <w:right w:val="single" w:sz="4" w:space="0" w:color="auto"/>
            </w:tcBorders>
            <w:noWrap/>
            <w:vAlign w:val="bottom"/>
            <w:hideMark/>
          </w:tcPr>
          <w:p w14:paraId="5A01B00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280.000,00</w:t>
            </w:r>
          </w:p>
        </w:tc>
        <w:tc>
          <w:tcPr>
            <w:tcW w:w="445" w:type="pct"/>
            <w:tcBorders>
              <w:top w:val="nil"/>
              <w:left w:val="nil"/>
              <w:bottom w:val="single" w:sz="4" w:space="0" w:color="auto"/>
              <w:right w:val="single" w:sz="4" w:space="0" w:color="auto"/>
            </w:tcBorders>
            <w:noWrap/>
            <w:vAlign w:val="bottom"/>
            <w:hideMark/>
          </w:tcPr>
          <w:p w14:paraId="0DC9C38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05F99A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E9602D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1BF8D3C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33E0ED3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37C51456"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66A6144"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 (neobdavčeno)</w:t>
            </w:r>
          </w:p>
        </w:tc>
        <w:tc>
          <w:tcPr>
            <w:tcW w:w="641" w:type="pct"/>
            <w:tcBorders>
              <w:top w:val="nil"/>
              <w:left w:val="nil"/>
              <w:bottom w:val="single" w:sz="4" w:space="0" w:color="auto"/>
              <w:right w:val="single" w:sz="4" w:space="0" w:color="auto"/>
            </w:tcBorders>
            <w:noWrap/>
            <w:vAlign w:val="bottom"/>
            <w:hideMark/>
          </w:tcPr>
          <w:p w14:paraId="7A22578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776,00</w:t>
            </w:r>
          </w:p>
        </w:tc>
        <w:tc>
          <w:tcPr>
            <w:tcW w:w="400" w:type="pct"/>
            <w:tcBorders>
              <w:top w:val="nil"/>
              <w:left w:val="single" w:sz="4" w:space="0" w:color="auto"/>
              <w:bottom w:val="single" w:sz="4" w:space="0" w:color="auto"/>
              <w:right w:val="single" w:sz="4" w:space="0" w:color="auto"/>
            </w:tcBorders>
            <w:noWrap/>
            <w:vAlign w:val="bottom"/>
            <w:hideMark/>
          </w:tcPr>
          <w:p w14:paraId="1283B5A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776,00</w:t>
            </w:r>
          </w:p>
        </w:tc>
        <w:tc>
          <w:tcPr>
            <w:tcW w:w="445" w:type="pct"/>
            <w:tcBorders>
              <w:top w:val="nil"/>
              <w:left w:val="nil"/>
              <w:bottom w:val="single" w:sz="4" w:space="0" w:color="auto"/>
              <w:right w:val="single" w:sz="4" w:space="0" w:color="auto"/>
            </w:tcBorders>
            <w:noWrap/>
            <w:vAlign w:val="bottom"/>
            <w:hideMark/>
          </w:tcPr>
          <w:p w14:paraId="61DB72C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3ACFD46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2133FAA"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477E3FF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168AD1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5C54BA07"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EA9FDF0"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 (9,5% DDV)</w:t>
            </w:r>
          </w:p>
        </w:tc>
        <w:tc>
          <w:tcPr>
            <w:tcW w:w="641" w:type="pct"/>
            <w:tcBorders>
              <w:top w:val="nil"/>
              <w:left w:val="nil"/>
              <w:bottom w:val="single" w:sz="4" w:space="0" w:color="auto"/>
              <w:right w:val="single" w:sz="4" w:space="0" w:color="auto"/>
            </w:tcBorders>
            <w:noWrap/>
            <w:vAlign w:val="bottom"/>
            <w:hideMark/>
          </w:tcPr>
          <w:p w14:paraId="7A7F99B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545,96</w:t>
            </w:r>
          </w:p>
        </w:tc>
        <w:tc>
          <w:tcPr>
            <w:tcW w:w="400" w:type="pct"/>
            <w:tcBorders>
              <w:top w:val="nil"/>
              <w:left w:val="single" w:sz="4" w:space="0" w:color="auto"/>
              <w:bottom w:val="single" w:sz="4" w:space="0" w:color="auto"/>
              <w:right w:val="single" w:sz="4" w:space="0" w:color="auto"/>
            </w:tcBorders>
            <w:noWrap/>
            <w:vAlign w:val="bottom"/>
            <w:hideMark/>
          </w:tcPr>
          <w:p w14:paraId="0C3987F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545,96</w:t>
            </w:r>
          </w:p>
        </w:tc>
        <w:tc>
          <w:tcPr>
            <w:tcW w:w="445" w:type="pct"/>
            <w:tcBorders>
              <w:top w:val="nil"/>
              <w:left w:val="nil"/>
              <w:bottom w:val="single" w:sz="4" w:space="0" w:color="auto"/>
              <w:right w:val="single" w:sz="4" w:space="0" w:color="auto"/>
            </w:tcBorders>
            <w:noWrap/>
            <w:vAlign w:val="bottom"/>
            <w:hideMark/>
          </w:tcPr>
          <w:p w14:paraId="1621809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E4E2E3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84FD14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91BFD0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71C637B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30FA7733"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39718844" w14:textId="77777777" w:rsidR="00F87307" w:rsidRPr="00F87307" w:rsidRDefault="00F87307">
            <w:pPr>
              <w:rPr>
                <w:rFonts w:ascii="Roboto" w:hAnsi="Roboto"/>
                <w:color w:val="000000"/>
                <w:sz w:val="20"/>
                <w:szCs w:val="20"/>
              </w:rPr>
            </w:pPr>
            <w:r w:rsidRPr="00F87307">
              <w:rPr>
                <w:rFonts w:ascii="Roboto" w:hAnsi="Roboto"/>
                <w:color w:val="000000"/>
                <w:sz w:val="20"/>
                <w:szCs w:val="20"/>
              </w:rPr>
              <w:t>Druga dela ob rušenju objekta</w:t>
            </w:r>
          </w:p>
        </w:tc>
        <w:tc>
          <w:tcPr>
            <w:tcW w:w="641" w:type="pct"/>
            <w:tcBorders>
              <w:top w:val="nil"/>
              <w:left w:val="nil"/>
              <w:bottom w:val="single" w:sz="4" w:space="0" w:color="auto"/>
              <w:right w:val="single" w:sz="4" w:space="0" w:color="auto"/>
            </w:tcBorders>
            <w:noWrap/>
            <w:vAlign w:val="bottom"/>
            <w:hideMark/>
          </w:tcPr>
          <w:p w14:paraId="53857DD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5.483,07</w:t>
            </w:r>
          </w:p>
        </w:tc>
        <w:tc>
          <w:tcPr>
            <w:tcW w:w="400" w:type="pct"/>
            <w:tcBorders>
              <w:top w:val="nil"/>
              <w:left w:val="single" w:sz="4" w:space="0" w:color="auto"/>
              <w:bottom w:val="single" w:sz="4" w:space="0" w:color="auto"/>
              <w:right w:val="single" w:sz="4" w:space="0" w:color="auto"/>
            </w:tcBorders>
            <w:noWrap/>
            <w:vAlign w:val="bottom"/>
            <w:hideMark/>
          </w:tcPr>
          <w:p w14:paraId="433A1CA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5.483,07</w:t>
            </w:r>
          </w:p>
        </w:tc>
        <w:tc>
          <w:tcPr>
            <w:tcW w:w="445" w:type="pct"/>
            <w:tcBorders>
              <w:top w:val="nil"/>
              <w:left w:val="nil"/>
              <w:bottom w:val="single" w:sz="4" w:space="0" w:color="auto"/>
              <w:right w:val="single" w:sz="4" w:space="0" w:color="auto"/>
            </w:tcBorders>
            <w:noWrap/>
            <w:vAlign w:val="bottom"/>
            <w:hideMark/>
          </w:tcPr>
          <w:p w14:paraId="2769908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7D95EE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091BC7E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09D08A9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0607F2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094C23D9"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13BBA151"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Vpis v kataster</w:t>
            </w:r>
          </w:p>
        </w:tc>
        <w:tc>
          <w:tcPr>
            <w:tcW w:w="641" w:type="pct"/>
            <w:tcBorders>
              <w:top w:val="nil"/>
              <w:left w:val="nil"/>
              <w:bottom w:val="single" w:sz="4" w:space="0" w:color="auto"/>
              <w:right w:val="single" w:sz="4" w:space="0" w:color="auto"/>
            </w:tcBorders>
            <w:noWrap/>
            <w:vAlign w:val="bottom"/>
            <w:hideMark/>
          </w:tcPr>
          <w:p w14:paraId="2028665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971,93</w:t>
            </w:r>
          </w:p>
        </w:tc>
        <w:tc>
          <w:tcPr>
            <w:tcW w:w="400" w:type="pct"/>
            <w:tcBorders>
              <w:top w:val="nil"/>
              <w:left w:val="single" w:sz="4" w:space="0" w:color="auto"/>
              <w:bottom w:val="single" w:sz="4" w:space="0" w:color="auto"/>
              <w:right w:val="single" w:sz="4" w:space="0" w:color="auto"/>
            </w:tcBorders>
            <w:noWrap/>
            <w:vAlign w:val="bottom"/>
            <w:hideMark/>
          </w:tcPr>
          <w:p w14:paraId="48EAB6C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6F72B95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F3D68F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1F1B43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009B509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616F639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971,93</w:t>
            </w:r>
          </w:p>
        </w:tc>
      </w:tr>
      <w:tr w:rsidR="00B0343F" w:rsidRPr="00F87307" w14:paraId="6C8BFDC7"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4907FD2B"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Notar, zemljiška knjiga</w:t>
            </w:r>
          </w:p>
        </w:tc>
        <w:tc>
          <w:tcPr>
            <w:tcW w:w="641" w:type="pct"/>
            <w:tcBorders>
              <w:top w:val="nil"/>
              <w:left w:val="nil"/>
              <w:bottom w:val="single" w:sz="4" w:space="0" w:color="auto"/>
              <w:right w:val="single" w:sz="4" w:space="0" w:color="auto"/>
            </w:tcBorders>
            <w:noWrap/>
            <w:vAlign w:val="bottom"/>
            <w:hideMark/>
          </w:tcPr>
          <w:p w14:paraId="52884372"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50904AA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4A8D95A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34B31A7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560ADED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7A13738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574426A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2368C924"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5193BA12"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Geodetski načrt</w:t>
            </w:r>
          </w:p>
        </w:tc>
        <w:tc>
          <w:tcPr>
            <w:tcW w:w="641" w:type="pct"/>
            <w:tcBorders>
              <w:top w:val="nil"/>
              <w:left w:val="nil"/>
              <w:bottom w:val="single" w:sz="4" w:space="0" w:color="auto"/>
              <w:right w:val="single" w:sz="4" w:space="0" w:color="auto"/>
            </w:tcBorders>
            <w:noWrap/>
            <w:vAlign w:val="bottom"/>
            <w:hideMark/>
          </w:tcPr>
          <w:p w14:paraId="2B562B44"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2.032,66</w:t>
            </w:r>
          </w:p>
        </w:tc>
        <w:tc>
          <w:tcPr>
            <w:tcW w:w="400" w:type="pct"/>
            <w:tcBorders>
              <w:top w:val="nil"/>
              <w:left w:val="single" w:sz="4" w:space="0" w:color="auto"/>
              <w:bottom w:val="single" w:sz="4" w:space="0" w:color="auto"/>
              <w:right w:val="single" w:sz="4" w:space="0" w:color="auto"/>
            </w:tcBorders>
            <w:noWrap/>
            <w:vAlign w:val="bottom"/>
            <w:hideMark/>
          </w:tcPr>
          <w:p w14:paraId="23C6AAA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178E293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2.032,66</w:t>
            </w:r>
          </w:p>
        </w:tc>
        <w:tc>
          <w:tcPr>
            <w:tcW w:w="396" w:type="pct"/>
            <w:tcBorders>
              <w:top w:val="nil"/>
              <w:left w:val="nil"/>
              <w:bottom w:val="single" w:sz="4" w:space="0" w:color="auto"/>
              <w:right w:val="single" w:sz="4" w:space="0" w:color="auto"/>
            </w:tcBorders>
            <w:noWrap/>
            <w:vAlign w:val="bottom"/>
            <w:hideMark/>
          </w:tcPr>
          <w:p w14:paraId="43D07E5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308CD65C"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260844B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640EA49"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37F5B55C"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05F91CA9"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Baza cestnih podatkov</w:t>
            </w:r>
          </w:p>
        </w:tc>
        <w:tc>
          <w:tcPr>
            <w:tcW w:w="641" w:type="pct"/>
            <w:tcBorders>
              <w:top w:val="nil"/>
              <w:left w:val="nil"/>
              <w:bottom w:val="single" w:sz="4" w:space="0" w:color="auto"/>
              <w:right w:val="single" w:sz="4" w:space="0" w:color="auto"/>
            </w:tcBorders>
            <w:noWrap/>
            <w:vAlign w:val="bottom"/>
            <w:hideMark/>
          </w:tcPr>
          <w:p w14:paraId="40CD23C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00" w:type="pct"/>
            <w:tcBorders>
              <w:top w:val="nil"/>
              <w:left w:val="single" w:sz="4" w:space="0" w:color="auto"/>
              <w:bottom w:val="single" w:sz="4" w:space="0" w:color="auto"/>
              <w:right w:val="single" w:sz="4" w:space="0" w:color="auto"/>
            </w:tcBorders>
            <w:noWrap/>
            <w:vAlign w:val="bottom"/>
            <w:hideMark/>
          </w:tcPr>
          <w:p w14:paraId="18E3A0A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6F97FCF0"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34CF793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166976A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555" w:type="pct"/>
            <w:tcBorders>
              <w:top w:val="nil"/>
              <w:left w:val="nil"/>
              <w:bottom w:val="single" w:sz="4" w:space="0" w:color="auto"/>
              <w:right w:val="single" w:sz="4" w:space="0" w:color="auto"/>
            </w:tcBorders>
            <w:noWrap/>
            <w:vAlign w:val="bottom"/>
            <w:hideMark/>
          </w:tcPr>
          <w:p w14:paraId="66FA292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25" w:type="pct"/>
            <w:tcBorders>
              <w:top w:val="nil"/>
              <w:left w:val="nil"/>
              <w:bottom w:val="single" w:sz="4" w:space="0" w:color="auto"/>
              <w:right w:val="single" w:sz="4" w:space="0" w:color="auto"/>
            </w:tcBorders>
            <w:noWrap/>
            <w:vAlign w:val="bottom"/>
            <w:hideMark/>
          </w:tcPr>
          <w:p w14:paraId="2608BADF"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44CDA49D" w14:textId="77777777" w:rsidTr="00B0343F">
        <w:trPr>
          <w:trHeight w:val="284"/>
        </w:trPr>
        <w:tc>
          <w:tcPr>
            <w:tcW w:w="1641" w:type="pct"/>
            <w:tcBorders>
              <w:top w:val="nil"/>
              <w:left w:val="single" w:sz="4" w:space="0" w:color="auto"/>
              <w:bottom w:val="single" w:sz="4" w:space="0" w:color="auto"/>
              <w:right w:val="single" w:sz="4" w:space="0" w:color="auto"/>
            </w:tcBorders>
            <w:shd w:val="clear" w:color="000000" w:fill="D9D9D9"/>
            <w:vAlign w:val="bottom"/>
            <w:hideMark/>
          </w:tcPr>
          <w:p w14:paraId="683B54AC"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Skupaj brez DDV</w:t>
            </w:r>
          </w:p>
        </w:tc>
        <w:tc>
          <w:tcPr>
            <w:tcW w:w="641" w:type="pct"/>
            <w:tcBorders>
              <w:top w:val="nil"/>
              <w:left w:val="nil"/>
              <w:bottom w:val="single" w:sz="4" w:space="0" w:color="auto"/>
              <w:right w:val="single" w:sz="4" w:space="0" w:color="auto"/>
            </w:tcBorders>
            <w:shd w:val="clear" w:color="000000" w:fill="D9D9D9"/>
            <w:noWrap/>
            <w:vAlign w:val="bottom"/>
            <w:hideMark/>
          </w:tcPr>
          <w:p w14:paraId="472C4AE9"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1.003.650,14</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0942B33A"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286.805,03</w:t>
            </w:r>
          </w:p>
        </w:tc>
        <w:tc>
          <w:tcPr>
            <w:tcW w:w="445" w:type="pct"/>
            <w:tcBorders>
              <w:top w:val="nil"/>
              <w:left w:val="nil"/>
              <w:bottom w:val="single" w:sz="4" w:space="0" w:color="auto"/>
              <w:right w:val="single" w:sz="4" w:space="0" w:color="auto"/>
            </w:tcBorders>
            <w:shd w:val="clear" w:color="000000" w:fill="D9D9D9"/>
            <w:noWrap/>
            <w:vAlign w:val="bottom"/>
            <w:hideMark/>
          </w:tcPr>
          <w:p w14:paraId="5EE25EBB"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2.032,66</w:t>
            </w:r>
          </w:p>
        </w:tc>
        <w:tc>
          <w:tcPr>
            <w:tcW w:w="396" w:type="pct"/>
            <w:tcBorders>
              <w:top w:val="nil"/>
              <w:left w:val="nil"/>
              <w:bottom w:val="single" w:sz="4" w:space="0" w:color="auto"/>
              <w:right w:val="single" w:sz="4" w:space="0" w:color="auto"/>
            </w:tcBorders>
            <w:shd w:val="clear" w:color="000000" w:fill="D9D9D9"/>
            <w:noWrap/>
            <w:vAlign w:val="bottom"/>
            <w:hideMark/>
          </w:tcPr>
          <w:p w14:paraId="2D5921A6"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97" w:type="pct"/>
            <w:tcBorders>
              <w:top w:val="nil"/>
              <w:left w:val="nil"/>
              <w:bottom w:val="single" w:sz="4" w:space="0" w:color="auto"/>
              <w:right w:val="single" w:sz="4" w:space="0" w:color="auto"/>
            </w:tcBorders>
            <w:shd w:val="clear" w:color="000000" w:fill="D9D9D9"/>
            <w:noWrap/>
            <w:vAlign w:val="bottom"/>
            <w:hideMark/>
          </w:tcPr>
          <w:p w14:paraId="4F6C9E7E"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555" w:type="pct"/>
            <w:tcBorders>
              <w:top w:val="nil"/>
              <w:left w:val="nil"/>
              <w:bottom w:val="single" w:sz="4" w:space="0" w:color="auto"/>
              <w:right w:val="single" w:sz="4" w:space="0" w:color="auto"/>
            </w:tcBorders>
            <w:shd w:val="clear" w:color="000000" w:fill="D9D9D9"/>
            <w:noWrap/>
            <w:vAlign w:val="bottom"/>
            <w:hideMark/>
          </w:tcPr>
          <w:p w14:paraId="150922AA"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568.683,94</w:t>
            </w:r>
          </w:p>
        </w:tc>
        <w:tc>
          <w:tcPr>
            <w:tcW w:w="425" w:type="pct"/>
            <w:tcBorders>
              <w:top w:val="nil"/>
              <w:left w:val="nil"/>
              <w:bottom w:val="single" w:sz="4" w:space="0" w:color="auto"/>
              <w:right w:val="single" w:sz="4" w:space="0" w:color="auto"/>
            </w:tcBorders>
            <w:shd w:val="clear" w:color="000000" w:fill="D9D9D9"/>
            <w:noWrap/>
            <w:vAlign w:val="bottom"/>
            <w:hideMark/>
          </w:tcPr>
          <w:p w14:paraId="1A8393E6"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146.128,50</w:t>
            </w:r>
          </w:p>
        </w:tc>
      </w:tr>
      <w:tr w:rsidR="00B0343F" w:rsidRPr="00F87307" w14:paraId="1B5882EF"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2030EE82"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Davek na dodano vrednost</w:t>
            </w:r>
          </w:p>
        </w:tc>
        <w:tc>
          <w:tcPr>
            <w:tcW w:w="641" w:type="pct"/>
            <w:tcBorders>
              <w:top w:val="nil"/>
              <w:left w:val="nil"/>
              <w:bottom w:val="single" w:sz="4" w:space="0" w:color="auto"/>
              <w:right w:val="single" w:sz="4" w:space="0" w:color="auto"/>
            </w:tcBorders>
            <w:noWrap/>
            <w:vAlign w:val="bottom"/>
            <w:hideMark/>
          </w:tcPr>
          <w:p w14:paraId="103AB20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185.640,18</w:t>
            </w:r>
          </w:p>
        </w:tc>
        <w:tc>
          <w:tcPr>
            <w:tcW w:w="400" w:type="pct"/>
            <w:tcBorders>
              <w:top w:val="nil"/>
              <w:left w:val="single" w:sz="4" w:space="0" w:color="auto"/>
              <w:bottom w:val="single" w:sz="4" w:space="0" w:color="auto"/>
              <w:right w:val="single" w:sz="4" w:space="0" w:color="auto"/>
            </w:tcBorders>
            <w:noWrap/>
            <w:vAlign w:val="bottom"/>
            <w:hideMark/>
          </w:tcPr>
          <w:p w14:paraId="36CD080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1.258,14</w:t>
            </w:r>
          </w:p>
        </w:tc>
        <w:tc>
          <w:tcPr>
            <w:tcW w:w="445" w:type="pct"/>
            <w:tcBorders>
              <w:top w:val="nil"/>
              <w:left w:val="nil"/>
              <w:bottom w:val="single" w:sz="4" w:space="0" w:color="auto"/>
              <w:right w:val="single" w:sz="4" w:space="0" w:color="auto"/>
            </w:tcBorders>
            <w:noWrap/>
            <w:vAlign w:val="bottom"/>
            <w:hideMark/>
          </w:tcPr>
          <w:p w14:paraId="72BA62B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447,19</w:t>
            </w:r>
          </w:p>
        </w:tc>
        <w:tc>
          <w:tcPr>
            <w:tcW w:w="396" w:type="pct"/>
            <w:tcBorders>
              <w:top w:val="nil"/>
              <w:left w:val="nil"/>
              <w:bottom w:val="single" w:sz="4" w:space="0" w:color="auto"/>
              <w:right w:val="single" w:sz="4" w:space="0" w:color="auto"/>
            </w:tcBorders>
            <w:noWrap/>
            <w:vAlign w:val="bottom"/>
            <w:hideMark/>
          </w:tcPr>
          <w:p w14:paraId="736AD735"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64CEF17B"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13.199,46</w:t>
            </w:r>
          </w:p>
        </w:tc>
        <w:tc>
          <w:tcPr>
            <w:tcW w:w="555" w:type="pct"/>
            <w:tcBorders>
              <w:top w:val="nil"/>
              <w:left w:val="nil"/>
              <w:bottom w:val="single" w:sz="4" w:space="0" w:color="auto"/>
              <w:right w:val="single" w:sz="4" w:space="0" w:color="auto"/>
            </w:tcBorders>
            <w:noWrap/>
            <w:vAlign w:val="bottom"/>
            <w:hideMark/>
          </w:tcPr>
          <w:p w14:paraId="7212E4CE"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138.587,13</w:t>
            </w:r>
          </w:p>
        </w:tc>
        <w:tc>
          <w:tcPr>
            <w:tcW w:w="425" w:type="pct"/>
            <w:tcBorders>
              <w:top w:val="nil"/>
              <w:left w:val="nil"/>
              <w:bottom w:val="single" w:sz="4" w:space="0" w:color="auto"/>
              <w:right w:val="single" w:sz="4" w:space="0" w:color="auto"/>
            </w:tcBorders>
            <w:noWrap/>
            <w:vAlign w:val="bottom"/>
            <w:hideMark/>
          </w:tcPr>
          <w:p w14:paraId="59E0ACF8"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32.148,26</w:t>
            </w:r>
          </w:p>
        </w:tc>
      </w:tr>
      <w:tr w:rsidR="00B0343F" w:rsidRPr="00F87307" w14:paraId="5EC047CC" w14:textId="77777777" w:rsidTr="00B0343F">
        <w:trPr>
          <w:trHeight w:val="284"/>
        </w:trPr>
        <w:tc>
          <w:tcPr>
            <w:tcW w:w="1641" w:type="pct"/>
            <w:tcBorders>
              <w:top w:val="nil"/>
              <w:left w:val="single" w:sz="4" w:space="0" w:color="auto"/>
              <w:bottom w:val="single" w:sz="4" w:space="0" w:color="auto"/>
              <w:right w:val="single" w:sz="4" w:space="0" w:color="auto"/>
            </w:tcBorders>
            <w:vAlign w:val="bottom"/>
            <w:hideMark/>
          </w:tcPr>
          <w:p w14:paraId="2DA3C053" w14:textId="77777777" w:rsidR="00F87307" w:rsidRPr="00F87307" w:rsidRDefault="00F87307">
            <w:pPr>
              <w:rPr>
                <w:rFonts w:ascii="Arial" w:hAnsi="Arial" w:cs="Arial"/>
                <w:color w:val="000000"/>
                <w:sz w:val="20"/>
                <w:szCs w:val="20"/>
              </w:rPr>
            </w:pPr>
            <w:r w:rsidRPr="00F87307">
              <w:rPr>
                <w:rFonts w:ascii="Arial" w:hAnsi="Arial" w:cs="Arial"/>
                <w:color w:val="000000"/>
                <w:sz w:val="20"/>
                <w:szCs w:val="20"/>
              </w:rPr>
              <w:t>Povračljiv davek na dodano vrednost</w:t>
            </w:r>
          </w:p>
        </w:tc>
        <w:tc>
          <w:tcPr>
            <w:tcW w:w="641" w:type="pct"/>
            <w:tcBorders>
              <w:top w:val="nil"/>
              <w:left w:val="nil"/>
              <w:bottom w:val="single" w:sz="4" w:space="0" w:color="auto"/>
              <w:right w:val="single" w:sz="4" w:space="0" w:color="auto"/>
            </w:tcBorders>
            <w:noWrap/>
            <w:vAlign w:val="bottom"/>
            <w:hideMark/>
          </w:tcPr>
          <w:p w14:paraId="7E15FE26"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26.676,13</w:t>
            </w:r>
          </w:p>
        </w:tc>
        <w:tc>
          <w:tcPr>
            <w:tcW w:w="400" w:type="pct"/>
            <w:tcBorders>
              <w:top w:val="nil"/>
              <w:left w:val="single" w:sz="4" w:space="0" w:color="auto"/>
              <w:bottom w:val="single" w:sz="4" w:space="0" w:color="auto"/>
              <w:right w:val="single" w:sz="4" w:space="0" w:color="auto"/>
            </w:tcBorders>
            <w:noWrap/>
            <w:vAlign w:val="bottom"/>
            <w:hideMark/>
          </w:tcPr>
          <w:p w14:paraId="2CC3FB61"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45" w:type="pct"/>
            <w:tcBorders>
              <w:top w:val="nil"/>
              <w:left w:val="nil"/>
              <w:bottom w:val="single" w:sz="4" w:space="0" w:color="auto"/>
              <w:right w:val="single" w:sz="4" w:space="0" w:color="auto"/>
            </w:tcBorders>
            <w:noWrap/>
            <w:vAlign w:val="bottom"/>
            <w:hideMark/>
          </w:tcPr>
          <w:p w14:paraId="758F9093"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396" w:type="pct"/>
            <w:tcBorders>
              <w:top w:val="nil"/>
              <w:left w:val="nil"/>
              <w:bottom w:val="single" w:sz="4" w:space="0" w:color="auto"/>
              <w:right w:val="single" w:sz="4" w:space="0" w:color="auto"/>
            </w:tcBorders>
            <w:noWrap/>
            <w:vAlign w:val="bottom"/>
            <w:hideMark/>
          </w:tcPr>
          <w:p w14:paraId="1FAA5D87"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c>
          <w:tcPr>
            <w:tcW w:w="497" w:type="pct"/>
            <w:tcBorders>
              <w:top w:val="nil"/>
              <w:left w:val="nil"/>
              <w:bottom w:val="single" w:sz="4" w:space="0" w:color="auto"/>
              <w:right w:val="single" w:sz="4" w:space="0" w:color="auto"/>
            </w:tcBorders>
            <w:noWrap/>
            <w:vAlign w:val="bottom"/>
            <w:hideMark/>
          </w:tcPr>
          <w:p w14:paraId="65D2BCE9" w14:textId="73989088"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13.199,4</w:t>
            </w:r>
            <w:r w:rsidR="00B0343F">
              <w:rPr>
                <w:rFonts w:ascii="Arial" w:hAnsi="Arial" w:cs="Arial"/>
                <w:color w:val="000000"/>
                <w:sz w:val="20"/>
                <w:szCs w:val="20"/>
              </w:rPr>
              <w:t>6</w:t>
            </w:r>
          </w:p>
        </w:tc>
        <w:tc>
          <w:tcPr>
            <w:tcW w:w="555" w:type="pct"/>
            <w:tcBorders>
              <w:top w:val="nil"/>
              <w:left w:val="nil"/>
              <w:bottom w:val="single" w:sz="4" w:space="0" w:color="auto"/>
              <w:right w:val="single" w:sz="4" w:space="0" w:color="auto"/>
            </w:tcBorders>
            <w:noWrap/>
            <w:vAlign w:val="bottom"/>
            <w:hideMark/>
          </w:tcPr>
          <w:p w14:paraId="60A631A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13.476,66</w:t>
            </w:r>
          </w:p>
        </w:tc>
        <w:tc>
          <w:tcPr>
            <w:tcW w:w="425" w:type="pct"/>
            <w:tcBorders>
              <w:top w:val="nil"/>
              <w:left w:val="nil"/>
              <w:bottom w:val="single" w:sz="4" w:space="0" w:color="auto"/>
              <w:right w:val="single" w:sz="4" w:space="0" w:color="auto"/>
            </w:tcBorders>
            <w:noWrap/>
            <w:vAlign w:val="bottom"/>
            <w:hideMark/>
          </w:tcPr>
          <w:p w14:paraId="62CC9D6D" w14:textId="77777777" w:rsidR="00F87307" w:rsidRPr="00F87307" w:rsidRDefault="00F87307">
            <w:pPr>
              <w:jc w:val="right"/>
              <w:rPr>
                <w:rFonts w:ascii="Arial" w:hAnsi="Arial" w:cs="Arial"/>
                <w:color w:val="000000"/>
                <w:sz w:val="20"/>
                <w:szCs w:val="20"/>
              </w:rPr>
            </w:pPr>
            <w:r w:rsidRPr="00F87307">
              <w:rPr>
                <w:rFonts w:ascii="Arial" w:hAnsi="Arial" w:cs="Arial"/>
                <w:color w:val="000000"/>
                <w:sz w:val="20"/>
                <w:szCs w:val="20"/>
              </w:rPr>
              <w:t>0,00</w:t>
            </w:r>
          </w:p>
        </w:tc>
      </w:tr>
      <w:tr w:rsidR="00B0343F" w:rsidRPr="00F87307" w14:paraId="7B4F20D2" w14:textId="77777777" w:rsidTr="00B0343F">
        <w:trPr>
          <w:trHeight w:val="284"/>
        </w:trPr>
        <w:tc>
          <w:tcPr>
            <w:tcW w:w="1641" w:type="pct"/>
            <w:tcBorders>
              <w:top w:val="nil"/>
              <w:left w:val="single" w:sz="4" w:space="0" w:color="auto"/>
              <w:bottom w:val="single" w:sz="4" w:space="0" w:color="auto"/>
              <w:right w:val="single" w:sz="4" w:space="0" w:color="auto"/>
            </w:tcBorders>
            <w:shd w:val="clear" w:color="000000" w:fill="D9D9D9"/>
            <w:vAlign w:val="bottom"/>
            <w:hideMark/>
          </w:tcPr>
          <w:p w14:paraId="118F37DA"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Skupaj z davkom na dodano vrednost</w:t>
            </w:r>
          </w:p>
        </w:tc>
        <w:tc>
          <w:tcPr>
            <w:tcW w:w="641" w:type="pct"/>
            <w:tcBorders>
              <w:top w:val="nil"/>
              <w:left w:val="nil"/>
              <w:bottom w:val="single" w:sz="4" w:space="0" w:color="auto"/>
              <w:right w:val="single" w:sz="4" w:space="0" w:color="auto"/>
            </w:tcBorders>
            <w:shd w:val="clear" w:color="000000" w:fill="D9D9D9"/>
            <w:noWrap/>
            <w:vAlign w:val="bottom"/>
            <w:hideMark/>
          </w:tcPr>
          <w:p w14:paraId="3E5E5866"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1.189.290,32</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44720F5B"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288.063,17</w:t>
            </w:r>
          </w:p>
        </w:tc>
        <w:tc>
          <w:tcPr>
            <w:tcW w:w="445" w:type="pct"/>
            <w:tcBorders>
              <w:top w:val="nil"/>
              <w:left w:val="nil"/>
              <w:bottom w:val="single" w:sz="4" w:space="0" w:color="auto"/>
              <w:right w:val="single" w:sz="4" w:space="0" w:color="auto"/>
            </w:tcBorders>
            <w:shd w:val="clear" w:color="000000" w:fill="D9D9D9"/>
            <w:noWrap/>
            <w:vAlign w:val="bottom"/>
            <w:hideMark/>
          </w:tcPr>
          <w:p w14:paraId="66C3E8C7"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2.479,85</w:t>
            </w:r>
          </w:p>
        </w:tc>
        <w:tc>
          <w:tcPr>
            <w:tcW w:w="396" w:type="pct"/>
            <w:tcBorders>
              <w:top w:val="nil"/>
              <w:left w:val="nil"/>
              <w:bottom w:val="single" w:sz="4" w:space="0" w:color="auto"/>
              <w:right w:val="single" w:sz="4" w:space="0" w:color="auto"/>
            </w:tcBorders>
            <w:shd w:val="clear" w:color="000000" w:fill="D9D9D9"/>
            <w:noWrap/>
            <w:vAlign w:val="bottom"/>
            <w:hideMark/>
          </w:tcPr>
          <w:p w14:paraId="04C60884"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97" w:type="pct"/>
            <w:tcBorders>
              <w:top w:val="nil"/>
              <w:left w:val="nil"/>
              <w:bottom w:val="single" w:sz="4" w:space="0" w:color="auto"/>
              <w:right w:val="single" w:sz="4" w:space="0" w:color="auto"/>
            </w:tcBorders>
            <w:shd w:val="clear" w:color="000000" w:fill="D9D9D9"/>
            <w:noWrap/>
            <w:vAlign w:val="bottom"/>
            <w:hideMark/>
          </w:tcPr>
          <w:p w14:paraId="3C416AD9"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13.199,46</w:t>
            </w:r>
          </w:p>
        </w:tc>
        <w:tc>
          <w:tcPr>
            <w:tcW w:w="555" w:type="pct"/>
            <w:tcBorders>
              <w:top w:val="nil"/>
              <w:left w:val="nil"/>
              <w:bottom w:val="single" w:sz="4" w:space="0" w:color="auto"/>
              <w:right w:val="single" w:sz="4" w:space="0" w:color="auto"/>
            </w:tcBorders>
            <w:shd w:val="clear" w:color="000000" w:fill="D9D9D9"/>
            <w:noWrap/>
            <w:vAlign w:val="bottom"/>
            <w:hideMark/>
          </w:tcPr>
          <w:p w14:paraId="34ACD7D5"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707.271,08</w:t>
            </w:r>
          </w:p>
        </w:tc>
        <w:tc>
          <w:tcPr>
            <w:tcW w:w="425" w:type="pct"/>
            <w:tcBorders>
              <w:top w:val="nil"/>
              <w:left w:val="nil"/>
              <w:bottom w:val="single" w:sz="4" w:space="0" w:color="auto"/>
              <w:right w:val="single" w:sz="4" w:space="0" w:color="auto"/>
            </w:tcBorders>
            <w:shd w:val="clear" w:color="000000" w:fill="D9D9D9"/>
            <w:noWrap/>
            <w:vAlign w:val="bottom"/>
            <w:hideMark/>
          </w:tcPr>
          <w:p w14:paraId="65E0C76A"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178.276,76</w:t>
            </w:r>
          </w:p>
        </w:tc>
      </w:tr>
      <w:tr w:rsidR="00B0343F" w:rsidRPr="00F87307" w14:paraId="2AAFAE9F" w14:textId="77777777" w:rsidTr="00B0343F">
        <w:trPr>
          <w:trHeight w:val="284"/>
        </w:trPr>
        <w:tc>
          <w:tcPr>
            <w:tcW w:w="1641" w:type="pct"/>
            <w:tcBorders>
              <w:top w:val="nil"/>
              <w:left w:val="single" w:sz="4" w:space="0" w:color="auto"/>
              <w:bottom w:val="single" w:sz="4" w:space="0" w:color="auto"/>
              <w:right w:val="single" w:sz="4" w:space="0" w:color="auto"/>
            </w:tcBorders>
            <w:shd w:val="clear" w:color="000000" w:fill="D9D9D9"/>
            <w:vAlign w:val="bottom"/>
            <w:hideMark/>
          </w:tcPr>
          <w:p w14:paraId="25AB0709" w14:textId="77777777" w:rsidR="00F87307" w:rsidRPr="00F87307" w:rsidRDefault="00F87307">
            <w:pPr>
              <w:rPr>
                <w:rFonts w:ascii="Arial" w:hAnsi="Arial" w:cs="Arial"/>
                <w:b/>
                <w:bCs/>
                <w:color w:val="000000"/>
                <w:sz w:val="20"/>
                <w:szCs w:val="20"/>
              </w:rPr>
            </w:pPr>
            <w:r w:rsidRPr="00F87307">
              <w:rPr>
                <w:rFonts w:ascii="Arial" w:hAnsi="Arial" w:cs="Arial"/>
                <w:b/>
                <w:bCs/>
                <w:color w:val="000000"/>
                <w:sz w:val="20"/>
                <w:szCs w:val="20"/>
              </w:rPr>
              <w:t xml:space="preserve">Skupaj z </w:t>
            </w:r>
            <w:proofErr w:type="spellStart"/>
            <w:r w:rsidRPr="00F87307">
              <w:rPr>
                <w:rFonts w:ascii="Arial" w:hAnsi="Arial" w:cs="Arial"/>
                <w:b/>
                <w:bCs/>
                <w:color w:val="000000"/>
                <w:sz w:val="20"/>
                <w:szCs w:val="20"/>
              </w:rPr>
              <w:t>nepovračljivim</w:t>
            </w:r>
            <w:proofErr w:type="spellEnd"/>
            <w:r w:rsidRPr="00F87307">
              <w:rPr>
                <w:rFonts w:ascii="Arial" w:hAnsi="Arial" w:cs="Arial"/>
                <w:b/>
                <w:bCs/>
                <w:color w:val="000000"/>
                <w:sz w:val="20"/>
                <w:szCs w:val="20"/>
              </w:rPr>
              <w:t xml:space="preserve"> davkom na dodano vrednost</w:t>
            </w:r>
          </w:p>
        </w:tc>
        <w:tc>
          <w:tcPr>
            <w:tcW w:w="641" w:type="pct"/>
            <w:tcBorders>
              <w:top w:val="nil"/>
              <w:left w:val="nil"/>
              <w:bottom w:val="single" w:sz="4" w:space="0" w:color="auto"/>
              <w:right w:val="single" w:sz="4" w:space="0" w:color="auto"/>
            </w:tcBorders>
            <w:shd w:val="clear" w:color="000000" w:fill="D9D9D9"/>
            <w:noWrap/>
            <w:vAlign w:val="bottom"/>
            <w:hideMark/>
          </w:tcPr>
          <w:p w14:paraId="2D39A9BB"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1.162.614,19</w:t>
            </w:r>
          </w:p>
        </w:tc>
        <w:tc>
          <w:tcPr>
            <w:tcW w:w="400" w:type="pct"/>
            <w:tcBorders>
              <w:top w:val="nil"/>
              <w:left w:val="single" w:sz="4" w:space="0" w:color="auto"/>
              <w:bottom w:val="single" w:sz="4" w:space="0" w:color="auto"/>
              <w:right w:val="single" w:sz="4" w:space="0" w:color="auto"/>
            </w:tcBorders>
            <w:shd w:val="clear" w:color="000000" w:fill="D9D9D9"/>
            <w:noWrap/>
            <w:vAlign w:val="bottom"/>
            <w:hideMark/>
          </w:tcPr>
          <w:p w14:paraId="18312D06"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288.063,17</w:t>
            </w:r>
          </w:p>
        </w:tc>
        <w:tc>
          <w:tcPr>
            <w:tcW w:w="445" w:type="pct"/>
            <w:tcBorders>
              <w:top w:val="nil"/>
              <w:left w:val="nil"/>
              <w:bottom w:val="single" w:sz="4" w:space="0" w:color="auto"/>
              <w:right w:val="single" w:sz="4" w:space="0" w:color="auto"/>
            </w:tcBorders>
            <w:shd w:val="clear" w:color="000000" w:fill="D9D9D9"/>
            <w:noWrap/>
            <w:vAlign w:val="bottom"/>
            <w:hideMark/>
          </w:tcPr>
          <w:p w14:paraId="3198FA99"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2.479,85</w:t>
            </w:r>
          </w:p>
        </w:tc>
        <w:tc>
          <w:tcPr>
            <w:tcW w:w="396" w:type="pct"/>
            <w:tcBorders>
              <w:top w:val="nil"/>
              <w:left w:val="nil"/>
              <w:bottom w:val="single" w:sz="4" w:space="0" w:color="auto"/>
              <w:right w:val="single" w:sz="4" w:space="0" w:color="auto"/>
            </w:tcBorders>
            <w:shd w:val="clear" w:color="000000" w:fill="D9D9D9"/>
            <w:noWrap/>
            <w:vAlign w:val="bottom"/>
            <w:hideMark/>
          </w:tcPr>
          <w:p w14:paraId="54D29AFE"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0,00</w:t>
            </w:r>
          </w:p>
        </w:tc>
        <w:tc>
          <w:tcPr>
            <w:tcW w:w="497" w:type="pct"/>
            <w:tcBorders>
              <w:top w:val="nil"/>
              <w:left w:val="nil"/>
              <w:bottom w:val="single" w:sz="4" w:space="0" w:color="auto"/>
              <w:right w:val="single" w:sz="4" w:space="0" w:color="auto"/>
            </w:tcBorders>
            <w:shd w:val="clear" w:color="000000" w:fill="D9D9D9"/>
            <w:noWrap/>
            <w:vAlign w:val="bottom"/>
            <w:hideMark/>
          </w:tcPr>
          <w:p w14:paraId="2E90F331" w14:textId="3EEDB342"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0,0</w:t>
            </w:r>
            <w:r w:rsidR="00B0343F">
              <w:rPr>
                <w:rFonts w:ascii="Arial" w:hAnsi="Arial" w:cs="Arial"/>
                <w:b/>
                <w:bCs/>
                <w:color w:val="000000"/>
                <w:sz w:val="20"/>
                <w:szCs w:val="20"/>
              </w:rPr>
              <w:t>0</w:t>
            </w:r>
          </w:p>
        </w:tc>
        <w:tc>
          <w:tcPr>
            <w:tcW w:w="555" w:type="pct"/>
            <w:tcBorders>
              <w:top w:val="nil"/>
              <w:left w:val="nil"/>
              <w:bottom w:val="single" w:sz="4" w:space="0" w:color="auto"/>
              <w:right w:val="single" w:sz="4" w:space="0" w:color="auto"/>
            </w:tcBorders>
            <w:shd w:val="clear" w:color="000000" w:fill="D9D9D9"/>
            <w:noWrap/>
            <w:vAlign w:val="bottom"/>
            <w:hideMark/>
          </w:tcPr>
          <w:p w14:paraId="09CE6E61"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693.794,42</w:t>
            </w:r>
          </w:p>
        </w:tc>
        <w:tc>
          <w:tcPr>
            <w:tcW w:w="425" w:type="pct"/>
            <w:tcBorders>
              <w:top w:val="nil"/>
              <w:left w:val="nil"/>
              <w:bottom w:val="single" w:sz="4" w:space="0" w:color="auto"/>
              <w:right w:val="single" w:sz="4" w:space="0" w:color="auto"/>
            </w:tcBorders>
            <w:shd w:val="clear" w:color="000000" w:fill="D9D9D9"/>
            <w:noWrap/>
            <w:vAlign w:val="bottom"/>
            <w:hideMark/>
          </w:tcPr>
          <w:p w14:paraId="4F6D2EF8" w14:textId="77777777" w:rsidR="00F87307" w:rsidRPr="00F87307" w:rsidRDefault="00F87307">
            <w:pPr>
              <w:jc w:val="right"/>
              <w:rPr>
                <w:rFonts w:ascii="Arial" w:hAnsi="Arial" w:cs="Arial"/>
                <w:b/>
                <w:bCs/>
                <w:color w:val="000000"/>
                <w:sz w:val="20"/>
                <w:szCs w:val="20"/>
              </w:rPr>
            </w:pPr>
            <w:r w:rsidRPr="00F87307">
              <w:rPr>
                <w:rFonts w:ascii="Arial" w:hAnsi="Arial" w:cs="Arial"/>
                <w:b/>
                <w:bCs/>
                <w:color w:val="000000"/>
                <w:sz w:val="20"/>
                <w:szCs w:val="20"/>
              </w:rPr>
              <w:t>178.276,76</w:t>
            </w:r>
          </w:p>
        </w:tc>
      </w:tr>
    </w:tbl>
    <w:p w14:paraId="33D57DE4" w14:textId="77777777" w:rsidR="00F87307" w:rsidRDefault="00F87307" w:rsidP="00CD0D39">
      <w:pPr>
        <w:spacing w:after="120" w:line="276" w:lineRule="auto"/>
        <w:jc w:val="both"/>
        <w:rPr>
          <w:rFonts w:asciiTheme="majorHAnsi" w:hAnsiTheme="majorHAnsi" w:cstheme="majorHAnsi"/>
          <w:sz w:val="22"/>
          <w:szCs w:val="22"/>
        </w:rPr>
      </w:pPr>
    </w:p>
    <w:p w14:paraId="08453019" w14:textId="77777777" w:rsidR="00F87307" w:rsidRDefault="00F87307" w:rsidP="00CD0D39">
      <w:pPr>
        <w:spacing w:after="120" w:line="276" w:lineRule="auto"/>
        <w:jc w:val="both"/>
        <w:rPr>
          <w:rFonts w:asciiTheme="majorHAnsi" w:hAnsiTheme="majorHAnsi" w:cstheme="majorHAnsi"/>
          <w:sz w:val="22"/>
          <w:szCs w:val="22"/>
        </w:rPr>
      </w:pPr>
    </w:p>
    <w:p w14:paraId="460C1FA0" w14:textId="77777777" w:rsidR="00F87307" w:rsidRPr="00F11127" w:rsidRDefault="00F87307" w:rsidP="00CD0D39">
      <w:pPr>
        <w:spacing w:after="120" w:line="276" w:lineRule="auto"/>
        <w:jc w:val="both"/>
        <w:rPr>
          <w:rFonts w:asciiTheme="majorHAnsi" w:hAnsiTheme="majorHAnsi" w:cstheme="majorHAnsi"/>
          <w:sz w:val="22"/>
          <w:szCs w:val="22"/>
        </w:rPr>
      </w:pPr>
    </w:p>
    <w:p w14:paraId="32572901" w14:textId="3B7740CC" w:rsidR="00550CF1" w:rsidRDefault="00550CF1" w:rsidP="00BD1D20">
      <w:pPr>
        <w:spacing w:line="276" w:lineRule="auto"/>
        <w:rPr>
          <w:rFonts w:asciiTheme="majorHAnsi" w:hAnsiTheme="majorHAnsi" w:cstheme="majorHAnsi"/>
          <w:sz w:val="20"/>
          <w:szCs w:val="20"/>
        </w:rPr>
      </w:pPr>
    </w:p>
    <w:p w14:paraId="7A4BC485" w14:textId="71E6FFA9" w:rsidR="00CF701C" w:rsidRDefault="00CF701C" w:rsidP="00CF701C">
      <w:pPr>
        <w:spacing w:after="120" w:line="276" w:lineRule="auto"/>
        <w:jc w:val="both"/>
        <w:rPr>
          <w:rFonts w:asciiTheme="majorHAnsi" w:hAnsiTheme="majorHAnsi" w:cstheme="majorHAnsi"/>
          <w:sz w:val="22"/>
          <w:szCs w:val="22"/>
        </w:rPr>
      </w:pPr>
      <w:bookmarkStart w:id="316" w:name="_Toc209528311"/>
      <w:r w:rsidRPr="00F11127">
        <w:rPr>
          <w:rFonts w:asciiTheme="majorHAnsi" w:hAnsiTheme="majorHAnsi" w:cstheme="majorHAnsi"/>
          <w:b/>
          <w:sz w:val="22"/>
          <w:szCs w:val="22"/>
        </w:rPr>
        <w:lastRenderedPageBreak/>
        <w:t xml:space="preserve">Tabela </w:t>
      </w:r>
      <w:r w:rsidRPr="00F11127">
        <w:rPr>
          <w:rFonts w:asciiTheme="majorHAnsi" w:hAnsiTheme="majorHAnsi" w:cstheme="majorHAnsi"/>
          <w:b/>
          <w:sz w:val="22"/>
          <w:szCs w:val="22"/>
        </w:rPr>
        <w:fldChar w:fldCharType="begin"/>
      </w:r>
      <w:r w:rsidRPr="00F11127">
        <w:rPr>
          <w:rFonts w:asciiTheme="majorHAnsi" w:hAnsiTheme="majorHAnsi" w:cstheme="majorHAnsi"/>
          <w:b/>
          <w:sz w:val="22"/>
          <w:szCs w:val="22"/>
        </w:rPr>
        <w:instrText xml:space="preserve"> SEQ Tabela \* ARABIC </w:instrText>
      </w:r>
      <w:r w:rsidRPr="00F11127">
        <w:rPr>
          <w:rFonts w:asciiTheme="majorHAnsi" w:hAnsiTheme="majorHAnsi" w:cstheme="majorHAnsi"/>
          <w:b/>
          <w:sz w:val="22"/>
          <w:szCs w:val="22"/>
        </w:rPr>
        <w:fldChar w:fldCharType="separate"/>
      </w:r>
      <w:r w:rsidR="00E74D26">
        <w:rPr>
          <w:rFonts w:asciiTheme="majorHAnsi" w:hAnsiTheme="majorHAnsi" w:cstheme="majorHAnsi"/>
          <w:b/>
          <w:noProof/>
          <w:sz w:val="22"/>
          <w:szCs w:val="22"/>
        </w:rPr>
        <w:t>25</w:t>
      </w:r>
      <w:r w:rsidRPr="00F11127">
        <w:rPr>
          <w:rFonts w:asciiTheme="majorHAnsi" w:hAnsiTheme="majorHAnsi" w:cstheme="majorHAnsi"/>
          <w:b/>
          <w:sz w:val="22"/>
          <w:szCs w:val="22"/>
        </w:rPr>
        <w:fldChar w:fldCharType="end"/>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Viri financiranja v </w:t>
      </w:r>
      <w:r>
        <w:rPr>
          <w:rFonts w:asciiTheme="majorHAnsi" w:hAnsiTheme="majorHAnsi" w:cstheme="majorHAnsi"/>
          <w:sz w:val="22"/>
          <w:szCs w:val="22"/>
        </w:rPr>
        <w:t>tekočih</w:t>
      </w:r>
      <w:r w:rsidRPr="00F11127">
        <w:rPr>
          <w:rFonts w:asciiTheme="majorHAnsi" w:hAnsiTheme="majorHAnsi" w:cstheme="majorHAnsi"/>
          <w:sz w:val="22"/>
          <w:szCs w:val="22"/>
        </w:rPr>
        <w:t xml:space="preserve"> cenah v EUR</w:t>
      </w:r>
      <w:bookmarkEnd w:id="316"/>
      <w:r w:rsidRPr="00F11127">
        <w:rPr>
          <w:rFonts w:asciiTheme="majorHAnsi" w:hAnsiTheme="majorHAnsi" w:cstheme="majorHAnsi"/>
          <w:sz w:val="22"/>
          <w:szCs w:val="22"/>
        </w:rPr>
        <w:t xml:space="preserve"> </w:t>
      </w:r>
    </w:p>
    <w:tbl>
      <w:tblPr>
        <w:tblW w:w="5000" w:type="pct"/>
        <w:tblCellMar>
          <w:left w:w="70" w:type="dxa"/>
          <w:right w:w="70" w:type="dxa"/>
        </w:tblCellMar>
        <w:tblLook w:val="04A0" w:firstRow="1" w:lastRow="0" w:firstColumn="1" w:lastColumn="0" w:noHBand="0" w:noVBand="1"/>
      </w:tblPr>
      <w:tblGrid>
        <w:gridCol w:w="2976"/>
        <w:gridCol w:w="1433"/>
        <w:gridCol w:w="1293"/>
        <w:gridCol w:w="1416"/>
        <w:gridCol w:w="1593"/>
        <w:gridCol w:w="1365"/>
        <w:gridCol w:w="1331"/>
        <w:gridCol w:w="1505"/>
        <w:gridCol w:w="1365"/>
      </w:tblGrid>
      <w:tr w:rsidR="00B0343F" w:rsidRPr="002E10AB" w14:paraId="7E8EC6F4" w14:textId="77777777" w:rsidTr="00472C0E">
        <w:trPr>
          <w:trHeight w:val="300"/>
        </w:trPr>
        <w:tc>
          <w:tcPr>
            <w:tcW w:w="1042" w:type="pct"/>
            <w:tcBorders>
              <w:top w:val="single" w:sz="4" w:space="0" w:color="auto"/>
              <w:left w:val="single" w:sz="4" w:space="0" w:color="auto"/>
              <w:bottom w:val="single" w:sz="4" w:space="0" w:color="auto"/>
              <w:right w:val="single" w:sz="4" w:space="0" w:color="auto"/>
            </w:tcBorders>
            <w:shd w:val="clear" w:color="000000" w:fill="0B3040"/>
            <w:vAlign w:val="bottom"/>
            <w:hideMark/>
          </w:tcPr>
          <w:p w14:paraId="3AEF6E36" w14:textId="77777777" w:rsidR="00B0343F" w:rsidRPr="002E10AB" w:rsidRDefault="00B0343F" w:rsidP="00472C0E">
            <w:pPr>
              <w:rPr>
                <w:rFonts w:ascii="Arial" w:hAnsi="Arial" w:cs="Arial"/>
                <w:b/>
                <w:bCs/>
                <w:color w:val="FFFFFF"/>
                <w:sz w:val="20"/>
                <w:szCs w:val="20"/>
              </w:rPr>
            </w:pPr>
            <w:r w:rsidRPr="002E10AB">
              <w:rPr>
                <w:rFonts w:ascii="Arial" w:hAnsi="Arial" w:cs="Arial"/>
                <w:b/>
                <w:bCs/>
                <w:color w:val="FFFFFF"/>
                <w:sz w:val="20"/>
                <w:szCs w:val="20"/>
              </w:rPr>
              <w:t>VIRI FINANCIRANJA</w:t>
            </w:r>
          </w:p>
        </w:tc>
        <w:tc>
          <w:tcPr>
            <w:tcW w:w="502" w:type="pct"/>
            <w:tcBorders>
              <w:top w:val="single" w:sz="4" w:space="0" w:color="auto"/>
              <w:left w:val="nil"/>
              <w:bottom w:val="single" w:sz="4" w:space="0" w:color="auto"/>
              <w:right w:val="single" w:sz="4" w:space="0" w:color="auto"/>
            </w:tcBorders>
            <w:shd w:val="clear" w:color="000000" w:fill="0B3040"/>
            <w:noWrap/>
            <w:vAlign w:val="bottom"/>
            <w:hideMark/>
          </w:tcPr>
          <w:p w14:paraId="0E63F28D" w14:textId="77777777" w:rsidR="00B0343F" w:rsidRPr="002E10AB" w:rsidRDefault="00B0343F" w:rsidP="00472C0E">
            <w:pPr>
              <w:rPr>
                <w:rFonts w:ascii="Arial" w:hAnsi="Arial" w:cs="Arial"/>
                <w:b/>
                <w:bCs/>
                <w:color w:val="FFFFFF"/>
                <w:sz w:val="20"/>
                <w:szCs w:val="20"/>
              </w:rPr>
            </w:pPr>
            <w:r w:rsidRPr="002E10AB">
              <w:rPr>
                <w:rFonts w:ascii="Arial" w:hAnsi="Arial" w:cs="Arial"/>
                <w:b/>
                <w:bCs/>
                <w:color w:val="FFFFFF"/>
                <w:sz w:val="20"/>
                <w:szCs w:val="20"/>
              </w:rPr>
              <w:t>SKUPAJ</w:t>
            </w:r>
          </w:p>
        </w:tc>
        <w:tc>
          <w:tcPr>
            <w:tcW w:w="453" w:type="pct"/>
            <w:tcBorders>
              <w:top w:val="single" w:sz="4" w:space="0" w:color="auto"/>
              <w:left w:val="nil"/>
              <w:bottom w:val="single" w:sz="4" w:space="0" w:color="auto"/>
              <w:right w:val="single" w:sz="4" w:space="0" w:color="auto"/>
            </w:tcBorders>
            <w:shd w:val="clear" w:color="000000" w:fill="0B3040"/>
            <w:noWrap/>
            <w:vAlign w:val="bottom"/>
            <w:hideMark/>
          </w:tcPr>
          <w:p w14:paraId="2B5CB209" w14:textId="77777777" w:rsidR="00B0343F" w:rsidRPr="002E10AB" w:rsidRDefault="00B0343F" w:rsidP="00472C0E">
            <w:pPr>
              <w:rPr>
                <w:rFonts w:ascii="Arial" w:hAnsi="Arial" w:cs="Arial"/>
                <w:b/>
                <w:bCs/>
                <w:color w:val="FFFFFF"/>
                <w:sz w:val="20"/>
                <w:szCs w:val="20"/>
              </w:rPr>
            </w:pPr>
            <w:r w:rsidRPr="002E10AB">
              <w:rPr>
                <w:rFonts w:ascii="Arial" w:hAnsi="Arial" w:cs="Arial"/>
                <w:b/>
                <w:bCs/>
                <w:color w:val="FFFFFF"/>
                <w:sz w:val="20"/>
                <w:szCs w:val="20"/>
              </w:rPr>
              <w:t>DELEŽ</w:t>
            </w:r>
          </w:p>
        </w:tc>
        <w:tc>
          <w:tcPr>
            <w:tcW w:w="496" w:type="pct"/>
            <w:tcBorders>
              <w:top w:val="single" w:sz="4" w:space="0" w:color="auto"/>
              <w:left w:val="nil"/>
              <w:bottom w:val="single" w:sz="4" w:space="0" w:color="auto"/>
              <w:right w:val="single" w:sz="4" w:space="0" w:color="auto"/>
            </w:tcBorders>
            <w:shd w:val="clear" w:color="000000" w:fill="0B3040"/>
            <w:noWrap/>
            <w:vAlign w:val="bottom"/>
            <w:hideMark/>
          </w:tcPr>
          <w:p w14:paraId="1E26E08F"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2024</w:t>
            </w:r>
          </w:p>
        </w:tc>
        <w:tc>
          <w:tcPr>
            <w:tcW w:w="558" w:type="pct"/>
            <w:tcBorders>
              <w:top w:val="single" w:sz="4" w:space="0" w:color="auto"/>
              <w:left w:val="nil"/>
              <w:bottom w:val="single" w:sz="4" w:space="0" w:color="auto"/>
              <w:right w:val="single" w:sz="4" w:space="0" w:color="auto"/>
            </w:tcBorders>
            <w:shd w:val="clear" w:color="000000" w:fill="0B3040"/>
            <w:noWrap/>
            <w:vAlign w:val="bottom"/>
            <w:hideMark/>
          </w:tcPr>
          <w:p w14:paraId="548186E5"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2025</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0820DAD5"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2026</w:t>
            </w:r>
          </w:p>
        </w:tc>
        <w:tc>
          <w:tcPr>
            <w:tcW w:w="466" w:type="pct"/>
            <w:tcBorders>
              <w:top w:val="single" w:sz="4" w:space="0" w:color="auto"/>
              <w:left w:val="nil"/>
              <w:bottom w:val="single" w:sz="4" w:space="0" w:color="auto"/>
              <w:right w:val="single" w:sz="4" w:space="0" w:color="auto"/>
            </w:tcBorders>
            <w:shd w:val="clear" w:color="000000" w:fill="0B3040"/>
            <w:noWrap/>
            <w:vAlign w:val="bottom"/>
            <w:hideMark/>
          </w:tcPr>
          <w:p w14:paraId="6F77D679"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2027</w:t>
            </w:r>
          </w:p>
        </w:tc>
        <w:tc>
          <w:tcPr>
            <w:tcW w:w="527" w:type="pct"/>
            <w:tcBorders>
              <w:top w:val="single" w:sz="4" w:space="0" w:color="auto"/>
              <w:left w:val="nil"/>
              <w:bottom w:val="single" w:sz="4" w:space="0" w:color="auto"/>
              <w:right w:val="single" w:sz="4" w:space="0" w:color="auto"/>
            </w:tcBorders>
            <w:shd w:val="clear" w:color="000000" w:fill="0B3040"/>
            <w:noWrap/>
            <w:vAlign w:val="bottom"/>
            <w:hideMark/>
          </w:tcPr>
          <w:p w14:paraId="636BC987"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2028</w:t>
            </w:r>
          </w:p>
        </w:tc>
        <w:tc>
          <w:tcPr>
            <w:tcW w:w="478" w:type="pct"/>
            <w:tcBorders>
              <w:top w:val="single" w:sz="4" w:space="0" w:color="auto"/>
              <w:left w:val="nil"/>
              <w:bottom w:val="single" w:sz="4" w:space="0" w:color="auto"/>
              <w:right w:val="single" w:sz="4" w:space="0" w:color="auto"/>
            </w:tcBorders>
            <w:shd w:val="clear" w:color="000000" w:fill="0B3040"/>
            <w:noWrap/>
            <w:vAlign w:val="bottom"/>
            <w:hideMark/>
          </w:tcPr>
          <w:p w14:paraId="391F3DB3" w14:textId="77777777" w:rsidR="00B0343F" w:rsidRPr="002E10AB" w:rsidRDefault="00B0343F" w:rsidP="00472C0E">
            <w:pPr>
              <w:jc w:val="right"/>
              <w:rPr>
                <w:rFonts w:ascii="Arial" w:hAnsi="Arial" w:cs="Arial"/>
                <w:b/>
                <w:bCs/>
                <w:color w:val="FFFFFF"/>
                <w:sz w:val="20"/>
                <w:szCs w:val="20"/>
              </w:rPr>
            </w:pPr>
            <w:r w:rsidRPr="002E10AB">
              <w:rPr>
                <w:rFonts w:ascii="Arial" w:hAnsi="Arial" w:cs="Arial"/>
                <w:b/>
                <w:bCs/>
                <w:color w:val="FFFFFF"/>
                <w:sz w:val="20"/>
                <w:szCs w:val="20"/>
              </w:rPr>
              <w:t>2029</w:t>
            </w:r>
          </w:p>
        </w:tc>
      </w:tr>
      <w:tr w:rsidR="00B0343F" w:rsidRPr="002E10AB" w14:paraId="040A4641"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4673710E" w14:textId="77777777" w:rsidR="00B0343F" w:rsidRPr="002E10AB" w:rsidRDefault="00B0343F" w:rsidP="00472C0E">
            <w:pPr>
              <w:rPr>
                <w:rFonts w:ascii="Arial" w:hAnsi="Arial" w:cs="Arial"/>
                <w:b/>
                <w:bCs/>
                <w:color w:val="000000"/>
                <w:sz w:val="20"/>
                <w:szCs w:val="20"/>
              </w:rPr>
            </w:pPr>
            <w:r w:rsidRPr="002E10AB">
              <w:rPr>
                <w:rFonts w:ascii="Arial" w:hAnsi="Arial" w:cs="Arial"/>
                <w:b/>
                <w:bCs/>
                <w:color w:val="000000"/>
                <w:sz w:val="20"/>
                <w:szCs w:val="20"/>
              </w:rPr>
              <w:t>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55C50E03"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2.472.020,11</w:t>
            </w:r>
          </w:p>
        </w:tc>
        <w:tc>
          <w:tcPr>
            <w:tcW w:w="453" w:type="pct"/>
            <w:tcBorders>
              <w:top w:val="nil"/>
              <w:left w:val="nil"/>
              <w:bottom w:val="single" w:sz="4" w:space="0" w:color="auto"/>
              <w:right w:val="single" w:sz="4" w:space="0" w:color="auto"/>
            </w:tcBorders>
            <w:shd w:val="clear" w:color="000000" w:fill="D9D9D9"/>
            <w:noWrap/>
            <w:vAlign w:val="bottom"/>
            <w:hideMark/>
          </w:tcPr>
          <w:p w14:paraId="03B76076"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67,52%</w:t>
            </w:r>
          </w:p>
        </w:tc>
        <w:tc>
          <w:tcPr>
            <w:tcW w:w="496" w:type="pct"/>
            <w:tcBorders>
              <w:top w:val="nil"/>
              <w:left w:val="nil"/>
              <w:bottom w:val="single" w:sz="4" w:space="0" w:color="auto"/>
              <w:right w:val="single" w:sz="4" w:space="0" w:color="auto"/>
            </w:tcBorders>
            <w:shd w:val="clear" w:color="000000" w:fill="D9D9D9"/>
            <w:noWrap/>
            <w:vAlign w:val="bottom"/>
            <w:hideMark/>
          </w:tcPr>
          <w:p w14:paraId="2CFC3A67"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9.638,00</w:t>
            </w:r>
          </w:p>
        </w:tc>
        <w:tc>
          <w:tcPr>
            <w:tcW w:w="558" w:type="pct"/>
            <w:tcBorders>
              <w:top w:val="nil"/>
              <w:left w:val="nil"/>
              <w:bottom w:val="single" w:sz="4" w:space="0" w:color="auto"/>
              <w:right w:val="single" w:sz="4" w:space="0" w:color="auto"/>
            </w:tcBorders>
            <w:shd w:val="clear" w:color="000000" w:fill="D9D9D9"/>
            <w:noWrap/>
            <w:vAlign w:val="bottom"/>
            <w:hideMark/>
          </w:tcPr>
          <w:p w14:paraId="63594959"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105.283,67</w:t>
            </w:r>
          </w:p>
        </w:tc>
        <w:tc>
          <w:tcPr>
            <w:tcW w:w="478" w:type="pct"/>
            <w:tcBorders>
              <w:top w:val="nil"/>
              <w:left w:val="nil"/>
              <w:bottom w:val="single" w:sz="4" w:space="0" w:color="auto"/>
              <w:right w:val="single" w:sz="4" w:space="0" w:color="auto"/>
            </w:tcBorders>
            <w:shd w:val="clear" w:color="000000" w:fill="D9D9D9"/>
            <w:noWrap/>
            <w:vAlign w:val="bottom"/>
            <w:hideMark/>
          </w:tcPr>
          <w:p w14:paraId="735FC38E"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741.807,21</w:t>
            </w:r>
          </w:p>
        </w:tc>
        <w:tc>
          <w:tcPr>
            <w:tcW w:w="466" w:type="pct"/>
            <w:tcBorders>
              <w:top w:val="nil"/>
              <w:left w:val="nil"/>
              <w:bottom w:val="single" w:sz="4" w:space="0" w:color="auto"/>
              <w:right w:val="single" w:sz="4" w:space="0" w:color="auto"/>
            </w:tcBorders>
            <w:shd w:val="clear" w:color="000000" w:fill="D9D9D9"/>
            <w:noWrap/>
            <w:vAlign w:val="bottom"/>
            <w:hideMark/>
          </w:tcPr>
          <w:p w14:paraId="3BDE11D4"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844.568,66</w:t>
            </w:r>
          </w:p>
        </w:tc>
        <w:tc>
          <w:tcPr>
            <w:tcW w:w="527" w:type="pct"/>
            <w:tcBorders>
              <w:top w:val="nil"/>
              <w:left w:val="nil"/>
              <w:bottom w:val="single" w:sz="4" w:space="0" w:color="auto"/>
              <w:right w:val="single" w:sz="4" w:space="0" w:color="auto"/>
            </w:tcBorders>
            <w:shd w:val="clear" w:color="000000" w:fill="D9D9D9"/>
            <w:noWrap/>
            <w:vAlign w:val="bottom"/>
            <w:hideMark/>
          </w:tcPr>
          <w:p w14:paraId="515EB394"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756.503,15</w:t>
            </w:r>
          </w:p>
        </w:tc>
        <w:tc>
          <w:tcPr>
            <w:tcW w:w="478" w:type="pct"/>
            <w:tcBorders>
              <w:top w:val="nil"/>
              <w:left w:val="nil"/>
              <w:bottom w:val="single" w:sz="4" w:space="0" w:color="auto"/>
              <w:right w:val="single" w:sz="4" w:space="0" w:color="auto"/>
            </w:tcBorders>
            <w:shd w:val="clear" w:color="000000" w:fill="D9D9D9"/>
            <w:noWrap/>
            <w:vAlign w:val="bottom"/>
            <w:hideMark/>
          </w:tcPr>
          <w:p w14:paraId="391C0C22"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14.219,42</w:t>
            </w:r>
          </w:p>
        </w:tc>
      </w:tr>
      <w:tr w:rsidR="00B0343F" w:rsidRPr="002E10AB" w14:paraId="05EB0549"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1935CD2F"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400D45F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1.680.973,67</w:t>
            </w:r>
          </w:p>
        </w:tc>
        <w:tc>
          <w:tcPr>
            <w:tcW w:w="453" w:type="pct"/>
            <w:tcBorders>
              <w:top w:val="nil"/>
              <w:left w:val="nil"/>
              <w:bottom w:val="single" w:sz="4" w:space="0" w:color="auto"/>
              <w:right w:val="single" w:sz="4" w:space="0" w:color="auto"/>
            </w:tcBorders>
            <w:noWrap/>
            <w:vAlign w:val="bottom"/>
            <w:hideMark/>
          </w:tcPr>
          <w:p w14:paraId="5840D51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45,91%</w:t>
            </w:r>
          </w:p>
        </w:tc>
        <w:tc>
          <w:tcPr>
            <w:tcW w:w="496" w:type="pct"/>
            <w:tcBorders>
              <w:top w:val="nil"/>
              <w:left w:val="nil"/>
              <w:bottom w:val="single" w:sz="4" w:space="0" w:color="auto"/>
              <w:right w:val="single" w:sz="4" w:space="0" w:color="auto"/>
            </w:tcBorders>
            <w:noWrap/>
            <w:vAlign w:val="bottom"/>
            <w:hideMark/>
          </w:tcPr>
          <w:p w14:paraId="4A3AAE9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4848A04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2539EAA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504.428,90</w:t>
            </w:r>
          </w:p>
        </w:tc>
        <w:tc>
          <w:tcPr>
            <w:tcW w:w="466" w:type="pct"/>
            <w:tcBorders>
              <w:top w:val="nil"/>
              <w:left w:val="nil"/>
              <w:bottom w:val="single" w:sz="4" w:space="0" w:color="auto"/>
              <w:right w:val="single" w:sz="4" w:space="0" w:color="auto"/>
            </w:tcBorders>
            <w:noWrap/>
            <w:vAlign w:val="bottom"/>
            <w:hideMark/>
          </w:tcPr>
          <w:p w14:paraId="39EC1C9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574.306,69</w:t>
            </w:r>
          </w:p>
        </w:tc>
        <w:tc>
          <w:tcPr>
            <w:tcW w:w="527" w:type="pct"/>
            <w:tcBorders>
              <w:top w:val="nil"/>
              <w:left w:val="nil"/>
              <w:bottom w:val="single" w:sz="4" w:space="0" w:color="auto"/>
              <w:right w:val="single" w:sz="4" w:space="0" w:color="auto"/>
            </w:tcBorders>
            <w:noWrap/>
            <w:vAlign w:val="bottom"/>
            <w:hideMark/>
          </w:tcPr>
          <w:p w14:paraId="321122A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514.422,14</w:t>
            </w:r>
          </w:p>
        </w:tc>
        <w:tc>
          <w:tcPr>
            <w:tcW w:w="478" w:type="pct"/>
            <w:tcBorders>
              <w:top w:val="nil"/>
              <w:left w:val="nil"/>
              <w:bottom w:val="single" w:sz="4" w:space="0" w:color="auto"/>
              <w:right w:val="single" w:sz="4" w:space="0" w:color="auto"/>
            </w:tcBorders>
            <w:noWrap/>
            <w:vAlign w:val="bottom"/>
            <w:hideMark/>
          </w:tcPr>
          <w:p w14:paraId="566BF03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9.669,21</w:t>
            </w:r>
          </w:p>
        </w:tc>
      </w:tr>
      <w:tr w:rsidR="00B0343F" w:rsidRPr="002E10AB" w14:paraId="67E35883"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243687CE"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5B04ABD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296.642,41</w:t>
            </w:r>
          </w:p>
        </w:tc>
        <w:tc>
          <w:tcPr>
            <w:tcW w:w="453" w:type="pct"/>
            <w:tcBorders>
              <w:top w:val="nil"/>
              <w:left w:val="nil"/>
              <w:bottom w:val="single" w:sz="4" w:space="0" w:color="auto"/>
              <w:right w:val="single" w:sz="4" w:space="0" w:color="auto"/>
            </w:tcBorders>
            <w:noWrap/>
            <w:vAlign w:val="bottom"/>
            <w:hideMark/>
          </w:tcPr>
          <w:p w14:paraId="5D417EA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8,10%</w:t>
            </w:r>
          </w:p>
        </w:tc>
        <w:tc>
          <w:tcPr>
            <w:tcW w:w="496" w:type="pct"/>
            <w:tcBorders>
              <w:top w:val="nil"/>
              <w:left w:val="nil"/>
              <w:bottom w:val="single" w:sz="4" w:space="0" w:color="auto"/>
              <w:right w:val="single" w:sz="4" w:space="0" w:color="auto"/>
            </w:tcBorders>
            <w:noWrap/>
            <w:vAlign w:val="bottom"/>
            <w:hideMark/>
          </w:tcPr>
          <w:p w14:paraId="34A45F7A"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20EF958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2247229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89.016,86</w:t>
            </w:r>
          </w:p>
        </w:tc>
        <w:tc>
          <w:tcPr>
            <w:tcW w:w="466" w:type="pct"/>
            <w:tcBorders>
              <w:top w:val="nil"/>
              <w:left w:val="nil"/>
              <w:bottom w:val="single" w:sz="4" w:space="0" w:color="auto"/>
              <w:right w:val="single" w:sz="4" w:space="0" w:color="auto"/>
            </w:tcBorders>
            <w:noWrap/>
            <w:vAlign w:val="bottom"/>
            <w:hideMark/>
          </w:tcPr>
          <w:p w14:paraId="1E070BEB"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101.348,24</w:t>
            </w:r>
          </w:p>
        </w:tc>
        <w:tc>
          <w:tcPr>
            <w:tcW w:w="527" w:type="pct"/>
            <w:tcBorders>
              <w:top w:val="nil"/>
              <w:left w:val="nil"/>
              <w:bottom w:val="single" w:sz="4" w:space="0" w:color="auto"/>
              <w:right w:val="single" w:sz="4" w:space="0" w:color="auto"/>
            </w:tcBorders>
            <w:noWrap/>
            <w:vAlign w:val="bottom"/>
            <w:hideMark/>
          </w:tcPr>
          <w:p w14:paraId="0F61030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90.780,38</w:t>
            </w:r>
          </w:p>
        </w:tc>
        <w:tc>
          <w:tcPr>
            <w:tcW w:w="478" w:type="pct"/>
            <w:tcBorders>
              <w:top w:val="nil"/>
              <w:left w:val="nil"/>
              <w:bottom w:val="single" w:sz="4" w:space="0" w:color="auto"/>
              <w:right w:val="single" w:sz="4" w:space="0" w:color="auto"/>
            </w:tcBorders>
            <w:noWrap/>
            <w:vAlign w:val="bottom"/>
            <w:hideMark/>
          </w:tcPr>
          <w:p w14:paraId="17BDD00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1.706,33</w:t>
            </w:r>
          </w:p>
        </w:tc>
      </w:tr>
      <w:tr w:rsidR="00B0343F" w:rsidRPr="002E10AB" w14:paraId="46F8FF59"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17C798F9"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5F4433D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494.404,02</w:t>
            </w:r>
          </w:p>
        </w:tc>
        <w:tc>
          <w:tcPr>
            <w:tcW w:w="453" w:type="pct"/>
            <w:tcBorders>
              <w:top w:val="nil"/>
              <w:left w:val="nil"/>
              <w:bottom w:val="single" w:sz="4" w:space="0" w:color="auto"/>
              <w:right w:val="single" w:sz="4" w:space="0" w:color="auto"/>
            </w:tcBorders>
            <w:noWrap/>
            <w:vAlign w:val="bottom"/>
            <w:hideMark/>
          </w:tcPr>
          <w:p w14:paraId="56859F7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13,50%</w:t>
            </w:r>
          </w:p>
        </w:tc>
        <w:tc>
          <w:tcPr>
            <w:tcW w:w="496" w:type="pct"/>
            <w:tcBorders>
              <w:top w:val="nil"/>
              <w:left w:val="nil"/>
              <w:bottom w:val="single" w:sz="4" w:space="0" w:color="auto"/>
              <w:right w:val="single" w:sz="4" w:space="0" w:color="auto"/>
            </w:tcBorders>
            <w:noWrap/>
            <w:vAlign w:val="bottom"/>
            <w:hideMark/>
          </w:tcPr>
          <w:p w14:paraId="5F43625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1.927,60</w:t>
            </w:r>
          </w:p>
        </w:tc>
        <w:tc>
          <w:tcPr>
            <w:tcW w:w="558" w:type="pct"/>
            <w:tcBorders>
              <w:top w:val="nil"/>
              <w:left w:val="nil"/>
              <w:bottom w:val="single" w:sz="4" w:space="0" w:color="auto"/>
              <w:right w:val="single" w:sz="4" w:space="0" w:color="auto"/>
            </w:tcBorders>
            <w:noWrap/>
            <w:vAlign w:val="bottom"/>
            <w:hideMark/>
          </w:tcPr>
          <w:p w14:paraId="3720495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21.056,73</w:t>
            </w:r>
          </w:p>
        </w:tc>
        <w:tc>
          <w:tcPr>
            <w:tcW w:w="478" w:type="pct"/>
            <w:tcBorders>
              <w:top w:val="nil"/>
              <w:left w:val="nil"/>
              <w:bottom w:val="single" w:sz="4" w:space="0" w:color="auto"/>
              <w:right w:val="single" w:sz="4" w:space="0" w:color="auto"/>
            </w:tcBorders>
            <w:noWrap/>
            <w:vAlign w:val="bottom"/>
            <w:hideMark/>
          </w:tcPr>
          <w:p w14:paraId="6CAB89F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148.361,44</w:t>
            </w:r>
          </w:p>
        </w:tc>
        <w:tc>
          <w:tcPr>
            <w:tcW w:w="466" w:type="pct"/>
            <w:tcBorders>
              <w:top w:val="nil"/>
              <w:left w:val="nil"/>
              <w:bottom w:val="single" w:sz="4" w:space="0" w:color="auto"/>
              <w:right w:val="single" w:sz="4" w:space="0" w:color="auto"/>
            </w:tcBorders>
            <w:noWrap/>
            <w:vAlign w:val="bottom"/>
            <w:hideMark/>
          </w:tcPr>
          <w:p w14:paraId="0BD8BB6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168.913,73</w:t>
            </w:r>
          </w:p>
        </w:tc>
        <w:tc>
          <w:tcPr>
            <w:tcW w:w="527" w:type="pct"/>
            <w:tcBorders>
              <w:top w:val="nil"/>
              <w:left w:val="nil"/>
              <w:bottom w:val="single" w:sz="4" w:space="0" w:color="auto"/>
              <w:right w:val="single" w:sz="4" w:space="0" w:color="auto"/>
            </w:tcBorders>
            <w:noWrap/>
            <w:vAlign w:val="bottom"/>
            <w:hideMark/>
          </w:tcPr>
          <w:p w14:paraId="1499020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151.300,63</w:t>
            </w:r>
          </w:p>
        </w:tc>
        <w:tc>
          <w:tcPr>
            <w:tcW w:w="478" w:type="pct"/>
            <w:tcBorders>
              <w:top w:val="nil"/>
              <w:left w:val="nil"/>
              <w:bottom w:val="single" w:sz="4" w:space="0" w:color="auto"/>
              <w:right w:val="single" w:sz="4" w:space="0" w:color="auto"/>
            </w:tcBorders>
            <w:noWrap/>
            <w:vAlign w:val="bottom"/>
            <w:hideMark/>
          </w:tcPr>
          <w:p w14:paraId="4CF0A50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2.843,88</w:t>
            </w:r>
          </w:p>
        </w:tc>
      </w:tr>
      <w:tr w:rsidR="00B0343F" w:rsidRPr="002E10AB" w14:paraId="07804E7F"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5968DD6F" w14:textId="77777777" w:rsidR="00B0343F" w:rsidRPr="002E10AB" w:rsidRDefault="00B0343F" w:rsidP="00472C0E">
            <w:pPr>
              <w:rPr>
                <w:rFonts w:ascii="Arial" w:hAnsi="Arial" w:cs="Arial"/>
                <w:b/>
                <w:bCs/>
                <w:color w:val="000000"/>
                <w:sz w:val="20"/>
                <w:szCs w:val="20"/>
              </w:rPr>
            </w:pPr>
            <w:r w:rsidRPr="002E10AB">
              <w:rPr>
                <w:rFonts w:ascii="Arial" w:hAnsi="Arial" w:cs="Arial"/>
                <w:b/>
                <w:bCs/>
                <w:color w:val="000000"/>
                <w:sz w:val="20"/>
                <w:szCs w:val="20"/>
              </w:rPr>
              <w:t>NEUPRAVIČENI STROŠKI</w:t>
            </w:r>
          </w:p>
        </w:tc>
        <w:tc>
          <w:tcPr>
            <w:tcW w:w="502" w:type="pct"/>
            <w:tcBorders>
              <w:top w:val="nil"/>
              <w:left w:val="nil"/>
              <w:bottom w:val="single" w:sz="4" w:space="0" w:color="auto"/>
              <w:right w:val="single" w:sz="4" w:space="0" w:color="auto"/>
            </w:tcBorders>
            <w:shd w:val="clear" w:color="000000" w:fill="D9D9D9"/>
            <w:noWrap/>
            <w:vAlign w:val="bottom"/>
            <w:hideMark/>
          </w:tcPr>
          <w:p w14:paraId="2703DEF1"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1.162.614,19</w:t>
            </w:r>
          </w:p>
        </w:tc>
        <w:tc>
          <w:tcPr>
            <w:tcW w:w="453" w:type="pct"/>
            <w:tcBorders>
              <w:top w:val="nil"/>
              <w:left w:val="nil"/>
              <w:bottom w:val="single" w:sz="4" w:space="0" w:color="auto"/>
              <w:right w:val="single" w:sz="4" w:space="0" w:color="auto"/>
            </w:tcBorders>
            <w:shd w:val="clear" w:color="000000" w:fill="D9D9D9"/>
            <w:noWrap/>
            <w:vAlign w:val="bottom"/>
            <w:hideMark/>
          </w:tcPr>
          <w:p w14:paraId="5A8C8171"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31,75%</w:t>
            </w:r>
          </w:p>
        </w:tc>
        <w:tc>
          <w:tcPr>
            <w:tcW w:w="496" w:type="pct"/>
            <w:tcBorders>
              <w:top w:val="nil"/>
              <w:left w:val="nil"/>
              <w:bottom w:val="single" w:sz="4" w:space="0" w:color="auto"/>
              <w:right w:val="single" w:sz="4" w:space="0" w:color="auto"/>
            </w:tcBorders>
            <w:shd w:val="clear" w:color="000000" w:fill="D9D9D9"/>
            <w:noWrap/>
            <w:vAlign w:val="bottom"/>
            <w:hideMark/>
          </w:tcPr>
          <w:p w14:paraId="5B4EA73D"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288.063,17</w:t>
            </w:r>
          </w:p>
        </w:tc>
        <w:tc>
          <w:tcPr>
            <w:tcW w:w="558" w:type="pct"/>
            <w:tcBorders>
              <w:top w:val="nil"/>
              <w:left w:val="nil"/>
              <w:bottom w:val="single" w:sz="4" w:space="0" w:color="auto"/>
              <w:right w:val="single" w:sz="4" w:space="0" w:color="auto"/>
            </w:tcBorders>
            <w:shd w:val="clear" w:color="000000" w:fill="D9D9D9"/>
            <w:noWrap/>
            <w:vAlign w:val="bottom"/>
            <w:hideMark/>
          </w:tcPr>
          <w:p w14:paraId="7372AB2B"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2.479,85</w:t>
            </w:r>
          </w:p>
        </w:tc>
        <w:tc>
          <w:tcPr>
            <w:tcW w:w="478" w:type="pct"/>
            <w:tcBorders>
              <w:top w:val="nil"/>
              <w:left w:val="nil"/>
              <w:bottom w:val="single" w:sz="4" w:space="0" w:color="auto"/>
              <w:right w:val="single" w:sz="4" w:space="0" w:color="auto"/>
            </w:tcBorders>
            <w:shd w:val="clear" w:color="000000" w:fill="D9D9D9"/>
            <w:noWrap/>
            <w:vAlign w:val="bottom"/>
            <w:hideMark/>
          </w:tcPr>
          <w:p w14:paraId="111D92ED"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369A3CC7"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27" w:type="pct"/>
            <w:tcBorders>
              <w:top w:val="nil"/>
              <w:left w:val="nil"/>
              <w:bottom w:val="single" w:sz="4" w:space="0" w:color="auto"/>
              <w:right w:val="single" w:sz="4" w:space="0" w:color="auto"/>
            </w:tcBorders>
            <w:shd w:val="clear" w:color="000000" w:fill="D9D9D9"/>
            <w:noWrap/>
            <w:vAlign w:val="bottom"/>
            <w:hideMark/>
          </w:tcPr>
          <w:p w14:paraId="561A7E5A"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693.794,41</w:t>
            </w:r>
          </w:p>
        </w:tc>
        <w:tc>
          <w:tcPr>
            <w:tcW w:w="478" w:type="pct"/>
            <w:tcBorders>
              <w:top w:val="nil"/>
              <w:left w:val="nil"/>
              <w:bottom w:val="single" w:sz="4" w:space="0" w:color="auto"/>
              <w:right w:val="single" w:sz="4" w:space="0" w:color="auto"/>
            </w:tcBorders>
            <w:shd w:val="clear" w:color="000000" w:fill="D9D9D9"/>
            <w:noWrap/>
            <w:vAlign w:val="bottom"/>
            <w:hideMark/>
          </w:tcPr>
          <w:p w14:paraId="516E174A"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178.276,76</w:t>
            </w:r>
          </w:p>
        </w:tc>
      </w:tr>
      <w:tr w:rsidR="00B0343F" w:rsidRPr="002E10AB" w14:paraId="15C7E24E"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60502518"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7DABE41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4659D5B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7F68B07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E4676A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043ECEB"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68E4C903"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2C006988"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6DD606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B0343F" w:rsidRPr="002E10AB" w14:paraId="145D8A3F"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3041751F"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5A36F53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096AE9E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659AD92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00891EB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276BDD6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701A3FA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3A085FE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6E537FD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B0343F" w:rsidRPr="002E10AB" w14:paraId="5F0569E9"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638D4CA8"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3EC2A498"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1.162.614,19</w:t>
            </w:r>
          </w:p>
        </w:tc>
        <w:tc>
          <w:tcPr>
            <w:tcW w:w="453" w:type="pct"/>
            <w:tcBorders>
              <w:top w:val="nil"/>
              <w:left w:val="nil"/>
              <w:bottom w:val="single" w:sz="4" w:space="0" w:color="auto"/>
              <w:right w:val="single" w:sz="4" w:space="0" w:color="auto"/>
            </w:tcBorders>
            <w:noWrap/>
            <w:vAlign w:val="bottom"/>
            <w:hideMark/>
          </w:tcPr>
          <w:p w14:paraId="4C3133B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31,75%</w:t>
            </w:r>
          </w:p>
        </w:tc>
        <w:tc>
          <w:tcPr>
            <w:tcW w:w="496" w:type="pct"/>
            <w:tcBorders>
              <w:top w:val="nil"/>
              <w:left w:val="nil"/>
              <w:bottom w:val="single" w:sz="4" w:space="0" w:color="auto"/>
              <w:right w:val="single" w:sz="4" w:space="0" w:color="auto"/>
            </w:tcBorders>
            <w:noWrap/>
            <w:vAlign w:val="bottom"/>
            <w:hideMark/>
          </w:tcPr>
          <w:p w14:paraId="1699947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288.063,17</w:t>
            </w:r>
          </w:p>
        </w:tc>
        <w:tc>
          <w:tcPr>
            <w:tcW w:w="558" w:type="pct"/>
            <w:tcBorders>
              <w:top w:val="nil"/>
              <w:left w:val="nil"/>
              <w:bottom w:val="single" w:sz="4" w:space="0" w:color="auto"/>
              <w:right w:val="single" w:sz="4" w:space="0" w:color="auto"/>
            </w:tcBorders>
            <w:noWrap/>
            <w:vAlign w:val="bottom"/>
            <w:hideMark/>
          </w:tcPr>
          <w:p w14:paraId="1CE0D69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2.479,85</w:t>
            </w:r>
          </w:p>
        </w:tc>
        <w:tc>
          <w:tcPr>
            <w:tcW w:w="478" w:type="pct"/>
            <w:tcBorders>
              <w:top w:val="nil"/>
              <w:left w:val="nil"/>
              <w:bottom w:val="single" w:sz="4" w:space="0" w:color="auto"/>
              <w:right w:val="single" w:sz="4" w:space="0" w:color="auto"/>
            </w:tcBorders>
            <w:noWrap/>
            <w:vAlign w:val="bottom"/>
            <w:hideMark/>
          </w:tcPr>
          <w:p w14:paraId="7896593D"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3AEA844D"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51E263A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693.794,41</w:t>
            </w:r>
          </w:p>
        </w:tc>
        <w:tc>
          <w:tcPr>
            <w:tcW w:w="478" w:type="pct"/>
            <w:tcBorders>
              <w:top w:val="nil"/>
              <w:left w:val="nil"/>
              <w:bottom w:val="single" w:sz="4" w:space="0" w:color="auto"/>
              <w:right w:val="single" w:sz="4" w:space="0" w:color="auto"/>
            </w:tcBorders>
            <w:noWrap/>
            <w:vAlign w:val="bottom"/>
            <w:hideMark/>
          </w:tcPr>
          <w:p w14:paraId="7515C3C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178.276,76</w:t>
            </w:r>
          </w:p>
        </w:tc>
      </w:tr>
      <w:tr w:rsidR="00B0343F" w:rsidRPr="002E10AB" w14:paraId="03D79526"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6DBCF2C6" w14:textId="77777777" w:rsidR="00B0343F" w:rsidRPr="002E10AB" w:rsidRDefault="00B0343F" w:rsidP="00472C0E">
            <w:pPr>
              <w:rPr>
                <w:rFonts w:ascii="Arial" w:hAnsi="Arial" w:cs="Arial"/>
                <w:b/>
                <w:bCs/>
                <w:color w:val="000000"/>
                <w:sz w:val="20"/>
                <w:szCs w:val="20"/>
              </w:rPr>
            </w:pPr>
            <w:r w:rsidRPr="002E10AB">
              <w:rPr>
                <w:rFonts w:ascii="Arial" w:hAnsi="Arial" w:cs="Arial"/>
                <w:b/>
                <w:bCs/>
                <w:color w:val="000000"/>
                <w:sz w:val="20"/>
                <w:szCs w:val="20"/>
              </w:rPr>
              <w:t>POVRATNI DDV</w:t>
            </w:r>
          </w:p>
        </w:tc>
        <w:tc>
          <w:tcPr>
            <w:tcW w:w="502" w:type="pct"/>
            <w:tcBorders>
              <w:top w:val="nil"/>
              <w:left w:val="nil"/>
              <w:bottom w:val="single" w:sz="4" w:space="0" w:color="auto"/>
              <w:right w:val="single" w:sz="4" w:space="0" w:color="auto"/>
            </w:tcBorders>
            <w:shd w:val="clear" w:color="000000" w:fill="D9D9D9"/>
            <w:noWrap/>
            <w:vAlign w:val="bottom"/>
            <w:hideMark/>
          </w:tcPr>
          <w:p w14:paraId="04BA7BB0"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26.676,13</w:t>
            </w:r>
          </w:p>
        </w:tc>
        <w:tc>
          <w:tcPr>
            <w:tcW w:w="453" w:type="pct"/>
            <w:tcBorders>
              <w:top w:val="nil"/>
              <w:left w:val="nil"/>
              <w:bottom w:val="single" w:sz="4" w:space="0" w:color="auto"/>
              <w:right w:val="single" w:sz="4" w:space="0" w:color="auto"/>
            </w:tcBorders>
            <w:shd w:val="clear" w:color="000000" w:fill="D9D9D9"/>
            <w:noWrap/>
            <w:vAlign w:val="bottom"/>
            <w:hideMark/>
          </w:tcPr>
          <w:p w14:paraId="0127B5D4"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0,76%</w:t>
            </w:r>
          </w:p>
        </w:tc>
        <w:tc>
          <w:tcPr>
            <w:tcW w:w="496" w:type="pct"/>
            <w:tcBorders>
              <w:top w:val="nil"/>
              <w:left w:val="nil"/>
              <w:bottom w:val="single" w:sz="4" w:space="0" w:color="auto"/>
              <w:right w:val="single" w:sz="4" w:space="0" w:color="auto"/>
            </w:tcBorders>
            <w:shd w:val="clear" w:color="000000" w:fill="D9D9D9"/>
            <w:noWrap/>
            <w:vAlign w:val="bottom"/>
            <w:hideMark/>
          </w:tcPr>
          <w:p w14:paraId="6B7743E7"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558" w:type="pct"/>
            <w:tcBorders>
              <w:top w:val="nil"/>
              <w:left w:val="nil"/>
              <w:bottom w:val="single" w:sz="4" w:space="0" w:color="auto"/>
              <w:right w:val="single" w:sz="4" w:space="0" w:color="auto"/>
            </w:tcBorders>
            <w:shd w:val="clear" w:color="000000" w:fill="D9D9D9"/>
            <w:noWrap/>
            <w:vAlign w:val="bottom"/>
            <w:hideMark/>
          </w:tcPr>
          <w:p w14:paraId="5974F678"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78" w:type="pct"/>
            <w:tcBorders>
              <w:top w:val="nil"/>
              <w:left w:val="nil"/>
              <w:bottom w:val="single" w:sz="4" w:space="0" w:color="auto"/>
              <w:right w:val="single" w:sz="4" w:space="0" w:color="auto"/>
            </w:tcBorders>
            <w:shd w:val="clear" w:color="000000" w:fill="D9D9D9"/>
            <w:noWrap/>
            <w:vAlign w:val="bottom"/>
            <w:hideMark/>
          </w:tcPr>
          <w:p w14:paraId="77204137"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c>
          <w:tcPr>
            <w:tcW w:w="466" w:type="pct"/>
            <w:tcBorders>
              <w:top w:val="nil"/>
              <w:left w:val="nil"/>
              <w:bottom w:val="single" w:sz="4" w:space="0" w:color="auto"/>
              <w:right w:val="single" w:sz="4" w:space="0" w:color="auto"/>
            </w:tcBorders>
            <w:shd w:val="clear" w:color="000000" w:fill="D9D9D9"/>
            <w:noWrap/>
            <w:vAlign w:val="bottom"/>
            <w:hideMark/>
          </w:tcPr>
          <w:p w14:paraId="2B72E334"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13.199,47</w:t>
            </w:r>
          </w:p>
        </w:tc>
        <w:tc>
          <w:tcPr>
            <w:tcW w:w="527" w:type="pct"/>
            <w:tcBorders>
              <w:top w:val="nil"/>
              <w:left w:val="nil"/>
              <w:bottom w:val="single" w:sz="4" w:space="0" w:color="auto"/>
              <w:right w:val="single" w:sz="4" w:space="0" w:color="auto"/>
            </w:tcBorders>
            <w:shd w:val="clear" w:color="000000" w:fill="D9D9D9"/>
            <w:noWrap/>
            <w:vAlign w:val="bottom"/>
            <w:hideMark/>
          </w:tcPr>
          <w:p w14:paraId="7182FE0E"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13.476,66</w:t>
            </w:r>
          </w:p>
        </w:tc>
        <w:tc>
          <w:tcPr>
            <w:tcW w:w="478" w:type="pct"/>
            <w:tcBorders>
              <w:top w:val="nil"/>
              <w:left w:val="nil"/>
              <w:bottom w:val="single" w:sz="4" w:space="0" w:color="auto"/>
              <w:right w:val="single" w:sz="4" w:space="0" w:color="auto"/>
            </w:tcBorders>
            <w:shd w:val="clear" w:color="000000" w:fill="D9D9D9"/>
            <w:noWrap/>
            <w:vAlign w:val="bottom"/>
            <w:hideMark/>
          </w:tcPr>
          <w:p w14:paraId="495959D1"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0,00</w:t>
            </w:r>
          </w:p>
        </w:tc>
      </w:tr>
      <w:tr w:rsidR="00B0343F" w:rsidRPr="002E10AB" w14:paraId="719E3E9E"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00818DB4"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0525DD0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189D169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5D782A93"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6063F2B"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18B24B03"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0AF4654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5CDDBDDD"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41C9B12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B0343F" w:rsidRPr="002E10AB" w14:paraId="3CE69052"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5ED53399"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34296CB1"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53" w:type="pct"/>
            <w:tcBorders>
              <w:top w:val="nil"/>
              <w:left w:val="nil"/>
              <w:bottom w:val="single" w:sz="4" w:space="0" w:color="auto"/>
              <w:right w:val="single" w:sz="4" w:space="0" w:color="auto"/>
            </w:tcBorders>
            <w:noWrap/>
            <w:vAlign w:val="bottom"/>
            <w:hideMark/>
          </w:tcPr>
          <w:p w14:paraId="343BA2A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96" w:type="pct"/>
            <w:tcBorders>
              <w:top w:val="nil"/>
              <w:left w:val="nil"/>
              <w:bottom w:val="single" w:sz="4" w:space="0" w:color="auto"/>
              <w:right w:val="single" w:sz="4" w:space="0" w:color="auto"/>
            </w:tcBorders>
            <w:noWrap/>
            <w:vAlign w:val="bottom"/>
            <w:hideMark/>
          </w:tcPr>
          <w:p w14:paraId="6EDBF77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07B2B5A2"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6DEEA9F1"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77FA753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27" w:type="pct"/>
            <w:tcBorders>
              <w:top w:val="nil"/>
              <w:left w:val="nil"/>
              <w:bottom w:val="single" w:sz="4" w:space="0" w:color="auto"/>
              <w:right w:val="single" w:sz="4" w:space="0" w:color="auto"/>
            </w:tcBorders>
            <w:noWrap/>
            <w:vAlign w:val="bottom"/>
            <w:hideMark/>
          </w:tcPr>
          <w:p w14:paraId="5E6EAF5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5749950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B0343F" w:rsidRPr="002E10AB" w14:paraId="4BCD08D8"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743B79C5"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28BB6E8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26.676,13</w:t>
            </w:r>
          </w:p>
        </w:tc>
        <w:tc>
          <w:tcPr>
            <w:tcW w:w="453" w:type="pct"/>
            <w:tcBorders>
              <w:top w:val="nil"/>
              <w:left w:val="nil"/>
              <w:bottom w:val="single" w:sz="4" w:space="0" w:color="auto"/>
              <w:right w:val="single" w:sz="4" w:space="0" w:color="auto"/>
            </w:tcBorders>
            <w:noWrap/>
            <w:vAlign w:val="bottom"/>
            <w:hideMark/>
          </w:tcPr>
          <w:p w14:paraId="398D1E52"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0,76%</w:t>
            </w:r>
          </w:p>
        </w:tc>
        <w:tc>
          <w:tcPr>
            <w:tcW w:w="496" w:type="pct"/>
            <w:tcBorders>
              <w:top w:val="nil"/>
              <w:left w:val="nil"/>
              <w:bottom w:val="single" w:sz="4" w:space="0" w:color="auto"/>
              <w:right w:val="single" w:sz="4" w:space="0" w:color="auto"/>
            </w:tcBorders>
            <w:noWrap/>
            <w:vAlign w:val="bottom"/>
            <w:hideMark/>
          </w:tcPr>
          <w:p w14:paraId="75D0F65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558" w:type="pct"/>
            <w:tcBorders>
              <w:top w:val="nil"/>
              <w:left w:val="nil"/>
              <w:bottom w:val="single" w:sz="4" w:space="0" w:color="auto"/>
              <w:right w:val="single" w:sz="4" w:space="0" w:color="auto"/>
            </w:tcBorders>
            <w:noWrap/>
            <w:vAlign w:val="bottom"/>
            <w:hideMark/>
          </w:tcPr>
          <w:p w14:paraId="6C88786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78" w:type="pct"/>
            <w:tcBorders>
              <w:top w:val="nil"/>
              <w:left w:val="nil"/>
              <w:bottom w:val="single" w:sz="4" w:space="0" w:color="auto"/>
              <w:right w:val="single" w:sz="4" w:space="0" w:color="auto"/>
            </w:tcBorders>
            <w:noWrap/>
            <w:vAlign w:val="bottom"/>
            <w:hideMark/>
          </w:tcPr>
          <w:p w14:paraId="4A7FAB7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c>
          <w:tcPr>
            <w:tcW w:w="466" w:type="pct"/>
            <w:tcBorders>
              <w:top w:val="nil"/>
              <w:left w:val="nil"/>
              <w:bottom w:val="single" w:sz="4" w:space="0" w:color="auto"/>
              <w:right w:val="single" w:sz="4" w:space="0" w:color="auto"/>
            </w:tcBorders>
            <w:noWrap/>
            <w:vAlign w:val="bottom"/>
            <w:hideMark/>
          </w:tcPr>
          <w:p w14:paraId="1EE18F9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13.199,47</w:t>
            </w:r>
          </w:p>
        </w:tc>
        <w:tc>
          <w:tcPr>
            <w:tcW w:w="527" w:type="pct"/>
            <w:tcBorders>
              <w:top w:val="nil"/>
              <w:left w:val="nil"/>
              <w:bottom w:val="single" w:sz="4" w:space="0" w:color="auto"/>
              <w:right w:val="single" w:sz="4" w:space="0" w:color="auto"/>
            </w:tcBorders>
            <w:noWrap/>
            <w:vAlign w:val="bottom"/>
            <w:hideMark/>
          </w:tcPr>
          <w:p w14:paraId="4E4E0611"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13.476,66</w:t>
            </w:r>
          </w:p>
        </w:tc>
        <w:tc>
          <w:tcPr>
            <w:tcW w:w="478" w:type="pct"/>
            <w:tcBorders>
              <w:top w:val="nil"/>
              <w:left w:val="nil"/>
              <w:bottom w:val="single" w:sz="4" w:space="0" w:color="auto"/>
              <w:right w:val="single" w:sz="4" w:space="0" w:color="auto"/>
            </w:tcBorders>
            <w:noWrap/>
            <w:vAlign w:val="bottom"/>
            <w:hideMark/>
          </w:tcPr>
          <w:p w14:paraId="224BAA32"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0,00</w:t>
            </w:r>
          </w:p>
        </w:tc>
      </w:tr>
      <w:tr w:rsidR="00B0343F" w:rsidRPr="002E10AB" w14:paraId="40BC215C" w14:textId="77777777" w:rsidTr="00472C0E">
        <w:trPr>
          <w:trHeight w:val="300"/>
        </w:trPr>
        <w:tc>
          <w:tcPr>
            <w:tcW w:w="1042" w:type="pct"/>
            <w:tcBorders>
              <w:top w:val="nil"/>
              <w:left w:val="single" w:sz="4" w:space="0" w:color="auto"/>
              <w:bottom w:val="single" w:sz="4" w:space="0" w:color="auto"/>
              <w:right w:val="single" w:sz="4" w:space="0" w:color="auto"/>
            </w:tcBorders>
            <w:shd w:val="clear" w:color="000000" w:fill="D9D9D9"/>
            <w:vAlign w:val="bottom"/>
            <w:hideMark/>
          </w:tcPr>
          <w:p w14:paraId="13D927A7" w14:textId="77777777" w:rsidR="00B0343F" w:rsidRPr="002E10AB" w:rsidRDefault="00B0343F" w:rsidP="00472C0E">
            <w:pPr>
              <w:rPr>
                <w:rFonts w:ascii="Arial" w:hAnsi="Arial" w:cs="Arial"/>
                <w:b/>
                <w:bCs/>
                <w:color w:val="000000"/>
                <w:sz w:val="20"/>
                <w:szCs w:val="20"/>
              </w:rPr>
            </w:pPr>
            <w:r w:rsidRPr="002E10AB">
              <w:rPr>
                <w:rFonts w:ascii="Arial" w:hAnsi="Arial" w:cs="Arial"/>
                <w:b/>
                <w:bCs/>
                <w:color w:val="000000"/>
                <w:sz w:val="20"/>
                <w:szCs w:val="20"/>
              </w:rPr>
              <w:t>SKUPAJ</w:t>
            </w:r>
          </w:p>
        </w:tc>
        <w:tc>
          <w:tcPr>
            <w:tcW w:w="502" w:type="pct"/>
            <w:tcBorders>
              <w:top w:val="nil"/>
              <w:left w:val="nil"/>
              <w:bottom w:val="single" w:sz="4" w:space="0" w:color="auto"/>
              <w:right w:val="single" w:sz="4" w:space="0" w:color="auto"/>
            </w:tcBorders>
            <w:shd w:val="clear" w:color="000000" w:fill="D9D9D9"/>
            <w:noWrap/>
            <w:vAlign w:val="bottom"/>
            <w:hideMark/>
          </w:tcPr>
          <w:p w14:paraId="0CD2FBB3"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3.661.310,43</w:t>
            </w:r>
          </w:p>
        </w:tc>
        <w:tc>
          <w:tcPr>
            <w:tcW w:w="453" w:type="pct"/>
            <w:tcBorders>
              <w:top w:val="nil"/>
              <w:left w:val="nil"/>
              <w:bottom w:val="single" w:sz="4" w:space="0" w:color="auto"/>
              <w:right w:val="single" w:sz="4" w:space="0" w:color="auto"/>
            </w:tcBorders>
            <w:shd w:val="clear" w:color="000000" w:fill="D9D9D9"/>
            <w:noWrap/>
            <w:vAlign w:val="bottom"/>
            <w:hideMark/>
          </w:tcPr>
          <w:p w14:paraId="150EC730"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100,00%</w:t>
            </w:r>
          </w:p>
        </w:tc>
        <w:tc>
          <w:tcPr>
            <w:tcW w:w="496" w:type="pct"/>
            <w:tcBorders>
              <w:top w:val="nil"/>
              <w:left w:val="nil"/>
              <w:bottom w:val="single" w:sz="4" w:space="0" w:color="auto"/>
              <w:right w:val="single" w:sz="4" w:space="0" w:color="auto"/>
            </w:tcBorders>
            <w:shd w:val="clear" w:color="000000" w:fill="D9D9D9"/>
            <w:noWrap/>
            <w:vAlign w:val="bottom"/>
            <w:hideMark/>
          </w:tcPr>
          <w:p w14:paraId="72FC4903"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297.701,17</w:t>
            </w:r>
          </w:p>
        </w:tc>
        <w:tc>
          <w:tcPr>
            <w:tcW w:w="558" w:type="pct"/>
            <w:tcBorders>
              <w:top w:val="nil"/>
              <w:left w:val="nil"/>
              <w:bottom w:val="single" w:sz="4" w:space="0" w:color="auto"/>
              <w:right w:val="single" w:sz="4" w:space="0" w:color="auto"/>
            </w:tcBorders>
            <w:shd w:val="clear" w:color="000000" w:fill="D9D9D9"/>
            <w:noWrap/>
            <w:vAlign w:val="bottom"/>
            <w:hideMark/>
          </w:tcPr>
          <w:p w14:paraId="5389EA5B"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107.763,52</w:t>
            </w:r>
          </w:p>
        </w:tc>
        <w:tc>
          <w:tcPr>
            <w:tcW w:w="478" w:type="pct"/>
            <w:tcBorders>
              <w:top w:val="nil"/>
              <w:left w:val="nil"/>
              <w:bottom w:val="single" w:sz="4" w:space="0" w:color="auto"/>
              <w:right w:val="single" w:sz="4" w:space="0" w:color="auto"/>
            </w:tcBorders>
            <w:shd w:val="clear" w:color="000000" w:fill="D9D9D9"/>
            <w:noWrap/>
            <w:vAlign w:val="bottom"/>
            <w:hideMark/>
          </w:tcPr>
          <w:p w14:paraId="6CF07F0C"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741.807,21</w:t>
            </w:r>
          </w:p>
        </w:tc>
        <w:tc>
          <w:tcPr>
            <w:tcW w:w="466" w:type="pct"/>
            <w:tcBorders>
              <w:top w:val="nil"/>
              <w:left w:val="nil"/>
              <w:bottom w:val="single" w:sz="4" w:space="0" w:color="auto"/>
              <w:right w:val="single" w:sz="4" w:space="0" w:color="auto"/>
            </w:tcBorders>
            <w:shd w:val="clear" w:color="000000" w:fill="D9D9D9"/>
            <w:noWrap/>
            <w:vAlign w:val="bottom"/>
            <w:hideMark/>
          </w:tcPr>
          <w:p w14:paraId="6146CEF7"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857.768,13</w:t>
            </w:r>
          </w:p>
        </w:tc>
        <w:tc>
          <w:tcPr>
            <w:tcW w:w="527" w:type="pct"/>
            <w:tcBorders>
              <w:top w:val="nil"/>
              <w:left w:val="nil"/>
              <w:bottom w:val="single" w:sz="4" w:space="0" w:color="auto"/>
              <w:right w:val="single" w:sz="4" w:space="0" w:color="auto"/>
            </w:tcBorders>
            <w:shd w:val="clear" w:color="000000" w:fill="D9D9D9"/>
            <w:noWrap/>
            <w:vAlign w:val="bottom"/>
            <w:hideMark/>
          </w:tcPr>
          <w:p w14:paraId="747ED13D"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1.463.774,22</w:t>
            </w:r>
          </w:p>
        </w:tc>
        <w:tc>
          <w:tcPr>
            <w:tcW w:w="478" w:type="pct"/>
            <w:tcBorders>
              <w:top w:val="nil"/>
              <w:left w:val="nil"/>
              <w:bottom w:val="single" w:sz="4" w:space="0" w:color="auto"/>
              <w:right w:val="single" w:sz="4" w:space="0" w:color="auto"/>
            </w:tcBorders>
            <w:shd w:val="clear" w:color="000000" w:fill="D9D9D9"/>
            <w:noWrap/>
            <w:vAlign w:val="bottom"/>
            <w:hideMark/>
          </w:tcPr>
          <w:p w14:paraId="402E0680" w14:textId="77777777" w:rsidR="00B0343F" w:rsidRPr="002E10AB" w:rsidRDefault="00B0343F" w:rsidP="00472C0E">
            <w:pPr>
              <w:jc w:val="right"/>
              <w:rPr>
                <w:rFonts w:ascii="Arial" w:hAnsi="Arial" w:cs="Arial"/>
                <w:b/>
                <w:bCs/>
                <w:color w:val="000000"/>
                <w:sz w:val="20"/>
                <w:szCs w:val="20"/>
              </w:rPr>
            </w:pPr>
            <w:r w:rsidRPr="002E10AB">
              <w:rPr>
                <w:rFonts w:ascii="Arial" w:hAnsi="Arial" w:cs="Arial"/>
                <w:b/>
                <w:bCs/>
                <w:color w:val="000000"/>
                <w:sz w:val="20"/>
                <w:szCs w:val="20"/>
              </w:rPr>
              <w:t>192.496,18</w:t>
            </w:r>
          </w:p>
        </w:tc>
      </w:tr>
      <w:tr w:rsidR="00B0343F" w:rsidRPr="002E10AB" w14:paraId="25E8CFCD"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0C589D7E"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EU sredstva</w:t>
            </w:r>
          </w:p>
        </w:tc>
        <w:tc>
          <w:tcPr>
            <w:tcW w:w="502" w:type="pct"/>
            <w:tcBorders>
              <w:top w:val="nil"/>
              <w:left w:val="nil"/>
              <w:bottom w:val="single" w:sz="4" w:space="0" w:color="auto"/>
              <w:right w:val="single" w:sz="4" w:space="0" w:color="auto"/>
            </w:tcBorders>
            <w:noWrap/>
            <w:vAlign w:val="bottom"/>
            <w:hideMark/>
          </w:tcPr>
          <w:p w14:paraId="3E9EA0C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1.680.973,67</w:t>
            </w:r>
          </w:p>
        </w:tc>
        <w:tc>
          <w:tcPr>
            <w:tcW w:w="453" w:type="pct"/>
            <w:tcBorders>
              <w:top w:val="nil"/>
              <w:left w:val="nil"/>
              <w:bottom w:val="single" w:sz="4" w:space="0" w:color="auto"/>
              <w:right w:val="single" w:sz="4" w:space="0" w:color="auto"/>
            </w:tcBorders>
            <w:noWrap/>
            <w:vAlign w:val="bottom"/>
            <w:hideMark/>
          </w:tcPr>
          <w:p w14:paraId="668B8A8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45,91%</w:t>
            </w:r>
          </w:p>
        </w:tc>
        <w:tc>
          <w:tcPr>
            <w:tcW w:w="496" w:type="pct"/>
            <w:tcBorders>
              <w:top w:val="nil"/>
              <w:left w:val="nil"/>
              <w:bottom w:val="single" w:sz="4" w:space="0" w:color="auto"/>
              <w:right w:val="single" w:sz="4" w:space="0" w:color="auto"/>
            </w:tcBorders>
            <w:noWrap/>
            <w:vAlign w:val="bottom"/>
            <w:hideMark/>
          </w:tcPr>
          <w:p w14:paraId="124E1D6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6.553,84</w:t>
            </w:r>
          </w:p>
        </w:tc>
        <w:tc>
          <w:tcPr>
            <w:tcW w:w="558" w:type="pct"/>
            <w:tcBorders>
              <w:top w:val="nil"/>
              <w:left w:val="nil"/>
              <w:bottom w:val="single" w:sz="4" w:space="0" w:color="auto"/>
              <w:right w:val="single" w:sz="4" w:space="0" w:color="auto"/>
            </w:tcBorders>
            <w:noWrap/>
            <w:vAlign w:val="bottom"/>
            <w:hideMark/>
          </w:tcPr>
          <w:p w14:paraId="59CAF9B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71.592,90</w:t>
            </w:r>
          </w:p>
        </w:tc>
        <w:tc>
          <w:tcPr>
            <w:tcW w:w="478" w:type="pct"/>
            <w:tcBorders>
              <w:top w:val="nil"/>
              <w:left w:val="nil"/>
              <w:bottom w:val="single" w:sz="4" w:space="0" w:color="auto"/>
              <w:right w:val="single" w:sz="4" w:space="0" w:color="auto"/>
            </w:tcBorders>
            <w:noWrap/>
            <w:vAlign w:val="bottom"/>
            <w:hideMark/>
          </w:tcPr>
          <w:p w14:paraId="5ADBDB7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504.428,90</w:t>
            </w:r>
          </w:p>
        </w:tc>
        <w:tc>
          <w:tcPr>
            <w:tcW w:w="466" w:type="pct"/>
            <w:tcBorders>
              <w:top w:val="nil"/>
              <w:left w:val="nil"/>
              <w:bottom w:val="single" w:sz="4" w:space="0" w:color="auto"/>
              <w:right w:val="single" w:sz="4" w:space="0" w:color="auto"/>
            </w:tcBorders>
            <w:noWrap/>
            <w:vAlign w:val="bottom"/>
            <w:hideMark/>
          </w:tcPr>
          <w:p w14:paraId="3F805913"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574.306,69</w:t>
            </w:r>
          </w:p>
        </w:tc>
        <w:tc>
          <w:tcPr>
            <w:tcW w:w="527" w:type="pct"/>
            <w:tcBorders>
              <w:top w:val="nil"/>
              <w:left w:val="nil"/>
              <w:bottom w:val="single" w:sz="4" w:space="0" w:color="auto"/>
              <w:right w:val="single" w:sz="4" w:space="0" w:color="auto"/>
            </w:tcBorders>
            <w:noWrap/>
            <w:vAlign w:val="bottom"/>
            <w:hideMark/>
          </w:tcPr>
          <w:p w14:paraId="39E601BF"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514.422,14</w:t>
            </w:r>
          </w:p>
        </w:tc>
        <w:tc>
          <w:tcPr>
            <w:tcW w:w="478" w:type="pct"/>
            <w:tcBorders>
              <w:top w:val="nil"/>
              <w:left w:val="nil"/>
              <w:bottom w:val="single" w:sz="4" w:space="0" w:color="auto"/>
              <w:right w:val="single" w:sz="4" w:space="0" w:color="auto"/>
            </w:tcBorders>
            <w:noWrap/>
            <w:vAlign w:val="bottom"/>
            <w:hideMark/>
          </w:tcPr>
          <w:p w14:paraId="47DDE00B"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9.669,21</w:t>
            </w:r>
          </w:p>
        </w:tc>
      </w:tr>
      <w:tr w:rsidR="00B0343F" w:rsidRPr="002E10AB" w14:paraId="5CD28138"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6F78C216"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Slovenska udeležba</w:t>
            </w:r>
          </w:p>
        </w:tc>
        <w:tc>
          <w:tcPr>
            <w:tcW w:w="502" w:type="pct"/>
            <w:tcBorders>
              <w:top w:val="nil"/>
              <w:left w:val="nil"/>
              <w:bottom w:val="single" w:sz="4" w:space="0" w:color="auto"/>
              <w:right w:val="single" w:sz="4" w:space="0" w:color="auto"/>
            </w:tcBorders>
            <w:noWrap/>
            <w:vAlign w:val="bottom"/>
            <w:hideMark/>
          </w:tcPr>
          <w:p w14:paraId="06BAC54D"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296.642,41</w:t>
            </w:r>
          </w:p>
        </w:tc>
        <w:tc>
          <w:tcPr>
            <w:tcW w:w="453" w:type="pct"/>
            <w:tcBorders>
              <w:top w:val="nil"/>
              <w:left w:val="nil"/>
              <w:bottom w:val="single" w:sz="4" w:space="0" w:color="auto"/>
              <w:right w:val="single" w:sz="4" w:space="0" w:color="auto"/>
            </w:tcBorders>
            <w:noWrap/>
            <w:vAlign w:val="bottom"/>
            <w:hideMark/>
          </w:tcPr>
          <w:p w14:paraId="462FBF7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8,10%</w:t>
            </w:r>
          </w:p>
        </w:tc>
        <w:tc>
          <w:tcPr>
            <w:tcW w:w="496" w:type="pct"/>
            <w:tcBorders>
              <w:top w:val="nil"/>
              <w:left w:val="nil"/>
              <w:bottom w:val="single" w:sz="4" w:space="0" w:color="auto"/>
              <w:right w:val="single" w:sz="4" w:space="0" w:color="auto"/>
            </w:tcBorders>
            <w:noWrap/>
            <w:vAlign w:val="bottom"/>
            <w:hideMark/>
          </w:tcPr>
          <w:p w14:paraId="30D0FD51"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1.156,56</w:t>
            </w:r>
          </w:p>
        </w:tc>
        <w:tc>
          <w:tcPr>
            <w:tcW w:w="558" w:type="pct"/>
            <w:tcBorders>
              <w:top w:val="nil"/>
              <w:left w:val="nil"/>
              <w:bottom w:val="single" w:sz="4" w:space="0" w:color="auto"/>
              <w:right w:val="single" w:sz="4" w:space="0" w:color="auto"/>
            </w:tcBorders>
            <w:noWrap/>
            <w:vAlign w:val="bottom"/>
            <w:hideMark/>
          </w:tcPr>
          <w:p w14:paraId="5C92D208"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12.634,04</w:t>
            </w:r>
          </w:p>
        </w:tc>
        <w:tc>
          <w:tcPr>
            <w:tcW w:w="478" w:type="pct"/>
            <w:tcBorders>
              <w:top w:val="nil"/>
              <w:left w:val="nil"/>
              <w:bottom w:val="single" w:sz="4" w:space="0" w:color="auto"/>
              <w:right w:val="single" w:sz="4" w:space="0" w:color="auto"/>
            </w:tcBorders>
            <w:noWrap/>
            <w:vAlign w:val="bottom"/>
            <w:hideMark/>
          </w:tcPr>
          <w:p w14:paraId="0790734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89.016,87</w:t>
            </w:r>
          </w:p>
        </w:tc>
        <w:tc>
          <w:tcPr>
            <w:tcW w:w="466" w:type="pct"/>
            <w:tcBorders>
              <w:top w:val="nil"/>
              <w:left w:val="nil"/>
              <w:bottom w:val="single" w:sz="4" w:space="0" w:color="auto"/>
              <w:right w:val="single" w:sz="4" w:space="0" w:color="auto"/>
            </w:tcBorders>
            <w:noWrap/>
            <w:vAlign w:val="bottom"/>
            <w:hideMark/>
          </w:tcPr>
          <w:p w14:paraId="4BA3DDC9"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101.348,24</w:t>
            </w:r>
          </w:p>
        </w:tc>
        <w:tc>
          <w:tcPr>
            <w:tcW w:w="527" w:type="pct"/>
            <w:tcBorders>
              <w:top w:val="nil"/>
              <w:left w:val="nil"/>
              <w:bottom w:val="single" w:sz="4" w:space="0" w:color="auto"/>
              <w:right w:val="single" w:sz="4" w:space="0" w:color="auto"/>
            </w:tcBorders>
            <w:noWrap/>
            <w:vAlign w:val="bottom"/>
            <w:hideMark/>
          </w:tcPr>
          <w:p w14:paraId="6880442E"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90.780,38</w:t>
            </w:r>
          </w:p>
        </w:tc>
        <w:tc>
          <w:tcPr>
            <w:tcW w:w="478" w:type="pct"/>
            <w:tcBorders>
              <w:top w:val="nil"/>
              <w:left w:val="nil"/>
              <w:bottom w:val="single" w:sz="4" w:space="0" w:color="auto"/>
              <w:right w:val="single" w:sz="4" w:space="0" w:color="auto"/>
            </w:tcBorders>
            <w:noWrap/>
            <w:vAlign w:val="bottom"/>
            <w:hideMark/>
          </w:tcPr>
          <w:p w14:paraId="1BC4829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1.706,33</w:t>
            </w:r>
          </w:p>
        </w:tc>
      </w:tr>
      <w:tr w:rsidR="00B0343F" w:rsidRPr="002E10AB" w14:paraId="457882A0" w14:textId="77777777" w:rsidTr="00472C0E">
        <w:trPr>
          <w:trHeight w:val="285"/>
        </w:trPr>
        <w:tc>
          <w:tcPr>
            <w:tcW w:w="1042" w:type="pct"/>
            <w:tcBorders>
              <w:top w:val="nil"/>
              <w:left w:val="single" w:sz="4" w:space="0" w:color="auto"/>
              <w:bottom w:val="single" w:sz="4" w:space="0" w:color="auto"/>
              <w:right w:val="single" w:sz="4" w:space="0" w:color="auto"/>
            </w:tcBorders>
            <w:vAlign w:val="bottom"/>
            <w:hideMark/>
          </w:tcPr>
          <w:p w14:paraId="12B41B30" w14:textId="77777777" w:rsidR="00B0343F" w:rsidRPr="002E10AB" w:rsidRDefault="00B0343F" w:rsidP="00472C0E">
            <w:pPr>
              <w:rPr>
                <w:rFonts w:ascii="Arial" w:hAnsi="Arial" w:cs="Arial"/>
                <w:color w:val="000000"/>
                <w:sz w:val="20"/>
                <w:szCs w:val="20"/>
              </w:rPr>
            </w:pPr>
            <w:r w:rsidRPr="002E10AB">
              <w:rPr>
                <w:rFonts w:ascii="Arial" w:hAnsi="Arial" w:cs="Arial"/>
                <w:color w:val="000000"/>
                <w:sz w:val="20"/>
                <w:szCs w:val="20"/>
              </w:rPr>
              <w:t>Lastna sredstva</w:t>
            </w:r>
          </w:p>
        </w:tc>
        <w:tc>
          <w:tcPr>
            <w:tcW w:w="502" w:type="pct"/>
            <w:tcBorders>
              <w:top w:val="nil"/>
              <w:left w:val="nil"/>
              <w:bottom w:val="single" w:sz="4" w:space="0" w:color="auto"/>
              <w:right w:val="single" w:sz="4" w:space="0" w:color="auto"/>
            </w:tcBorders>
            <w:noWrap/>
            <w:vAlign w:val="bottom"/>
            <w:hideMark/>
          </w:tcPr>
          <w:p w14:paraId="2283ABC0"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1.683.694,34</w:t>
            </w:r>
          </w:p>
        </w:tc>
        <w:tc>
          <w:tcPr>
            <w:tcW w:w="453" w:type="pct"/>
            <w:tcBorders>
              <w:top w:val="nil"/>
              <w:left w:val="nil"/>
              <w:bottom w:val="single" w:sz="4" w:space="0" w:color="auto"/>
              <w:right w:val="single" w:sz="4" w:space="0" w:color="auto"/>
            </w:tcBorders>
            <w:noWrap/>
            <w:vAlign w:val="bottom"/>
            <w:hideMark/>
          </w:tcPr>
          <w:p w14:paraId="306097C7"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45,99%</w:t>
            </w:r>
          </w:p>
        </w:tc>
        <w:tc>
          <w:tcPr>
            <w:tcW w:w="496" w:type="pct"/>
            <w:tcBorders>
              <w:top w:val="nil"/>
              <w:left w:val="nil"/>
              <w:bottom w:val="single" w:sz="4" w:space="0" w:color="auto"/>
              <w:right w:val="single" w:sz="4" w:space="0" w:color="auto"/>
            </w:tcBorders>
            <w:noWrap/>
            <w:vAlign w:val="bottom"/>
            <w:hideMark/>
          </w:tcPr>
          <w:p w14:paraId="04AB7B86"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289.990,77</w:t>
            </w:r>
          </w:p>
        </w:tc>
        <w:tc>
          <w:tcPr>
            <w:tcW w:w="558" w:type="pct"/>
            <w:tcBorders>
              <w:top w:val="nil"/>
              <w:left w:val="nil"/>
              <w:bottom w:val="single" w:sz="4" w:space="0" w:color="auto"/>
              <w:right w:val="single" w:sz="4" w:space="0" w:color="auto"/>
            </w:tcBorders>
            <w:noWrap/>
            <w:vAlign w:val="bottom"/>
            <w:hideMark/>
          </w:tcPr>
          <w:p w14:paraId="41AE6912"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23.536,58</w:t>
            </w:r>
          </w:p>
        </w:tc>
        <w:tc>
          <w:tcPr>
            <w:tcW w:w="478" w:type="pct"/>
            <w:tcBorders>
              <w:top w:val="nil"/>
              <w:left w:val="nil"/>
              <w:bottom w:val="single" w:sz="4" w:space="0" w:color="auto"/>
              <w:right w:val="single" w:sz="4" w:space="0" w:color="auto"/>
            </w:tcBorders>
            <w:noWrap/>
            <w:vAlign w:val="bottom"/>
            <w:hideMark/>
          </w:tcPr>
          <w:p w14:paraId="5B01A38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148.361,44</w:t>
            </w:r>
          </w:p>
        </w:tc>
        <w:tc>
          <w:tcPr>
            <w:tcW w:w="466" w:type="pct"/>
            <w:tcBorders>
              <w:top w:val="nil"/>
              <w:left w:val="nil"/>
              <w:bottom w:val="single" w:sz="4" w:space="0" w:color="auto"/>
              <w:right w:val="single" w:sz="4" w:space="0" w:color="auto"/>
            </w:tcBorders>
            <w:noWrap/>
            <w:vAlign w:val="bottom"/>
            <w:hideMark/>
          </w:tcPr>
          <w:p w14:paraId="68EADFD5"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182.113,20</w:t>
            </w:r>
          </w:p>
        </w:tc>
        <w:tc>
          <w:tcPr>
            <w:tcW w:w="527" w:type="pct"/>
            <w:tcBorders>
              <w:top w:val="nil"/>
              <w:left w:val="nil"/>
              <w:bottom w:val="single" w:sz="4" w:space="0" w:color="auto"/>
              <w:right w:val="single" w:sz="4" w:space="0" w:color="auto"/>
            </w:tcBorders>
            <w:noWrap/>
            <w:vAlign w:val="bottom"/>
            <w:hideMark/>
          </w:tcPr>
          <w:p w14:paraId="1599E944"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858.571,70</w:t>
            </w:r>
          </w:p>
        </w:tc>
        <w:tc>
          <w:tcPr>
            <w:tcW w:w="478" w:type="pct"/>
            <w:tcBorders>
              <w:top w:val="nil"/>
              <w:left w:val="nil"/>
              <w:bottom w:val="single" w:sz="4" w:space="0" w:color="auto"/>
              <w:right w:val="single" w:sz="4" w:space="0" w:color="auto"/>
            </w:tcBorders>
            <w:noWrap/>
            <w:vAlign w:val="bottom"/>
            <w:hideMark/>
          </w:tcPr>
          <w:p w14:paraId="4C9684FC" w14:textId="77777777" w:rsidR="00B0343F" w:rsidRPr="002E10AB" w:rsidRDefault="00B0343F" w:rsidP="00472C0E">
            <w:pPr>
              <w:jc w:val="right"/>
              <w:rPr>
                <w:rFonts w:ascii="Arial" w:hAnsi="Arial" w:cs="Arial"/>
                <w:color w:val="000000"/>
                <w:sz w:val="20"/>
                <w:szCs w:val="20"/>
              </w:rPr>
            </w:pPr>
            <w:r w:rsidRPr="002E10AB">
              <w:rPr>
                <w:rFonts w:ascii="Arial" w:hAnsi="Arial" w:cs="Arial"/>
                <w:color w:val="000000"/>
                <w:sz w:val="20"/>
                <w:szCs w:val="20"/>
              </w:rPr>
              <w:t>181.120,64</w:t>
            </w:r>
          </w:p>
        </w:tc>
      </w:tr>
    </w:tbl>
    <w:p w14:paraId="5DEEC051" w14:textId="77777777" w:rsidR="00B0343F" w:rsidRDefault="00B0343F" w:rsidP="00CF701C">
      <w:pPr>
        <w:spacing w:after="120" w:line="276" w:lineRule="auto"/>
        <w:jc w:val="both"/>
        <w:rPr>
          <w:rFonts w:asciiTheme="majorHAnsi" w:hAnsiTheme="majorHAnsi" w:cstheme="majorHAnsi"/>
          <w:b/>
          <w:sz w:val="22"/>
          <w:szCs w:val="22"/>
        </w:rPr>
      </w:pPr>
    </w:p>
    <w:p w14:paraId="6D2448EA" w14:textId="77777777" w:rsidR="00B0343F" w:rsidRPr="00F11127" w:rsidRDefault="00B0343F" w:rsidP="00CF701C">
      <w:pPr>
        <w:spacing w:after="120" w:line="276" w:lineRule="auto"/>
        <w:jc w:val="both"/>
        <w:rPr>
          <w:rFonts w:asciiTheme="majorHAnsi" w:hAnsiTheme="majorHAnsi" w:cstheme="majorHAnsi"/>
          <w:b/>
          <w:sz w:val="22"/>
          <w:szCs w:val="22"/>
        </w:rPr>
      </w:pPr>
    </w:p>
    <w:p w14:paraId="0D605BF3" w14:textId="77777777" w:rsidR="00CF701C" w:rsidRDefault="00CF701C" w:rsidP="00BD1D20">
      <w:pPr>
        <w:spacing w:line="276" w:lineRule="auto"/>
        <w:rPr>
          <w:rFonts w:asciiTheme="majorHAnsi" w:hAnsiTheme="majorHAnsi" w:cstheme="majorHAnsi"/>
          <w:sz w:val="20"/>
          <w:szCs w:val="20"/>
        </w:rPr>
      </w:pPr>
    </w:p>
    <w:p w14:paraId="2A635E49" w14:textId="77777777" w:rsidR="00CD0D39" w:rsidRDefault="00CD0D39" w:rsidP="00BD1D20">
      <w:pPr>
        <w:spacing w:line="276" w:lineRule="auto"/>
        <w:rPr>
          <w:rFonts w:asciiTheme="majorHAnsi" w:hAnsiTheme="majorHAnsi" w:cstheme="majorHAnsi"/>
          <w:sz w:val="20"/>
          <w:szCs w:val="20"/>
        </w:rPr>
      </w:pPr>
    </w:p>
    <w:p w14:paraId="3C347D6C" w14:textId="77777777" w:rsidR="00FA72C5" w:rsidRDefault="00FA72C5" w:rsidP="00BD1D20">
      <w:pPr>
        <w:spacing w:line="276" w:lineRule="auto"/>
        <w:rPr>
          <w:rFonts w:asciiTheme="majorHAnsi" w:hAnsiTheme="majorHAnsi" w:cstheme="majorHAnsi"/>
          <w:sz w:val="20"/>
          <w:szCs w:val="20"/>
        </w:rPr>
        <w:sectPr w:rsidR="00FA72C5" w:rsidSect="009F09DA">
          <w:headerReference w:type="first" r:id="rId87"/>
          <w:pgSz w:w="16838" w:h="11906" w:orient="landscape"/>
          <w:pgMar w:top="1134" w:right="1134" w:bottom="1417" w:left="1417" w:header="708" w:footer="708" w:gutter="0"/>
          <w:cols w:space="708"/>
          <w:titlePg/>
          <w:docGrid w:linePitch="360"/>
        </w:sectPr>
      </w:pPr>
    </w:p>
    <w:p w14:paraId="683B899E" w14:textId="77777777" w:rsidR="001E2DDA" w:rsidRPr="00F11127" w:rsidRDefault="001E2DDA" w:rsidP="00BD1D20">
      <w:pPr>
        <w:spacing w:line="276" w:lineRule="auto"/>
        <w:rPr>
          <w:rFonts w:asciiTheme="majorHAnsi" w:hAnsiTheme="majorHAnsi" w:cstheme="majorHAnsi"/>
          <w:sz w:val="20"/>
          <w:szCs w:val="20"/>
        </w:rPr>
      </w:pPr>
    </w:p>
    <w:p w14:paraId="54CCEA99" w14:textId="77777777" w:rsidR="006B2762" w:rsidRPr="00F11127" w:rsidRDefault="00550CF1" w:rsidP="00BD1D20">
      <w:pPr>
        <w:pStyle w:val="Naslov1"/>
        <w:numPr>
          <w:ilvl w:val="0"/>
          <w:numId w:val="3"/>
        </w:numPr>
        <w:jc w:val="both"/>
        <w:rPr>
          <w:rFonts w:cstheme="majorHAnsi"/>
        </w:rPr>
      </w:pPr>
      <w:bookmarkStart w:id="317" w:name="_Toc210033847"/>
      <w:r w:rsidRPr="00F11127">
        <w:rPr>
          <w:rFonts w:cstheme="majorHAnsi"/>
        </w:rPr>
        <w:t>P</w:t>
      </w:r>
      <w:r w:rsidR="00357FA2" w:rsidRPr="00F11127">
        <w:rPr>
          <w:rFonts w:cstheme="majorHAnsi"/>
        </w:rPr>
        <w:t>ROJEKCIJE PRIHODKOV IN STROŠKOV POSLOVANJA PO VZPOSTAVITVI DELOVANJA INVESTICIJE ZA OBDOBJE EKONOMSKE DOBE INVESTICIJSKEGA PROJEKTA</w:t>
      </w:r>
      <w:bookmarkEnd w:id="317"/>
    </w:p>
    <w:p w14:paraId="5450C440" w14:textId="77777777" w:rsidR="00337C5A" w:rsidRPr="00F11127" w:rsidRDefault="00337C5A"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18" w:name="_Toc210033848"/>
      <w:r w:rsidRPr="00F11127">
        <w:rPr>
          <w:rFonts w:asciiTheme="majorHAnsi" w:eastAsiaTheme="majorEastAsia" w:hAnsiTheme="majorHAnsi" w:cstheme="majorHAnsi"/>
          <w:color w:val="244061" w:themeColor="accent1" w:themeShade="80"/>
        </w:rPr>
        <w:t>Osnovna izhodišča za prikaz prihodkov in stroškov poslovanja projekta</w:t>
      </w:r>
      <w:bookmarkEnd w:id="318"/>
    </w:p>
    <w:p w14:paraId="3985AED5" w14:textId="77777777" w:rsidR="00F82A16" w:rsidRPr="00F11127" w:rsidRDefault="00F82A16" w:rsidP="00BD1D20">
      <w:pPr>
        <w:pStyle w:val="Naslov2"/>
        <w:numPr>
          <w:ilvl w:val="2"/>
          <w:numId w:val="2"/>
        </w:numPr>
        <w:rPr>
          <w:rFonts w:asciiTheme="majorHAnsi" w:eastAsiaTheme="majorEastAsia" w:hAnsiTheme="majorHAnsi" w:cstheme="majorHAnsi"/>
          <w:color w:val="244061" w:themeColor="accent1" w:themeShade="80"/>
          <w:szCs w:val="22"/>
        </w:rPr>
      </w:pPr>
      <w:bookmarkStart w:id="319" w:name="_Toc210033849"/>
      <w:r w:rsidRPr="00F11127">
        <w:rPr>
          <w:rFonts w:asciiTheme="majorHAnsi" w:eastAsiaTheme="majorEastAsia" w:hAnsiTheme="majorHAnsi" w:cstheme="majorHAnsi"/>
          <w:color w:val="244061" w:themeColor="accent1" w:themeShade="80"/>
          <w:szCs w:val="22"/>
        </w:rPr>
        <w:t>Prih</w:t>
      </w:r>
      <w:r w:rsidR="002E0C49" w:rsidRPr="00F11127">
        <w:rPr>
          <w:rFonts w:asciiTheme="majorHAnsi" w:eastAsiaTheme="majorEastAsia" w:hAnsiTheme="majorHAnsi" w:cstheme="majorHAnsi"/>
          <w:color w:val="244061" w:themeColor="accent1" w:themeShade="80"/>
          <w:szCs w:val="22"/>
        </w:rPr>
        <w:t>o</w:t>
      </w:r>
      <w:r w:rsidRPr="00F11127">
        <w:rPr>
          <w:rFonts w:asciiTheme="majorHAnsi" w:eastAsiaTheme="majorEastAsia" w:hAnsiTheme="majorHAnsi" w:cstheme="majorHAnsi"/>
          <w:color w:val="244061" w:themeColor="accent1" w:themeShade="80"/>
          <w:szCs w:val="22"/>
        </w:rPr>
        <w:t>dki</w:t>
      </w:r>
      <w:bookmarkEnd w:id="319"/>
    </w:p>
    <w:p w14:paraId="1E1E9B5F" w14:textId="77777777" w:rsidR="005B4E50" w:rsidRDefault="005B4E50" w:rsidP="00BD1D20">
      <w:pPr>
        <w:spacing w:after="120" w:line="276" w:lineRule="auto"/>
        <w:jc w:val="both"/>
        <w:rPr>
          <w:rFonts w:asciiTheme="majorHAnsi" w:hAnsiTheme="majorHAnsi" w:cstheme="majorHAnsi"/>
          <w:sz w:val="22"/>
          <w:szCs w:val="22"/>
        </w:rPr>
      </w:pPr>
    </w:p>
    <w:p w14:paraId="5218266A" w14:textId="77777777" w:rsidR="005B4E50" w:rsidRPr="003A7B0D" w:rsidRDefault="005B4E50" w:rsidP="005B4E50">
      <w:pPr>
        <w:spacing w:after="200" w:line="276" w:lineRule="auto"/>
        <w:jc w:val="both"/>
        <w:rPr>
          <w:rFonts w:ascii="Arial" w:hAnsi="Arial" w:cs="Arial"/>
          <w:sz w:val="22"/>
          <w:szCs w:val="22"/>
        </w:rPr>
      </w:pPr>
      <w:r w:rsidRPr="003A7B0D">
        <w:rPr>
          <w:rFonts w:ascii="Arial" w:hAnsi="Arial" w:cs="Arial"/>
          <w:sz w:val="22"/>
          <w:szCs w:val="22"/>
        </w:rPr>
        <w:t>Z izvedbo projekta se vzpostavljata dva vira prihodkov v okviru javnih storitev:</w:t>
      </w:r>
    </w:p>
    <w:p w14:paraId="038688B4" w14:textId="77777777" w:rsidR="005B4E50" w:rsidRPr="00BC0DCF" w:rsidRDefault="005B4E50" w:rsidP="005B4E50">
      <w:pPr>
        <w:numPr>
          <w:ilvl w:val="0"/>
          <w:numId w:val="137"/>
        </w:numPr>
        <w:spacing w:after="200" w:line="276" w:lineRule="auto"/>
        <w:jc w:val="both"/>
        <w:rPr>
          <w:rFonts w:ascii="Arial" w:hAnsi="Arial" w:cs="Arial"/>
          <w:sz w:val="22"/>
          <w:szCs w:val="22"/>
        </w:rPr>
      </w:pPr>
      <w:r w:rsidRPr="003A7B0D">
        <w:rPr>
          <w:rFonts w:ascii="Arial" w:hAnsi="Arial" w:cs="Arial"/>
          <w:b/>
          <w:bCs/>
          <w:sz w:val="22"/>
          <w:szCs w:val="22"/>
        </w:rPr>
        <w:t>Prihodki od parkirišč</w:t>
      </w:r>
    </w:p>
    <w:p w14:paraId="5B370CD9" w14:textId="55F03AB4" w:rsidR="005B4E50" w:rsidRPr="003A7B0D" w:rsidRDefault="005B4E50" w:rsidP="005B4E50">
      <w:pPr>
        <w:spacing w:after="200" w:line="276" w:lineRule="auto"/>
        <w:ind w:left="720"/>
        <w:jc w:val="both"/>
        <w:rPr>
          <w:rFonts w:ascii="Arial" w:hAnsi="Arial" w:cs="Arial"/>
          <w:sz w:val="22"/>
          <w:szCs w:val="22"/>
        </w:rPr>
      </w:pPr>
      <w:r w:rsidRPr="003A7B0D">
        <w:rPr>
          <w:rFonts w:ascii="Arial" w:hAnsi="Arial" w:cs="Arial"/>
          <w:sz w:val="22"/>
          <w:szCs w:val="22"/>
        </w:rPr>
        <w:t>V središču Iga bo urejenih 56 parkirnih mest</w:t>
      </w:r>
      <w:r>
        <w:rPr>
          <w:rFonts w:ascii="Arial" w:hAnsi="Arial" w:cs="Arial"/>
          <w:sz w:val="22"/>
          <w:szCs w:val="22"/>
        </w:rPr>
        <w:t xml:space="preserve"> (izgradnja</w:t>
      </w:r>
      <w:r w:rsidR="0001201E">
        <w:rPr>
          <w:rFonts w:ascii="Arial" w:hAnsi="Arial" w:cs="Arial"/>
          <w:sz w:val="22"/>
          <w:szCs w:val="22"/>
        </w:rPr>
        <w:t xml:space="preserve"> 50 parkirnih mest </w:t>
      </w:r>
      <w:r>
        <w:rPr>
          <w:rFonts w:ascii="Arial" w:hAnsi="Arial" w:cs="Arial"/>
          <w:sz w:val="22"/>
          <w:szCs w:val="22"/>
        </w:rPr>
        <w:t xml:space="preserve"> predstavlja neupravičen strošek)</w:t>
      </w:r>
      <w:r w:rsidRPr="003A7B0D">
        <w:rPr>
          <w:rFonts w:ascii="Arial" w:hAnsi="Arial" w:cs="Arial"/>
          <w:sz w:val="22"/>
          <w:szCs w:val="22"/>
        </w:rPr>
        <w:t xml:space="preserve">. Ob predpostavljeni 80-odstotni zasedenosti v času od 8.00 do 18.00, ter ob upoštevanju, da približno 40 % uporabnikov parkira kratkotrajno (do dve uri brezplačno), medtem ko ostali po dveh urah parkiranja plačujejo parkirnino v višini 0,50 </w:t>
      </w:r>
      <w:r w:rsidRPr="00BC0DCF">
        <w:rPr>
          <w:rFonts w:ascii="Arial" w:hAnsi="Arial" w:cs="Arial"/>
          <w:sz w:val="22"/>
          <w:szCs w:val="22"/>
        </w:rPr>
        <w:t>EUR</w:t>
      </w:r>
      <w:r w:rsidRPr="003A7B0D">
        <w:rPr>
          <w:rFonts w:ascii="Arial" w:hAnsi="Arial" w:cs="Arial"/>
          <w:sz w:val="22"/>
          <w:szCs w:val="22"/>
        </w:rPr>
        <w:t xml:space="preserve">/uro, se ocenjujejo prihodki v višini približno 17.160 </w:t>
      </w:r>
      <w:r w:rsidRPr="00BC0DCF">
        <w:rPr>
          <w:rFonts w:ascii="Arial" w:hAnsi="Arial" w:cs="Arial"/>
          <w:sz w:val="22"/>
          <w:szCs w:val="22"/>
        </w:rPr>
        <w:t>EUR</w:t>
      </w:r>
      <w:r w:rsidRPr="003A7B0D">
        <w:rPr>
          <w:rFonts w:ascii="Arial" w:hAnsi="Arial" w:cs="Arial"/>
          <w:sz w:val="22"/>
          <w:szCs w:val="22"/>
        </w:rPr>
        <w:t xml:space="preserve"> letno (upoštevano 260 delovnih dni na leto).</w:t>
      </w:r>
    </w:p>
    <w:p w14:paraId="69F4C828" w14:textId="77777777" w:rsidR="005B4E50" w:rsidRPr="00BC0DCF" w:rsidRDefault="005B4E50" w:rsidP="005B4E50">
      <w:pPr>
        <w:numPr>
          <w:ilvl w:val="0"/>
          <w:numId w:val="137"/>
        </w:numPr>
        <w:spacing w:after="200" w:line="276" w:lineRule="auto"/>
        <w:jc w:val="both"/>
        <w:rPr>
          <w:rFonts w:ascii="Arial" w:hAnsi="Arial" w:cs="Arial"/>
          <w:sz w:val="22"/>
          <w:szCs w:val="22"/>
        </w:rPr>
      </w:pPr>
      <w:r w:rsidRPr="003A7B0D">
        <w:rPr>
          <w:rFonts w:ascii="Arial" w:hAnsi="Arial" w:cs="Arial"/>
          <w:b/>
          <w:bCs/>
          <w:sz w:val="22"/>
          <w:szCs w:val="22"/>
        </w:rPr>
        <w:t>Prihodki iz sistema javne izposoje e-koles</w:t>
      </w:r>
    </w:p>
    <w:p w14:paraId="6EAF92E0" w14:textId="77777777" w:rsidR="005B4E50" w:rsidRPr="003A7B0D" w:rsidRDefault="005B4E50" w:rsidP="005B4E50">
      <w:pPr>
        <w:spacing w:after="200" w:line="276" w:lineRule="auto"/>
        <w:ind w:left="720"/>
        <w:jc w:val="both"/>
        <w:rPr>
          <w:rFonts w:ascii="Arial" w:hAnsi="Arial" w:cs="Arial"/>
          <w:sz w:val="22"/>
          <w:szCs w:val="22"/>
        </w:rPr>
      </w:pPr>
      <w:r w:rsidRPr="003A7B0D">
        <w:rPr>
          <w:rFonts w:ascii="Arial" w:hAnsi="Arial" w:cs="Arial"/>
          <w:sz w:val="22"/>
          <w:szCs w:val="22"/>
        </w:rPr>
        <w:t xml:space="preserve">Za občino Ig, ki šteje 7.793 prebivalcev, se ocenjuje, da se bo v sistem registriralo približno 5 % prebivalcev (okoli 390 uporabnikov). Ob letni uporabnini v višini 20 </w:t>
      </w:r>
      <w:r w:rsidRPr="00BC0DCF">
        <w:rPr>
          <w:rFonts w:ascii="Arial" w:hAnsi="Arial" w:cs="Arial"/>
          <w:sz w:val="22"/>
          <w:szCs w:val="22"/>
        </w:rPr>
        <w:t>EUR</w:t>
      </w:r>
      <w:r w:rsidRPr="003A7B0D">
        <w:rPr>
          <w:rFonts w:ascii="Arial" w:hAnsi="Arial" w:cs="Arial"/>
          <w:sz w:val="22"/>
          <w:szCs w:val="22"/>
        </w:rPr>
        <w:t xml:space="preserve"> znašajo skupni pričakovani prihodki sistema e-koles približno 7.800 </w:t>
      </w:r>
      <w:r w:rsidRPr="00BC0DCF">
        <w:rPr>
          <w:rFonts w:ascii="Arial" w:hAnsi="Arial" w:cs="Arial"/>
          <w:sz w:val="22"/>
          <w:szCs w:val="22"/>
        </w:rPr>
        <w:t>EUR</w:t>
      </w:r>
      <w:r w:rsidRPr="003A7B0D">
        <w:rPr>
          <w:rFonts w:ascii="Arial" w:hAnsi="Arial" w:cs="Arial"/>
          <w:sz w:val="22"/>
          <w:szCs w:val="22"/>
        </w:rPr>
        <w:t xml:space="preserve"> letno.</w:t>
      </w:r>
    </w:p>
    <w:p w14:paraId="60A28E3D" w14:textId="77777777" w:rsidR="005B4E50" w:rsidRPr="003A7B0D" w:rsidRDefault="005B4E50" w:rsidP="005B4E50">
      <w:pPr>
        <w:spacing w:after="200" w:line="276" w:lineRule="auto"/>
        <w:jc w:val="both"/>
        <w:rPr>
          <w:rFonts w:ascii="Arial" w:hAnsi="Arial" w:cs="Arial"/>
          <w:sz w:val="22"/>
          <w:szCs w:val="22"/>
        </w:rPr>
      </w:pPr>
      <w:r w:rsidRPr="003A7B0D">
        <w:rPr>
          <w:rFonts w:ascii="Arial" w:hAnsi="Arial" w:cs="Arial"/>
          <w:sz w:val="22"/>
          <w:szCs w:val="22"/>
        </w:rPr>
        <w:t xml:space="preserve">Skupni letni prihodki iz obeh virov se tako ocenjujejo na okoli 24.960 </w:t>
      </w:r>
      <w:r w:rsidRPr="00BC0DCF">
        <w:rPr>
          <w:rFonts w:ascii="Arial" w:hAnsi="Arial" w:cs="Arial"/>
          <w:sz w:val="22"/>
          <w:szCs w:val="22"/>
        </w:rPr>
        <w:t>EUR</w:t>
      </w:r>
      <w:r w:rsidRPr="003A7B0D">
        <w:rPr>
          <w:rFonts w:ascii="Arial" w:hAnsi="Arial" w:cs="Arial"/>
          <w:sz w:val="22"/>
          <w:szCs w:val="22"/>
        </w:rPr>
        <w:t>, kar predstavlja prispevek k pokrivanju obratovalnih stroškov nove infrastrukture.</w:t>
      </w:r>
    </w:p>
    <w:p w14:paraId="498FECB8" w14:textId="77777777" w:rsidR="00F82A16" w:rsidRPr="00F11127" w:rsidRDefault="00BD7D49"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20" w:name="_Toc210033850"/>
      <w:r w:rsidRPr="00F11127">
        <w:rPr>
          <w:rFonts w:asciiTheme="majorHAnsi" w:eastAsiaTheme="majorEastAsia" w:hAnsiTheme="majorHAnsi" w:cstheme="majorHAnsi"/>
          <w:color w:val="244061" w:themeColor="accent1" w:themeShade="80"/>
        </w:rPr>
        <w:t>Obratovalni stroški</w:t>
      </w:r>
      <w:bookmarkEnd w:id="320"/>
    </w:p>
    <w:p w14:paraId="31792769" w14:textId="63F2A78B" w:rsidR="00B50BBE" w:rsidRDefault="00B50BBE" w:rsidP="00BD1D20">
      <w:pPr>
        <w:spacing w:line="276" w:lineRule="auto"/>
        <w:rPr>
          <w:rFonts w:asciiTheme="majorHAnsi" w:hAnsiTheme="majorHAnsi" w:cstheme="majorHAnsi"/>
          <w:sz w:val="22"/>
          <w:szCs w:val="22"/>
        </w:rPr>
      </w:pPr>
      <w:r w:rsidRPr="00F11127">
        <w:rPr>
          <w:rFonts w:asciiTheme="majorHAnsi" w:hAnsiTheme="majorHAnsi" w:cstheme="majorHAnsi"/>
          <w:sz w:val="22"/>
          <w:szCs w:val="22"/>
        </w:rPr>
        <w:t xml:space="preserve">Zaradi projekta bodo nastali dodatni obratovalni stroški v vrednosti </w:t>
      </w:r>
      <w:r w:rsidR="0097302B" w:rsidRPr="00F11127">
        <w:rPr>
          <w:rFonts w:asciiTheme="majorHAnsi" w:hAnsiTheme="majorHAnsi" w:cstheme="majorHAnsi"/>
          <w:sz w:val="22"/>
          <w:szCs w:val="22"/>
        </w:rPr>
        <w:t>582</w:t>
      </w:r>
      <w:r w:rsidR="00A56F90" w:rsidRPr="00F11127">
        <w:rPr>
          <w:rFonts w:asciiTheme="majorHAnsi" w:hAnsiTheme="majorHAnsi" w:cstheme="majorHAnsi"/>
          <w:sz w:val="22"/>
          <w:szCs w:val="22"/>
        </w:rPr>
        <w:t>.000,00</w:t>
      </w:r>
      <w:r w:rsidRPr="00F11127">
        <w:rPr>
          <w:rFonts w:asciiTheme="majorHAnsi" w:hAnsiTheme="majorHAnsi" w:cstheme="majorHAnsi"/>
          <w:sz w:val="22"/>
          <w:szCs w:val="22"/>
        </w:rPr>
        <w:t xml:space="preserve"> EUR na leto. Stroški obratovanja bodo nastajali</w:t>
      </w:r>
      <w:r w:rsidR="002B5D18">
        <w:rPr>
          <w:rFonts w:asciiTheme="majorHAnsi" w:hAnsiTheme="majorHAnsi" w:cstheme="majorHAnsi"/>
          <w:sz w:val="22"/>
          <w:szCs w:val="22"/>
        </w:rPr>
        <w:t>,</w:t>
      </w:r>
      <w:r w:rsidRPr="00F11127">
        <w:rPr>
          <w:rFonts w:asciiTheme="majorHAnsi" w:hAnsiTheme="majorHAnsi" w:cstheme="majorHAnsi"/>
          <w:sz w:val="22"/>
          <w:szCs w:val="22"/>
        </w:rPr>
        <w:t xml:space="preserve"> kot </w:t>
      </w:r>
      <w:r w:rsidR="002B5D18">
        <w:rPr>
          <w:rFonts w:asciiTheme="majorHAnsi" w:hAnsiTheme="majorHAnsi" w:cstheme="majorHAnsi"/>
          <w:sz w:val="22"/>
          <w:szCs w:val="22"/>
        </w:rPr>
        <w:t xml:space="preserve">je prikazano v </w:t>
      </w:r>
      <w:r w:rsidR="00B96609">
        <w:rPr>
          <w:rFonts w:asciiTheme="majorHAnsi" w:hAnsiTheme="majorHAnsi" w:cstheme="majorHAnsi"/>
          <w:sz w:val="22"/>
          <w:szCs w:val="22"/>
        </w:rPr>
        <w:t>nadaljevanju:</w:t>
      </w:r>
    </w:p>
    <w:p w14:paraId="0C1F76A2" w14:textId="1A1140B8"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Vzdrževanje cest in tlakovanih površin</w:t>
      </w:r>
    </w:p>
    <w:p w14:paraId="2E16D196" w14:textId="665C19E7" w:rsidR="00B96609" w:rsidRPr="00B96609" w:rsidRDefault="00B96609" w:rsidP="00B96609">
      <w:pPr>
        <w:numPr>
          <w:ilvl w:val="0"/>
          <w:numId w:val="207"/>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Investicijska vrednost cest (Govekarjeva + Troštova + križišče): ≈ </w:t>
      </w:r>
      <w:r w:rsidRPr="00B96609">
        <w:rPr>
          <w:rFonts w:asciiTheme="majorHAnsi" w:hAnsiTheme="majorHAnsi" w:cstheme="majorHAnsi"/>
          <w:b/>
          <w:bCs/>
          <w:sz w:val="22"/>
          <w:szCs w:val="22"/>
        </w:rPr>
        <w:t>1,</w:t>
      </w:r>
      <w:r w:rsidR="00B0343F">
        <w:rPr>
          <w:rFonts w:asciiTheme="majorHAnsi" w:hAnsiTheme="majorHAnsi" w:cstheme="majorHAnsi"/>
          <w:b/>
          <w:bCs/>
          <w:sz w:val="22"/>
          <w:szCs w:val="22"/>
        </w:rPr>
        <w:t>65</w:t>
      </w:r>
      <w:r w:rsidRPr="00B96609">
        <w:rPr>
          <w:rFonts w:asciiTheme="majorHAnsi" w:hAnsiTheme="majorHAnsi" w:cstheme="majorHAnsi"/>
          <w:b/>
          <w:bCs/>
          <w:sz w:val="22"/>
          <w:szCs w:val="22"/>
        </w:rPr>
        <w:t xml:space="preserve"> mio </w:t>
      </w:r>
      <w:r>
        <w:rPr>
          <w:rFonts w:asciiTheme="majorHAnsi" w:hAnsiTheme="majorHAnsi" w:cstheme="majorHAnsi"/>
          <w:b/>
          <w:bCs/>
          <w:sz w:val="22"/>
          <w:szCs w:val="22"/>
        </w:rPr>
        <w:t>EUR</w:t>
      </w:r>
    </w:p>
    <w:p w14:paraId="3C732BD4" w14:textId="38BD7797" w:rsidR="00B96609" w:rsidRPr="00B96609" w:rsidRDefault="00B96609" w:rsidP="00B96609">
      <w:pPr>
        <w:numPr>
          <w:ilvl w:val="0"/>
          <w:numId w:val="207"/>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Letni stroški vzdrževanja (čiščenje, popravila, zimska služba): </w:t>
      </w:r>
      <w:r w:rsidRPr="00B96609">
        <w:rPr>
          <w:rFonts w:asciiTheme="majorHAnsi" w:hAnsiTheme="majorHAnsi" w:cstheme="majorHAnsi"/>
          <w:b/>
          <w:bCs/>
          <w:sz w:val="22"/>
          <w:szCs w:val="22"/>
        </w:rPr>
        <w:t xml:space="preserve">2 % = </w:t>
      </w:r>
      <w:r w:rsidR="00B0343F">
        <w:rPr>
          <w:rFonts w:asciiTheme="majorHAnsi" w:hAnsiTheme="majorHAnsi" w:cstheme="majorHAnsi"/>
          <w:b/>
          <w:bCs/>
          <w:sz w:val="22"/>
          <w:szCs w:val="22"/>
        </w:rPr>
        <w:t>33</w:t>
      </w:r>
      <w:r w:rsidRPr="00B96609">
        <w:rPr>
          <w:rFonts w:asciiTheme="majorHAnsi" w:hAnsiTheme="majorHAnsi" w:cstheme="majorHAnsi"/>
          <w:b/>
          <w:bCs/>
          <w:sz w:val="22"/>
          <w:szCs w:val="22"/>
        </w:rPr>
        <w:t>.</w:t>
      </w:r>
      <w:r w:rsidR="00B0343F">
        <w:rPr>
          <w:rFonts w:asciiTheme="majorHAnsi" w:hAnsiTheme="majorHAnsi" w:cstheme="majorHAnsi"/>
          <w:b/>
          <w:bCs/>
          <w:sz w:val="22"/>
          <w:szCs w:val="22"/>
        </w:rPr>
        <w:t>0</w:t>
      </w:r>
      <w:r w:rsidRPr="00B96609">
        <w:rPr>
          <w:rFonts w:asciiTheme="majorHAnsi" w:hAnsiTheme="majorHAnsi" w:cstheme="majorHAnsi"/>
          <w:b/>
          <w:bCs/>
          <w:sz w:val="22"/>
          <w:szCs w:val="22"/>
        </w:rPr>
        <w:t xml:space="preserve">00 </w:t>
      </w:r>
      <w:r>
        <w:rPr>
          <w:rFonts w:asciiTheme="majorHAnsi" w:hAnsiTheme="majorHAnsi" w:cstheme="majorHAnsi"/>
          <w:b/>
          <w:bCs/>
          <w:sz w:val="22"/>
          <w:szCs w:val="22"/>
        </w:rPr>
        <w:t>EUR</w:t>
      </w:r>
    </w:p>
    <w:p w14:paraId="296530AB" w14:textId="0056D7BE"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Avtobusno postajališče (nivo + nadstrešnica)</w:t>
      </w:r>
    </w:p>
    <w:p w14:paraId="2A08E2FE" w14:textId="4FE0C70B" w:rsidR="00B96609" w:rsidRPr="00B96609" w:rsidRDefault="00B96609" w:rsidP="00B96609">
      <w:pPr>
        <w:numPr>
          <w:ilvl w:val="0"/>
          <w:numId w:val="208"/>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Investicija: ≈ </w:t>
      </w:r>
      <w:r w:rsidRPr="00B96609">
        <w:rPr>
          <w:rFonts w:asciiTheme="majorHAnsi" w:hAnsiTheme="majorHAnsi" w:cstheme="majorHAnsi"/>
          <w:b/>
          <w:bCs/>
          <w:sz w:val="22"/>
          <w:szCs w:val="22"/>
        </w:rPr>
        <w:t xml:space="preserve">550.000 </w:t>
      </w:r>
      <w:r>
        <w:rPr>
          <w:rFonts w:asciiTheme="majorHAnsi" w:hAnsiTheme="majorHAnsi" w:cstheme="majorHAnsi"/>
          <w:b/>
          <w:bCs/>
          <w:sz w:val="22"/>
          <w:szCs w:val="22"/>
        </w:rPr>
        <w:t>EUR</w:t>
      </w:r>
    </w:p>
    <w:p w14:paraId="31F90011" w14:textId="393C6AB8" w:rsidR="00B96609" w:rsidRPr="00B96609" w:rsidRDefault="00B96609" w:rsidP="00B96609">
      <w:pPr>
        <w:numPr>
          <w:ilvl w:val="0"/>
          <w:numId w:val="208"/>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Vzdrževanje (čiščenje, razsvetljava, manjša popravila, pregled varnosti): </w:t>
      </w:r>
      <w:r w:rsidRPr="00B96609">
        <w:rPr>
          <w:rFonts w:asciiTheme="majorHAnsi" w:hAnsiTheme="majorHAnsi" w:cstheme="majorHAnsi"/>
          <w:b/>
          <w:bCs/>
          <w:sz w:val="22"/>
          <w:szCs w:val="22"/>
        </w:rPr>
        <w:t xml:space="preserve">3 % = 16.500 </w:t>
      </w:r>
      <w:r>
        <w:rPr>
          <w:rFonts w:asciiTheme="majorHAnsi" w:hAnsiTheme="majorHAnsi" w:cstheme="majorHAnsi"/>
          <w:b/>
          <w:bCs/>
          <w:sz w:val="22"/>
          <w:szCs w:val="22"/>
        </w:rPr>
        <w:t>EUR</w:t>
      </w:r>
    </w:p>
    <w:p w14:paraId="38846531" w14:textId="1E9F41F5"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Kolesarska infrastruktura (parkirišča, kolesarnica)</w:t>
      </w:r>
    </w:p>
    <w:p w14:paraId="4A2ADA8C" w14:textId="4C9D91C2" w:rsidR="00B96609" w:rsidRPr="00B96609" w:rsidRDefault="00B96609" w:rsidP="00B96609">
      <w:pPr>
        <w:numPr>
          <w:ilvl w:val="0"/>
          <w:numId w:val="209"/>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Investicija: ≈ </w:t>
      </w:r>
      <w:r w:rsidR="00B0343F">
        <w:rPr>
          <w:rFonts w:asciiTheme="majorHAnsi" w:hAnsiTheme="majorHAnsi" w:cstheme="majorHAnsi"/>
          <w:b/>
          <w:bCs/>
          <w:sz w:val="22"/>
          <w:szCs w:val="22"/>
        </w:rPr>
        <w:t>86</w:t>
      </w:r>
      <w:r w:rsidRPr="00B96609">
        <w:rPr>
          <w:rFonts w:asciiTheme="majorHAnsi" w:hAnsiTheme="majorHAnsi" w:cstheme="majorHAnsi"/>
          <w:b/>
          <w:bCs/>
          <w:sz w:val="22"/>
          <w:szCs w:val="22"/>
        </w:rPr>
        <w:t xml:space="preserve">.000 </w:t>
      </w:r>
      <w:r>
        <w:rPr>
          <w:rFonts w:asciiTheme="majorHAnsi" w:hAnsiTheme="majorHAnsi" w:cstheme="majorHAnsi"/>
          <w:b/>
          <w:bCs/>
          <w:sz w:val="22"/>
          <w:szCs w:val="22"/>
        </w:rPr>
        <w:t>EUR</w:t>
      </w:r>
    </w:p>
    <w:p w14:paraId="690F0D37" w14:textId="50E02BFE" w:rsidR="00B96609" w:rsidRPr="00B96609" w:rsidRDefault="00B96609" w:rsidP="00B96609">
      <w:pPr>
        <w:numPr>
          <w:ilvl w:val="0"/>
          <w:numId w:val="209"/>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Vzdrževanje: </w:t>
      </w:r>
      <w:r w:rsidRPr="00B96609">
        <w:rPr>
          <w:rFonts w:asciiTheme="majorHAnsi" w:hAnsiTheme="majorHAnsi" w:cstheme="majorHAnsi"/>
          <w:b/>
          <w:bCs/>
          <w:sz w:val="22"/>
          <w:szCs w:val="22"/>
        </w:rPr>
        <w:t xml:space="preserve">3 % = </w:t>
      </w:r>
      <w:r w:rsidR="00B0343F">
        <w:rPr>
          <w:rFonts w:asciiTheme="majorHAnsi" w:hAnsiTheme="majorHAnsi" w:cstheme="majorHAnsi"/>
          <w:b/>
          <w:bCs/>
          <w:sz w:val="22"/>
          <w:szCs w:val="22"/>
        </w:rPr>
        <w:t>2.580</w:t>
      </w:r>
      <w:r w:rsidRPr="00B96609">
        <w:rPr>
          <w:rFonts w:asciiTheme="majorHAnsi" w:hAnsiTheme="majorHAnsi" w:cstheme="majorHAnsi"/>
          <w:b/>
          <w:bCs/>
          <w:sz w:val="22"/>
          <w:szCs w:val="22"/>
        </w:rPr>
        <w:t xml:space="preserve"> </w:t>
      </w:r>
      <w:r>
        <w:rPr>
          <w:rFonts w:asciiTheme="majorHAnsi" w:hAnsiTheme="majorHAnsi" w:cstheme="majorHAnsi"/>
          <w:b/>
          <w:bCs/>
          <w:sz w:val="22"/>
          <w:szCs w:val="22"/>
        </w:rPr>
        <w:t>EUR</w:t>
      </w:r>
    </w:p>
    <w:p w14:paraId="017AE774" w14:textId="5EB214BE"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Sistem izposoje e-koles (2 postajališči, 8 koles)</w:t>
      </w:r>
    </w:p>
    <w:p w14:paraId="630DF2E7" w14:textId="12BC6C06" w:rsidR="00B96609" w:rsidRPr="00B96609" w:rsidRDefault="00B96609" w:rsidP="00B96609">
      <w:pPr>
        <w:numPr>
          <w:ilvl w:val="0"/>
          <w:numId w:val="210"/>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Investicija: ≈ </w:t>
      </w:r>
      <w:r w:rsidRPr="00B96609">
        <w:rPr>
          <w:rFonts w:asciiTheme="majorHAnsi" w:hAnsiTheme="majorHAnsi" w:cstheme="majorHAnsi"/>
          <w:b/>
          <w:bCs/>
          <w:sz w:val="22"/>
          <w:szCs w:val="22"/>
        </w:rPr>
        <w:t xml:space="preserve">49.000 </w:t>
      </w:r>
      <w:r>
        <w:rPr>
          <w:rFonts w:asciiTheme="majorHAnsi" w:hAnsiTheme="majorHAnsi" w:cstheme="majorHAnsi"/>
          <w:b/>
          <w:bCs/>
          <w:sz w:val="22"/>
          <w:szCs w:val="22"/>
        </w:rPr>
        <w:t>EUR</w:t>
      </w:r>
    </w:p>
    <w:p w14:paraId="292C76BD" w14:textId="21669D1C" w:rsidR="00B96609" w:rsidRPr="00B96609" w:rsidRDefault="00B96609" w:rsidP="00B96609">
      <w:pPr>
        <w:numPr>
          <w:ilvl w:val="0"/>
          <w:numId w:val="210"/>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Stroški vzdrževanja + servis koles + IT sistem: običajno </w:t>
      </w:r>
      <w:r w:rsidRPr="00B96609">
        <w:rPr>
          <w:rFonts w:asciiTheme="majorHAnsi" w:hAnsiTheme="majorHAnsi" w:cstheme="majorHAnsi"/>
          <w:b/>
          <w:bCs/>
          <w:sz w:val="22"/>
          <w:szCs w:val="22"/>
        </w:rPr>
        <w:t xml:space="preserve">15 % vrednosti/leto = 7.350 </w:t>
      </w:r>
      <w:r>
        <w:rPr>
          <w:rFonts w:asciiTheme="majorHAnsi" w:hAnsiTheme="majorHAnsi" w:cstheme="majorHAnsi"/>
          <w:b/>
          <w:bCs/>
          <w:sz w:val="22"/>
          <w:szCs w:val="22"/>
        </w:rPr>
        <w:t>EUR</w:t>
      </w:r>
    </w:p>
    <w:p w14:paraId="29D40867" w14:textId="70D2A2D9"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Merilniki hitrosti, prikazovalniki, števci kolesarjev</w:t>
      </w:r>
    </w:p>
    <w:p w14:paraId="465325CB" w14:textId="2016FECB" w:rsidR="00B96609" w:rsidRPr="00B96609" w:rsidRDefault="00B96609" w:rsidP="00B96609">
      <w:pPr>
        <w:numPr>
          <w:ilvl w:val="0"/>
          <w:numId w:val="211"/>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lastRenderedPageBreak/>
        <w:t xml:space="preserve">Investicija: ≈ </w:t>
      </w:r>
      <w:r w:rsidRPr="00B96609">
        <w:rPr>
          <w:rFonts w:asciiTheme="majorHAnsi" w:hAnsiTheme="majorHAnsi" w:cstheme="majorHAnsi"/>
          <w:b/>
          <w:bCs/>
          <w:sz w:val="22"/>
          <w:szCs w:val="22"/>
        </w:rPr>
        <w:t>4</w:t>
      </w:r>
      <w:r w:rsidR="00B0343F">
        <w:rPr>
          <w:rFonts w:asciiTheme="majorHAnsi" w:hAnsiTheme="majorHAnsi" w:cstheme="majorHAnsi"/>
          <w:b/>
          <w:bCs/>
          <w:sz w:val="22"/>
          <w:szCs w:val="22"/>
        </w:rPr>
        <w:t>7</w:t>
      </w:r>
      <w:r w:rsidRPr="00B96609">
        <w:rPr>
          <w:rFonts w:asciiTheme="majorHAnsi" w:hAnsiTheme="majorHAnsi" w:cstheme="majorHAnsi"/>
          <w:b/>
          <w:bCs/>
          <w:sz w:val="22"/>
          <w:szCs w:val="22"/>
        </w:rPr>
        <w:t xml:space="preserve">.000 </w:t>
      </w:r>
      <w:r>
        <w:rPr>
          <w:rFonts w:asciiTheme="majorHAnsi" w:hAnsiTheme="majorHAnsi" w:cstheme="majorHAnsi"/>
          <w:b/>
          <w:bCs/>
          <w:sz w:val="22"/>
          <w:szCs w:val="22"/>
        </w:rPr>
        <w:t>EUR</w:t>
      </w:r>
    </w:p>
    <w:p w14:paraId="7EDDB66F" w14:textId="6D2C0444" w:rsidR="00B96609" w:rsidRPr="00B96609" w:rsidRDefault="00B96609" w:rsidP="00B96609">
      <w:pPr>
        <w:numPr>
          <w:ilvl w:val="0"/>
          <w:numId w:val="211"/>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Vzdrževanje, kalibracije, elektrika: </w:t>
      </w:r>
      <w:r w:rsidRPr="00B96609">
        <w:rPr>
          <w:rFonts w:asciiTheme="majorHAnsi" w:hAnsiTheme="majorHAnsi" w:cstheme="majorHAnsi"/>
          <w:b/>
          <w:bCs/>
          <w:sz w:val="22"/>
          <w:szCs w:val="22"/>
        </w:rPr>
        <w:t>5 % = 2.</w:t>
      </w:r>
      <w:r w:rsidR="00B0343F">
        <w:rPr>
          <w:rFonts w:asciiTheme="majorHAnsi" w:hAnsiTheme="majorHAnsi" w:cstheme="majorHAnsi"/>
          <w:b/>
          <w:bCs/>
          <w:sz w:val="22"/>
          <w:szCs w:val="22"/>
        </w:rPr>
        <w:t>35</w:t>
      </w:r>
      <w:r w:rsidRPr="00B96609">
        <w:rPr>
          <w:rFonts w:asciiTheme="majorHAnsi" w:hAnsiTheme="majorHAnsi" w:cstheme="majorHAnsi"/>
          <w:b/>
          <w:bCs/>
          <w:sz w:val="22"/>
          <w:szCs w:val="22"/>
        </w:rPr>
        <w:t xml:space="preserve">0 </w:t>
      </w:r>
      <w:r>
        <w:rPr>
          <w:rFonts w:asciiTheme="majorHAnsi" w:hAnsiTheme="majorHAnsi" w:cstheme="majorHAnsi"/>
          <w:b/>
          <w:bCs/>
          <w:sz w:val="22"/>
          <w:szCs w:val="22"/>
        </w:rPr>
        <w:t>EUR</w:t>
      </w:r>
    </w:p>
    <w:p w14:paraId="1AACAA6D" w14:textId="5BBE5943" w:rsidR="00B96609" w:rsidRPr="00B96609" w:rsidRDefault="00B96609" w:rsidP="00B96609">
      <w:pPr>
        <w:pStyle w:val="Odstavekseznama"/>
        <w:numPr>
          <w:ilvl w:val="0"/>
          <w:numId w:val="213"/>
        </w:numPr>
        <w:spacing w:after="0"/>
        <w:ind w:left="426" w:hanging="357"/>
        <w:rPr>
          <w:rFonts w:asciiTheme="majorHAnsi" w:hAnsiTheme="majorHAnsi" w:cstheme="majorHAnsi"/>
        </w:rPr>
      </w:pPr>
      <w:r w:rsidRPr="00B96609">
        <w:rPr>
          <w:rFonts w:asciiTheme="majorHAnsi" w:eastAsia="Times New Roman" w:hAnsiTheme="majorHAnsi" w:cstheme="majorHAnsi"/>
          <w:b/>
          <w:bCs/>
        </w:rPr>
        <w:t>Splošni stroški vzdrževanja javnih površin</w:t>
      </w:r>
      <w:r w:rsidRPr="00B96609">
        <w:rPr>
          <w:rFonts w:asciiTheme="majorHAnsi" w:hAnsiTheme="majorHAnsi" w:cstheme="majorHAnsi"/>
        </w:rPr>
        <w:t xml:space="preserve"> (zelene površine ob cestah, košnja, zalivanje, čistilni servis ipd.)</w:t>
      </w:r>
    </w:p>
    <w:p w14:paraId="6D12D2DD" w14:textId="73BD019E" w:rsidR="00B96609" w:rsidRPr="00B96609" w:rsidRDefault="00B96609" w:rsidP="00B96609">
      <w:pPr>
        <w:numPr>
          <w:ilvl w:val="0"/>
          <w:numId w:val="212"/>
        </w:numPr>
        <w:spacing w:line="276" w:lineRule="auto"/>
        <w:ind w:hanging="357"/>
        <w:rPr>
          <w:rFonts w:asciiTheme="majorHAnsi" w:hAnsiTheme="majorHAnsi" w:cstheme="majorHAnsi"/>
          <w:sz w:val="22"/>
          <w:szCs w:val="22"/>
        </w:rPr>
      </w:pPr>
      <w:r w:rsidRPr="00B96609">
        <w:rPr>
          <w:rFonts w:asciiTheme="majorHAnsi" w:hAnsiTheme="majorHAnsi" w:cstheme="majorHAnsi"/>
          <w:sz w:val="22"/>
          <w:szCs w:val="22"/>
        </w:rPr>
        <w:t xml:space="preserve">Ocenjeno glede na obseg projekta: </w:t>
      </w:r>
      <w:r w:rsidRPr="00B96609">
        <w:rPr>
          <w:rFonts w:asciiTheme="majorHAnsi" w:hAnsiTheme="majorHAnsi" w:cstheme="majorHAnsi"/>
          <w:b/>
          <w:bCs/>
          <w:sz w:val="22"/>
          <w:szCs w:val="22"/>
        </w:rPr>
        <w:t xml:space="preserve">10.000 </w:t>
      </w:r>
      <w:r>
        <w:rPr>
          <w:rFonts w:asciiTheme="majorHAnsi" w:hAnsiTheme="majorHAnsi" w:cstheme="majorHAnsi"/>
          <w:b/>
          <w:bCs/>
          <w:sz w:val="22"/>
          <w:szCs w:val="22"/>
        </w:rPr>
        <w:t>EUR</w:t>
      </w:r>
      <w:r w:rsidRPr="00B96609">
        <w:rPr>
          <w:rFonts w:asciiTheme="majorHAnsi" w:hAnsiTheme="majorHAnsi" w:cstheme="majorHAnsi"/>
          <w:b/>
          <w:bCs/>
          <w:sz w:val="22"/>
          <w:szCs w:val="22"/>
        </w:rPr>
        <w:t xml:space="preserve"> letno</w:t>
      </w:r>
    </w:p>
    <w:p w14:paraId="7D4F3A60" w14:textId="77777777" w:rsidR="00B96609" w:rsidRDefault="00B96609" w:rsidP="00BD1D20">
      <w:pPr>
        <w:spacing w:after="120" w:line="276" w:lineRule="auto"/>
        <w:jc w:val="both"/>
        <w:rPr>
          <w:rFonts w:asciiTheme="majorHAnsi" w:hAnsiTheme="majorHAnsi" w:cstheme="majorHAnsi"/>
          <w:sz w:val="22"/>
          <w:szCs w:val="22"/>
        </w:rPr>
      </w:pPr>
    </w:p>
    <w:p w14:paraId="13A3B74D" w14:textId="542E0272" w:rsidR="000A7D30" w:rsidRPr="00F11127" w:rsidRDefault="00633931"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Obratovalni </w:t>
      </w:r>
      <w:r w:rsidR="00174517" w:rsidRPr="00F11127">
        <w:rPr>
          <w:rFonts w:asciiTheme="majorHAnsi" w:hAnsiTheme="majorHAnsi" w:cstheme="majorHAnsi"/>
          <w:sz w:val="22"/>
          <w:szCs w:val="22"/>
        </w:rPr>
        <w:t>stroški</w:t>
      </w:r>
      <w:r w:rsidRPr="00F11127">
        <w:rPr>
          <w:rFonts w:asciiTheme="majorHAnsi" w:hAnsiTheme="majorHAnsi" w:cstheme="majorHAnsi"/>
          <w:sz w:val="22"/>
          <w:szCs w:val="22"/>
        </w:rPr>
        <w:t xml:space="preserve"> so določeni kot dodatni stroški, ki bodo nastajali zaradi izvedbe projekta in so ocenjeni izkustveno.</w:t>
      </w:r>
      <w:r w:rsidR="00DE0FBA" w:rsidRPr="00F11127">
        <w:rPr>
          <w:rFonts w:asciiTheme="majorHAnsi" w:hAnsiTheme="majorHAnsi" w:cstheme="majorHAnsi"/>
          <w:sz w:val="22"/>
          <w:szCs w:val="22"/>
        </w:rPr>
        <w:t xml:space="preserve"> </w:t>
      </w:r>
      <w:r w:rsidR="00B96609">
        <w:rPr>
          <w:rFonts w:asciiTheme="majorHAnsi" w:hAnsiTheme="majorHAnsi" w:cstheme="majorHAnsi"/>
          <w:sz w:val="22"/>
          <w:szCs w:val="22"/>
        </w:rPr>
        <w:t xml:space="preserve">Ker stroški vzdrževanja cest že obstajajo </w:t>
      </w:r>
      <w:r w:rsidR="00494757">
        <w:rPr>
          <w:rFonts w:asciiTheme="majorHAnsi" w:hAnsiTheme="majorHAnsi" w:cstheme="majorHAnsi"/>
          <w:sz w:val="22"/>
          <w:szCs w:val="22"/>
        </w:rPr>
        <w:t xml:space="preserve">vezano na obstoječe stanje, </w:t>
      </w:r>
      <w:r w:rsidR="00A075F5">
        <w:rPr>
          <w:rFonts w:asciiTheme="majorHAnsi" w:hAnsiTheme="majorHAnsi" w:cstheme="majorHAnsi"/>
          <w:sz w:val="22"/>
          <w:szCs w:val="22"/>
        </w:rPr>
        <w:t>le-ti ne predstavljajo dodatnih ampak obstoječe obratovalne stroške.</w:t>
      </w:r>
    </w:p>
    <w:p w14:paraId="0ABBB0A9" w14:textId="35398E19" w:rsidR="00BD7D49" w:rsidRPr="00F11127" w:rsidRDefault="00BD7D49" w:rsidP="00BD1D20">
      <w:pPr>
        <w:spacing w:after="120"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 xml:space="preserve">Kot začetno obdobje obratovalnih stroškov smo upoštevali </w:t>
      </w:r>
      <w:r w:rsidR="00A075F5">
        <w:rPr>
          <w:rFonts w:asciiTheme="majorHAnsi" w:hAnsiTheme="majorHAnsi" w:cstheme="majorHAnsi"/>
          <w:sz w:val="22"/>
          <w:szCs w:val="22"/>
          <w:lang w:eastAsia="zh-TW"/>
        </w:rPr>
        <w:t xml:space="preserve">leto 2030, ko se bo </w:t>
      </w:r>
      <w:r w:rsidRPr="00F11127">
        <w:rPr>
          <w:rFonts w:asciiTheme="majorHAnsi" w:hAnsiTheme="majorHAnsi" w:cstheme="majorHAnsi"/>
          <w:sz w:val="22"/>
          <w:szCs w:val="22"/>
          <w:lang w:eastAsia="zh-TW"/>
        </w:rPr>
        <w:t xml:space="preserve">predmetna investicija </w:t>
      </w:r>
      <w:r w:rsidR="00A075F5">
        <w:rPr>
          <w:rFonts w:asciiTheme="majorHAnsi" w:hAnsiTheme="majorHAnsi" w:cstheme="majorHAnsi"/>
          <w:sz w:val="22"/>
          <w:szCs w:val="22"/>
          <w:lang w:eastAsia="zh-TW"/>
        </w:rPr>
        <w:t>v celoti tudi začela</w:t>
      </w:r>
      <w:r w:rsidRPr="00F11127">
        <w:rPr>
          <w:rFonts w:asciiTheme="majorHAnsi" w:hAnsiTheme="majorHAnsi" w:cstheme="majorHAnsi"/>
          <w:sz w:val="22"/>
          <w:szCs w:val="22"/>
          <w:lang w:eastAsia="zh-TW"/>
        </w:rPr>
        <w:t xml:space="preserve"> uporabljati.</w:t>
      </w:r>
    </w:p>
    <w:p w14:paraId="5D74F2E6" w14:textId="77777777" w:rsidR="000E29C4" w:rsidRPr="00F11127" w:rsidRDefault="000E29C4" w:rsidP="00BD1D20">
      <w:pPr>
        <w:spacing w:after="120" w:line="276" w:lineRule="auto"/>
        <w:jc w:val="both"/>
        <w:rPr>
          <w:rFonts w:asciiTheme="majorHAnsi" w:hAnsiTheme="majorHAnsi" w:cstheme="majorHAnsi"/>
          <w:sz w:val="22"/>
          <w:szCs w:val="22"/>
          <w:lang w:eastAsia="zh-TW"/>
        </w:rPr>
      </w:pPr>
      <w:bookmarkStart w:id="321" w:name="_Toc447095053"/>
      <w:r w:rsidRPr="00F11127">
        <w:rPr>
          <w:rFonts w:asciiTheme="majorHAnsi" w:hAnsiTheme="majorHAnsi" w:cstheme="majorHAnsi"/>
          <w:sz w:val="22"/>
          <w:szCs w:val="22"/>
          <w:lang w:eastAsia="zh-TW"/>
        </w:rPr>
        <w:t xml:space="preserve">Ekonomska doba investicije je določena na </w:t>
      </w:r>
      <w:r w:rsidR="00EB682C" w:rsidRPr="00F11127">
        <w:rPr>
          <w:rFonts w:asciiTheme="majorHAnsi" w:hAnsiTheme="majorHAnsi" w:cstheme="majorHAnsi"/>
          <w:sz w:val="22"/>
          <w:szCs w:val="22"/>
          <w:lang w:eastAsia="zh-TW"/>
        </w:rPr>
        <w:t>30</w:t>
      </w:r>
      <w:r w:rsidRPr="00F11127">
        <w:rPr>
          <w:rFonts w:asciiTheme="majorHAnsi" w:hAnsiTheme="majorHAnsi" w:cstheme="majorHAnsi"/>
          <w:sz w:val="22"/>
          <w:szCs w:val="22"/>
          <w:lang w:eastAsia="zh-TW"/>
        </w:rPr>
        <w:t xml:space="preserve"> let</w:t>
      </w:r>
      <w:r w:rsidRPr="00F11127">
        <w:rPr>
          <w:rFonts w:asciiTheme="majorHAnsi" w:hAnsiTheme="majorHAnsi" w:cstheme="majorHAnsi"/>
          <w:sz w:val="22"/>
          <w:szCs w:val="22"/>
          <w:vertAlign w:val="superscript"/>
          <w:lang w:eastAsia="zh-TW"/>
        </w:rPr>
        <w:footnoteReference w:id="4"/>
      </w:r>
      <w:r w:rsidRPr="00F11127">
        <w:rPr>
          <w:rFonts w:asciiTheme="majorHAnsi" w:hAnsiTheme="majorHAnsi" w:cstheme="majorHAnsi"/>
          <w:sz w:val="22"/>
          <w:szCs w:val="22"/>
          <w:lang w:eastAsia="zh-TW"/>
        </w:rPr>
        <w:t>.  Pri tem amortizacija vsebuje različne amortizacijske stopnje, ki so v skladu s Pravilnikom o načinu in stopnjah odpisa neopredmetenih sredstev in opredmetenih osnovnih sredstev (Uradni list RS, št. 45/05, 138/06, 120/07, 48/09, 112/09, 58/10, 108/13 in 100/15):</w:t>
      </w:r>
    </w:p>
    <w:p w14:paraId="6A974189" w14:textId="77777777" w:rsidR="00BD7D49" w:rsidRPr="00F11127" w:rsidRDefault="00BD7D49" w:rsidP="00BD1D20">
      <w:pPr>
        <w:pStyle w:val="Naslov2"/>
        <w:numPr>
          <w:ilvl w:val="2"/>
          <w:numId w:val="2"/>
        </w:numPr>
        <w:spacing w:before="240" w:after="240"/>
        <w:rPr>
          <w:rFonts w:asciiTheme="majorHAnsi" w:eastAsiaTheme="majorEastAsia" w:hAnsiTheme="majorHAnsi" w:cstheme="majorHAnsi"/>
          <w:color w:val="244061" w:themeColor="accent1" w:themeShade="80"/>
          <w:szCs w:val="22"/>
        </w:rPr>
      </w:pPr>
      <w:bookmarkStart w:id="322" w:name="_Toc210033851"/>
      <w:r w:rsidRPr="00F11127">
        <w:rPr>
          <w:rFonts w:asciiTheme="majorHAnsi" w:eastAsiaTheme="majorEastAsia" w:hAnsiTheme="majorHAnsi" w:cstheme="majorHAnsi"/>
          <w:color w:val="244061" w:themeColor="accent1" w:themeShade="80"/>
          <w:szCs w:val="22"/>
        </w:rPr>
        <w:t>Stroški amor</w:t>
      </w:r>
      <w:r w:rsidR="00C819D0" w:rsidRPr="00F11127">
        <w:rPr>
          <w:rFonts w:asciiTheme="majorHAnsi" w:eastAsiaTheme="majorEastAsia" w:hAnsiTheme="majorHAnsi" w:cstheme="majorHAnsi"/>
          <w:color w:val="244061" w:themeColor="accent1" w:themeShade="80"/>
          <w:szCs w:val="22"/>
        </w:rPr>
        <w:t>t</w:t>
      </w:r>
      <w:r w:rsidRPr="00F11127">
        <w:rPr>
          <w:rFonts w:asciiTheme="majorHAnsi" w:eastAsiaTheme="majorEastAsia" w:hAnsiTheme="majorHAnsi" w:cstheme="majorHAnsi"/>
          <w:color w:val="244061" w:themeColor="accent1" w:themeShade="80"/>
          <w:szCs w:val="22"/>
        </w:rPr>
        <w:t>izacije</w:t>
      </w:r>
      <w:bookmarkEnd w:id="322"/>
    </w:p>
    <w:p w14:paraId="47BA18C2" w14:textId="38BC9A53" w:rsidR="00337C5A" w:rsidRPr="00F11127" w:rsidRDefault="00063B2B" w:rsidP="00BD1D20">
      <w:pPr>
        <w:pStyle w:val="Napis"/>
        <w:keepNext/>
        <w:spacing w:after="120" w:line="276" w:lineRule="auto"/>
        <w:rPr>
          <w:rFonts w:asciiTheme="majorHAnsi" w:hAnsiTheme="majorHAnsi" w:cstheme="majorHAnsi"/>
          <w:b w:val="0"/>
          <w:color w:val="auto"/>
          <w:sz w:val="22"/>
          <w:szCs w:val="22"/>
        </w:rPr>
      </w:pPr>
      <w:bookmarkStart w:id="323" w:name="_Toc209528312"/>
      <w:r w:rsidRPr="00F11127">
        <w:rPr>
          <w:rFonts w:asciiTheme="majorHAnsi" w:hAnsiTheme="majorHAnsi" w:cstheme="majorHAnsi"/>
          <w:color w:val="auto"/>
          <w:sz w:val="22"/>
          <w:szCs w:val="22"/>
        </w:rPr>
        <w:t xml:space="preserve">Tabela </w:t>
      </w:r>
      <w:r w:rsidR="00050C93"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00050C93"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26</w:t>
      </w:r>
      <w:r w:rsidR="00050C93" w:rsidRPr="00F11127">
        <w:rPr>
          <w:rFonts w:asciiTheme="majorHAnsi" w:hAnsiTheme="majorHAnsi" w:cstheme="majorHAnsi"/>
          <w:color w:val="auto"/>
          <w:sz w:val="22"/>
          <w:szCs w:val="22"/>
        </w:rPr>
        <w:fldChar w:fldCharType="end"/>
      </w:r>
      <w:r w:rsidRPr="00F11127">
        <w:rPr>
          <w:rFonts w:asciiTheme="majorHAnsi" w:hAnsiTheme="majorHAnsi" w:cstheme="majorHAnsi"/>
          <w:b w:val="0"/>
          <w:color w:val="auto"/>
          <w:sz w:val="22"/>
          <w:szCs w:val="22"/>
        </w:rPr>
        <w:t>:</w:t>
      </w:r>
      <w:r w:rsidR="00337C5A" w:rsidRPr="00F11127">
        <w:rPr>
          <w:rFonts w:asciiTheme="majorHAnsi" w:hAnsiTheme="majorHAnsi" w:cstheme="majorHAnsi"/>
          <w:b w:val="0"/>
          <w:color w:val="auto"/>
          <w:sz w:val="22"/>
          <w:szCs w:val="22"/>
        </w:rPr>
        <w:t>Prikaz amortizacijske vrednosti</w:t>
      </w:r>
      <w:bookmarkEnd w:id="323"/>
      <w:r w:rsidR="00337C5A" w:rsidRPr="00F11127">
        <w:rPr>
          <w:rFonts w:asciiTheme="majorHAnsi" w:hAnsiTheme="majorHAnsi" w:cstheme="majorHAnsi"/>
          <w:b w:val="0"/>
          <w:color w:val="auto"/>
          <w:sz w:val="22"/>
          <w:szCs w:val="22"/>
        </w:rPr>
        <w:t xml:space="preserve"> </w:t>
      </w:r>
      <w:bookmarkEnd w:id="321"/>
    </w:p>
    <w:tbl>
      <w:tblPr>
        <w:tblW w:w="9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78"/>
        <w:gridCol w:w="1425"/>
        <w:gridCol w:w="1112"/>
        <w:gridCol w:w="1325"/>
        <w:gridCol w:w="8"/>
        <w:gridCol w:w="1703"/>
        <w:gridCol w:w="1531"/>
      </w:tblGrid>
      <w:tr w:rsidR="006A1C00" w:rsidRPr="00B80C03" w14:paraId="4022F25E" w14:textId="77777777" w:rsidTr="00C76A9C">
        <w:trPr>
          <w:trHeight w:val="300"/>
          <w:tblHeader/>
        </w:trPr>
        <w:tc>
          <w:tcPr>
            <w:tcW w:w="2278" w:type="dxa"/>
            <w:shd w:val="clear" w:color="auto" w:fill="C6D9F1" w:themeFill="text2" w:themeFillTint="33"/>
            <w:noWrap/>
            <w:vAlign w:val="center"/>
            <w:hideMark/>
          </w:tcPr>
          <w:p w14:paraId="4954AB35" w14:textId="77777777" w:rsidR="006A1C00" w:rsidRPr="00B80C03" w:rsidRDefault="006A1C00" w:rsidP="00BD1D20">
            <w:pPr>
              <w:spacing w:line="276" w:lineRule="auto"/>
              <w:rPr>
                <w:rFonts w:ascii="Arial" w:hAnsi="Arial" w:cs="Arial"/>
                <w:b/>
                <w:bCs/>
                <w:color w:val="000000"/>
                <w:sz w:val="20"/>
                <w:szCs w:val="20"/>
              </w:rPr>
            </w:pPr>
            <w:r w:rsidRPr="00B80C03">
              <w:rPr>
                <w:rFonts w:ascii="Arial" w:hAnsi="Arial" w:cs="Arial"/>
                <w:b/>
                <w:bCs/>
                <w:color w:val="000000"/>
                <w:sz w:val="20"/>
                <w:szCs w:val="20"/>
              </w:rPr>
              <w:t>AMORTIZACIJA</w:t>
            </w:r>
          </w:p>
        </w:tc>
        <w:tc>
          <w:tcPr>
            <w:tcW w:w="1425" w:type="dxa"/>
            <w:tcBorders>
              <w:bottom w:val="single" w:sz="4" w:space="0" w:color="auto"/>
            </w:tcBorders>
            <w:shd w:val="clear" w:color="auto" w:fill="C6D9F1" w:themeFill="text2" w:themeFillTint="33"/>
            <w:vAlign w:val="center"/>
          </w:tcPr>
          <w:p w14:paraId="5038FD33" w14:textId="77777777" w:rsidR="006A1C00" w:rsidRPr="00B80C03" w:rsidRDefault="006A1C00" w:rsidP="00BD1D20">
            <w:pPr>
              <w:spacing w:line="276" w:lineRule="auto"/>
              <w:rPr>
                <w:rFonts w:ascii="Arial" w:hAnsi="Arial" w:cs="Arial"/>
                <w:b/>
                <w:bCs/>
                <w:color w:val="000000"/>
                <w:sz w:val="20"/>
                <w:szCs w:val="20"/>
              </w:rPr>
            </w:pPr>
            <w:r w:rsidRPr="00B80C03">
              <w:rPr>
                <w:rFonts w:ascii="Arial" w:hAnsi="Arial" w:cs="Arial"/>
                <w:b/>
                <w:bCs/>
                <w:color w:val="000000"/>
                <w:sz w:val="20"/>
                <w:szCs w:val="20"/>
              </w:rPr>
              <w:t>VREDNOST</w:t>
            </w:r>
          </w:p>
        </w:tc>
        <w:tc>
          <w:tcPr>
            <w:tcW w:w="1112" w:type="dxa"/>
            <w:shd w:val="clear" w:color="auto" w:fill="C6D9F1" w:themeFill="text2" w:themeFillTint="33"/>
            <w:noWrap/>
            <w:vAlign w:val="center"/>
            <w:hideMark/>
          </w:tcPr>
          <w:p w14:paraId="35566B6A" w14:textId="77777777" w:rsidR="006A1C00" w:rsidRPr="00B80C03" w:rsidRDefault="006A1C00" w:rsidP="00BD1D20">
            <w:pPr>
              <w:spacing w:line="276" w:lineRule="auto"/>
              <w:rPr>
                <w:rFonts w:ascii="Arial" w:hAnsi="Arial" w:cs="Arial"/>
                <w:b/>
                <w:bCs/>
                <w:color w:val="000000"/>
                <w:sz w:val="20"/>
                <w:szCs w:val="20"/>
              </w:rPr>
            </w:pPr>
            <w:r w:rsidRPr="00B80C03">
              <w:rPr>
                <w:rFonts w:ascii="Arial" w:hAnsi="Arial" w:cs="Arial"/>
                <w:b/>
                <w:bCs/>
                <w:color w:val="000000"/>
                <w:sz w:val="20"/>
                <w:szCs w:val="20"/>
              </w:rPr>
              <w:t>STOPNJA AM</w:t>
            </w:r>
          </w:p>
        </w:tc>
        <w:tc>
          <w:tcPr>
            <w:tcW w:w="1325" w:type="dxa"/>
            <w:shd w:val="clear" w:color="auto" w:fill="C6D9F1" w:themeFill="text2" w:themeFillTint="33"/>
            <w:noWrap/>
            <w:vAlign w:val="center"/>
            <w:hideMark/>
          </w:tcPr>
          <w:p w14:paraId="4F638BD6" w14:textId="77777777" w:rsidR="006A1C00" w:rsidRPr="00B80C03" w:rsidRDefault="006A1C00" w:rsidP="00BD1D20">
            <w:pPr>
              <w:spacing w:line="276" w:lineRule="auto"/>
              <w:rPr>
                <w:rFonts w:ascii="Arial" w:hAnsi="Arial" w:cs="Arial"/>
                <w:b/>
                <w:bCs/>
                <w:color w:val="000000"/>
                <w:sz w:val="20"/>
                <w:szCs w:val="20"/>
              </w:rPr>
            </w:pPr>
            <w:r w:rsidRPr="00B80C03">
              <w:rPr>
                <w:rFonts w:ascii="Arial" w:hAnsi="Arial" w:cs="Arial"/>
                <w:b/>
                <w:bCs/>
                <w:color w:val="000000"/>
                <w:sz w:val="20"/>
                <w:szCs w:val="20"/>
              </w:rPr>
              <w:t>VREDNOST AM</w:t>
            </w:r>
          </w:p>
        </w:tc>
        <w:tc>
          <w:tcPr>
            <w:tcW w:w="1711" w:type="dxa"/>
            <w:gridSpan w:val="2"/>
            <w:shd w:val="clear" w:color="auto" w:fill="C6D9F1" w:themeFill="text2" w:themeFillTint="33"/>
            <w:noWrap/>
            <w:vAlign w:val="center"/>
            <w:hideMark/>
          </w:tcPr>
          <w:p w14:paraId="38F871C6" w14:textId="77777777" w:rsidR="006A1C00" w:rsidRPr="00B80C03" w:rsidRDefault="006A1C00" w:rsidP="00BD1D20">
            <w:pPr>
              <w:spacing w:line="276" w:lineRule="auto"/>
              <w:rPr>
                <w:rFonts w:ascii="Arial" w:hAnsi="Arial" w:cs="Arial"/>
                <w:b/>
                <w:bCs/>
                <w:sz w:val="20"/>
                <w:szCs w:val="20"/>
              </w:rPr>
            </w:pPr>
            <w:r w:rsidRPr="00B80C03">
              <w:rPr>
                <w:rFonts w:ascii="Arial" w:hAnsi="Arial" w:cs="Arial"/>
                <w:b/>
                <w:bCs/>
                <w:color w:val="000000"/>
                <w:sz w:val="20"/>
                <w:szCs w:val="20"/>
              </w:rPr>
              <w:t>ODPISANA VREDNOST</w:t>
            </w:r>
          </w:p>
        </w:tc>
        <w:tc>
          <w:tcPr>
            <w:tcW w:w="1531" w:type="dxa"/>
            <w:shd w:val="clear" w:color="auto" w:fill="C6D9F1" w:themeFill="text2" w:themeFillTint="33"/>
            <w:noWrap/>
            <w:vAlign w:val="center"/>
            <w:hideMark/>
          </w:tcPr>
          <w:p w14:paraId="2E319B63" w14:textId="77777777" w:rsidR="006A1C00" w:rsidRPr="00B80C03" w:rsidRDefault="006A1C00" w:rsidP="00BD1D20">
            <w:pPr>
              <w:spacing w:line="276" w:lineRule="auto"/>
              <w:rPr>
                <w:rFonts w:ascii="Arial" w:hAnsi="Arial" w:cs="Arial"/>
                <w:b/>
                <w:bCs/>
                <w:sz w:val="20"/>
                <w:szCs w:val="20"/>
              </w:rPr>
            </w:pPr>
            <w:r w:rsidRPr="00B80C03">
              <w:rPr>
                <w:rFonts w:ascii="Arial" w:hAnsi="Arial" w:cs="Arial"/>
                <w:b/>
                <w:bCs/>
                <w:color w:val="000000"/>
                <w:sz w:val="20"/>
                <w:szCs w:val="20"/>
              </w:rPr>
              <w:t>PREOSTANEK VREDNOSTI</w:t>
            </w:r>
          </w:p>
        </w:tc>
      </w:tr>
      <w:tr w:rsidR="00B80C03" w:rsidRPr="00B80C03" w14:paraId="37653AB3" w14:textId="77777777" w:rsidTr="00276273">
        <w:trPr>
          <w:trHeight w:val="300"/>
        </w:trPr>
        <w:tc>
          <w:tcPr>
            <w:tcW w:w="2278" w:type="dxa"/>
            <w:noWrap/>
            <w:vAlign w:val="center"/>
            <w:hideMark/>
          </w:tcPr>
          <w:p w14:paraId="45F1181B" w14:textId="664F44BD" w:rsidR="00B80C03" w:rsidRPr="00B80C03" w:rsidRDefault="00B80C03" w:rsidP="00B80C03">
            <w:pPr>
              <w:spacing w:line="276" w:lineRule="auto"/>
              <w:rPr>
                <w:rFonts w:ascii="Arial" w:hAnsi="Arial" w:cs="Arial"/>
                <w:color w:val="000000"/>
                <w:sz w:val="20"/>
                <w:szCs w:val="20"/>
              </w:rPr>
            </w:pPr>
            <w:r w:rsidRPr="00B80C03">
              <w:rPr>
                <w:rFonts w:ascii="Arial" w:hAnsi="Arial" w:cs="Arial"/>
                <w:color w:val="000000"/>
                <w:sz w:val="20"/>
                <w:szCs w:val="20"/>
              </w:rPr>
              <w:t>gradbeni del</w:t>
            </w:r>
          </w:p>
        </w:tc>
        <w:tc>
          <w:tcPr>
            <w:tcW w:w="1425" w:type="dxa"/>
            <w:tcBorders>
              <w:top w:val="single" w:sz="4" w:space="0" w:color="auto"/>
              <w:left w:val="nil"/>
              <w:bottom w:val="single" w:sz="4" w:space="0" w:color="auto"/>
              <w:right w:val="single" w:sz="4" w:space="0" w:color="auto"/>
            </w:tcBorders>
            <w:noWrap/>
            <w:vAlign w:val="center"/>
            <w:hideMark/>
          </w:tcPr>
          <w:p w14:paraId="4D36AF41" w14:textId="502FB812"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2.266.585,00</w:t>
            </w:r>
          </w:p>
        </w:tc>
        <w:tc>
          <w:tcPr>
            <w:tcW w:w="1112" w:type="dxa"/>
            <w:tcBorders>
              <w:left w:val="single" w:sz="4" w:space="0" w:color="auto"/>
            </w:tcBorders>
            <w:noWrap/>
            <w:vAlign w:val="center"/>
            <w:hideMark/>
          </w:tcPr>
          <w:p w14:paraId="45EE3C96" w14:textId="2E57A640"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3,00%</w:t>
            </w:r>
          </w:p>
        </w:tc>
        <w:tc>
          <w:tcPr>
            <w:tcW w:w="1333" w:type="dxa"/>
            <w:gridSpan w:val="2"/>
            <w:noWrap/>
            <w:hideMark/>
          </w:tcPr>
          <w:p w14:paraId="5F971684" w14:textId="6E10993C"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67.997,55</w:t>
            </w:r>
          </w:p>
        </w:tc>
        <w:tc>
          <w:tcPr>
            <w:tcW w:w="1703" w:type="dxa"/>
            <w:noWrap/>
            <w:hideMark/>
          </w:tcPr>
          <w:p w14:paraId="42479F7E" w14:textId="7B854B9E"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1.699.938,75</w:t>
            </w:r>
          </w:p>
        </w:tc>
        <w:tc>
          <w:tcPr>
            <w:tcW w:w="1531" w:type="dxa"/>
            <w:noWrap/>
            <w:hideMark/>
          </w:tcPr>
          <w:p w14:paraId="50BE80EF" w14:textId="7D20A78E"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566.646,25</w:t>
            </w:r>
          </w:p>
        </w:tc>
      </w:tr>
      <w:tr w:rsidR="00B80C03" w:rsidRPr="00B80C03" w14:paraId="6B81B0E5" w14:textId="77777777" w:rsidTr="00276273">
        <w:trPr>
          <w:trHeight w:val="300"/>
        </w:trPr>
        <w:tc>
          <w:tcPr>
            <w:tcW w:w="2278" w:type="dxa"/>
            <w:noWrap/>
            <w:vAlign w:val="center"/>
            <w:hideMark/>
          </w:tcPr>
          <w:p w14:paraId="4189B1C1" w14:textId="363D8AFB" w:rsidR="00B80C03" w:rsidRPr="00B80C03" w:rsidRDefault="00B80C03" w:rsidP="00B80C03">
            <w:pPr>
              <w:spacing w:line="276" w:lineRule="auto"/>
              <w:rPr>
                <w:rFonts w:ascii="Arial" w:hAnsi="Arial" w:cs="Arial"/>
                <w:color w:val="000000"/>
                <w:sz w:val="20"/>
                <w:szCs w:val="20"/>
              </w:rPr>
            </w:pPr>
            <w:r w:rsidRPr="00B80C03">
              <w:rPr>
                <w:rFonts w:ascii="Arial" w:hAnsi="Arial" w:cs="Arial"/>
                <w:color w:val="000000"/>
                <w:sz w:val="20"/>
                <w:szCs w:val="20"/>
              </w:rPr>
              <w:t>oprema</w:t>
            </w:r>
          </w:p>
        </w:tc>
        <w:tc>
          <w:tcPr>
            <w:tcW w:w="1425" w:type="dxa"/>
            <w:tcBorders>
              <w:top w:val="single" w:sz="4" w:space="0" w:color="auto"/>
              <w:left w:val="nil"/>
              <w:bottom w:val="single" w:sz="4" w:space="0" w:color="auto"/>
              <w:right w:val="single" w:sz="4" w:space="0" w:color="auto"/>
            </w:tcBorders>
            <w:noWrap/>
            <w:vAlign w:val="center"/>
            <w:hideMark/>
          </w:tcPr>
          <w:p w14:paraId="5A7512F3" w14:textId="36741370"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127.171,00</w:t>
            </w:r>
          </w:p>
        </w:tc>
        <w:tc>
          <w:tcPr>
            <w:tcW w:w="1112" w:type="dxa"/>
            <w:tcBorders>
              <w:left w:val="single" w:sz="4" w:space="0" w:color="auto"/>
            </w:tcBorders>
            <w:noWrap/>
            <w:vAlign w:val="center"/>
            <w:hideMark/>
          </w:tcPr>
          <w:p w14:paraId="5864EC50" w14:textId="7D39D91F"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10,00%</w:t>
            </w:r>
          </w:p>
        </w:tc>
        <w:tc>
          <w:tcPr>
            <w:tcW w:w="1333" w:type="dxa"/>
            <w:gridSpan w:val="2"/>
            <w:noWrap/>
            <w:hideMark/>
          </w:tcPr>
          <w:p w14:paraId="32CA9274" w14:textId="04C76646"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12.717,10</w:t>
            </w:r>
          </w:p>
        </w:tc>
        <w:tc>
          <w:tcPr>
            <w:tcW w:w="1703" w:type="dxa"/>
            <w:noWrap/>
            <w:hideMark/>
          </w:tcPr>
          <w:p w14:paraId="20613A5E" w14:textId="4384922C"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317.927,50</w:t>
            </w:r>
          </w:p>
        </w:tc>
        <w:tc>
          <w:tcPr>
            <w:tcW w:w="1531" w:type="dxa"/>
            <w:noWrap/>
            <w:hideMark/>
          </w:tcPr>
          <w:p w14:paraId="4D08F3E7" w14:textId="7F0BAD3A"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63.585,50</w:t>
            </w:r>
          </w:p>
        </w:tc>
      </w:tr>
      <w:tr w:rsidR="00B80C03" w:rsidRPr="00B80C03" w14:paraId="3284FD74" w14:textId="77777777" w:rsidTr="00B80C03">
        <w:trPr>
          <w:trHeight w:val="300"/>
        </w:trPr>
        <w:tc>
          <w:tcPr>
            <w:tcW w:w="2278" w:type="dxa"/>
            <w:noWrap/>
            <w:vAlign w:val="center"/>
            <w:hideMark/>
          </w:tcPr>
          <w:p w14:paraId="696C2212" w14:textId="7B364C0A" w:rsidR="00B80C03" w:rsidRPr="00B80C03" w:rsidRDefault="00B80C03" w:rsidP="00B80C03">
            <w:pPr>
              <w:spacing w:line="276" w:lineRule="auto"/>
              <w:rPr>
                <w:rFonts w:ascii="Arial" w:hAnsi="Arial" w:cs="Arial"/>
                <w:color w:val="000000"/>
                <w:sz w:val="20"/>
                <w:szCs w:val="20"/>
              </w:rPr>
            </w:pPr>
            <w:r w:rsidRPr="00B80C03">
              <w:rPr>
                <w:rFonts w:ascii="Arial" w:hAnsi="Arial" w:cs="Arial"/>
                <w:color w:val="000000"/>
                <w:sz w:val="20"/>
                <w:szCs w:val="20"/>
              </w:rPr>
              <w:t>projektna dokumentacija in nadzor</w:t>
            </w:r>
          </w:p>
        </w:tc>
        <w:tc>
          <w:tcPr>
            <w:tcW w:w="1425" w:type="dxa"/>
            <w:tcBorders>
              <w:top w:val="single" w:sz="4" w:space="0" w:color="auto"/>
              <w:left w:val="nil"/>
              <w:bottom w:val="single" w:sz="4" w:space="0" w:color="auto"/>
              <w:right w:val="single" w:sz="4" w:space="0" w:color="auto"/>
            </w:tcBorders>
            <w:noWrap/>
            <w:vAlign w:val="center"/>
            <w:hideMark/>
          </w:tcPr>
          <w:p w14:paraId="7464077E" w14:textId="79A80265"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168.958,01</w:t>
            </w:r>
          </w:p>
        </w:tc>
        <w:tc>
          <w:tcPr>
            <w:tcW w:w="1112" w:type="dxa"/>
            <w:tcBorders>
              <w:left w:val="single" w:sz="4" w:space="0" w:color="auto"/>
            </w:tcBorders>
            <w:noWrap/>
            <w:vAlign w:val="center"/>
            <w:hideMark/>
          </w:tcPr>
          <w:p w14:paraId="3C806FC0" w14:textId="22E50000"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color w:val="000000"/>
                <w:sz w:val="20"/>
                <w:szCs w:val="20"/>
              </w:rPr>
              <w:t>3,00%</w:t>
            </w:r>
          </w:p>
        </w:tc>
        <w:tc>
          <w:tcPr>
            <w:tcW w:w="1333" w:type="dxa"/>
            <w:gridSpan w:val="2"/>
            <w:noWrap/>
            <w:vAlign w:val="center"/>
            <w:hideMark/>
          </w:tcPr>
          <w:p w14:paraId="264BDFB6" w14:textId="747F3D1D"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5.068,74</w:t>
            </w:r>
          </w:p>
        </w:tc>
        <w:tc>
          <w:tcPr>
            <w:tcW w:w="1703" w:type="dxa"/>
            <w:noWrap/>
            <w:vAlign w:val="center"/>
            <w:hideMark/>
          </w:tcPr>
          <w:p w14:paraId="47D1FD1E" w14:textId="267E2CD5"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126.718,50</w:t>
            </w:r>
          </w:p>
        </w:tc>
        <w:tc>
          <w:tcPr>
            <w:tcW w:w="1531" w:type="dxa"/>
            <w:noWrap/>
            <w:vAlign w:val="center"/>
            <w:hideMark/>
          </w:tcPr>
          <w:p w14:paraId="5DE843FC" w14:textId="1E197A9F" w:rsidR="00B80C03" w:rsidRPr="00B80C03" w:rsidRDefault="00B80C03" w:rsidP="00B80C03">
            <w:pPr>
              <w:spacing w:line="276" w:lineRule="auto"/>
              <w:jc w:val="right"/>
              <w:rPr>
                <w:rFonts w:ascii="Arial" w:hAnsi="Arial" w:cs="Arial"/>
                <w:color w:val="000000"/>
                <w:sz w:val="20"/>
                <w:szCs w:val="20"/>
              </w:rPr>
            </w:pPr>
            <w:r w:rsidRPr="00B80C03">
              <w:rPr>
                <w:rFonts w:ascii="Arial" w:hAnsi="Arial" w:cs="Arial"/>
                <w:sz w:val="20"/>
                <w:szCs w:val="20"/>
              </w:rPr>
              <w:t>42.239,50</w:t>
            </w:r>
          </w:p>
        </w:tc>
      </w:tr>
      <w:tr w:rsidR="00B80C03" w:rsidRPr="00B80C03" w14:paraId="0D2B823A" w14:textId="77777777" w:rsidTr="00276273">
        <w:trPr>
          <w:trHeight w:val="300"/>
        </w:trPr>
        <w:tc>
          <w:tcPr>
            <w:tcW w:w="2278" w:type="dxa"/>
            <w:noWrap/>
            <w:vAlign w:val="center"/>
            <w:hideMark/>
          </w:tcPr>
          <w:p w14:paraId="32FC1BFD" w14:textId="4865DDA1"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color w:val="000000"/>
                <w:sz w:val="20"/>
                <w:szCs w:val="20"/>
              </w:rPr>
              <w:t>SKUPAJ</w:t>
            </w:r>
          </w:p>
        </w:tc>
        <w:tc>
          <w:tcPr>
            <w:tcW w:w="1425" w:type="dxa"/>
            <w:tcBorders>
              <w:top w:val="single" w:sz="4" w:space="0" w:color="auto"/>
              <w:left w:val="nil"/>
              <w:bottom w:val="single" w:sz="4" w:space="0" w:color="auto"/>
              <w:right w:val="single" w:sz="4" w:space="0" w:color="auto"/>
            </w:tcBorders>
            <w:noWrap/>
            <w:vAlign w:val="center"/>
            <w:hideMark/>
          </w:tcPr>
          <w:p w14:paraId="0CCA9261" w14:textId="2CF3F915"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color w:val="000000"/>
                <w:sz w:val="20"/>
                <w:szCs w:val="20"/>
              </w:rPr>
              <w:t>2.562.714,01</w:t>
            </w:r>
          </w:p>
        </w:tc>
        <w:tc>
          <w:tcPr>
            <w:tcW w:w="1112" w:type="dxa"/>
            <w:tcBorders>
              <w:left w:val="single" w:sz="4" w:space="0" w:color="auto"/>
            </w:tcBorders>
            <w:noWrap/>
            <w:vAlign w:val="center"/>
            <w:hideMark/>
          </w:tcPr>
          <w:p w14:paraId="525E4211" w14:textId="147FCAE5"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color w:val="000000"/>
                <w:sz w:val="20"/>
                <w:szCs w:val="20"/>
              </w:rPr>
              <w:t> </w:t>
            </w:r>
          </w:p>
        </w:tc>
        <w:tc>
          <w:tcPr>
            <w:tcW w:w="1333" w:type="dxa"/>
            <w:gridSpan w:val="2"/>
            <w:noWrap/>
            <w:hideMark/>
          </w:tcPr>
          <w:p w14:paraId="0519742D" w14:textId="6E36C440"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sz w:val="20"/>
                <w:szCs w:val="20"/>
              </w:rPr>
              <w:t>85.783,39</w:t>
            </w:r>
          </w:p>
        </w:tc>
        <w:tc>
          <w:tcPr>
            <w:tcW w:w="1703" w:type="dxa"/>
            <w:noWrap/>
            <w:hideMark/>
          </w:tcPr>
          <w:p w14:paraId="3C8A8856" w14:textId="50FE4BB7"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sz w:val="20"/>
                <w:szCs w:val="20"/>
              </w:rPr>
              <w:t>2.144.584,75</w:t>
            </w:r>
          </w:p>
        </w:tc>
        <w:tc>
          <w:tcPr>
            <w:tcW w:w="1531" w:type="dxa"/>
            <w:noWrap/>
            <w:hideMark/>
          </w:tcPr>
          <w:p w14:paraId="299D289B" w14:textId="5DA8261A" w:rsidR="00B80C03" w:rsidRPr="00B80C03" w:rsidRDefault="00B80C03" w:rsidP="00B80C03">
            <w:pPr>
              <w:spacing w:line="276" w:lineRule="auto"/>
              <w:jc w:val="right"/>
              <w:rPr>
                <w:rFonts w:ascii="Arial" w:hAnsi="Arial" w:cs="Arial"/>
                <w:b/>
                <w:bCs/>
                <w:color w:val="000000"/>
                <w:sz w:val="20"/>
                <w:szCs w:val="20"/>
              </w:rPr>
            </w:pPr>
            <w:r w:rsidRPr="00B80C03">
              <w:rPr>
                <w:rFonts w:ascii="Arial" w:hAnsi="Arial" w:cs="Arial"/>
                <w:b/>
                <w:bCs/>
                <w:sz w:val="20"/>
                <w:szCs w:val="20"/>
              </w:rPr>
              <w:t>672.471,25</w:t>
            </w:r>
          </w:p>
        </w:tc>
      </w:tr>
    </w:tbl>
    <w:p w14:paraId="592F9C39" w14:textId="77777777" w:rsidR="006A1C00" w:rsidRPr="00F11127" w:rsidRDefault="006A1C00" w:rsidP="00BD1D20">
      <w:pPr>
        <w:spacing w:line="276" w:lineRule="auto"/>
        <w:rPr>
          <w:rFonts w:asciiTheme="majorHAnsi" w:hAnsiTheme="majorHAnsi" w:cstheme="majorHAnsi"/>
        </w:rPr>
      </w:pPr>
    </w:p>
    <w:p w14:paraId="1289168B" w14:textId="2F2047D9" w:rsidR="000E29C4" w:rsidRPr="00F11127" w:rsidRDefault="000E29C4" w:rsidP="00BD1D20">
      <w:pPr>
        <w:spacing w:after="120"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 xml:space="preserve">Kot začetno obdobje </w:t>
      </w:r>
      <w:r w:rsidR="00BD7D49" w:rsidRPr="00F11127">
        <w:rPr>
          <w:rFonts w:asciiTheme="majorHAnsi" w:hAnsiTheme="majorHAnsi" w:cstheme="majorHAnsi"/>
          <w:sz w:val="22"/>
          <w:szCs w:val="22"/>
          <w:lang w:eastAsia="zh-TW"/>
        </w:rPr>
        <w:t xml:space="preserve">obratovalnih </w:t>
      </w:r>
      <w:r w:rsidRPr="00F11127">
        <w:rPr>
          <w:rFonts w:asciiTheme="majorHAnsi" w:hAnsiTheme="majorHAnsi" w:cstheme="majorHAnsi"/>
          <w:sz w:val="22"/>
          <w:szCs w:val="22"/>
          <w:lang w:eastAsia="zh-TW"/>
        </w:rPr>
        <w:t xml:space="preserve">stroškov smo upoštevali </w:t>
      </w:r>
      <w:r w:rsidR="00566AD6">
        <w:rPr>
          <w:rFonts w:asciiTheme="majorHAnsi" w:hAnsiTheme="majorHAnsi" w:cstheme="majorHAnsi"/>
          <w:sz w:val="22"/>
          <w:szCs w:val="22"/>
          <w:lang w:eastAsia="zh-TW"/>
        </w:rPr>
        <w:t>januar 2030</w:t>
      </w:r>
      <w:r w:rsidRPr="00F11127">
        <w:rPr>
          <w:rFonts w:asciiTheme="majorHAnsi" w:hAnsiTheme="majorHAnsi" w:cstheme="majorHAnsi"/>
          <w:sz w:val="22"/>
          <w:szCs w:val="22"/>
          <w:lang w:eastAsia="zh-TW"/>
        </w:rPr>
        <w:t xml:space="preserve">, saj se bo takrat začela predmetna investicija tudi </w:t>
      </w:r>
      <w:r w:rsidR="00BD7D49" w:rsidRPr="00F11127">
        <w:rPr>
          <w:rFonts w:asciiTheme="majorHAnsi" w:hAnsiTheme="majorHAnsi" w:cstheme="majorHAnsi"/>
          <w:sz w:val="22"/>
          <w:szCs w:val="22"/>
          <w:lang w:eastAsia="zh-TW"/>
        </w:rPr>
        <w:t>uporabljati.</w:t>
      </w:r>
    </w:p>
    <w:p w14:paraId="30329230" w14:textId="77777777" w:rsidR="000E29C4" w:rsidRPr="00F11127" w:rsidRDefault="000E29C4" w:rsidP="00BD1D20">
      <w:pPr>
        <w:spacing w:after="120" w:line="276" w:lineRule="auto"/>
        <w:jc w:val="both"/>
        <w:rPr>
          <w:rFonts w:asciiTheme="majorHAnsi" w:eastAsia="Arial Unicode MS" w:hAnsiTheme="majorHAnsi" w:cstheme="majorHAnsi"/>
          <w:sz w:val="22"/>
          <w:szCs w:val="22"/>
          <w:lang w:eastAsia="zh-TW"/>
        </w:rPr>
      </w:pPr>
      <w:r w:rsidRPr="00F11127">
        <w:rPr>
          <w:rFonts w:asciiTheme="majorHAnsi" w:eastAsia="Arial Unicode MS" w:hAnsiTheme="majorHAnsi" w:cstheme="majorHAnsi"/>
          <w:sz w:val="22"/>
          <w:szCs w:val="22"/>
          <w:lang w:eastAsia="zh-TW"/>
        </w:rPr>
        <w:t>Omenjene spremembe so upoštevane v naslednjem prikazu poslovanja celotnega projekta, kakor tudi v izdelani Analizi stroškov in koristi, ki je predstavljena v nadaljevanju dokumenta.</w:t>
      </w:r>
    </w:p>
    <w:p w14:paraId="1F1EFE0D" w14:textId="2A684E3A" w:rsidR="000E29C4" w:rsidRPr="00F11127" w:rsidRDefault="000E29C4" w:rsidP="00BD1D20">
      <w:pPr>
        <w:spacing w:after="120" w:line="276" w:lineRule="auto"/>
        <w:jc w:val="both"/>
        <w:rPr>
          <w:rFonts w:asciiTheme="majorHAnsi" w:eastAsia="Arial Unicode MS" w:hAnsiTheme="majorHAnsi" w:cstheme="majorHAnsi"/>
          <w:sz w:val="22"/>
          <w:szCs w:val="22"/>
          <w:lang w:eastAsia="zh-TW"/>
        </w:rPr>
      </w:pPr>
      <w:r w:rsidRPr="00F11127">
        <w:rPr>
          <w:rFonts w:asciiTheme="majorHAnsi" w:eastAsia="Arial Unicode MS" w:hAnsiTheme="majorHAnsi" w:cstheme="majorHAnsi"/>
          <w:sz w:val="22"/>
          <w:szCs w:val="22"/>
          <w:lang w:eastAsia="zh-TW"/>
        </w:rPr>
        <w:t>Dejavnosti, ki se bodo izvajale v sklopu celotnega projekta</w:t>
      </w:r>
      <w:r w:rsidR="002B5D18">
        <w:rPr>
          <w:rFonts w:asciiTheme="majorHAnsi" w:eastAsia="Arial Unicode MS" w:hAnsiTheme="majorHAnsi" w:cstheme="majorHAnsi"/>
          <w:sz w:val="22"/>
          <w:szCs w:val="22"/>
          <w:lang w:eastAsia="zh-TW"/>
        </w:rPr>
        <w:t>,</w:t>
      </w:r>
      <w:r w:rsidRPr="00F11127">
        <w:rPr>
          <w:rFonts w:asciiTheme="majorHAnsi" w:eastAsia="Arial Unicode MS" w:hAnsiTheme="majorHAnsi" w:cstheme="majorHAnsi"/>
          <w:sz w:val="22"/>
          <w:szCs w:val="22"/>
          <w:lang w:eastAsia="zh-TW"/>
        </w:rPr>
        <w:t xml:space="preserve"> se bodo vodile na samostojnih stroškovnih nosilcih (vsaki dejavnosti bo pripadal svoj stroškovni nosilec) oz. delovnih nalogih, na katerih bodo vidni vsi prihodki in vsi stroški obravnavane dejavnosti.</w:t>
      </w:r>
    </w:p>
    <w:p w14:paraId="7AE7C415" w14:textId="77777777" w:rsidR="00EB6555" w:rsidRDefault="000E29C4" w:rsidP="00694AE8">
      <w:pPr>
        <w:spacing w:after="120" w:line="276" w:lineRule="auto"/>
        <w:jc w:val="both"/>
        <w:rPr>
          <w:rFonts w:asciiTheme="majorHAnsi" w:hAnsiTheme="majorHAnsi" w:cstheme="majorHAnsi"/>
          <w:sz w:val="22"/>
          <w:szCs w:val="22"/>
          <w:lang w:eastAsia="zh-TW"/>
        </w:rPr>
      </w:pPr>
      <w:r w:rsidRPr="00F11127">
        <w:rPr>
          <w:rFonts w:asciiTheme="majorHAnsi" w:hAnsiTheme="majorHAnsi" w:cstheme="majorHAnsi"/>
          <w:sz w:val="22"/>
          <w:szCs w:val="22"/>
          <w:lang w:eastAsia="zh-TW"/>
        </w:rPr>
        <w:t>V tabeli »</w:t>
      </w:r>
      <w:r w:rsidR="00BD1D20">
        <w:rPr>
          <w:rFonts w:asciiTheme="majorHAnsi" w:hAnsiTheme="majorHAnsi" w:cstheme="majorHAnsi"/>
          <w:sz w:val="22"/>
          <w:szCs w:val="22"/>
          <w:lang w:eastAsia="zh-TW"/>
        </w:rPr>
        <w:t>Finančni tok poslovanja</w:t>
      </w:r>
      <w:r w:rsidRPr="00F11127">
        <w:rPr>
          <w:rFonts w:asciiTheme="majorHAnsi" w:hAnsiTheme="majorHAnsi" w:cstheme="majorHAnsi"/>
          <w:sz w:val="22"/>
          <w:szCs w:val="22"/>
          <w:lang w:eastAsia="zh-TW"/>
        </w:rPr>
        <w:t>« so zajete finančne postavke iz Izkaza prihodkov in stroškov poslovanja projekta, ne za</w:t>
      </w:r>
      <w:r w:rsidR="002B5D18">
        <w:rPr>
          <w:rFonts w:asciiTheme="majorHAnsi" w:hAnsiTheme="majorHAnsi" w:cstheme="majorHAnsi"/>
          <w:sz w:val="22"/>
          <w:szCs w:val="22"/>
          <w:lang w:eastAsia="zh-TW"/>
        </w:rPr>
        <w:t xml:space="preserve">jemajo pa prikaza </w:t>
      </w:r>
      <w:r w:rsidRPr="00F11127">
        <w:rPr>
          <w:rFonts w:asciiTheme="majorHAnsi" w:hAnsiTheme="majorHAnsi" w:cstheme="majorHAnsi"/>
          <w:sz w:val="22"/>
          <w:szCs w:val="22"/>
          <w:lang w:eastAsia="zh-TW"/>
        </w:rPr>
        <w:t>postavke amortizacija, ki je izločena iz nadaljnjega prikaza finančne in ekonomske analize, saj v skladu z dokumentom »</w:t>
      </w:r>
      <w:proofErr w:type="spellStart"/>
      <w:r w:rsidRPr="00F11127">
        <w:rPr>
          <w:rFonts w:asciiTheme="majorHAnsi" w:hAnsiTheme="majorHAnsi" w:cstheme="majorHAnsi"/>
          <w:sz w:val="22"/>
          <w:szCs w:val="22"/>
          <w:lang w:eastAsia="zh-TW"/>
        </w:rPr>
        <w:t>Guide</w:t>
      </w:r>
      <w:proofErr w:type="spellEnd"/>
      <w:r w:rsidRPr="00F11127">
        <w:rPr>
          <w:rFonts w:asciiTheme="majorHAnsi" w:hAnsiTheme="majorHAnsi" w:cstheme="majorHAnsi"/>
          <w:sz w:val="22"/>
          <w:szCs w:val="22"/>
          <w:lang w:eastAsia="zh-TW"/>
        </w:rPr>
        <w:t xml:space="preserve"> to </w:t>
      </w:r>
      <w:bookmarkStart w:id="324" w:name="OLE_LINK433"/>
      <w:bookmarkStart w:id="325" w:name="OLE_LINK434"/>
      <w:bookmarkStart w:id="326" w:name="OLE_LINK435"/>
      <w:r w:rsidRPr="00F11127">
        <w:rPr>
          <w:rFonts w:asciiTheme="majorHAnsi" w:hAnsiTheme="majorHAnsi" w:cstheme="majorHAnsi"/>
          <w:sz w:val="22"/>
          <w:szCs w:val="22"/>
          <w:lang w:eastAsia="zh-TW"/>
        </w:rPr>
        <w:t>Cost-</w:t>
      </w:r>
      <w:proofErr w:type="spellStart"/>
      <w:r w:rsidRPr="00F11127">
        <w:rPr>
          <w:rFonts w:asciiTheme="majorHAnsi" w:hAnsiTheme="majorHAnsi" w:cstheme="majorHAnsi"/>
          <w:sz w:val="22"/>
          <w:szCs w:val="22"/>
          <w:lang w:eastAsia="zh-TW"/>
        </w:rPr>
        <w:t>benefit</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Analysis</w:t>
      </w:r>
      <w:proofErr w:type="spellEnd"/>
      <w:r w:rsidRPr="00F11127">
        <w:rPr>
          <w:rFonts w:asciiTheme="majorHAnsi" w:hAnsiTheme="majorHAnsi" w:cstheme="majorHAnsi"/>
          <w:sz w:val="22"/>
          <w:szCs w:val="22"/>
          <w:lang w:eastAsia="zh-TW"/>
        </w:rPr>
        <w:t xml:space="preserve"> </w:t>
      </w:r>
      <w:bookmarkEnd w:id="324"/>
      <w:bookmarkEnd w:id="325"/>
      <w:bookmarkEnd w:id="326"/>
      <w:proofErr w:type="spellStart"/>
      <w:r w:rsidRPr="00F11127">
        <w:rPr>
          <w:rFonts w:asciiTheme="majorHAnsi" w:hAnsiTheme="majorHAnsi" w:cstheme="majorHAnsi"/>
          <w:sz w:val="22"/>
          <w:szCs w:val="22"/>
          <w:lang w:eastAsia="zh-TW"/>
        </w:rPr>
        <w:t>of</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Investment</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Projects</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Economic</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appraisal</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tool</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for</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Cohesion</w:t>
      </w:r>
      <w:proofErr w:type="spellEnd"/>
      <w:r w:rsidRPr="00F11127">
        <w:rPr>
          <w:rFonts w:asciiTheme="majorHAnsi" w:hAnsiTheme="majorHAnsi" w:cstheme="majorHAnsi"/>
          <w:sz w:val="22"/>
          <w:szCs w:val="22"/>
          <w:lang w:eastAsia="zh-TW"/>
        </w:rPr>
        <w:t xml:space="preserve"> </w:t>
      </w:r>
      <w:proofErr w:type="spellStart"/>
      <w:r w:rsidRPr="00F11127">
        <w:rPr>
          <w:rFonts w:asciiTheme="majorHAnsi" w:hAnsiTheme="majorHAnsi" w:cstheme="majorHAnsi"/>
          <w:sz w:val="22"/>
          <w:szCs w:val="22"/>
          <w:lang w:eastAsia="zh-TW"/>
        </w:rPr>
        <w:t>Policy</w:t>
      </w:r>
      <w:proofErr w:type="spellEnd"/>
      <w:r w:rsidRPr="00F11127">
        <w:rPr>
          <w:rFonts w:asciiTheme="majorHAnsi" w:hAnsiTheme="majorHAnsi" w:cstheme="majorHAnsi"/>
          <w:sz w:val="22"/>
          <w:szCs w:val="22"/>
          <w:lang w:eastAsia="zh-TW"/>
        </w:rPr>
        <w:t xml:space="preserve"> 2014-2020)« iz </w:t>
      </w:r>
      <w:r w:rsidRPr="00F11127">
        <w:rPr>
          <w:rFonts w:asciiTheme="majorHAnsi" w:hAnsiTheme="majorHAnsi" w:cstheme="majorHAnsi"/>
          <w:sz w:val="22"/>
          <w:szCs w:val="22"/>
          <w:lang w:eastAsia="zh-TW"/>
        </w:rPr>
        <w:lastRenderedPageBreak/>
        <w:t>decembra 2014</w:t>
      </w:r>
      <w:r w:rsidR="00566AD6">
        <w:rPr>
          <w:rFonts w:asciiTheme="majorHAnsi" w:hAnsiTheme="majorHAnsi" w:cstheme="majorHAnsi"/>
          <w:sz w:val="22"/>
          <w:szCs w:val="22"/>
          <w:lang w:eastAsia="zh-TW"/>
        </w:rPr>
        <w:t xml:space="preserve"> in </w:t>
      </w:r>
      <w:proofErr w:type="spellStart"/>
      <w:r w:rsidR="00EB6555" w:rsidRPr="00EB6555">
        <w:rPr>
          <w:rFonts w:asciiTheme="majorHAnsi" w:hAnsiTheme="majorHAnsi" w:cstheme="majorHAnsi"/>
          <w:sz w:val="22"/>
          <w:szCs w:val="22"/>
          <w:lang w:eastAsia="zh-TW"/>
        </w:rPr>
        <w:t>Economic</w:t>
      </w:r>
      <w:proofErr w:type="spellEnd"/>
      <w:r w:rsidR="00EB6555" w:rsidRPr="00EB6555">
        <w:rPr>
          <w:rFonts w:asciiTheme="majorHAnsi" w:hAnsiTheme="majorHAnsi" w:cstheme="majorHAnsi"/>
          <w:sz w:val="22"/>
          <w:szCs w:val="22"/>
          <w:lang w:eastAsia="zh-TW"/>
        </w:rPr>
        <w:t xml:space="preserve"> </w:t>
      </w:r>
      <w:proofErr w:type="spellStart"/>
      <w:r w:rsidR="00EB6555" w:rsidRPr="00EB6555">
        <w:rPr>
          <w:rFonts w:asciiTheme="majorHAnsi" w:hAnsiTheme="majorHAnsi" w:cstheme="majorHAnsi"/>
          <w:sz w:val="22"/>
          <w:szCs w:val="22"/>
          <w:lang w:eastAsia="zh-TW"/>
        </w:rPr>
        <w:t>Appraisal</w:t>
      </w:r>
      <w:proofErr w:type="spellEnd"/>
      <w:r w:rsidR="00EB6555" w:rsidRPr="00EB6555">
        <w:rPr>
          <w:rFonts w:asciiTheme="majorHAnsi" w:hAnsiTheme="majorHAnsi" w:cstheme="majorHAnsi"/>
          <w:sz w:val="22"/>
          <w:szCs w:val="22"/>
          <w:lang w:eastAsia="zh-TW"/>
        </w:rPr>
        <w:t xml:space="preserve"> </w:t>
      </w:r>
      <w:proofErr w:type="spellStart"/>
      <w:r w:rsidR="00EB6555" w:rsidRPr="00EB6555">
        <w:rPr>
          <w:rFonts w:asciiTheme="majorHAnsi" w:hAnsiTheme="majorHAnsi" w:cstheme="majorHAnsi"/>
          <w:sz w:val="22"/>
          <w:szCs w:val="22"/>
          <w:lang w:eastAsia="zh-TW"/>
        </w:rPr>
        <w:t>Vademecum</w:t>
      </w:r>
      <w:proofErr w:type="spellEnd"/>
      <w:r w:rsidR="00EB6555" w:rsidRPr="00EB6555">
        <w:rPr>
          <w:rFonts w:asciiTheme="majorHAnsi" w:hAnsiTheme="majorHAnsi" w:cstheme="majorHAnsi"/>
          <w:sz w:val="22"/>
          <w:szCs w:val="22"/>
          <w:lang w:eastAsia="zh-TW"/>
        </w:rPr>
        <w:t xml:space="preserve"> 2021-2027 - General </w:t>
      </w:r>
      <w:proofErr w:type="spellStart"/>
      <w:r w:rsidR="00EB6555" w:rsidRPr="00EB6555">
        <w:rPr>
          <w:rFonts w:asciiTheme="majorHAnsi" w:hAnsiTheme="majorHAnsi" w:cstheme="majorHAnsi"/>
          <w:sz w:val="22"/>
          <w:szCs w:val="22"/>
          <w:lang w:eastAsia="zh-TW"/>
        </w:rPr>
        <w:t>Principles</w:t>
      </w:r>
      <w:proofErr w:type="spellEnd"/>
      <w:r w:rsidR="00EB6555" w:rsidRPr="00EB6555">
        <w:rPr>
          <w:rFonts w:asciiTheme="majorHAnsi" w:hAnsiTheme="majorHAnsi" w:cstheme="majorHAnsi"/>
          <w:sz w:val="22"/>
          <w:szCs w:val="22"/>
          <w:lang w:eastAsia="zh-TW"/>
        </w:rPr>
        <w:t xml:space="preserve"> </w:t>
      </w:r>
      <w:proofErr w:type="spellStart"/>
      <w:r w:rsidR="00EB6555" w:rsidRPr="00EB6555">
        <w:rPr>
          <w:rFonts w:asciiTheme="majorHAnsi" w:hAnsiTheme="majorHAnsi" w:cstheme="majorHAnsi"/>
          <w:sz w:val="22"/>
          <w:szCs w:val="22"/>
          <w:lang w:eastAsia="zh-TW"/>
        </w:rPr>
        <w:t>and</w:t>
      </w:r>
      <w:proofErr w:type="spellEnd"/>
      <w:r w:rsidR="00EB6555" w:rsidRPr="00EB6555">
        <w:rPr>
          <w:rFonts w:asciiTheme="majorHAnsi" w:hAnsiTheme="majorHAnsi" w:cstheme="majorHAnsi"/>
          <w:sz w:val="22"/>
          <w:szCs w:val="22"/>
          <w:lang w:eastAsia="zh-TW"/>
        </w:rPr>
        <w:t xml:space="preserve"> </w:t>
      </w:r>
      <w:proofErr w:type="spellStart"/>
      <w:r w:rsidR="00EB6555" w:rsidRPr="00EB6555">
        <w:rPr>
          <w:rFonts w:asciiTheme="majorHAnsi" w:hAnsiTheme="majorHAnsi" w:cstheme="majorHAnsi"/>
          <w:sz w:val="22"/>
          <w:szCs w:val="22"/>
          <w:lang w:eastAsia="zh-TW"/>
        </w:rPr>
        <w:t>Sector</w:t>
      </w:r>
      <w:proofErr w:type="spellEnd"/>
      <w:r w:rsidR="00EB6555" w:rsidRPr="00EB6555">
        <w:rPr>
          <w:rFonts w:asciiTheme="majorHAnsi" w:hAnsiTheme="majorHAnsi" w:cstheme="majorHAnsi"/>
          <w:sz w:val="22"/>
          <w:szCs w:val="22"/>
          <w:lang w:eastAsia="zh-TW"/>
        </w:rPr>
        <w:t xml:space="preserve"> </w:t>
      </w:r>
      <w:proofErr w:type="spellStart"/>
      <w:r w:rsidR="00EB6555" w:rsidRPr="00EB6555">
        <w:rPr>
          <w:rFonts w:asciiTheme="majorHAnsi" w:hAnsiTheme="majorHAnsi" w:cstheme="majorHAnsi"/>
          <w:sz w:val="22"/>
          <w:szCs w:val="22"/>
          <w:lang w:eastAsia="zh-TW"/>
        </w:rPr>
        <w:t>Applications</w:t>
      </w:r>
      <w:proofErr w:type="spellEnd"/>
      <w:r w:rsidR="00EB6555">
        <w:rPr>
          <w:rFonts w:asciiTheme="majorHAnsi" w:hAnsiTheme="majorHAnsi" w:cstheme="majorHAnsi"/>
          <w:sz w:val="22"/>
          <w:szCs w:val="22"/>
          <w:lang w:eastAsia="zh-TW"/>
        </w:rPr>
        <w:t xml:space="preserve"> iz septembra 2021</w:t>
      </w:r>
      <w:r w:rsidRPr="00F11127">
        <w:rPr>
          <w:rFonts w:asciiTheme="majorHAnsi" w:hAnsiTheme="majorHAnsi" w:cstheme="majorHAnsi"/>
          <w:sz w:val="22"/>
          <w:szCs w:val="22"/>
          <w:lang w:eastAsia="zh-TW"/>
        </w:rPr>
        <w:t>, ne sodi med postavke, ki izkazujejo denarne odlive.</w:t>
      </w:r>
    </w:p>
    <w:p w14:paraId="2EC78005" w14:textId="77777777" w:rsidR="00EB6555" w:rsidRDefault="00EB6555" w:rsidP="00694AE8">
      <w:pPr>
        <w:spacing w:after="120" w:line="276" w:lineRule="auto"/>
        <w:jc w:val="both"/>
        <w:rPr>
          <w:rFonts w:asciiTheme="majorHAnsi" w:hAnsiTheme="majorHAnsi" w:cstheme="majorHAnsi"/>
          <w:sz w:val="22"/>
          <w:szCs w:val="22"/>
          <w:lang w:eastAsia="zh-TW"/>
        </w:rPr>
      </w:pPr>
    </w:p>
    <w:p w14:paraId="71A67283" w14:textId="285A6453" w:rsidR="006C5B67" w:rsidRPr="00F11127" w:rsidRDefault="006C5B67" w:rsidP="00694AE8">
      <w:pPr>
        <w:spacing w:after="120" w:line="276" w:lineRule="auto"/>
        <w:jc w:val="both"/>
        <w:rPr>
          <w:rFonts w:asciiTheme="majorHAnsi" w:eastAsiaTheme="majorEastAsia" w:hAnsiTheme="majorHAnsi" w:cstheme="majorHAnsi"/>
          <w:b/>
          <w:bCs/>
          <w:color w:val="365F91" w:themeColor="accent1" w:themeShade="BF"/>
          <w:sz w:val="28"/>
          <w:szCs w:val="28"/>
        </w:rPr>
      </w:pPr>
      <w:r w:rsidRPr="00F11127">
        <w:rPr>
          <w:rFonts w:asciiTheme="majorHAnsi" w:hAnsiTheme="majorHAnsi" w:cstheme="majorHAnsi"/>
        </w:rPr>
        <w:br w:type="page"/>
      </w:r>
    </w:p>
    <w:p w14:paraId="1983FF22" w14:textId="77777777" w:rsidR="006B2762" w:rsidRPr="00F11127" w:rsidRDefault="00357FA2" w:rsidP="00BD1D20">
      <w:pPr>
        <w:pStyle w:val="Naslov1"/>
        <w:numPr>
          <w:ilvl w:val="0"/>
          <w:numId w:val="3"/>
        </w:numPr>
        <w:jc w:val="both"/>
        <w:rPr>
          <w:rFonts w:cstheme="majorHAnsi"/>
        </w:rPr>
      </w:pPr>
      <w:bookmarkStart w:id="327" w:name="_Toc210033852"/>
      <w:r w:rsidRPr="00F11127">
        <w:rPr>
          <w:rFonts w:cstheme="majorHAnsi"/>
        </w:rPr>
        <w:lastRenderedPageBreak/>
        <w:t>VREDNOTENJE DRUGIH STROŠKOV IN KORISTI</w:t>
      </w:r>
      <w:bookmarkEnd w:id="327"/>
    </w:p>
    <w:p w14:paraId="77DF8959" w14:textId="77777777" w:rsidR="00E444A4" w:rsidRPr="00F11127" w:rsidRDefault="00E444A4" w:rsidP="00BD1D20">
      <w:pPr>
        <w:spacing w:after="120" w:line="276" w:lineRule="auto"/>
        <w:rPr>
          <w:rFonts w:asciiTheme="majorHAnsi" w:hAnsiTheme="majorHAnsi" w:cstheme="majorHAnsi"/>
          <w:sz w:val="22"/>
          <w:szCs w:val="22"/>
        </w:rPr>
      </w:pPr>
    </w:p>
    <w:p w14:paraId="55A51EE8"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Tako finančna analiza kot ekonomska analiza sta izdelani na podlagi podatkov, predstavljenih v predhodnem poglavju »Osnovna izhodišča za prikaz prihodkov in stroškov poslovanja projekta«.</w:t>
      </w:r>
    </w:p>
    <w:p w14:paraId="3A9F829F"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Kot metodologija pri izdelavi finančne in ekonomske analize je bila uporabljena Metoda diferenčnih vrednosti (</w:t>
      </w:r>
      <w:proofErr w:type="spellStart"/>
      <w:r w:rsidRPr="00F11127">
        <w:rPr>
          <w:rFonts w:asciiTheme="majorHAnsi" w:hAnsiTheme="majorHAnsi" w:cstheme="majorHAnsi"/>
          <w:sz w:val="22"/>
          <w:szCs w:val="22"/>
        </w:rPr>
        <w:t>inkrementalna</w:t>
      </w:r>
      <w:proofErr w:type="spellEnd"/>
      <w:r w:rsidRPr="00F11127">
        <w:rPr>
          <w:rFonts w:asciiTheme="majorHAnsi" w:hAnsiTheme="majorHAnsi" w:cstheme="majorHAnsi"/>
          <w:sz w:val="22"/>
          <w:szCs w:val="22"/>
        </w:rPr>
        <w:t xml:space="preserve"> metoda), kar pomeni, da projekt upošteva vse dejanske nastale stroške in ne stroške, ki so nastali že prej in posredno vplivajo na sam projekt (Metoda že nastalih stroškov). Hkrati je bila upoštevana metoda diskontiranega denarnega toka, za katero veljata dve poglavitni značilnosti:</w:t>
      </w:r>
    </w:p>
    <w:p w14:paraId="1462ED86" w14:textId="77777777" w:rsidR="00F55912" w:rsidRPr="00F11127" w:rsidRDefault="00F55912" w:rsidP="00BD1D20">
      <w:pPr>
        <w:numPr>
          <w:ilvl w:val="0"/>
          <w:numId w:val="6"/>
        </w:numPr>
        <w:suppressAutoHyphens/>
        <w:autoSpaceDN w:val="0"/>
        <w:spacing w:after="120" w:line="276" w:lineRule="auto"/>
        <w:jc w:val="both"/>
        <w:textAlignment w:val="baseline"/>
        <w:rPr>
          <w:rFonts w:asciiTheme="majorHAnsi" w:hAnsiTheme="majorHAnsi" w:cstheme="majorHAnsi"/>
          <w:sz w:val="22"/>
          <w:szCs w:val="22"/>
        </w:rPr>
      </w:pPr>
      <w:r w:rsidRPr="00F11127">
        <w:rPr>
          <w:rFonts w:asciiTheme="majorHAnsi" w:hAnsiTheme="majorHAnsi" w:cstheme="majorHAnsi"/>
          <w:sz w:val="22"/>
          <w:szCs w:val="22"/>
        </w:rPr>
        <w:t>Upoštevani so le denarni tokovi, tj. dejanski znesek denarnih sredstev, ki je izplačan v okviru projekta oziroma ki ga za projekt prejme investitor. Zato na primer računovodske postavke, kot sta amortizacija in rezervacije, ki ne pomenijo denarnih odlivov, ne smejo biti vključene v analizo metode diskontiranega denarnega toka. Kadar pa je predlagani projekt podprt s podrobno analizo tveganj, so nepredvideni stroški lahko vključeni med upravičene stroške, vendar ne smejo biti višji od 10 % skupnih stroškov investicije (brez nepredvidenih stroškov).</w:t>
      </w:r>
    </w:p>
    <w:p w14:paraId="323EE667" w14:textId="77777777" w:rsidR="00F55912" w:rsidRPr="00F11127" w:rsidRDefault="00F55912" w:rsidP="00BD1D20">
      <w:pPr>
        <w:numPr>
          <w:ilvl w:val="0"/>
          <w:numId w:val="6"/>
        </w:numPr>
        <w:suppressAutoHyphens/>
        <w:autoSpaceDN w:val="0"/>
        <w:spacing w:after="120" w:line="276" w:lineRule="auto"/>
        <w:jc w:val="both"/>
        <w:textAlignment w:val="baseline"/>
        <w:rPr>
          <w:rFonts w:asciiTheme="majorHAnsi" w:hAnsiTheme="majorHAnsi" w:cstheme="majorHAnsi"/>
          <w:sz w:val="22"/>
          <w:szCs w:val="22"/>
        </w:rPr>
      </w:pPr>
      <w:r w:rsidRPr="00F11127">
        <w:rPr>
          <w:rFonts w:asciiTheme="majorHAnsi" w:hAnsiTheme="majorHAnsi" w:cstheme="majorHAnsi"/>
          <w:sz w:val="22"/>
          <w:szCs w:val="22"/>
        </w:rPr>
        <w:t>Pri združevanju (tj. seštevanju ali odštevanju) denarnih tokov, nastalih v različnih letih, je treba upoštevati vrednost denarja v posameznem obdobju. Zato je treba sedanjo vrednost prihodnjih denarnih tokov oceniti z diskontnim faktorjem, ki se v časovnem obdobju znižuje, njegovo vrednost pa določimo z izbiro diskontne stopnje (4%</w:t>
      </w:r>
      <w:r w:rsidRPr="00F11127">
        <w:rPr>
          <w:rStyle w:val="Sprotnaopomba-sklic"/>
          <w:rFonts w:asciiTheme="majorHAnsi" w:hAnsiTheme="majorHAnsi" w:cstheme="majorHAnsi"/>
          <w:sz w:val="22"/>
          <w:szCs w:val="22"/>
        </w:rPr>
        <w:footnoteReference w:id="5"/>
      </w:r>
      <w:r w:rsidRPr="00F11127">
        <w:rPr>
          <w:rFonts w:asciiTheme="majorHAnsi" w:hAnsiTheme="majorHAnsi" w:cstheme="majorHAnsi"/>
          <w:sz w:val="22"/>
          <w:szCs w:val="22"/>
        </w:rPr>
        <w:t>), ki jo uporabimo v analizi metode diskontiranega denarnega toka.</w:t>
      </w:r>
    </w:p>
    <w:p w14:paraId="3219C427" w14:textId="77777777" w:rsidR="00F55912" w:rsidRPr="00F11127" w:rsidRDefault="00F559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28" w:name="_Toc210033853"/>
      <w:r w:rsidRPr="00F11127">
        <w:rPr>
          <w:rFonts w:asciiTheme="majorHAnsi" w:eastAsiaTheme="majorEastAsia" w:hAnsiTheme="majorHAnsi" w:cstheme="majorHAnsi"/>
          <w:color w:val="244061" w:themeColor="accent1" w:themeShade="80"/>
        </w:rPr>
        <w:t>Finančna analiza celotnega projekta</w:t>
      </w:r>
      <w:bookmarkEnd w:id="328"/>
    </w:p>
    <w:p w14:paraId="2186D1A1" w14:textId="77777777" w:rsidR="006B2B7C" w:rsidRPr="00F11127" w:rsidRDefault="006B2B7C"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Namen finančne analize je izdelati napovedi denarnih tokov celotnega projekta, da bi lahko izračunali primerne stopnje donosnosti, zlasti </w:t>
      </w:r>
      <w:bookmarkStart w:id="329" w:name="OLE_LINK436"/>
      <w:bookmarkStart w:id="330" w:name="OLE_LINK437"/>
      <w:bookmarkStart w:id="331" w:name="OLE_LINK438"/>
      <w:bookmarkStart w:id="332" w:name="OLE_LINK439"/>
      <w:bookmarkStart w:id="333" w:name="OLE_LINK440"/>
      <w:bookmarkStart w:id="334" w:name="OLE_LINK441"/>
      <w:r w:rsidRPr="00F11127">
        <w:rPr>
          <w:rFonts w:asciiTheme="majorHAnsi" w:hAnsiTheme="majorHAnsi" w:cstheme="majorHAnsi"/>
          <w:sz w:val="22"/>
          <w:szCs w:val="22"/>
        </w:rPr>
        <w:t xml:space="preserve">finančno interno stopnjo donosnosti investicije </w:t>
      </w:r>
      <w:bookmarkEnd w:id="329"/>
      <w:bookmarkEnd w:id="330"/>
      <w:bookmarkEnd w:id="331"/>
      <w:r w:rsidRPr="00F11127">
        <w:rPr>
          <w:rFonts w:asciiTheme="majorHAnsi" w:hAnsiTheme="majorHAnsi" w:cstheme="majorHAnsi"/>
          <w:sz w:val="22"/>
          <w:szCs w:val="22"/>
        </w:rPr>
        <w:t xml:space="preserve">(FRR/C) in lastnega vloženega kapitala </w:t>
      </w:r>
      <w:bookmarkEnd w:id="332"/>
      <w:bookmarkEnd w:id="333"/>
      <w:bookmarkEnd w:id="334"/>
      <w:r w:rsidRPr="00F11127">
        <w:rPr>
          <w:rFonts w:asciiTheme="majorHAnsi" w:hAnsiTheme="majorHAnsi" w:cstheme="majorHAnsi"/>
          <w:sz w:val="22"/>
          <w:szCs w:val="22"/>
        </w:rPr>
        <w:t xml:space="preserve">(FRR/K) ter pripadajoče </w:t>
      </w:r>
      <w:bookmarkStart w:id="335" w:name="OLE_LINK442"/>
      <w:bookmarkStart w:id="336" w:name="OLE_LINK443"/>
      <w:bookmarkStart w:id="337" w:name="OLE_LINK444"/>
      <w:r w:rsidRPr="00F11127">
        <w:rPr>
          <w:rFonts w:asciiTheme="majorHAnsi" w:hAnsiTheme="majorHAnsi" w:cstheme="majorHAnsi"/>
          <w:sz w:val="22"/>
          <w:szCs w:val="22"/>
        </w:rPr>
        <w:t xml:space="preserve">finančne neto sedanje vrednosti </w:t>
      </w:r>
      <w:bookmarkEnd w:id="335"/>
      <w:bookmarkEnd w:id="336"/>
      <w:bookmarkEnd w:id="337"/>
      <w:r w:rsidRPr="00F11127">
        <w:rPr>
          <w:rFonts w:asciiTheme="majorHAnsi" w:hAnsiTheme="majorHAnsi" w:cstheme="majorHAnsi"/>
          <w:sz w:val="22"/>
          <w:szCs w:val="22"/>
        </w:rPr>
        <w:t>(FNPV). Na podlagi izračunane diskontirane neto sedanje vrednosti je finančna ocena projekta negativna, kar je povsem s pričakovanji, saj projekt v ekonomski dobi ne bo ustvarjal nobenih finančnih oz. tržnih prihodkov, le stroške poslovanja oz. operativne stroške projekta. Zaradi negativne neto sedanje vrednosti projekta lahko sklepamo, da je tudi relativna neto sedanja vrednost, ki meri neto donos na enoto investicijskih stroškov, prav tako negativna. Izračunamo jo iz razmerja med NSV in sedanjo vrednostjo investicijskih stroškov in pomeni primerjavo med vsoto vseh diskontiranih neto prilivov (NSV) in vsoto diskontiranih investicijskih stroškov.</w:t>
      </w:r>
    </w:p>
    <w:p w14:paraId="4C24CF93" w14:textId="77777777" w:rsidR="006B2B7C" w:rsidRPr="00F11127" w:rsidRDefault="006B2B7C" w:rsidP="00BD1D20">
      <w:pPr>
        <w:spacing w:line="276" w:lineRule="auto"/>
        <w:jc w:val="both"/>
        <w:rPr>
          <w:rFonts w:asciiTheme="majorHAnsi" w:hAnsiTheme="majorHAnsi" w:cstheme="majorHAnsi"/>
          <w:sz w:val="22"/>
          <w:szCs w:val="22"/>
        </w:rPr>
      </w:pPr>
      <w:r w:rsidRPr="00F11127">
        <w:rPr>
          <w:rFonts w:asciiTheme="majorHAnsi" w:hAnsiTheme="majorHAnsi" w:cstheme="majorHAnsi"/>
          <w:sz w:val="22"/>
          <w:szCs w:val="22"/>
        </w:rPr>
        <w:t>Finančna analiza se izdela na podlagi serije tabel, ki so predstavljene v nadaljevanju dokumenta, kjer so zbrani finančni tokovi investicije, razdeljeni na:</w:t>
      </w:r>
    </w:p>
    <w:p w14:paraId="3B3C1C2F" w14:textId="0296135C" w:rsidR="006B2B7C" w:rsidRPr="00F11127" w:rsidRDefault="006B2B7C" w:rsidP="00BD1D20">
      <w:pPr>
        <w:numPr>
          <w:ilvl w:val="0"/>
          <w:numId w:val="92"/>
        </w:numPr>
        <w:spacing w:line="276" w:lineRule="auto"/>
        <w:contextualSpacing/>
        <w:jc w:val="both"/>
        <w:rPr>
          <w:rFonts w:asciiTheme="majorHAnsi" w:hAnsiTheme="majorHAnsi" w:cstheme="majorHAnsi"/>
          <w:sz w:val="22"/>
          <w:szCs w:val="22"/>
        </w:rPr>
      </w:pPr>
      <w:r w:rsidRPr="00F11127">
        <w:rPr>
          <w:rFonts w:asciiTheme="majorHAnsi" w:hAnsiTheme="majorHAnsi" w:cstheme="majorHAnsi"/>
          <w:sz w:val="22"/>
          <w:szCs w:val="22"/>
        </w:rPr>
        <w:t>skupno vrednost celotneg</w:t>
      </w:r>
      <w:r w:rsidR="007F0676">
        <w:rPr>
          <w:rFonts w:asciiTheme="majorHAnsi" w:hAnsiTheme="majorHAnsi" w:cstheme="majorHAnsi"/>
          <w:sz w:val="22"/>
          <w:szCs w:val="22"/>
        </w:rPr>
        <w:t>a projekta;</w:t>
      </w:r>
    </w:p>
    <w:p w14:paraId="0C12127D" w14:textId="4B2E4820" w:rsidR="006B2B7C" w:rsidRPr="00F11127" w:rsidRDefault="006B2B7C" w:rsidP="00BD1D20">
      <w:pPr>
        <w:numPr>
          <w:ilvl w:val="0"/>
          <w:numId w:val="92"/>
        </w:numPr>
        <w:spacing w:line="276" w:lineRule="auto"/>
        <w:contextualSpacing/>
        <w:jc w:val="both"/>
        <w:rPr>
          <w:rFonts w:asciiTheme="majorHAnsi" w:hAnsiTheme="majorHAnsi" w:cstheme="majorHAnsi"/>
          <w:sz w:val="22"/>
          <w:szCs w:val="22"/>
        </w:rPr>
      </w:pPr>
      <w:r w:rsidRPr="00F11127">
        <w:rPr>
          <w:rFonts w:asciiTheme="majorHAnsi" w:hAnsiTheme="majorHAnsi" w:cstheme="majorHAnsi"/>
          <w:sz w:val="22"/>
          <w:szCs w:val="22"/>
        </w:rPr>
        <w:t>stroške poslovanja</w:t>
      </w:r>
      <w:r w:rsidR="007F0676">
        <w:rPr>
          <w:rFonts w:asciiTheme="majorHAnsi" w:hAnsiTheme="majorHAnsi" w:cstheme="majorHAnsi"/>
          <w:sz w:val="22"/>
          <w:szCs w:val="22"/>
        </w:rPr>
        <w:t xml:space="preserve"> in prihodke celotnega projekta;</w:t>
      </w:r>
    </w:p>
    <w:p w14:paraId="2C5C0FF7" w14:textId="77777777" w:rsidR="006B2B7C" w:rsidRPr="00F11127" w:rsidRDefault="006B2B7C" w:rsidP="00BD1D20">
      <w:pPr>
        <w:numPr>
          <w:ilvl w:val="0"/>
          <w:numId w:val="92"/>
        </w:numPr>
        <w:spacing w:line="276" w:lineRule="auto"/>
        <w:contextualSpacing/>
        <w:jc w:val="both"/>
        <w:rPr>
          <w:rFonts w:asciiTheme="majorHAnsi" w:hAnsiTheme="majorHAnsi" w:cstheme="majorHAnsi"/>
          <w:sz w:val="22"/>
          <w:szCs w:val="22"/>
        </w:rPr>
      </w:pPr>
      <w:r w:rsidRPr="00F11127">
        <w:rPr>
          <w:rFonts w:asciiTheme="majorHAnsi" w:hAnsiTheme="majorHAnsi" w:cstheme="majorHAnsi"/>
          <w:sz w:val="22"/>
          <w:szCs w:val="22"/>
        </w:rPr>
        <w:t>vire financiranja in analizo denarnih tokov celotnega projekta ter</w:t>
      </w:r>
    </w:p>
    <w:p w14:paraId="62DD464D" w14:textId="77777777" w:rsidR="00F55912" w:rsidRDefault="006B2B7C" w:rsidP="00BD1D20">
      <w:pPr>
        <w:numPr>
          <w:ilvl w:val="0"/>
          <w:numId w:val="92"/>
        </w:numPr>
        <w:spacing w:line="276" w:lineRule="auto"/>
        <w:contextualSpacing/>
        <w:jc w:val="both"/>
        <w:rPr>
          <w:rFonts w:asciiTheme="majorHAnsi" w:hAnsiTheme="majorHAnsi" w:cstheme="majorHAnsi"/>
          <w:sz w:val="22"/>
          <w:szCs w:val="22"/>
        </w:rPr>
      </w:pPr>
      <w:r w:rsidRPr="00F11127">
        <w:rPr>
          <w:rFonts w:asciiTheme="majorHAnsi" w:hAnsiTheme="majorHAnsi" w:cstheme="majorHAnsi"/>
          <w:sz w:val="22"/>
          <w:szCs w:val="22"/>
        </w:rPr>
        <w:t xml:space="preserve">pokritosti celotnega projekta z viri financiranja. </w:t>
      </w:r>
    </w:p>
    <w:p w14:paraId="15E62972" w14:textId="77777777" w:rsidR="006B5369" w:rsidRPr="00F11127" w:rsidRDefault="006B5369" w:rsidP="006B5369">
      <w:pPr>
        <w:pStyle w:val="Naslov2"/>
        <w:numPr>
          <w:ilvl w:val="1"/>
          <w:numId w:val="2"/>
        </w:numPr>
        <w:rPr>
          <w:rFonts w:asciiTheme="majorHAnsi" w:eastAsiaTheme="majorEastAsia" w:hAnsiTheme="majorHAnsi" w:cstheme="majorHAnsi"/>
          <w:color w:val="244061" w:themeColor="accent1" w:themeShade="80"/>
          <w:szCs w:val="22"/>
        </w:rPr>
      </w:pPr>
      <w:bookmarkStart w:id="338" w:name="_Toc210033854"/>
      <w:r w:rsidRPr="00F11127">
        <w:rPr>
          <w:rFonts w:asciiTheme="majorHAnsi" w:eastAsiaTheme="majorEastAsia" w:hAnsiTheme="majorHAnsi" w:cstheme="majorHAnsi"/>
          <w:color w:val="244061" w:themeColor="accent1" w:themeShade="80"/>
          <w:szCs w:val="22"/>
        </w:rPr>
        <w:lastRenderedPageBreak/>
        <w:t>Finančni tok poslovanja</w:t>
      </w:r>
      <w:bookmarkEnd w:id="338"/>
      <w:r w:rsidRPr="00F11127">
        <w:rPr>
          <w:rFonts w:asciiTheme="majorHAnsi" w:eastAsiaTheme="majorEastAsia" w:hAnsiTheme="majorHAnsi" w:cstheme="majorHAnsi"/>
          <w:color w:val="244061" w:themeColor="accent1" w:themeShade="80"/>
          <w:szCs w:val="22"/>
        </w:rPr>
        <w:t xml:space="preserve"> </w:t>
      </w:r>
    </w:p>
    <w:p w14:paraId="5E985AF4" w14:textId="77777777" w:rsidR="006B5369" w:rsidRPr="00F11127" w:rsidRDefault="006B5369" w:rsidP="006B5369">
      <w:pPr>
        <w:spacing w:line="276" w:lineRule="auto"/>
        <w:contextualSpacing/>
        <w:jc w:val="both"/>
        <w:rPr>
          <w:rFonts w:asciiTheme="majorHAnsi" w:hAnsiTheme="majorHAnsi" w:cstheme="majorHAnsi"/>
          <w:sz w:val="22"/>
          <w:szCs w:val="22"/>
        </w:rPr>
      </w:pPr>
    </w:p>
    <w:p w14:paraId="5DDEF46D" w14:textId="77777777" w:rsidR="00F55912" w:rsidRPr="00F11127" w:rsidRDefault="00F55912" w:rsidP="00BD1D20">
      <w:pPr>
        <w:spacing w:line="276" w:lineRule="auto"/>
        <w:rPr>
          <w:rFonts w:asciiTheme="majorHAnsi" w:hAnsiTheme="majorHAnsi" w:cstheme="majorHAnsi"/>
          <w:sz w:val="22"/>
          <w:szCs w:val="22"/>
        </w:rPr>
        <w:sectPr w:rsidR="00F55912" w:rsidRPr="00F11127" w:rsidSect="00480057">
          <w:pgSz w:w="11906" w:h="16838"/>
          <w:pgMar w:top="1134" w:right="1417" w:bottom="1417" w:left="1418" w:header="708" w:footer="708" w:gutter="0"/>
          <w:cols w:space="708"/>
          <w:titlePg/>
          <w:docGrid w:linePitch="360"/>
        </w:sectPr>
      </w:pPr>
    </w:p>
    <w:p w14:paraId="058CDC3D" w14:textId="0B987A32" w:rsidR="00B80C03" w:rsidRDefault="00B80C03" w:rsidP="00BD1D20">
      <w:pPr>
        <w:spacing w:line="276" w:lineRule="auto"/>
        <w:ind w:left="-567"/>
        <w:rPr>
          <w:rFonts w:asciiTheme="majorHAnsi" w:eastAsia="Arial Unicode MS" w:hAnsiTheme="majorHAnsi" w:cstheme="majorHAnsi"/>
        </w:rPr>
      </w:pPr>
      <w:r w:rsidRPr="00B80C03">
        <w:rPr>
          <w:rFonts w:eastAsia="Arial Unicode MS"/>
          <w:noProof/>
        </w:rPr>
        <w:lastRenderedPageBreak/>
        <w:drawing>
          <wp:inline distT="0" distB="0" distL="0" distR="0" wp14:anchorId="5332EB1E" wp14:editId="3C1C5D07">
            <wp:extent cx="9072245" cy="5862320"/>
            <wp:effectExtent l="0" t="0" r="0" b="5080"/>
            <wp:docPr id="1873407183"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072245" cy="5862320"/>
                    </a:xfrm>
                    <a:prstGeom prst="rect">
                      <a:avLst/>
                    </a:prstGeom>
                    <a:noFill/>
                    <a:ln>
                      <a:noFill/>
                    </a:ln>
                  </pic:spPr>
                </pic:pic>
              </a:graphicData>
            </a:graphic>
          </wp:inline>
        </w:drawing>
      </w:r>
    </w:p>
    <w:p w14:paraId="2EAF8E21" w14:textId="1434B744" w:rsidR="00B80C03" w:rsidRDefault="00B80C03" w:rsidP="00BD1D20">
      <w:pPr>
        <w:spacing w:line="276" w:lineRule="auto"/>
        <w:ind w:left="-567"/>
        <w:rPr>
          <w:rFonts w:asciiTheme="majorHAnsi" w:eastAsia="Arial Unicode MS" w:hAnsiTheme="majorHAnsi" w:cstheme="majorHAnsi"/>
        </w:rPr>
      </w:pPr>
      <w:r w:rsidRPr="00B80C03">
        <w:rPr>
          <w:rFonts w:eastAsia="Arial Unicode MS"/>
          <w:noProof/>
        </w:rPr>
        <w:lastRenderedPageBreak/>
        <w:drawing>
          <wp:inline distT="0" distB="0" distL="0" distR="0" wp14:anchorId="6EB2CAA4" wp14:editId="5DF17C26">
            <wp:extent cx="9027795" cy="5940425"/>
            <wp:effectExtent l="0" t="0" r="1905" b="3175"/>
            <wp:docPr id="1035451395"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027795" cy="5940425"/>
                    </a:xfrm>
                    <a:prstGeom prst="rect">
                      <a:avLst/>
                    </a:prstGeom>
                    <a:noFill/>
                    <a:ln>
                      <a:noFill/>
                    </a:ln>
                  </pic:spPr>
                </pic:pic>
              </a:graphicData>
            </a:graphic>
          </wp:inline>
        </w:drawing>
      </w:r>
    </w:p>
    <w:p w14:paraId="2C41FC49" w14:textId="40DF2146" w:rsidR="00B80C03" w:rsidRDefault="00B80C03" w:rsidP="00BD1D20">
      <w:pPr>
        <w:spacing w:line="276" w:lineRule="auto"/>
        <w:ind w:left="-567"/>
        <w:rPr>
          <w:rFonts w:asciiTheme="majorHAnsi" w:eastAsia="Arial Unicode MS" w:hAnsiTheme="majorHAnsi" w:cstheme="majorHAnsi"/>
        </w:rPr>
      </w:pPr>
      <w:r w:rsidRPr="00B80C03">
        <w:rPr>
          <w:rFonts w:eastAsia="Arial Unicode MS"/>
          <w:noProof/>
        </w:rPr>
        <w:lastRenderedPageBreak/>
        <w:drawing>
          <wp:inline distT="0" distB="0" distL="0" distR="0" wp14:anchorId="5E95B2E7" wp14:editId="75B521D0">
            <wp:extent cx="2810510" cy="5940425"/>
            <wp:effectExtent l="0" t="0" r="8890" b="3175"/>
            <wp:docPr id="1729832413"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10510" cy="5940425"/>
                    </a:xfrm>
                    <a:prstGeom prst="rect">
                      <a:avLst/>
                    </a:prstGeom>
                    <a:noFill/>
                    <a:ln>
                      <a:noFill/>
                    </a:ln>
                  </pic:spPr>
                </pic:pic>
              </a:graphicData>
            </a:graphic>
          </wp:inline>
        </w:drawing>
      </w:r>
    </w:p>
    <w:p w14:paraId="738A9F41" w14:textId="17A9EA84" w:rsidR="00172372" w:rsidRDefault="00172372" w:rsidP="00172372">
      <w:pPr>
        <w:pStyle w:val="Naslov2"/>
        <w:numPr>
          <w:ilvl w:val="1"/>
          <w:numId w:val="2"/>
        </w:numPr>
        <w:rPr>
          <w:rFonts w:asciiTheme="majorHAnsi" w:eastAsiaTheme="majorEastAsia" w:hAnsiTheme="majorHAnsi" w:cstheme="majorHAnsi"/>
          <w:color w:val="244061" w:themeColor="accent1" w:themeShade="80"/>
          <w:szCs w:val="22"/>
        </w:rPr>
      </w:pPr>
      <w:bookmarkStart w:id="339" w:name="_Toc210033855"/>
      <w:r>
        <w:rPr>
          <w:rFonts w:asciiTheme="majorHAnsi" w:eastAsiaTheme="majorEastAsia" w:hAnsiTheme="majorHAnsi" w:cstheme="majorHAnsi"/>
          <w:color w:val="244061" w:themeColor="accent1" w:themeShade="80"/>
          <w:szCs w:val="22"/>
        </w:rPr>
        <w:lastRenderedPageBreak/>
        <w:t>Analiza donosnosti kapitala</w:t>
      </w:r>
      <w:bookmarkEnd w:id="339"/>
    </w:p>
    <w:p w14:paraId="05CB5730" w14:textId="20809F95" w:rsidR="00B80C03" w:rsidRDefault="00B80C03" w:rsidP="00B80C03">
      <w:pPr>
        <w:rPr>
          <w:rFonts w:eastAsiaTheme="majorEastAsia"/>
          <w:lang w:eastAsia="zh-TW"/>
        </w:rPr>
      </w:pPr>
      <w:r w:rsidRPr="00B80C03">
        <w:rPr>
          <w:rFonts w:eastAsiaTheme="majorEastAsia"/>
          <w:noProof/>
        </w:rPr>
        <w:drawing>
          <wp:inline distT="0" distB="0" distL="0" distR="0" wp14:anchorId="45226A37" wp14:editId="3F5CF141">
            <wp:extent cx="9072245" cy="1424940"/>
            <wp:effectExtent l="0" t="0" r="0" b="3810"/>
            <wp:docPr id="1901233254"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072245" cy="1424940"/>
                    </a:xfrm>
                    <a:prstGeom prst="rect">
                      <a:avLst/>
                    </a:prstGeom>
                    <a:noFill/>
                    <a:ln>
                      <a:noFill/>
                    </a:ln>
                  </pic:spPr>
                </pic:pic>
              </a:graphicData>
            </a:graphic>
          </wp:inline>
        </w:drawing>
      </w:r>
    </w:p>
    <w:p w14:paraId="0FDD7934" w14:textId="77777777" w:rsidR="00B80C03" w:rsidRPr="00B80C03" w:rsidRDefault="00B80C03" w:rsidP="00B80C03">
      <w:pPr>
        <w:rPr>
          <w:rFonts w:eastAsiaTheme="majorEastAsia"/>
          <w:sz w:val="10"/>
          <w:szCs w:val="10"/>
          <w:lang w:eastAsia="zh-TW"/>
        </w:rPr>
      </w:pPr>
    </w:p>
    <w:p w14:paraId="78C83553" w14:textId="19396C6C" w:rsidR="00B80C03" w:rsidRPr="00B80C03" w:rsidRDefault="00B80C03" w:rsidP="00B80C03">
      <w:pPr>
        <w:rPr>
          <w:rFonts w:eastAsiaTheme="majorEastAsia"/>
          <w:lang w:eastAsia="zh-TW"/>
        </w:rPr>
      </w:pPr>
      <w:r w:rsidRPr="00B80C03">
        <w:rPr>
          <w:rFonts w:eastAsiaTheme="majorEastAsia"/>
          <w:noProof/>
        </w:rPr>
        <w:drawing>
          <wp:inline distT="0" distB="0" distL="0" distR="0" wp14:anchorId="30CF7F34" wp14:editId="7A576B4F">
            <wp:extent cx="9072245" cy="1455420"/>
            <wp:effectExtent l="0" t="0" r="0" b="0"/>
            <wp:docPr id="683455037"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072245" cy="1455420"/>
                    </a:xfrm>
                    <a:prstGeom prst="rect">
                      <a:avLst/>
                    </a:prstGeom>
                    <a:noFill/>
                    <a:ln>
                      <a:noFill/>
                    </a:ln>
                  </pic:spPr>
                </pic:pic>
              </a:graphicData>
            </a:graphic>
          </wp:inline>
        </w:drawing>
      </w:r>
    </w:p>
    <w:p w14:paraId="3DC4F2CD" w14:textId="52EB03F8" w:rsidR="00172372" w:rsidRPr="00F11127" w:rsidRDefault="00172372" w:rsidP="00172372">
      <w:pPr>
        <w:spacing w:line="276" w:lineRule="auto"/>
        <w:rPr>
          <w:rFonts w:asciiTheme="majorHAnsi" w:hAnsiTheme="majorHAnsi" w:cstheme="majorHAnsi"/>
          <w:sz w:val="4"/>
          <w:szCs w:val="4"/>
        </w:rPr>
      </w:pPr>
    </w:p>
    <w:p w14:paraId="47A375B8" w14:textId="6BA01949" w:rsidR="00172372" w:rsidRDefault="00172372" w:rsidP="00172372">
      <w:pPr>
        <w:spacing w:line="276" w:lineRule="auto"/>
        <w:rPr>
          <w:rFonts w:asciiTheme="majorHAnsi" w:hAnsiTheme="majorHAnsi" w:cstheme="majorHAnsi"/>
          <w:sz w:val="4"/>
          <w:szCs w:val="4"/>
        </w:rPr>
      </w:pPr>
    </w:p>
    <w:p w14:paraId="1EFA3FD7" w14:textId="1D9F80F8" w:rsidR="00C40082" w:rsidRDefault="00C40082" w:rsidP="00172372">
      <w:pPr>
        <w:spacing w:line="276" w:lineRule="auto"/>
        <w:rPr>
          <w:rFonts w:asciiTheme="majorHAnsi" w:hAnsiTheme="majorHAnsi" w:cstheme="majorHAnsi"/>
          <w:sz w:val="4"/>
          <w:szCs w:val="4"/>
        </w:rPr>
      </w:pPr>
    </w:p>
    <w:p w14:paraId="26BBFFB9" w14:textId="6E1F4A50" w:rsidR="00C40082" w:rsidRPr="00F11127" w:rsidRDefault="00B80C03" w:rsidP="00172372">
      <w:pPr>
        <w:spacing w:line="276" w:lineRule="auto"/>
        <w:rPr>
          <w:rFonts w:asciiTheme="majorHAnsi" w:hAnsiTheme="majorHAnsi" w:cstheme="majorHAnsi"/>
          <w:sz w:val="4"/>
          <w:szCs w:val="4"/>
        </w:rPr>
      </w:pPr>
      <w:r w:rsidRPr="00B80C03">
        <w:rPr>
          <w:noProof/>
        </w:rPr>
        <w:drawing>
          <wp:inline distT="0" distB="0" distL="0" distR="0" wp14:anchorId="0AE49590" wp14:editId="5D1F9195">
            <wp:extent cx="6781106" cy="1455088"/>
            <wp:effectExtent l="0" t="0" r="1270" b="0"/>
            <wp:docPr id="9152381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87550" cy="1477929"/>
                    </a:xfrm>
                    <a:prstGeom prst="rect">
                      <a:avLst/>
                    </a:prstGeom>
                    <a:noFill/>
                    <a:ln>
                      <a:noFill/>
                    </a:ln>
                  </pic:spPr>
                </pic:pic>
              </a:graphicData>
            </a:graphic>
          </wp:inline>
        </w:drawing>
      </w:r>
    </w:p>
    <w:p w14:paraId="64E7E61D" w14:textId="303E330B" w:rsidR="00172372" w:rsidRDefault="00172372" w:rsidP="00172372">
      <w:pPr>
        <w:spacing w:line="276" w:lineRule="auto"/>
        <w:rPr>
          <w:rFonts w:asciiTheme="majorHAnsi" w:hAnsiTheme="majorHAnsi" w:cstheme="majorHAnsi"/>
          <w:sz w:val="4"/>
          <w:szCs w:val="4"/>
        </w:rPr>
      </w:pPr>
    </w:p>
    <w:p w14:paraId="2F73D14F" w14:textId="5D38F3F4" w:rsidR="00172372" w:rsidRPr="00F11127" w:rsidRDefault="00172372" w:rsidP="00172372">
      <w:pPr>
        <w:spacing w:line="276" w:lineRule="auto"/>
        <w:rPr>
          <w:rFonts w:asciiTheme="majorHAnsi" w:hAnsiTheme="majorHAnsi" w:cstheme="majorHAnsi"/>
          <w:sz w:val="4"/>
          <w:szCs w:val="4"/>
        </w:rPr>
      </w:pPr>
    </w:p>
    <w:p w14:paraId="758A474F" w14:textId="77777777" w:rsidR="00172372" w:rsidRPr="00F11127" w:rsidRDefault="00172372" w:rsidP="00BD1D20">
      <w:pPr>
        <w:spacing w:line="276" w:lineRule="auto"/>
        <w:rPr>
          <w:rFonts w:asciiTheme="majorHAnsi" w:hAnsiTheme="majorHAnsi" w:cstheme="majorHAnsi"/>
          <w:sz w:val="16"/>
          <w:highlight w:val="yellow"/>
        </w:rPr>
        <w:sectPr w:rsidR="00172372" w:rsidRPr="00F11127" w:rsidSect="00480057">
          <w:pgSz w:w="16838" w:h="11906" w:orient="landscape"/>
          <w:pgMar w:top="1134" w:right="1134" w:bottom="1417" w:left="1417" w:header="708" w:footer="708" w:gutter="0"/>
          <w:cols w:space="708"/>
          <w:titlePg/>
          <w:docGrid w:linePitch="360"/>
        </w:sectPr>
      </w:pPr>
    </w:p>
    <w:p w14:paraId="54DE983C" w14:textId="77777777" w:rsidR="00F55912" w:rsidRPr="00F11127" w:rsidRDefault="00F559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40" w:name="_Toc210033856"/>
      <w:r w:rsidRPr="00F11127">
        <w:rPr>
          <w:rFonts w:asciiTheme="majorHAnsi" w:eastAsiaTheme="majorEastAsia" w:hAnsiTheme="majorHAnsi" w:cstheme="majorHAnsi"/>
          <w:color w:val="244061" w:themeColor="accent1" w:themeShade="80"/>
        </w:rPr>
        <w:lastRenderedPageBreak/>
        <w:t>Doba vračanja investicijskih sredstev</w:t>
      </w:r>
      <w:bookmarkEnd w:id="340"/>
    </w:p>
    <w:p w14:paraId="7A831D6B" w14:textId="46E5805A" w:rsidR="00F55912" w:rsidRPr="00F11127" w:rsidRDefault="00B4794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Investitorju se projekt </w:t>
      </w:r>
      <w:r w:rsidR="003A0D69" w:rsidRPr="00F11127">
        <w:rPr>
          <w:rFonts w:asciiTheme="majorHAnsi" w:hAnsiTheme="majorHAnsi" w:cstheme="majorHAnsi"/>
          <w:sz w:val="22"/>
          <w:szCs w:val="22"/>
        </w:rPr>
        <w:t>ne povrne v ekonomski dobi</w:t>
      </w:r>
      <w:r w:rsidRPr="00F11127">
        <w:rPr>
          <w:rFonts w:asciiTheme="majorHAnsi" w:hAnsiTheme="majorHAnsi" w:cstheme="majorHAnsi"/>
          <w:sz w:val="22"/>
          <w:szCs w:val="22"/>
        </w:rPr>
        <w:t>.</w:t>
      </w:r>
    </w:p>
    <w:p w14:paraId="130C9A18" w14:textId="77777777" w:rsidR="00F55912" w:rsidRPr="00F11127" w:rsidRDefault="00F559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41" w:name="_Toc210033857"/>
      <w:r w:rsidRPr="00F11127">
        <w:rPr>
          <w:rFonts w:asciiTheme="majorHAnsi" w:eastAsiaTheme="majorEastAsia" w:hAnsiTheme="majorHAnsi" w:cstheme="majorHAnsi"/>
          <w:color w:val="244061" w:themeColor="accent1" w:themeShade="80"/>
        </w:rPr>
        <w:t>Finančni kazalniki</w:t>
      </w:r>
      <w:bookmarkEnd w:id="341"/>
    </w:p>
    <w:p w14:paraId="658046E2" w14:textId="73178167" w:rsidR="00F55912"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42" w:name="_Toc210033858"/>
      <w:r w:rsidRPr="00F11127">
        <w:rPr>
          <w:rFonts w:asciiTheme="majorHAnsi" w:eastAsiaTheme="majorEastAsia" w:hAnsiTheme="majorHAnsi" w:cstheme="majorHAnsi"/>
          <w:color w:val="244061" w:themeColor="accent1" w:themeShade="80"/>
        </w:rPr>
        <w:t>Finančna neto sedanja vrednost projekta</w:t>
      </w:r>
      <w:bookmarkEnd w:id="342"/>
    </w:p>
    <w:p w14:paraId="052C46D7"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Neto sedanja vrednost (Net </w:t>
      </w:r>
      <w:proofErr w:type="spellStart"/>
      <w:r w:rsidRPr="00F11127">
        <w:rPr>
          <w:rFonts w:asciiTheme="majorHAnsi" w:hAnsiTheme="majorHAnsi" w:cstheme="majorHAnsi"/>
          <w:sz w:val="22"/>
          <w:szCs w:val="22"/>
        </w:rPr>
        <w:t>present</w:t>
      </w:r>
      <w:proofErr w:type="spellEnd"/>
      <w:r w:rsidRPr="00F11127">
        <w:rPr>
          <w:rFonts w:asciiTheme="majorHAnsi" w:hAnsiTheme="majorHAnsi" w:cstheme="majorHAnsi"/>
          <w:sz w:val="22"/>
          <w:szCs w:val="22"/>
        </w:rPr>
        <w:t xml:space="preserve"> </w:t>
      </w:r>
      <w:proofErr w:type="spellStart"/>
      <w:r w:rsidRPr="00F11127">
        <w:rPr>
          <w:rFonts w:asciiTheme="majorHAnsi" w:hAnsiTheme="majorHAnsi" w:cstheme="majorHAnsi"/>
          <w:sz w:val="22"/>
          <w:szCs w:val="22"/>
        </w:rPr>
        <w:t>value</w:t>
      </w:r>
      <w:proofErr w:type="spellEnd"/>
      <w:r w:rsidRPr="00F11127">
        <w:rPr>
          <w:rFonts w:asciiTheme="majorHAnsi" w:hAnsiTheme="majorHAnsi" w:cstheme="majorHAnsi"/>
          <w:sz w:val="22"/>
          <w:szCs w:val="22"/>
        </w:rPr>
        <w:t>, NPV) predstavlja znesek, ki ga dobimo, ko diskontirane vrednosti pričakovanih stroškov projekta odštejemo od diskontiranih vrednosti pričakovanih koristi. Ločimo ekonomsko neto sedanjo vrednost (ENPV) in finančno sedanjo vrednost (FNPV).</w:t>
      </w:r>
    </w:p>
    <w:p w14:paraId="0EA64774"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Tako je finančna neto sedanja vrednost projekta določena kot:</w:t>
      </w:r>
    </w:p>
    <w:p w14:paraId="1C0FDA1A"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noProof/>
          <w:sz w:val="22"/>
          <w:szCs w:val="22"/>
        </w:rPr>
        <w:drawing>
          <wp:inline distT="0" distB="0" distL="0" distR="0" wp14:anchorId="53CD636B" wp14:editId="593702A7">
            <wp:extent cx="3143250" cy="533400"/>
            <wp:effectExtent l="0" t="0" r="0" b="0"/>
            <wp:docPr id="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43250" cy="533400"/>
                    </a:xfrm>
                    <a:prstGeom prst="rect">
                      <a:avLst/>
                    </a:prstGeom>
                    <a:noFill/>
                    <a:ln>
                      <a:noFill/>
                    </a:ln>
                  </pic:spPr>
                </pic:pic>
              </a:graphicData>
            </a:graphic>
          </wp:inline>
        </w:drawing>
      </w:r>
    </w:p>
    <w:p w14:paraId="272ECA53" w14:textId="2E5C61BE"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Pri tem je </w:t>
      </w:r>
      <w:proofErr w:type="spellStart"/>
      <w:r w:rsidRPr="00F11127">
        <w:rPr>
          <w:rFonts w:asciiTheme="majorHAnsi" w:hAnsiTheme="majorHAnsi" w:cstheme="majorHAnsi"/>
          <w:sz w:val="22"/>
          <w:szCs w:val="22"/>
        </w:rPr>
        <w:t>Sn</w:t>
      </w:r>
      <w:proofErr w:type="spellEnd"/>
      <w:r w:rsidRPr="00F11127">
        <w:rPr>
          <w:rFonts w:asciiTheme="majorHAnsi" w:hAnsiTheme="majorHAnsi" w:cstheme="majorHAnsi"/>
          <w:sz w:val="22"/>
          <w:szCs w:val="22"/>
        </w:rPr>
        <w:t xml:space="preserve"> finančni tok virov (neto priliv) v času n in at izbrani finančni diskontni faktor za diskontiranje. To je zelo zgoščen kazalnik učinkov celotnega projekta: je dejanska vsota vseh neto prilivov projekta, izražena v eni sami številki in v isti enoti mere upo</w:t>
      </w:r>
      <w:r w:rsidR="007244C1">
        <w:rPr>
          <w:rFonts w:asciiTheme="majorHAnsi" w:hAnsiTheme="majorHAnsi" w:cstheme="majorHAnsi"/>
          <w:sz w:val="22"/>
          <w:szCs w:val="22"/>
        </w:rPr>
        <w:t xml:space="preserve">rabljena v obračunskih tabelah. </w:t>
      </w:r>
      <w:r w:rsidRPr="00F11127">
        <w:rPr>
          <w:rFonts w:asciiTheme="majorHAnsi" w:hAnsiTheme="majorHAnsi" w:cstheme="majorHAnsi"/>
          <w:sz w:val="22"/>
          <w:szCs w:val="22"/>
        </w:rPr>
        <w:t xml:space="preserve">Pomembno je poudariti, da je običajno bilanca celotnega projekta v prvih letih negativna in postane pozitivna šele pozneje. Kakor se negativne vrednosti sčasoma znižujejo, so v prvih letih bolj obremenjene z utežmi od pozitivnih v zadnjem obdobju. To pomeni, da je izbira časovnega obdobja ključna pri določanju NPV. Še več, na izračun NPV vpliva tudi izbira diskontnega faktorja. Ta kazalnik je lahko zelo preprosto in natančno merilo za izbor projekta: NPV &gt; 0 pomeni, da projekt povzroči neto koristi (ker je vsota utežnih </w:t>
      </w:r>
      <w:proofErr w:type="spellStart"/>
      <w:r w:rsidRPr="00F11127">
        <w:rPr>
          <w:rFonts w:asciiTheme="majorHAnsi" w:hAnsiTheme="majorHAnsi" w:cstheme="majorHAnsi"/>
          <w:sz w:val="22"/>
          <w:szCs w:val="22"/>
        </w:rPr>
        <w:t>Sn</w:t>
      </w:r>
      <w:proofErr w:type="spellEnd"/>
      <w:r w:rsidRPr="00F11127">
        <w:rPr>
          <w:rFonts w:asciiTheme="majorHAnsi" w:hAnsiTheme="majorHAnsi" w:cstheme="majorHAnsi"/>
          <w:sz w:val="22"/>
          <w:szCs w:val="22"/>
        </w:rPr>
        <w:t xml:space="preserve"> še vedno pozitivna) in je na splošno sprejemljiv. Z drugimi besedami, lahko je dobro merilo za ugotavljanje dodane vrednosti, ki jo ustvari projekt družbi v denarnih enotah. Je tudi koristno za razvrščanje projektov na podlagi vrednosti NPV in odločanje, kateri je najboljši. Včasih pa se NPV ne more uporabiti za vsako vrednost i. V tem primeru pa opredelitev istega i za vsak projekt lahko vodi k jasni izbiri med projektoma. Poznamo finančno neto sedanjo vrednost – če je izračunana v finančni analizi s finančnimi spremenljivkami – in ekonomsko neto sedanjo vrednost, kadar jo računamo v ekonomski analizi.</w:t>
      </w:r>
    </w:p>
    <w:p w14:paraId="49149271"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Vse prihodnje pritoke in odtoke (oziroma neto ekonomski tok v posameznih letih ekonomske dobe projekta) diskontiramo na sedanji termin t0,  torej na leto, v katerem nastopijo prvi investicijski stroški.</w:t>
      </w:r>
    </w:p>
    <w:p w14:paraId="3542CD0C" w14:textId="06A63377" w:rsidR="007C5ACA" w:rsidRPr="00F11127" w:rsidRDefault="007C5ACA"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Seštevek diskontiranih neto prilivov nam pove finančno neto sedanjo vrednost</w:t>
      </w:r>
      <w:r w:rsidR="00250F27">
        <w:rPr>
          <w:rFonts w:asciiTheme="majorHAnsi" w:hAnsiTheme="majorHAnsi" w:cstheme="majorHAnsi"/>
          <w:sz w:val="22"/>
          <w:szCs w:val="22"/>
        </w:rPr>
        <w:t xml:space="preserve"> projekta, ki</w:t>
      </w:r>
      <w:r w:rsidRPr="00F11127">
        <w:rPr>
          <w:rFonts w:asciiTheme="majorHAnsi" w:hAnsiTheme="majorHAnsi" w:cstheme="majorHAnsi"/>
          <w:sz w:val="22"/>
          <w:szCs w:val="22"/>
        </w:rPr>
        <w:t xml:space="preserve"> znaša </w:t>
      </w:r>
      <w:r w:rsidR="00B80C03" w:rsidRPr="00B80C03">
        <w:rPr>
          <w:rFonts w:asciiTheme="majorHAnsi" w:hAnsiTheme="majorHAnsi" w:cstheme="majorHAnsi"/>
          <w:sz w:val="22"/>
          <w:szCs w:val="22"/>
        </w:rPr>
        <w:t>-3.304.864</w:t>
      </w:r>
      <w:r w:rsidR="004E11B1">
        <w:rPr>
          <w:rFonts w:asciiTheme="majorHAnsi" w:hAnsiTheme="majorHAnsi" w:cstheme="majorHAnsi"/>
          <w:sz w:val="22"/>
          <w:szCs w:val="22"/>
        </w:rPr>
        <w:t xml:space="preserve"> </w:t>
      </w:r>
      <w:r w:rsidRPr="00F11127">
        <w:rPr>
          <w:rFonts w:asciiTheme="majorHAnsi" w:hAnsiTheme="majorHAnsi" w:cstheme="majorHAnsi"/>
          <w:sz w:val="22"/>
          <w:szCs w:val="22"/>
        </w:rPr>
        <w:t>EUR</w:t>
      </w:r>
      <w:r w:rsidR="00250F27">
        <w:rPr>
          <w:rFonts w:asciiTheme="majorHAnsi" w:hAnsiTheme="majorHAnsi" w:cstheme="majorHAnsi"/>
          <w:sz w:val="22"/>
          <w:szCs w:val="22"/>
        </w:rPr>
        <w:t xml:space="preserve">, ter kapitala, ki znaša </w:t>
      </w:r>
      <w:r w:rsidR="00B80C03" w:rsidRPr="00B80C03">
        <w:rPr>
          <w:rFonts w:asciiTheme="majorHAnsi" w:hAnsiTheme="majorHAnsi" w:cstheme="majorHAnsi"/>
          <w:sz w:val="22"/>
          <w:szCs w:val="22"/>
        </w:rPr>
        <w:t>-1.840.104</w:t>
      </w:r>
      <w:r w:rsidR="00B80C03">
        <w:rPr>
          <w:rFonts w:asciiTheme="majorHAnsi" w:hAnsiTheme="majorHAnsi" w:cstheme="majorHAnsi"/>
          <w:sz w:val="22"/>
          <w:szCs w:val="22"/>
        </w:rPr>
        <w:t xml:space="preserve"> </w:t>
      </w:r>
      <w:r w:rsidR="00250F27">
        <w:rPr>
          <w:rFonts w:asciiTheme="majorHAnsi" w:hAnsiTheme="majorHAnsi" w:cstheme="majorHAnsi"/>
          <w:sz w:val="22"/>
          <w:szCs w:val="22"/>
        </w:rPr>
        <w:t>EUR</w:t>
      </w:r>
      <w:r w:rsidRPr="00F11127">
        <w:rPr>
          <w:rFonts w:asciiTheme="majorHAnsi" w:hAnsiTheme="majorHAnsi" w:cstheme="majorHAnsi"/>
          <w:sz w:val="22"/>
          <w:szCs w:val="22"/>
        </w:rPr>
        <w:t>.</w:t>
      </w:r>
    </w:p>
    <w:p w14:paraId="5EC11096" w14:textId="66F81278"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Finančna neto sedanja vrednost projekta se izračuna z upoštevanjem celotne vrednosti projekta kot odliv (skupaj </w:t>
      </w:r>
      <w:r w:rsidR="007244C1">
        <w:rPr>
          <w:rFonts w:asciiTheme="majorHAnsi" w:hAnsiTheme="majorHAnsi" w:cstheme="majorHAnsi"/>
          <w:sz w:val="22"/>
          <w:szCs w:val="22"/>
        </w:rPr>
        <w:t>z</w:t>
      </w:r>
      <w:r w:rsidRPr="00F11127">
        <w:rPr>
          <w:rFonts w:asciiTheme="majorHAnsi" w:hAnsiTheme="majorHAnsi" w:cstheme="majorHAnsi"/>
          <w:sz w:val="22"/>
          <w:szCs w:val="22"/>
        </w:rPr>
        <w:t xml:space="preserve"> odhodki poslovanja) in prihodki kot priliv.</w:t>
      </w:r>
    </w:p>
    <w:p w14:paraId="2FA6326B" w14:textId="77777777" w:rsidR="00F55912"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Rezultati so povsem pričakovani in v skladu z ostalimi primerljivimi projekti. </w:t>
      </w:r>
    </w:p>
    <w:p w14:paraId="15E90A3E" w14:textId="77777777" w:rsidR="00F55912"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43" w:name="_Toc210033859"/>
      <w:r w:rsidRPr="00F11127">
        <w:rPr>
          <w:rFonts w:asciiTheme="majorHAnsi" w:eastAsiaTheme="majorEastAsia" w:hAnsiTheme="majorHAnsi" w:cstheme="majorHAnsi"/>
          <w:color w:val="244061" w:themeColor="accent1" w:themeShade="80"/>
        </w:rPr>
        <w:t>Finančna interna stopnja donosnosti celotnega projekta</w:t>
      </w:r>
      <w:bookmarkEnd w:id="343"/>
    </w:p>
    <w:p w14:paraId="283A980F"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Finančna interna stopnja donosnosti je določena kot obrestna mera, ki izenači neto sedanjo vrednost investicije z nič, kar pomeni, da je obrestna mera </w:t>
      </w:r>
      <w:bookmarkStart w:id="344" w:name="OLE_LINK474"/>
      <w:bookmarkStart w:id="345" w:name="OLE_LINK475"/>
      <w:r w:rsidRPr="00F11127">
        <w:rPr>
          <w:rFonts w:asciiTheme="majorHAnsi" w:hAnsiTheme="majorHAnsi" w:cstheme="majorHAnsi"/>
          <w:sz w:val="22"/>
          <w:szCs w:val="22"/>
        </w:rPr>
        <w:t xml:space="preserve">IRR </w:t>
      </w:r>
      <w:bookmarkEnd w:id="344"/>
      <w:bookmarkEnd w:id="345"/>
      <w:r w:rsidRPr="00F11127">
        <w:rPr>
          <w:rFonts w:asciiTheme="majorHAnsi" w:hAnsiTheme="majorHAnsi" w:cstheme="majorHAnsi"/>
          <w:sz w:val="22"/>
          <w:szCs w:val="22"/>
        </w:rPr>
        <w:t>v spodnji enačbi:</w:t>
      </w:r>
    </w:p>
    <w:p w14:paraId="6AE83F61"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noProof/>
          <w:sz w:val="22"/>
          <w:szCs w:val="22"/>
        </w:rPr>
        <w:lastRenderedPageBreak/>
        <w:drawing>
          <wp:inline distT="0" distB="0" distL="0" distR="0" wp14:anchorId="096BEFBE" wp14:editId="3F0970AC">
            <wp:extent cx="2257425" cy="495300"/>
            <wp:effectExtent l="0" t="0" r="9525" b="0"/>
            <wp:docPr id="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57425" cy="495300"/>
                    </a:xfrm>
                    <a:prstGeom prst="rect">
                      <a:avLst/>
                    </a:prstGeom>
                    <a:noFill/>
                    <a:ln>
                      <a:noFill/>
                    </a:ln>
                  </pic:spPr>
                </pic:pic>
              </a:graphicData>
            </a:graphic>
          </wp:inline>
        </w:drawing>
      </w:r>
    </w:p>
    <w:p w14:paraId="6AD45476"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Kakor je jasno že iz definicije IRR in njene formule, za izračun tega kazalnika ni treba določiti diskontnega faktorja. Tisti, ki pregleduje izračune, večinoma uporabi finančno stopnjo donosa zato, da bi presodil bodoče učinke investicije. Ob predpostavki, da i predstavlja </w:t>
      </w:r>
      <w:proofErr w:type="spellStart"/>
      <w:r w:rsidRPr="00F11127">
        <w:rPr>
          <w:rFonts w:asciiTheme="majorHAnsi" w:hAnsiTheme="majorHAnsi" w:cstheme="majorHAnsi"/>
          <w:sz w:val="22"/>
          <w:szCs w:val="22"/>
        </w:rPr>
        <w:t>oportunitetne</w:t>
      </w:r>
      <w:proofErr w:type="spellEnd"/>
      <w:r w:rsidRPr="00F11127">
        <w:rPr>
          <w:rFonts w:asciiTheme="majorHAnsi" w:hAnsiTheme="majorHAnsi" w:cstheme="majorHAnsi"/>
          <w:sz w:val="22"/>
          <w:szCs w:val="22"/>
        </w:rPr>
        <w:t xml:space="preserve"> stroške lastniškega kapitala, je IRR tista največja vrednost i, kjer bi brez investicije nastala neto izguba v primerjavi z alternativno rabo kapitala. Torej je lahko IRR ocenjevalni kriterij v oceni projekta: pod določeno vrednostjo IRR se investicija šteje za neprimerno. NPV in IRR lahko uporabimo za ocenjevalni kriterij pri razvrščanju projektov. Vendar pa je koristno vedno upoštevati NPV in IRR skupaj, ker lahko pride tudi do nejasnih primerov.</w:t>
      </w:r>
    </w:p>
    <w:p w14:paraId="6EB9262E" w14:textId="77777777" w:rsidR="00F55912" w:rsidRPr="00F11127" w:rsidRDefault="00F5591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Finančna interna stopnja donosnosti (</w:t>
      </w:r>
      <w:proofErr w:type="spellStart"/>
      <w:r w:rsidRPr="00F11127">
        <w:rPr>
          <w:rFonts w:asciiTheme="majorHAnsi" w:hAnsiTheme="majorHAnsi" w:cstheme="majorHAnsi"/>
          <w:sz w:val="22"/>
          <w:szCs w:val="22"/>
        </w:rPr>
        <w:t>Internal</w:t>
      </w:r>
      <w:proofErr w:type="spellEnd"/>
      <w:r w:rsidRPr="00F11127">
        <w:rPr>
          <w:rFonts w:asciiTheme="majorHAnsi" w:hAnsiTheme="majorHAnsi" w:cstheme="majorHAnsi"/>
          <w:sz w:val="22"/>
          <w:szCs w:val="22"/>
        </w:rPr>
        <w:t xml:space="preserve"> </w:t>
      </w:r>
      <w:proofErr w:type="spellStart"/>
      <w:r w:rsidRPr="00F11127">
        <w:rPr>
          <w:rFonts w:asciiTheme="majorHAnsi" w:hAnsiTheme="majorHAnsi" w:cstheme="majorHAnsi"/>
          <w:sz w:val="22"/>
          <w:szCs w:val="22"/>
        </w:rPr>
        <w:t>rate</w:t>
      </w:r>
      <w:proofErr w:type="spellEnd"/>
      <w:r w:rsidRPr="00F11127">
        <w:rPr>
          <w:rFonts w:asciiTheme="majorHAnsi" w:hAnsiTheme="majorHAnsi" w:cstheme="majorHAnsi"/>
          <w:sz w:val="22"/>
          <w:szCs w:val="22"/>
        </w:rPr>
        <w:t xml:space="preserve"> </w:t>
      </w:r>
      <w:proofErr w:type="spellStart"/>
      <w:r w:rsidRPr="00F11127">
        <w:rPr>
          <w:rFonts w:asciiTheme="majorHAnsi" w:hAnsiTheme="majorHAnsi" w:cstheme="majorHAnsi"/>
          <w:sz w:val="22"/>
          <w:szCs w:val="22"/>
        </w:rPr>
        <w:t>of</w:t>
      </w:r>
      <w:proofErr w:type="spellEnd"/>
      <w:r w:rsidRPr="00F11127">
        <w:rPr>
          <w:rFonts w:asciiTheme="majorHAnsi" w:hAnsiTheme="majorHAnsi" w:cstheme="majorHAnsi"/>
          <w:sz w:val="22"/>
          <w:szCs w:val="22"/>
        </w:rPr>
        <w:t xml:space="preserve"> </w:t>
      </w:r>
      <w:proofErr w:type="spellStart"/>
      <w:r w:rsidRPr="00F11127">
        <w:rPr>
          <w:rFonts w:asciiTheme="majorHAnsi" w:hAnsiTheme="majorHAnsi" w:cstheme="majorHAnsi"/>
          <w:sz w:val="22"/>
          <w:szCs w:val="22"/>
        </w:rPr>
        <w:t>return</w:t>
      </w:r>
      <w:proofErr w:type="spellEnd"/>
      <w:r w:rsidRPr="00F11127">
        <w:rPr>
          <w:rFonts w:asciiTheme="majorHAnsi" w:hAnsiTheme="majorHAnsi" w:cstheme="majorHAnsi"/>
          <w:sz w:val="22"/>
          <w:szCs w:val="22"/>
        </w:rPr>
        <w:t xml:space="preserve">) predstavlja diskontno stopnjo, pri kateri je sedanja vrednost neto prilivov stroškov in koristi enaka nič. Finančna stopnja donosa (FRR), ko se vrednosti izrazijo po dejanskih cenah. </w:t>
      </w:r>
      <w:bookmarkStart w:id="346" w:name="OLE_LINK479"/>
      <w:bookmarkStart w:id="347" w:name="OLE_LINK480"/>
      <w:r w:rsidRPr="00F11127">
        <w:rPr>
          <w:rFonts w:asciiTheme="majorHAnsi" w:hAnsiTheme="majorHAnsi" w:cstheme="majorHAnsi"/>
          <w:sz w:val="22"/>
          <w:szCs w:val="22"/>
        </w:rPr>
        <w:t xml:space="preserve">Ekonomska stopnja donosa </w:t>
      </w:r>
      <w:bookmarkEnd w:id="346"/>
      <w:bookmarkEnd w:id="347"/>
      <w:r w:rsidRPr="00F11127">
        <w:rPr>
          <w:rFonts w:asciiTheme="majorHAnsi" w:hAnsiTheme="majorHAnsi" w:cstheme="majorHAnsi"/>
          <w:sz w:val="22"/>
          <w:szCs w:val="22"/>
        </w:rPr>
        <w:t>(ERR), ko se vrednosti ocenijo z obračunskimi cenami. Finančna interna stopnja donosa se primerja s podatkom, ki predstavlja merilo za primerjave, s čimer se ocenijo učinki predlaganega projekta.</w:t>
      </w:r>
    </w:p>
    <w:p w14:paraId="23D275AA" w14:textId="212E8BC9" w:rsidR="003368DA" w:rsidRPr="003368DA" w:rsidRDefault="003368DA" w:rsidP="003368DA">
      <w:pPr>
        <w:spacing w:after="120" w:line="276" w:lineRule="auto"/>
        <w:jc w:val="both"/>
        <w:rPr>
          <w:rFonts w:asciiTheme="majorHAnsi" w:hAnsiTheme="majorHAnsi" w:cstheme="majorHAnsi"/>
          <w:sz w:val="22"/>
          <w:szCs w:val="22"/>
        </w:rPr>
      </w:pPr>
      <w:r w:rsidRPr="003368DA">
        <w:rPr>
          <w:rFonts w:asciiTheme="majorHAnsi" w:hAnsiTheme="majorHAnsi" w:cstheme="majorHAnsi"/>
          <w:sz w:val="22"/>
          <w:szCs w:val="22"/>
        </w:rPr>
        <w:t xml:space="preserve">Finančna interna stopnja donosnosti (FRR) projekta znaša </w:t>
      </w:r>
      <w:r w:rsidR="00B80C03">
        <w:rPr>
          <w:rFonts w:asciiTheme="majorHAnsi" w:hAnsiTheme="majorHAnsi" w:cstheme="majorHAnsi"/>
          <w:sz w:val="22"/>
          <w:szCs w:val="22"/>
        </w:rPr>
        <w:t>-</w:t>
      </w:r>
      <w:r w:rsidRPr="003368DA">
        <w:rPr>
          <w:rFonts w:asciiTheme="majorHAnsi" w:hAnsiTheme="majorHAnsi" w:cstheme="majorHAnsi"/>
          <w:sz w:val="22"/>
          <w:szCs w:val="22"/>
        </w:rPr>
        <w:t>7,</w:t>
      </w:r>
      <w:r w:rsidR="00B80C03">
        <w:rPr>
          <w:rFonts w:asciiTheme="majorHAnsi" w:hAnsiTheme="majorHAnsi" w:cstheme="majorHAnsi"/>
          <w:sz w:val="22"/>
          <w:szCs w:val="22"/>
        </w:rPr>
        <w:t>85</w:t>
      </w:r>
      <w:r w:rsidRPr="003368DA">
        <w:rPr>
          <w:rFonts w:asciiTheme="majorHAnsi" w:hAnsiTheme="majorHAnsi" w:cstheme="majorHAnsi"/>
          <w:sz w:val="22"/>
          <w:szCs w:val="22"/>
        </w:rPr>
        <w:t xml:space="preserve"> %, finančna interna stopnja donosnosti kapitala (FRR/K) pa </w:t>
      </w:r>
      <w:r w:rsidR="00B80C03">
        <w:rPr>
          <w:rFonts w:asciiTheme="majorHAnsi" w:hAnsiTheme="majorHAnsi" w:cstheme="majorHAnsi"/>
          <w:sz w:val="22"/>
          <w:szCs w:val="22"/>
        </w:rPr>
        <w:t>-</w:t>
      </w:r>
      <w:r w:rsidR="009B0E79">
        <w:rPr>
          <w:rFonts w:asciiTheme="majorHAnsi" w:hAnsiTheme="majorHAnsi" w:cstheme="majorHAnsi"/>
          <w:sz w:val="22"/>
          <w:szCs w:val="22"/>
        </w:rPr>
        <w:t>6,2</w:t>
      </w:r>
      <w:r w:rsidR="00B80C03">
        <w:rPr>
          <w:rFonts w:asciiTheme="majorHAnsi" w:hAnsiTheme="majorHAnsi" w:cstheme="majorHAnsi"/>
          <w:sz w:val="22"/>
          <w:szCs w:val="22"/>
        </w:rPr>
        <w:t>0</w:t>
      </w:r>
      <w:r w:rsidRPr="003368DA">
        <w:rPr>
          <w:rFonts w:asciiTheme="majorHAnsi" w:hAnsiTheme="majorHAnsi" w:cstheme="majorHAnsi"/>
          <w:sz w:val="22"/>
          <w:szCs w:val="22"/>
        </w:rPr>
        <w:t xml:space="preserve"> %. Obe izračunani stopnji sta nižji od referenčne finančne diskontne stopnje 4 %, kar pomeni, da projekt iz ozko finančnega vidika ni vzdržen.</w:t>
      </w:r>
    </w:p>
    <w:p w14:paraId="5BF8B44D" w14:textId="77777777" w:rsidR="003368DA" w:rsidRPr="003368DA" w:rsidRDefault="003368DA" w:rsidP="003368DA">
      <w:pPr>
        <w:spacing w:after="120" w:line="276" w:lineRule="auto"/>
        <w:jc w:val="both"/>
        <w:rPr>
          <w:rFonts w:asciiTheme="majorHAnsi" w:hAnsiTheme="majorHAnsi" w:cstheme="majorHAnsi"/>
          <w:sz w:val="22"/>
          <w:szCs w:val="22"/>
        </w:rPr>
      </w:pPr>
      <w:r w:rsidRPr="003368DA">
        <w:rPr>
          <w:rFonts w:asciiTheme="majorHAnsi" w:hAnsiTheme="majorHAnsi" w:cstheme="majorHAnsi"/>
          <w:sz w:val="22"/>
          <w:szCs w:val="22"/>
        </w:rPr>
        <w:t xml:space="preserve">Ker pa gre za javni, netržni projekt, katerega namen je zagotavljanje družbenih koristi (večja prometna varnost, zmanjšanje emisij, zdravstvene koristi, višja kakovost bivanja), je tak rezultat pričakovan. Projekt se tako ne presoja po finančni donosnosti, temveč po ekonomskih in </w:t>
      </w:r>
      <w:proofErr w:type="spellStart"/>
      <w:r w:rsidRPr="003368DA">
        <w:rPr>
          <w:rFonts w:asciiTheme="majorHAnsi" w:hAnsiTheme="majorHAnsi" w:cstheme="majorHAnsi"/>
          <w:sz w:val="22"/>
          <w:szCs w:val="22"/>
        </w:rPr>
        <w:t>okoljskih</w:t>
      </w:r>
      <w:proofErr w:type="spellEnd"/>
      <w:r w:rsidRPr="003368DA">
        <w:rPr>
          <w:rFonts w:asciiTheme="majorHAnsi" w:hAnsiTheme="majorHAnsi" w:cstheme="majorHAnsi"/>
          <w:sz w:val="22"/>
          <w:szCs w:val="22"/>
        </w:rPr>
        <w:t xml:space="preserve"> učinkih, kjer ustvarja pozitivne rezultate in dosega cilje lokalnih ter evropskih razvojnih politik.</w:t>
      </w:r>
    </w:p>
    <w:p w14:paraId="5D13AAC2" w14:textId="77777777" w:rsidR="00F55912"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48" w:name="_Toc210033860"/>
      <w:r w:rsidRPr="00F11127">
        <w:rPr>
          <w:rFonts w:asciiTheme="majorHAnsi" w:eastAsiaTheme="majorEastAsia" w:hAnsiTheme="majorHAnsi" w:cstheme="majorHAnsi"/>
          <w:color w:val="244061" w:themeColor="accent1" w:themeShade="80"/>
        </w:rPr>
        <w:t>Finančna relativna neto sedanja vrednost celotnega projekta</w:t>
      </w:r>
      <w:bookmarkEnd w:id="348"/>
    </w:p>
    <w:p w14:paraId="568AB1D6" w14:textId="77777777" w:rsidR="00367A2B" w:rsidRPr="00F11127" w:rsidRDefault="00367A2B"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Finančna relativna neto sedanja vrednost prikazuje sedanjo vrednost neto denarnih tokov v celotni ekonomski dobi projekta glede na sedanjo vrednost stroškov celotnega projekta.</w:t>
      </w:r>
    </w:p>
    <w:p w14:paraId="21D54505" w14:textId="6AE15782" w:rsidR="005B3550" w:rsidRPr="00F11127" w:rsidRDefault="005B3550"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Finančna relativna neto sedanja vrednost je razmerje med neto sedanjo vrednostjo projekta in diskontiranimi investicijskimi stroški. V tem primeru znaša </w:t>
      </w:r>
      <w:r w:rsidR="00506CDC" w:rsidRPr="00F11127">
        <w:rPr>
          <w:rFonts w:asciiTheme="majorHAnsi" w:hAnsiTheme="majorHAnsi" w:cstheme="majorHAnsi"/>
          <w:sz w:val="22"/>
          <w:szCs w:val="22"/>
        </w:rPr>
        <w:t xml:space="preserve">RNSV = </w:t>
      </w:r>
      <w:r w:rsidR="006E4989">
        <w:rPr>
          <w:rFonts w:asciiTheme="majorHAnsi" w:hAnsiTheme="majorHAnsi" w:cstheme="majorHAnsi"/>
          <w:sz w:val="22"/>
          <w:szCs w:val="22"/>
        </w:rPr>
        <w:t>-1,03</w:t>
      </w:r>
      <w:r w:rsidR="00506CDC" w:rsidRPr="00F11127">
        <w:rPr>
          <w:rFonts w:asciiTheme="majorHAnsi" w:hAnsiTheme="majorHAnsi" w:cstheme="majorHAnsi"/>
          <w:sz w:val="22"/>
          <w:szCs w:val="22"/>
        </w:rPr>
        <w:t>.</w:t>
      </w:r>
    </w:p>
    <w:p w14:paraId="0DC5A856" w14:textId="77777777" w:rsidR="00F55912" w:rsidRPr="00F11127" w:rsidRDefault="00F55912" w:rsidP="00BD1D20">
      <w:pPr>
        <w:pStyle w:val="Naslov2"/>
        <w:numPr>
          <w:ilvl w:val="1"/>
          <w:numId w:val="2"/>
        </w:numPr>
        <w:spacing w:before="240" w:after="240"/>
        <w:ind w:left="578" w:hanging="578"/>
        <w:rPr>
          <w:rFonts w:asciiTheme="majorHAnsi" w:eastAsiaTheme="majorEastAsia" w:hAnsiTheme="majorHAnsi" w:cstheme="majorHAnsi"/>
          <w:color w:val="244061" w:themeColor="accent1" w:themeShade="80"/>
        </w:rPr>
      </w:pPr>
      <w:bookmarkStart w:id="349" w:name="_Toc210033861"/>
      <w:r w:rsidRPr="00F11127">
        <w:rPr>
          <w:rFonts w:asciiTheme="majorHAnsi" w:eastAsiaTheme="majorEastAsia" w:hAnsiTheme="majorHAnsi" w:cstheme="majorHAnsi"/>
          <w:color w:val="244061" w:themeColor="accent1" w:themeShade="80"/>
        </w:rPr>
        <w:t>Povzetek finančne analize</w:t>
      </w:r>
      <w:bookmarkEnd w:id="349"/>
    </w:p>
    <w:p w14:paraId="72D7A4B6" w14:textId="77777777" w:rsidR="00DB691E" w:rsidRPr="00F11127" w:rsidRDefault="00DB691E" w:rsidP="00BD1D20">
      <w:pPr>
        <w:spacing w:after="120" w:line="276" w:lineRule="auto"/>
        <w:jc w:val="both"/>
        <w:rPr>
          <w:rFonts w:asciiTheme="majorHAnsi" w:hAnsiTheme="majorHAnsi" w:cstheme="majorHAnsi"/>
          <w:sz w:val="22"/>
          <w:szCs w:val="22"/>
        </w:rPr>
      </w:pPr>
      <w:bookmarkStart w:id="350" w:name="_Toc447095059"/>
      <w:r w:rsidRPr="00F11127">
        <w:rPr>
          <w:rFonts w:asciiTheme="majorHAnsi" w:hAnsiTheme="majorHAnsi" w:cstheme="majorHAnsi"/>
          <w:sz w:val="22"/>
          <w:szCs w:val="22"/>
        </w:rPr>
        <w:t>Finančna analiza zajema prikaz vseh prihodkovnih in odhodkovnih postavk po denarnem toku (izjema je amortizacija in ostale računovodske bilance, ki ne predstavljajo denarnega toka).</w:t>
      </w:r>
    </w:p>
    <w:p w14:paraId="55D6C02B"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Prav tako najpomembnejši izračuni finančnih kazalnikov prikazujejo, ali je projekt upravičen do </w:t>
      </w:r>
      <w:r w:rsidR="004B1875" w:rsidRPr="00F11127">
        <w:rPr>
          <w:rFonts w:asciiTheme="majorHAnsi" w:hAnsiTheme="majorHAnsi" w:cstheme="majorHAnsi"/>
          <w:sz w:val="22"/>
          <w:szCs w:val="22"/>
        </w:rPr>
        <w:t>izvedbe ali ne</w:t>
      </w:r>
      <w:r w:rsidRPr="00F11127">
        <w:rPr>
          <w:rFonts w:asciiTheme="majorHAnsi" w:hAnsiTheme="majorHAnsi" w:cstheme="majorHAnsi"/>
          <w:sz w:val="22"/>
          <w:szCs w:val="22"/>
        </w:rPr>
        <w:t>.</w:t>
      </w:r>
    </w:p>
    <w:p w14:paraId="2A971ABF"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Tabela v nadaljevanju prikazuje povzetek preračunanih najpomembnejših finančni kazalnikov</w:t>
      </w:r>
      <w:r w:rsidR="00916434" w:rsidRPr="00F11127">
        <w:rPr>
          <w:rFonts w:asciiTheme="majorHAnsi" w:hAnsiTheme="majorHAnsi" w:cstheme="majorHAnsi"/>
          <w:sz w:val="22"/>
          <w:szCs w:val="22"/>
        </w:rPr>
        <w:t>.</w:t>
      </w:r>
    </w:p>
    <w:p w14:paraId="01E9E529" w14:textId="28ADFB8A" w:rsidR="00916434" w:rsidRPr="00F11127" w:rsidRDefault="00916434" w:rsidP="00BD1D20">
      <w:pPr>
        <w:pStyle w:val="Tabela-IP"/>
        <w:spacing w:line="276" w:lineRule="auto"/>
        <w:rPr>
          <w:rFonts w:asciiTheme="majorHAnsi" w:hAnsiTheme="majorHAnsi" w:cstheme="majorHAnsi"/>
        </w:rPr>
      </w:pPr>
      <w:bookmarkStart w:id="351" w:name="_Toc305347171"/>
      <w:bookmarkStart w:id="352" w:name="_Toc414802682"/>
      <w:bookmarkStart w:id="353" w:name="_Toc442223467"/>
      <w:bookmarkStart w:id="354" w:name="_Toc507300716"/>
      <w:bookmarkStart w:id="355" w:name="_Toc2605273"/>
      <w:bookmarkStart w:id="356" w:name="_Toc209528313"/>
      <w:r w:rsidRPr="00F11127">
        <w:rPr>
          <w:rFonts w:asciiTheme="majorHAnsi" w:eastAsiaTheme="minorHAnsi" w:hAnsiTheme="majorHAnsi" w:cstheme="majorHAnsi"/>
        </w:rPr>
        <w:t xml:space="preserve">Tabela </w:t>
      </w:r>
      <w:r w:rsidRPr="00F11127">
        <w:rPr>
          <w:rFonts w:asciiTheme="majorHAnsi" w:eastAsiaTheme="minorHAnsi" w:hAnsiTheme="majorHAnsi" w:cstheme="majorHAnsi"/>
        </w:rPr>
        <w:fldChar w:fldCharType="begin"/>
      </w:r>
      <w:r w:rsidRPr="00F11127">
        <w:rPr>
          <w:rFonts w:asciiTheme="majorHAnsi" w:eastAsiaTheme="minorHAnsi" w:hAnsiTheme="majorHAnsi" w:cstheme="majorHAnsi"/>
        </w:rPr>
        <w:instrText xml:space="preserve"> SEQ Tabela \* ARABIC </w:instrText>
      </w:r>
      <w:r w:rsidRPr="00F11127">
        <w:rPr>
          <w:rFonts w:asciiTheme="majorHAnsi" w:eastAsiaTheme="minorHAnsi" w:hAnsiTheme="majorHAnsi" w:cstheme="majorHAnsi"/>
        </w:rPr>
        <w:fldChar w:fldCharType="separate"/>
      </w:r>
      <w:r w:rsidR="00E74D26">
        <w:rPr>
          <w:rFonts w:asciiTheme="majorHAnsi" w:eastAsiaTheme="minorHAnsi" w:hAnsiTheme="majorHAnsi" w:cstheme="majorHAnsi"/>
          <w:noProof/>
        </w:rPr>
        <w:t>27</w:t>
      </w:r>
      <w:r w:rsidRPr="00F11127">
        <w:rPr>
          <w:rFonts w:asciiTheme="majorHAnsi" w:eastAsiaTheme="minorHAnsi" w:hAnsiTheme="majorHAnsi" w:cstheme="majorHAnsi"/>
        </w:rPr>
        <w:fldChar w:fldCharType="end"/>
      </w:r>
      <w:r w:rsidRPr="00F11127">
        <w:rPr>
          <w:rFonts w:asciiTheme="majorHAnsi" w:eastAsiaTheme="minorHAnsi" w:hAnsiTheme="majorHAnsi" w:cstheme="majorHAnsi"/>
        </w:rPr>
        <w:t>:</w:t>
      </w:r>
      <w:r w:rsidRPr="00F11127">
        <w:rPr>
          <w:rFonts w:asciiTheme="majorHAnsi" w:hAnsiTheme="majorHAnsi" w:cstheme="majorHAnsi"/>
        </w:rPr>
        <w:t xml:space="preserve"> </w:t>
      </w:r>
      <w:r w:rsidRPr="00F11127">
        <w:rPr>
          <w:rFonts w:asciiTheme="majorHAnsi" w:eastAsia="ArialNarrow" w:hAnsiTheme="majorHAnsi" w:cstheme="majorHAnsi"/>
          <w:b w:val="0"/>
          <w:bCs/>
        </w:rPr>
        <w:t>Kazalci finančne upravičenosti</w:t>
      </w:r>
      <w:bookmarkEnd w:id="351"/>
      <w:bookmarkEnd w:id="352"/>
      <w:bookmarkEnd w:id="353"/>
      <w:bookmarkEnd w:id="354"/>
      <w:bookmarkEnd w:id="355"/>
      <w:bookmarkEnd w:id="356"/>
    </w:p>
    <w:tbl>
      <w:tblPr>
        <w:tblStyle w:val="Svetlosenenjepoudarek1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0"/>
        <w:gridCol w:w="2401"/>
      </w:tblGrid>
      <w:tr w:rsidR="00D30C88" w:rsidRPr="00F11127" w14:paraId="2D2CDA4E" w14:textId="77777777" w:rsidTr="004B1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Borders>
              <w:top w:val="none" w:sz="0" w:space="0" w:color="auto"/>
              <w:left w:val="none" w:sz="0" w:space="0" w:color="auto"/>
              <w:bottom w:val="none" w:sz="0" w:space="0" w:color="auto"/>
              <w:right w:val="none" w:sz="0" w:space="0" w:color="auto"/>
            </w:tcBorders>
            <w:shd w:val="clear" w:color="auto" w:fill="C6D9F1" w:themeFill="text2" w:themeFillTint="33"/>
          </w:tcPr>
          <w:p w14:paraId="05090C39" w14:textId="77777777" w:rsidR="00D30C88" w:rsidRPr="00F11127" w:rsidRDefault="00D30C88" w:rsidP="00BD1D20">
            <w:pPr>
              <w:spacing w:before="120" w:after="120" w:line="276" w:lineRule="auto"/>
              <w:rPr>
                <w:rFonts w:asciiTheme="majorHAnsi" w:eastAsia="Arial Unicode MS" w:hAnsiTheme="majorHAnsi" w:cstheme="majorHAnsi"/>
                <w:color w:val="auto"/>
                <w:sz w:val="22"/>
                <w:szCs w:val="22"/>
              </w:rPr>
            </w:pPr>
            <w:r w:rsidRPr="00F11127">
              <w:rPr>
                <w:rFonts w:asciiTheme="majorHAnsi" w:eastAsia="Arial Unicode MS" w:hAnsiTheme="majorHAnsi" w:cstheme="majorHAnsi"/>
                <w:color w:val="auto"/>
                <w:sz w:val="22"/>
                <w:szCs w:val="22"/>
              </w:rPr>
              <w:t>Kazalnik</w:t>
            </w:r>
          </w:p>
        </w:tc>
        <w:tc>
          <w:tcPr>
            <w:tcW w:w="1325" w:type="pc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47268E45" w14:textId="77777777" w:rsidR="00D30C88" w:rsidRPr="00F11127" w:rsidRDefault="00D30C88" w:rsidP="00BD1D20">
            <w:pPr>
              <w:spacing w:before="120" w:after="120" w:line="276" w:lineRule="auto"/>
              <w:jc w:val="right"/>
              <w:cnfStyle w:val="100000000000" w:firstRow="1" w:lastRow="0" w:firstColumn="0" w:lastColumn="0" w:oddVBand="0" w:evenVBand="0" w:oddHBand="0" w:evenHBand="0" w:firstRowFirstColumn="0" w:firstRowLastColumn="0" w:lastRowFirstColumn="0" w:lastRowLastColumn="0"/>
              <w:rPr>
                <w:rFonts w:asciiTheme="majorHAnsi" w:eastAsia="Arial Unicode MS" w:hAnsiTheme="majorHAnsi" w:cstheme="majorHAnsi"/>
                <w:color w:val="auto"/>
                <w:sz w:val="22"/>
                <w:szCs w:val="22"/>
              </w:rPr>
            </w:pPr>
            <w:r w:rsidRPr="00F11127">
              <w:rPr>
                <w:rFonts w:asciiTheme="majorHAnsi" w:eastAsia="Arial Unicode MS" w:hAnsiTheme="majorHAnsi" w:cstheme="majorHAnsi"/>
                <w:color w:val="auto"/>
                <w:sz w:val="22"/>
                <w:szCs w:val="22"/>
              </w:rPr>
              <w:t>Vrednost</w:t>
            </w:r>
          </w:p>
        </w:tc>
      </w:tr>
      <w:tr w:rsidR="00475C54" w:rsidRPr="00F11127" w14:paraId="611B90E9" w14:textId="77777777" w:rsidTr="00475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Borders>
              <w:left w:val="none" w:sz="0" w:space="0" w:color="auto"/>
              <w:right w:val="none" w:sz="0" w:space="0" w:color="auto"/>
            </w:tcBorders>
            <w:shd w:val="clear" w:color="auto" w:fill="auto"/>
          </w:tcPr>
          <w:p w14:paraId="2CBFA672" w14:textId="0FD594F9" w:rsidR="00475C54" w:rsidRPr="00F11127" w:rsidRDefault="00475C54" w:rsidP="00475C54">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Finančna neto sedanja vrednost projekta v EUR</w:t>
            </w:r>
          </w:p>
        </w:tc>
        <w:tc>
          <w:tcPr>
            <w:tcW w:w="1325" w:type="pct"/>
            <w:tcBorders>
              <w:left w:val="none" w:sz="0" w:space="0" w:color="auto"/>
              <w:right w:val="none" w:sz="0" w:space="0" w:color="auto"/>
            </w:tcBorders>
            <w:shd w:val="clear" w:color="auto" w:fill="auto"/>
            <w:vAlign w:val="center"/>
          </w:tcPr>
          <w:p w14:paraId="4F614186" w14:textId="28BE4FC9" w:rsidR="00475C54" w:rsidRPr="00475C54" w:rsidRDefault="006E4989" w:rsidP="00475C54">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6E4989">
              <w:rPr>
                <w:rFonts w:ascii="Arial" w:hAnsi="Arial" w:cs="Arial"/>
                <w:color w:val="auto"/>
                <w:sz w:val="22"/>
                <w:szCs w:val="22"/>
              </w:rPr>
              <w:t>-3.304.864</w:t>
            </w:r>
          </w:p>
        </w:tc>
      </w:tr>
      <w:tr w:rsidR="00475C54" w:rsidRPr="00F11127" w14:paraId="2E5E94CE" w14:textId="77777777" w:rsidTr="00475C54">
        <w:tc>
          <w:tcPr>
            <w:cnfStyle w:val="001000000000" w:firstRow="0" w:lastRow="0" w:firstColumn="1" w:lastColumn="0" w:oddVBand="0" w:evenVBand="0" w:oddHBand="0" w:evenHBand="0" w:firstRowFirstColumn="0" w:firstRowLastColumn="0" w:lastRowFirstColumn="0" w:lastRowLastColumn="0"/>
            <w:tcW w:w="3675" w:type="pct"/>
          </w:tcPr>
          <w:p w14:paraId="0C8EC38B" w14:textId="727EBA92" w:rsidR="00475C54" w:rsidRPr="00F11127" w:rsidRDefault="00475C54" w:rsidP="00475C54">
            <w:pPr>
              <w:spacing w:before="120" w:after="120" w:line="276" w:lineRule="auto"/>
              <w:rPr>
                <w:rFonts w:asciiTheme="majorHAnsi" w:eastAsia="Arial Unicode MS" w:hAnsiTheme="majorHAnsi" w:cstheme="majorHAnsi"/>
                <w:sz w:val="22"/>
                <w:szCs w:val="22"/>
              </w:rPr>
            </w:pPr>
            <w:r w:rsidRPr="00F11127">
              <w:rPr>
                <w:rFonts w:asciiTheme="majorHAnsi" w:eastAsia="Arial Unicode MS" w:hAnsiTheme="majorHAnsi" w:cstheme="majorHAnsi"/>
                <w:b w:val="0"/>
                <w:color w:val="auto"/>
                <w:sz w:val="22"/>
                <w:szCs w:val="22"/>
              </w:rPr>
              <w:t xml:space="preserve">Finančna neto sedanja vrednost </w:t>
            </w:r>
            <w:r>
              <w:rPr>
                <w:rFonts w:asciiTheme="majorHAnsi" w:eastAsia="Arial Unicode MS" w:hAnsiTheme="majorHAnsi" w:cstheme="majorHAnsi"/>
                <w:b w:val="0"/>
                <w:color w:val="auto"/>
                <w:sz w:val="22"/>
                <w:szCs w:val="22"/>
              </w:rPr>
              <w:t>kapitala</w:t>
            </w:r>
            <w:r w:rsidRPr="00F11127">
              <w:rPr>
                <w:rFonts w:asciiTheme="majorHAnsi" w:eastAsia="Arial Unicode MS" w:hAnsiTheme="majorHAnsi" w:cstheme="majorHAnsi"/>
                <w:b w:val="0"/>
                <w:color w:val="auto"/>
                <w:sz w:val="22"/>
                <w:szCs w:val="22"/>
              </w:rPr>
              <w:t xml:space="preserve"> v EUR</w:t>
            </w:r>
          </w:p>
        </w:tc>
        <w:tc>
          <w:tcPr>
            <w:tcW w:w="1325" w:type="pct"/>
            <w:vAlign w:val="center"/>
          </w:tcPr>
          <w:p w14:paraId="5BF057A1" w14:textId="788A5F35" w:rsidR="00475C54" w:rsidRPr="00475C54" w:rsidRDefault="006E4989" w:rsidP="00475C54">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6E4989">
              <w:rPr>
                <w:rFonts w:ascii="Arial" w:hAnsi="Arial" w:cs="Arial"/>
                <w:color w:val="auto"/>
                <w:sz w:val="22"/>
                <w:szCs w:val="22"/>
              </w:rPr>
              <w:t>-1.840.104</w:t>
            </w:r>
          </w:p>
        </w:tc>
      </w:tr>
      <w:tr w:rsidR="00475C54" w:rsidRPr="00F11127" w14:paraId="68CC6BDF" w14:textId="77777777" w:rsidTr="00475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Borders>
              <w:left w:val="none" w:sz="0" w:space="0" w:color="auto"/>
              <w:right w:val="none" w:sz="0" w:space="0" w:color="auto"/>
            </w:tcBorders>
            <w:shd w:val="clear" w:color="auto" w:fill="auto"/>
          </w:tcPr>
          <w:p w14:paraId="799335AC" w14:textId="3C58EDEC" w:rsidR="00475C54" w:rsidRPr="00F11127" w:rsidRDefault="00475C54" w:rsidP="00475C54">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lastRenderedPageBreak/>
              <w:t xml:space="preserve">Finančna interna stopnja donosnosti </w:t>
            </w:r>
            <w:r>
              <w:rPr>
                <w:rFonts w:asciiTheme="majorHAnsi" w:eastAsia="Arial Unicode MS" w:hAnsiTheme="majorHAnsi" w:cstheme="majorHAnsi"/>
                <w:b w:val="0"/>
                <w:color w:val="auto"/>
                <w:sz w:val="22"/>
                <w:szCs w:val="22"/>
              </w:rPr>
              <w:t xml:space="preserve">projekta </w:t>
            </w:r>
            <w:r w:rsidRPr="00F11127">
              <w:rPr>
                <w:rFonts w:asciiTheme="majorHAnsi" w:eastAsia="Arial Unicode MS" w:hAnsiTheme="majorHAnsi" w:cstheme="majorHAnsi"/>
                <w:b w:val="0"/>
                <w:color w:val="auto"/>
                <w:sz w:val="22"/>
                <w:szCs w:val="22"/>
              </w:rPr>
              <w:t>(%)</w:t>
            </w:r>
          </w:p>
        </w:tc>
        <w:tc>
          <w:tcPr>
            <w:tcW w:w="1325" w:type="pct"/>
            <w:tcBorders>
              <w:left w:val="none" w:sz="0" w:space="0" w:color="auto"/>
              <w:right w:val="none" w:sz="0" w:space="0" w:color="auto"/>
            </w:tcBorders>
            <w:shd w:val="clear" w:color="auto" w:fill="auto"/>
            <w:vAlign w:val="center"/>
          </w:tcPr>
          <w:p w14:paraId="1F7F116E" w14:textId="7345B63F" w:rsidR="00475C54" w:rsidRPr="00475C54" w:rsidRDefault="00475C54" w:rsidP="00475C54">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475C54">
              <w:rPr>
                <w:rFonts w:ascii="Arial" w:hAnsi="Arial" w:cs="Arial"/>
                <w:color w:val="auto"/>
                <w:sz w:val="22"/>
                <w:szCs w:val="22"/>
              </w:rPr>
              <w:t>-7,</w:t>
            </w:r>
            <w:r w:rsidR="006E4989">
              <w:rPr>
                <w:rFonts w:ascii="Arial" w:hAnsi="Arial" w:cs="Arial"/>
                <w:color w:val="auto"/>
                <w:sz w:val="22"/>
                <w:szCs w:val="22"/>
              </w:rPr>
              <w:t>85</w:t>
            </w:r>
            <w:r w:rsidRPr="00475C54">
              <w:rPr>
                <w:rFonts w:ascii="Arial" w:hAnsi="Arial" w:cs="Arial"/>
                <w:color w:val="auto"/>
                <w:sz w:val="22"/>
                <w:szCs w:val="22"/>
              </w:rPr>
              <w:t>%</w:t>
            </w:r>
          </w:p>
        </w:tc>
      </w:tr>
      <w:tr w:rsidR="00475C54" w:rsidRPr="00F11127" w14:paraId="2B27DBB6" w14:textId="77777777" w:rsidTr="00475C54">
        <w:tc>
          <w:tcPr>
            <w:cnfStyle w:val="001000000000" w:firstRow="0" w:lastRow="0" w:firstColumn="1" w:lastColumn="0" w:oddVBand="0" w:evenVBand="0" w:oddHBand="0" w:evenHBand="0" w:firstRowFirstColumn="0" w:firstRowLastColumn="0" w:lastRowFirstColumn="0" w:lastRowLastColumn="0"/>
            <w:tcW w:w="3675" w:type="pct"/>
          </w:tcPr>
          <w:p w14:paraId="45C998D6" w14:textId="5F42BBE9" w:rsidR="00475C54" w:rsidRPr="00F11127" w:rsidRDefault="00475C54" w:rsidP="00475C54">
            <w:pPr>
              <w:spacing w:before="120" w:after="120" w:line="276" w:lineRule="auto"/>
              <w:rPr>
                <w:rFonts w:asciiTheme="majorHAnsi" w:eastAsia="Arial Unicode MS" w:hAnsiTheme="majorHAnsi" w:cstheme="majorHAnsi"/>
                <w:sz w:val="22"/>
                <w:szCs w:val="22"/>
              </w:rPr>
            </w:pPr>
            <w:r w:rsidRPr="00F11127">
              <w:rPr>
                <w:rFonts w:asciiTheme="majorHAnsi" w:eastAsia="Arial Unicode MS" w:hAnsiTheme="majorHAnsi" w:cstheme="majorHAnsi"/>
                <w:b w:val="0"/>
                <w:color w:val="auto"/>
                <w:sz w:val="22"/>
                <w:szCs w:val="22"/>
              </w:rPr>
              <w:t xml:space="preserve">Finančna interna stopnja </w:t>
            </w:r>
            <w:r>
              <w:rPr>
                <w:rFonts w:asciiTheme="majorHAnsi" w:eastAsia="Arial Unicode MS" w:hAnsiTheme="majorHAnsi" w:cstheme="majorHAnsi"/>
                <w:b w:val="0"/>
                <w:color w:val="auto"/>
                <w:sz w:val="22"/>
                <w:szCs w:val="22"/>
              </w:rPr>
              <w:t>donosnosti kapitala</w:t>
            </w:r>
            <w:r w:rsidRPr="00F11127">
              <w:rPr>
                <w:rFonts w:asciiTheme="majorHAnsi" w:eastAsia="Arial Unicode MS" w:hAnsiTheme="majorHAnsi" w:cstheme="majorHAnsi"/>
                <w:b w:val="0"/>
                <w:color w:val="auto"/>
                <w:sz w:val="22"/>
                <w:szCs w:val="22"/>
              </w:rPr>
              <w:t xml:space="preserve"> (%)</w:t>
            </w:r>
          </w:p>
        </w:tc>
        <w:tc>
          <w:tcPr>
            <w:tcW w:w="1325" w:type="pct"/>
            <w:vAlign w:val="center"/>
          </w:tcPr>
          <w:p w14:paraId="61F911AC" w14:textId="5C41C6E0" w:rsidR="00475C54" w:rsidRPr="00475C54" w:rsidRDefault="00475C54" w:rsidP="00475C54">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475C54">
              <w:rPr>
                <w:rFonts w:ascii="Arial" w:hAnsi="Arial" w:cs="Arial"/>
                <w:color w:val="auto"/>
                <w:sz w:val="22"/>
                <w:szCs w:val="22"/>
              </w:rPr>
              <w:t>-6,</w:t>
            </w:r>
            <w:r w:rsidR="006E4989">
              <w:rPr>
                <w:rFonts w:ascii="Arial" w:hAnsi="Arial" w:cs="Arial"/>
                <w:color w:val="auto"/>
                <w:sz w:val="22"/>
                <w:szCs w:val="22"/>
              </w:rPr>
              <w:t>20</w:t>
            </w:r>
            <w:r w:rsidRPr="00475C54">
              <w:rPr>
                <w:rFonts w:ascii="Arial" w:hAnsi="Arial" w:cs="Arial"/>
                <w:color w:val="auto"/>
                <w:sz w:val="22"/>
                <w:szCs w:val="22"/>
              </w:rPr>
              <w:t>%</w:t>
            </w:r>
          </w:p>
        </w:tc>
      </w:tr>
      <w:tr w:rsidR="00756F6B" w:rsidRPr="00F11127" w14:paraId="43C5AF00" w14:textId="77777777" w:rsidTr="00756F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5" w:type="pct"/>
            <w:tcBorders>
              <w:left w:val="none" w:sz="0" w:space="0" w:color="auto"/>
              <w:right w:val="none" w:sz="0" w:space="0" w:color="auto"/>
            </w:tcBorders>
            <w:shd w:val="clear" w:color="auto" w:fill="auto"/>
          </w:tcPr>
          <w:p w14:paraId="03CA2427" w14:textId="77777777" w:rsidR="00756F6B" w:rsidRPr="00F11127" w:rsidRDefault="00756F6B" w:rsidP="00756F6B">
            <w:pPr>
              <w:spacing w:before="120" w:after="120" w:line="276" w:lineRule="auto"/>
              <w:rPr>
                <w:rFonts w:asciiTheme="majorHAnsi" w:eastAsia="Arial Unicode MS" w:hAnsiTheme="majorHAnsi" w:cstheme="majorHAnsi"/>
                <w:b w:val="0"/>
                <w:color w:val="auto"/>
                <w:sz w:val="22"/>
                <w:szCs w:val="22"/>
              </w:rPr>
            </w:pPr>
            <w:r w:rsidRPr="00F11127">
              <w:rPr>
                <w:rFonts w:asciiTheme="majorHAnsi" w:eastAsia="Arial Unicode MS" w:hAnsiTheme="majorHAnsi" w:cstheme="majorHAnsi"/>
                <w:b w:val="0"/>
                <w:color w:val="auto"/>
                <w:sz w:val="22"/>
                <w:szCs w:val="22"/>
              </w:rPr>
              <w:t>Relativna neto sedanja vrednost (RFNP)</w:t>
            </w:r>
          </w:p>
        </w:tc>
        <w:tc>
          <w:tcPr>
            <w:tcW w:w="1325" w:type="pct"/>
            <w:tcBorders>
              <w:left w:val="none" w:sz="0" w:space="0" w:color="auto"/>
              <w:right w:val="none" w:sz="0" w:space="0" w:color="auto"/>
            </w:tcBorders>
            <w:shd w:val="clear" w:color="auto" w:fill="auto"/>
            <w:vAlign w:val="center"/>
          </w:tcPr>
          <w:p w14:paraId="7CD99F6A" w14:textId="59C7C261" w:rsidR="00756F6B" w:rsidRPr="00756F6B" w:rsidRDefault="00756F6B" w:rsidP="00756F6B">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756F6B">
              <w:rPr>
                <w:rFonts w:ascii="Arial" w:hAnsi="Arial" w:cs="Arial"/>
                <w:color w:val="auto"/>
                <w:sz w:val="22"/>
                <w:szCs w:val="22"/>
              </w:rPr>
              <w:t>-</w:t>
            </w:r>
            <w:r w:rsidR="006E4989">
              <w:rPr>
                <w:rFonts w:ascii="Arial" w:hAnsi="Arial" w:cs="Arial"/>
                <w:color w:val="auto"/>
                <w:sz w:val="22"/>
                <w:szCs w:val="22"/>
              </w:rPr>
              <w:t>1,03</w:t>
            </w:r>
          </w:p>
        </w:tc>
      </w:tr>
    </w:tbl>
    <w:p w14:paraId="157FA958" w14:textId="697F1E72" w:rsidR="00197C2B" w:rsidRPr="00F11127" w:rsidRDefault="00197C2B" w:rsidP="00197C2B">
      <w:pPr>
        <w:pStyle w:val="Naslov2"/>
        <w:numPr>
          <w:ilvl w:val="1"/>
          <w:numId w:val="2"/>
        </w:numPr>
        <w:spacing w:before="240" w:after="240"/>
        <w:ind w:left="578" w:hanging="578"/>
        <w:rPr>
          <w:rFonts w:asciiTheme="majorHAnsi" w:eastAsiaTheme="majorEastAsia" w:hAnsiTheme="majorHAnsi" w:cstheme="majorHAnsi"/>
          <w:color w:val="244061" w:themeColor="accent1" w:themeShade="80"/>
        </w:rPr>
      </w:pPr>
      <w:bookmarkStart w:id="357" w:name="_Toc210033862"/>
      <w:r>
        <w:rPr>
          <w:rFonts w:asciiTheme="majorHAnsi" w:eastAsiaTheme="majorEastAsia" w:hAnsiTheme="majorHAnsi" w:cstheme="majorHAnsi"/>
          <w:color w:val="244061" w:themeColor="accent1" w:themeShade="80"/>
        </w:rPr>
        <w:t>Izračun finančne</w:t>
      </w:r>
      <w:r w:rsidR="008E4ACE">
        <w:rPr>
          <w:rFonts w:asciiTheme="majorHAnsi" w:eastAsiaTheme="majorEastAsia" w:hAnsiTheme="majorHAnsi" w:cstheme="majorHAnsi"/>
          <w:color w:val="244061" w:themeColor="accent1" w:themeShade="80"/>
        </w:rPr>
        <w:t xml:space="preserve">ga </w:t>
      </w:r>
      <w:r w:rsidR="005010EC">
        <w:rPr>
          <w:rFonts w:asciiTheme="majorHAnsi" w:eastAsiaTheme="majorEastAsia" w:hAnsiTheme="majorHAnsi" w:cstheme="majorHAnsi"/>
          <w:color w:val="244061" w:themeColor="accent1" w:themeShade="80"/>
        </w:rPr>
        <w:t>primanjkljaja</w:t>
      </w:r>
      <w:bookmarkEnd w:id="357"/>
    </w:p>
    <w:p w14:paraId="3B194888" w14:textId="36B66ACF" w:rsidR="008E4ACE" w:rsidRDefault="005D0D74" w:rsidP="00197C2B">
      <w:pPr>
        <w:spacing w:after="120" w:line="276" w:lineRule="auto"/>
        <w:jc w:val="both"/>
        <w:rPr>
          <w:rFonts w:asciiTheme="majorHAnsi" w:hAnsiTheme="majorHAnsi" w:cstheme="majorHAnsi"/>
          <w:sz w:val="22"/>
          <w:szCs w:val="22"/>
        </w:rPr>
      </w:pPr>
      <w:r w:rsidRPr="005D0D74">
        <w:rPr>
          <w:rFonts w:asciiTheme="majorHAnsi" w:hAnsiTheme="majorHAnsi" w:cstheme="majorHAnsi"/>
          <w:sz w:val="22"/>
          <w:szCs w:val="22"/>
        </w:rPr>
        <w:t>V nadaljevanju so prikazani glavni finančni kazalniki, ki so bili izračunani na podlagi prej navedenih predpostavk (investicijska vrednost, dodatni obratovalni in vzdrževalni stroški, povišanje cen, izračun prihodkov).</w:t>
      </w:r>
    </w:p>
    <w:p w14:paraId="4924CCE6" w14:textId="17D5E9E5" w:rsidR="005D0D74" w:rsidRPr="00F11127" w:rsidRDefault="005D0D74" w:rsidP="005D0D74">
      <w:pPr>
        <w:pStyle w:val="Tabela-IP"/>
        <w:spacing w:line="276" w:lineRule="auto"/>
        <w:rPr>
          <w:rFonts w:asciiTheme="majorHAnsi" w:hAnsiTheme="majorHAnsi" w:cstheme="majorHAnsi"/>
        </w:rPr>
      </w:pPr>
      <w:bookmarkStart w:id="358" w:name="_Toc209528314"/>
      <w:r w:rsidRPr="00F11127">
        <w:rPr>
          <w:rFonts w:asciiTheme="majorHAnsi" w:eastAsiaTheme="minorHAnsi" w:hAnsiTheme="majorHAnsi" w:cstheme="majorHAnsi"/>
        </w:rPr>
        <w:t xml:space="preserve">Tabela </w:t>
      </w:r>
      <w:r w:rsidRPr="00F11127">
        <w:rPr>
          <w:rFonts w:asciiTheme="majorHAnsi" w:eastAsiaTheme="minorHAnsi" w:hAnsiTheme="majorHAnsi" w:cstheme="majorHAnsi"/>
        </w:rPr>
        <w:fldChar w:fldCharType="begin"/>
      </w:r>
      <w:r w:rsidRPr="00F11127">
        <w:rPr>
          <w:rFonts w:asciiTheme="majorHAnsi" w:eastAsiaTheme="minorHAnsi" w:hAnsiTheme="majorHAnsi" w:cstheme="majorHAnsi"/>
        </w:rPr>
        <w:instrText xml:space="preserve"> SEQ Tabela \* ARABIC </w:instrText>
      </w:r>
      <w:r w:rsidRPr="00F11127">
        <w:rPr>
          <w:rFonts w:asciiTheme="majorHAnsi" w:eastAsiaTheme="minorHAnsi" w:hAnsiTheme="majorHAnsi" w:cstheme="majorHAnsi"/>
        </w:rPr>
        <w:fldChar w:fldCharType="separate"/>
      </w:r>
      <w:r w:rsidR="00E74D26">
        <w:rPr>
          <w:rFonts w:asciiTheme="majorHAnsi" w:eastAsiaTheme="minorHAnsi" w:hAnsiTheme="majorHAnsi" w:cstheme="majorHAnsi"/>
          <w:noProof/>
        </w:rPr>
        <w:t>28</w:t>
      </w:r>
      <w:r w:rsidRPr="00F11127">
        <w:rPr>
          <w:rFonts w:asciiTheme="majorHAnsi" w:eastAsiaTheme="minorHAnsi" w:hAnsiTheme="majorHAnsi" w:cstheme="majorHAnsi"/>
        </w:rPr>
        <w:fldChar w:fldCharType="end"/>
      </w:r>
      <w:r w:rsidRPr="00F11127">
        <w:rPr>
          <w:rFonts w:asciiTheme="majorHAnsi" w:eastAsiaTheme="minorHAnsi" w:hAnsiTheme="majorHAnsi" w:cstheme="majorHAnsi"/>
        </w:rPr>
        <w:t>:</w:t>
      </w:r>
      <w:r w:rsidRPr="00F11127">
        <w:rPr>
          <w:rFonts w:asciiTheme="majorHAnsi" w:hAnsiTheme="majorHAnsi" w:cstheme="majorHAnsi"/>
        </w:rPr>
        <w:t xml:space="preserve"> </w:t>
      </w:r>
      <w:r w:rsidRPr="005D0D74">
        <w:rPr>
          <w:rFonts w:asciiTheme="majorHAnsi" w:eastAsia="ArialNarrow" w:hAnsiTheme="majorHAnsi" w:cstheme="majorHAnsi"/>
          <w:b w:val="0"/>
          <w:bCs/>
        </w:rPr>
        <w:t>Glavni kazalniki finančne analize</w:t>
      </w:r>
      <w:bookmarkEnd w:id="358"/>
    </w:p>
    <w:tbl>
      <w:tblPr>
        <w:tblW w:w="9046" w:type="dxa"/>
        <w:tblCellMar>
          <w:left w:w="70" w:type="dxa"/>
          <w:right w:w="70" w:type="dxa"/>
        </w:tblCellMar>
        <w:tblLook w:val="04A0" w:firstRow="1" w:lastRow="0" w:firstColumn="1" w:lastColumn="0" w:noHBand="0" w:noVBand="1"/>
      </w:tblPr>
      <w:tblGrid>
        <w:gridCol w:w="3818"/>
        <w:gridCol w:w="1559"/>
        <w:gridCol w:w="1134"/>
        <w:gridCol w:w="1572"/>
        <w:gridCol w:w="963"/>
      </w:tblGrid>
      <w:tr w:rsidR="00A01B97" w:rsidRPr="00A01B97" w14:paraId="4A755950" w14:textId="77777777" w:rsidTr="006E4989">
        <w:trPr>
          <w:trHeight w:val="285"/>
        </w:trPr>
        <w:tc>
          <w:tcPr>
            <w:tcW w:w="3818" w:type="dxa"/>
            <w:vMerge w:val="restart"/>
            <w:tcBorders>
              <w:top w:val="single" w:sz="8" w:space="0" w:color="auto"/>
              <w:left w:val="single" w:sz="8" w:space="0" w:color="auto"/>
              <w:bottom w:val="single" w:sz="4" w:space="0" w:color="auto"/>
              <w:right w:val="single" w:sz="4" w:space="0" w:color="auto"/>
            </w:tcBorders>
            <w:noWrap/>
            <w:vAlign w:val="bottom"/>
            <w:hideMark/>
          </w:tcPr>
          <w:p w14:paraId="2CCCCE3D" w14:textId="77777777" w:rsidR="00A01B97" w:rsidRPr="00A01B97" w:rsidRDefault="00A01B97">
            <w:pPr>
              <w:jc w:val="center"/>
              <w:rPr>
                <w:rFonts w:ascii="Arial" w:hAnsi="Arial" w:cs="Arial"/>
                <w:sz w:val="22"/>
                <w:szCs w:val="22"/>
              </w:rPr>
            </w:pPr>
            <w:r w:rsidRPr="00A01B97">
              <w:rPr>
                <w:rFonts w:ascii="Arial" w:hAnsi="Arial" w:cs="Arial"/>
                <w:sz w:val="22"/>
                <w:szCs w:val="22"/>
              </w:rPr>
              <w:t> </w:t>
            </w:r>
          </w:p>
        </w:tc>
        <w:tc>
          <w:tcPr>
            <w:tcW w:w="2693" w:type="dxa"/>
            <w:gridSpan w:val="2"/>
            <w:tcBorders>
              <w:top w:val="single" w:sz="8" w:space="0" w:color="auto"/>
              <w:left w:val="nil"/>
              <w:bottom w:val="single" w:sz="4" w:space="0" w:color="auto"/>
              <w:right w:val="single" w:sz="4" w:space="0" w:color="auto"/>
            </w:tcBorders>
            <w:shd w:val="clear" w:color="auto" w:fill="DBE5F1" w:themeFill="accent1" w:themeFillTint="33"/>
            <w:noWrap/>
            <w:vAlign w:val="bottom"/>
            <w:hideMark/>
          </w:tcPr>
          <w:p w14:paraId="4810D3B3" w14:textId="77777777" w:rsidR="00A01B97" w:rsidRPr="00A01B97" w:rsidRDefault="00A01B97">
            <w:pPr>
              <w:jc w:val="center"/>
              <w:rPr>
                <w:rFonts w:ascii="Arial" w:hAnsi="Arial" w:cs="Arial"/>
                <w:b/>
                <w:bCs/>
                <w:sz w:val="22"/>
                <w:szCs w:val="22"/>
              </w:rPr>
            </w:pPr>
            <w:r w:rsidRPr="00A01B97">
              <w:rPr>
                <w:rFonts w:ascii="Arial" w:hAnsi="Arial" w:cs="Arial"/>
                <w:b/>
                <w:bCs/>
                <w:sz w:val="22"/>
                <w:szCs w:val="22"/>
              </w:rPr>
              <w:t>Brez pomoči skupnosti (FRR/C)</w:t>
            </w:r>
          </w:p>
        </w:tc>
        <w:tc>
          <w:tcPr>
            <w:tcW w:w="2535" w:type="dxa"/>
            <w:gridSpan w:val="2"/>
            <w:tcBorders>
              <w:top w:val="single" w:sz="8" w:space="0" w:color="auto"/>
              <w:left w:val="nil"/>
              <w:bottom w:val="single" w:sz="4" w:space="0" w:color="auto"/>
              <w:right w:val="single" w:sz="8" w:space="0" w:color="000000"/>
            </w:tcBorders>
            <w:shd w:val="clear" w:color="auto" w:fill="FDE9D9" w:themeFill="accent6" w:themeFillTint="33"/>
            <w:noWrap/>
            <w:vAlign w:val="bottom"/>
            <w:hideMark/>
          </w:tcPr>
          <w:p w14:paraId="48965630" w14:textId="77777777" w:rsidR="00A01B97" w:rsidRPr="00A01B97" w:rsidRDefault="00A01B97">
            <w:pPr>
              <w:jc w:val="center"/>
              <w:rPr>
                <w:rFonts w:ascii="Arial" w:hAnsi="Arial" w:cs="Arial"/>
                <w:b/>
                <w:bCs/>
                <w:sz w:val="22"/>
                <w:szCs w:val="22"/>
              </w:rPr>
            </w:pPr>
            <w:r w:rsidRPr="00A01B97">
              <w:rPr>
                <w:rFonts w:ascii="Arial" w:hAnsi="Arial" w:cs="Arial"/>
                <w:b/>
                <w:bCs/>
                <w:sz w:val="22"/>
                <w:szCs w:val="22"/>
              </w:rPr>
              <w:t>S pomočjo skupnosti (FRR/K)</w:t>
            </w:r>
          </w:p>
        </w:tc>
      </w:tr>
      <w:tr w:rsidR="00A01B97" w:rsidRPr="00A01B97" w14:paraId="1964BBA1" w14:textId="77777777" w:rsidTr="006E4989">
        <w:trPr>
          <w:trHeight w:val="300"/>
        </w:trPr>
        <w:tc>
          <w:tcPr>
            <w:tcW w:w="3818" w:type="dxa"/>
            <w:vMerge/>
            <w:tcBorders>
              <w:top w:val="single" w:sz="8" w:space="0" w:color="auto"/>
              <w:left w:val="single" w:sz="8" w:space="0" w:color="auto"/>
              <w:bottom w:val="single" w:sz="4" w:space="0" w:color="auto"/>
              <w:right w:val="single" w:sz="4" w:space="0" w:color="auto"/>
            </w:tcBorders>
            <w:vAlign w:val="center"/>
            <w:hideMark/>
          </w:tcPr>
          <w:p w14:paraId="12F01ECB" w14:textId="77777777" w:rsidR="00A01B97" w:rsidRPr="00A01B97" w:rsidRDefault="00A01B97">
            <w:pPr>
              <w:rPr>
                <w:rFonts w:ascii="Arial" w:hAnsi="Arial" w:cs="Arial"/>
                <w:sz w:val="22"/>
                <w:szCs w:val="22"/>
              </w:rPr>
            </w:pPr>
          </w:p>
        </w:tc>
        <w:tc>
          <w:tcPr>
            <w:tcW w:w="2693" w:type="dxa"/>
            <w:gridSpan w:val="2"/>
            <w:tcBorders>
              <w:top w:val="single" w:sz="4" w:space="0" w:color="auto"/>
              <w:left w:val="nil"/>
              <w:bottom w:val="nil"/>
              <w:right w:val="single" w:sz="4" w:space="0" w:color="auto"/>
            </w:tcBorders>
            <w:shd w:val="clear" w:color="auto" w:fill="DBE5F1" w:themeFill="accent1" w:themeFillTint="33"/>
            <w:noWrap/>
            <w:vAlign w:val="bottom"/>
            <w:hideMark/>
          </w:tcPr>
          <w:p w14:paraId="20DA0539" w14:textId="77777777" w:rsidR="00A01B97" w:rsidRPr="00A01B97" w:rsidRDefault="00A01B97">
            <w:pPr>
              <w:jc w:val="center"/>
              <w:rPr>
                <w:rFonts w:ascii="Arial" w:hAnsi="Arial" w:cs="Arial"/>
                <w:b/>
                <w:bCs/>
                <w:sz w:val="22"/>
                <w:szCs w:val="22"/>
              </w:rPr>
            </w:pPr>
            <w:r w:rsidRPr="00A01B97">
              <w:rPr>
                <w:rFonts w:ascii="Arial" w:hAnsi="Arial" w:cs="Arial"/>
                <w:b/>
                <w:bCs/>
                <w:sz w:val="22"/>
                <w:szCs w:val="22"/>
              </w:rPr>
              <w:t>A</w:t>
            </w:r>
          </w:p>
        </w:tc>
        <w:tc>
          <w:tcPr>
            <w:tcW w:w="2535" w:type="dxa"/>
            <w:gridSpan w:val="2"/>
            <w:tcBorders>
              <w:top w:val="single" w:sz="4" w:space="0" w:color="auto"/>
              <w:left w:val="nil"/>
              <w:bottom w:val="nil"/>
              <w:right w:val="single" w:sz="8" w:space="0" w:color="000000"/>
            </w:tcBorders>
            <w:shd w:val="clear" w:color="auto" w:fill="FDE9D9" w:themeFill="accent6" w:themeFillTint="33"/>
            <w:noWrap/>
            <w:vAlign w:val="bottom"/>
            <w:hideMark/>
          </w:tcPr>
          <w:p w14:paraId="67072D60" w14:textId="77777777" w:rsidR="00A01B97" w:rsidRPr="00A01B97" w:rsidRDefault="00A01B97">
            <w:pPr>
              <w:jc w:val="center"/>
              <w:rPr>
                <w:rFonts w:ascii="Arial" w:hAnsi="Arial" w:cs="Arial"/>
                <w:b/>
                <w:bCs/>
                <w:sz w:val="22"/>
                <w:szCs w:val="22"/>
              </w:rPr>
            </w:pPr>
            <w:r w:rsidRPr="00A01B97">
              <w:rPr>
                <w:rFonts w:ascii="Arial" w:hAnsi="Arial" w:cs="Arial"/>
                <w:b/>
                <w:bCs/>
                <w:sz w:val="22"/>
                <w:szCs w:val="22"/>
              </w:rPr>
              <w:t>B</w:t>
            </w:r>
          </w:p>
        </w:tc>
      </w:tr>
      <w:tr w:rsidR="00475C54" w:rsidRPr="00A01B97" w14:paraId="43612546" w14:textId="77777777" w:rsidTr="006E4989">
        <w:trPr>
          <w:trHeight w:val="300"/>
        </w:trPr>
        <w:tc>
          <w:tcPr>
            <w:tcW w:w="3818" w:type="dxa"/>
            <w:tcBorders>
              <w:top w:val="single" w:sz="8" w:space="0" w:color="auto"/>
              <w:left w:val="single" w:sz="8" w:space="0" w:color="auto"/>
              <w:bottom w:val="single" w:sz="8" w:space="0" w:color="auto"/>
              <w:right w:val="nil"/>
            </w:tcBorders>
            <w:noWrap/>
            <w:vAlign w:val="bottom"/>
            <w:hideMark/>
          </w:tcPr>
          <w:p w14:paraId="487EDDB7" w14:textId="77777777" w:rsidR="00475C54" w:rsidRPr="00A01B97" w:rsidRDefault="00475C54" w:rsidP="00475C54">
            <w:pPr>
              <w:rPr>
                <w:rFonts w:ascii="Arial" w:hAnsi="Arial" w:cs="Arial"/>
                <w:sz w:val="22"/>
                <w:szCs w:val="22"/>
              </w:rPr>
            </w:pPr>
            <w:r w:rsidRPr="00A01B97">
              <w:rPr>
                <w:rFonts w:ascii="Arial" w:hAnsi="Arial" w:cs="Arial"/>
                <w:sz w:val="22"/>
                <w:szCs w:val="22"/>
              </w:rPr>
              <w:t>1. Finančna stopnja donosa</w:t>
            </w:r>
          </w:p>
        </w:tc>
        <w:tc>
          <w:tcPr>
            <w:tcW w:w="1559" w:type="dxa"/>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bottom"/>
            <w:hideMark/>
          </w:tcPr>
          <w:p w14:paraId="460C813C" w14:textId="0B9418C6" w:rsidR="00475C54" w:rsidRPr="00A01B97" w:rsidRDefault="00475C54" w:rsidP="00475C54">
            <w:pPr>
              <w:jc w:val="right"/>
              <w:rPr>
                <w:rFonts w:ascii="Arial" w:hAnsi="Arial" w:cs="Arial"/>
                <w:sz w:val="22"/>
                <w:szCs w:val="22"/>
              </w:rPr>
            </w:pPr>
            <w:r w:rsidRPr="00A01B97">
              <w:rPr>
                <w:rFonts w:ascii="Arial" w:hAnsi="Arial" w:cs="Arial"/>
                <w:sz w:val="22"/>
                <w:szCs w:val="22"/>
              </w:rPr>
              <w:t>-7,</w:t>
            </w:r>
            <w:r w:rsidR="006E4989">
              <w:rPr>
                <w:rFonts w:ascii="Arial" w:hAnsi="Arial" w:cs="Arial"/>
                <w:sz w:val="22"/>
                <w:szCs w:val="22"/>
              </w:rPr>
              <w:t>85</w:t>
            </w:r>
            <w:r w:rsidRPr="00A01B97">
              <w:rPr>
                <w:rFonts w:ascii="Arial" w:hAnsi="Arial" w:cs="Arial"/>
                <w:sz w:val="22"/>
                <w:szCs w:val="22"/>
              </w:rPr>
              <w:t>%</w:t>
            </w:r>
          </w:p>
        </w:tc>
        <w:tc>
          <w:tcPr>
            <w:tcW w:w="1134"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14:paraId="68C6A6C6" w14:textId="77777777" w:rsidR="00475C54" w:rsidRPr="00A01B97" w:rsidRDefault="00475C54" w:rsidP="00475C54">
            <w:pPr>
              <w:rPr>
                <w:rFonts w:ascii="Arial" w:hAnsi="Arial" w:cs="Arial"/>
                <w:sz w:val="22"/>
                <w:szCs w:val="22"/>
              </w:rPr>
            </w:pPr>
            <w:r w:rsidRPr="00A01B97">
              <w:rPr>
                <w:rFonts w:ascii="Arial" w:hAnsi="Arial" w:cs="Arial"/>
                <w:sz w:val="22"/>
                <w:szCs w:val="22"/>
              </w:rPr>
              <w:t>FRR/C</w:t>
            </w:r>
          </w:p>
        </w:tc>
        <w:tc>
          <w:tcPr>
            <w:tcW w:w="1572" w:type="dxa"/>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27F8DAD0" w14:textId="64770682" w:rsidR="00475C54" w:rsidRPr="00475C54" w:rsidRDefault="00475C54" w:rsidP="00475C54">
            <w:pPr>
              <w:jc w:val="right"/>
              <w:rPr>
                <w:rFonts w:ascii="Arial" w:hAnsi="Arial" w:cs="Arial"/>
                <w:sz w:val="22"/>
                <w:szCs w:val="22"/>
              </w:rPr>
            </w:pPr>
            <w:r w:rsidRPr="00475C54">
              <w:rPr>
                <w:rFonts w:ascii="Arial" w:hAnsi="Arial" w:cs="Arial"/>
                <w:sz w:val="22"/>
                <w:szCs w:val="22"/>
              </w:rPr>
              <w:t>-6,</w:t>
            </w:r>
            <w:r w:rsidR="006E4989">
              <w:rPr>
                <w:rFonts w:ascii="Arial" w:hAnsi="Arial" w:cs="Arial"/>
                <w:sz w:val="22"/>
                <w:szCs w:val="22"/>
              </w:rPr>
              <w:t>20</w:t>
            </w:r>
            <w:r w:rsidRPr="00475C54">
              <w:rPr>
                <w:rFonts w:ascii="Arial" w:hAnsi="Arial" w:cs="Arial"/>
                <w:sz w:val="22"/>
                <w:szCs w:val="22"/>
              </w:rPr>
              <w:t>%</w:t>
            </w:r>
          </w:p>
        </w:tc>
        <w:tc>
          <w:tcPr>
            <w:tcW w:w="963" w:type="dxa"/>
            <w:tcBorders>
              <w:top w:val="single" w:sz="8" w:space="0" w:color="auto"/>
              <w:left w:val="nil"/>
              <w:bottom w:val="single" w:sz="8" w:space="0" w:color="auto"/>
              <w:right w:val="single" w:sz="8" w:space="0" w:color="auto"/>
            </w:tcBorders>
            <w:shd w:val="clear" w:color="auto" w:fill="FDE9D9" w:themeFill="accent6" w:themeFillTint="33"/>
            <w:noWrap/>
            <w:vAlign w:val="bottom"/>
            <w:hideMark/>
          </w:tcPr>
          <w:p w14:paraId="10EF3216" w14:textId="77777777" w:rsidR="00475C54" w:rsidRPr="00A01B97" w:rsidRDefault="00475C54" w:rsidP="00475C54">
            <w:pPr>
              <w:rPr>
                <w:rFonts w:ascii="Arial" w:hAnsi="Arial" w:cs="Arial"/>
                <w:sz w:val="22"/>
                <w:szCs w:val="22"/>
              </w:rPr>
            </w:pPr>
            <w:r w:rsidRPr="00A01B97">
              <w:rPr>
                <w:rFonts w:ascii="Arial" w:hAnsi="Arial" w:cs="Arial"/>
                <w:sz w:val="22"/>
                <w:szCs w:val="22"/>
              </w:rPr>
              <w:t>FRR/K</w:t>
            </w:r>
          </w:p>
        </w:tc>
      </w:tr>
      <w:tr w:rsidR="00475C54" w:rsidRPr="00A01B97" w14:paraId="10080A92" w14:textId="77777777" w:rsidTr="006E4989">
        <w:trPr>
          <w:trHeight w:val="300"/>
        </w:trPr>
        <w:tc>
          <w:tcPr>
            <w:tcW w:w="3818" w:type="dxa"/>
            <w:tcBorders>
              <w:top w:val="nil"/>
              <w:left w:val="single" w:sz="8" w:space="0" w:color="auto"/>
              <w:bottom w:val="single" w:sz="8" w:space="0" w:color="auto"/>
              <w:right w:val="nil"/>
            </w:tcBorders>
            <w:noWrap/>
            <w:vAlign w:val="bottom"/>
            <w:hideMark/>
          </w:tcPr>
          <w:p w14:paraId="00DFB983" w14:textId="77777777" w:rsidR="00475C54" w:rsidRPr="00A01B97" w:rsidRDefault="00475C54" w:rsidP="00475C54">
            <w:pPr>
              <w:rPr>
                <w:rFonts w:ascii="Arial" w:hAnsi="Arial" w:cs="Arial"/>
                <w:sz w:val="22"/>
                <w:szCs w:val="22"/>
              </w:rPr>
            </w:pPr>
            <w:r w:rsidRPr="00A01B97">
              <w:rPr>
                <w:rFonts w:ascii="Arial" w:hAnsi="Arial" w:cs="Arial"/>
                <w:sz w:val="22"/>
                <w:szCs w:val="22"/>
              </w:rPr>
              <w:t>2. Čista sedanja vrednost</w:t>
            </w:r>
          </w:p>
        </w:tc>
        <w:tc>
          <w:tcPr>
            <w:tcW w:w="1559" w:type="dxa"/>
            <w:tcBorders>
              <w:top w:val="nil"/>
              <w:left w:val="single" w:sz="8" w:space="0" w:color="auto"/>
              <w:bottom w:val="single" w:sz="8" w:space="0" w:color="auto"/>
              <w:right w:val="single" w:sz="8" w:space="0" w:color="auto"/>
            </w:tcBorders>
            <w:shd w:val="clear" w:color="auto" w:fill="DBE5F1" w:themeFill="accent1" w:themeFillTint="33"/>
            <w:noWrap/>
            <w:vAlign w:val="bottom"/>
            <w:hideMark/>
          </w:tcPr>
          <w:p w14:paraId="21DC8A38" w14:textId="31DA3BF8" w:rsidR="00475C54" w:rsidRPr="00A01B97" w:rsidRDefault="006E4989" w:rsidP="00475C54">
            <w:pPr>
              <w:jc w:val="right"/>
              <w:rPr>
                <w:rFonts w:ascii="Arial" w:hAnsi="Arial" w:cs="Arial"/>
                <w:sz w:val="22"/>
                <w:szCs w:val="22"/>
              </w:rPr>
            </w:pPr>
            <w:r w:rsidRPr="006E4989">
              <w:rPr>
                <w:rFonts w:ascii="Arial" w:hAnsi="Arial" w:cs="Arial"/>
                <w:sz w:val="22"/>
                <w:szCs w:val="22"/>
              </w:rPr>
              <w:t>-3.304.864</w:t>
            </w:r>
            <w:r>
              <w:rPr>
                <w:rFonts w:ascii="Arial" w:hAnsi="Arial" w:cs="Arial"/>
                <w:sz w:val="22"/>
                <w:szCs w:val="22"/>
              </w:rPr>
              <w:t>,01</w:t>
            </w:r>
          </w:p>
        </w:tc>
        <w:tc>
          <w:tcPr>
            <w:tcW w:w="1134" w:type="dxa"/>
            <w:tcBorders>
              <w:top w:val="nil"/>
              <w:left w:val="nil"/>
              <w:bottom w:val="single" w:sz="8" w:space="0" w:color="auto"/>
              <w:right w:val="single" w:sz="8" w:space="0" w:color="auto"/>
            </w:tcBorders>
            <w:shd w:val="clear" w:color="auto" w:fill="DBE5F1" w:themeFill="accent1" w:themeFillTint="33"/>
            <w:noWrap/>
            <w:vAlign w:val="bottom"/>
            <w:hideMark/>
          </w:tcPr>
          <w:p w14:paraId="24AF3F98" w14:textId="77777777" w:rsidR="00475C54" w:rsidRPr="00A01B97" w:rsidRDefault="00475C54" w:rsidP="00475C54">
            <w:pPr>
              <w:rPr>
                <w:rFonts w:ascii="Arial" w:hAnsi="Arial" w:cs="Arial"/>
                <w:sz w:val="22"/>
                <w:szCs w:val="22"/>
              </w:rPr>
            </w:pPr>
            <w:r w:rsidRPr="00A01B97">
              <w:rPr>
                <w:rFonts w:ascii="Arial" w:hAnsi="Arial" w:cs="Arial"/>
                <w:sz w:val="22"/>
                <w:szCs w:val="22"/>
              </w:rPr>
              <w:t>FNPV/C</w:t>
            </w:r>
          </w:p>
        </w:tc>
        <w:tc>
          <w:tcPr>
            <w:tcW w:w="1572" w:type="dxa"/>
            <w:tcBorders>
              <w:top w:val="nil"/>
              <w:left w:val="nil"/>
              <w:bottom w:val="single" w:sz="8" w:space="0" w:color="auto"/>
              <w:right w:val="single" w:sz="8" w:space="0" w:color="auto"/>
            </w:tcBorders>
            <w:shd w:val="clear" w:color="auto" w:fill="FDE9D9" w:themeFill="accent6" w:themeFillTint="33"/>
            <w:noWrap/>
            <w:vAlign w:val="bottom"/>
            <w:hideMark/>
          </w:tcPr>
          <w:p w14:paraId="72276080" w14:textId="5DF662D4" w:rsidR="00475C54" w:rsidRPr="00475C54" w:rsidRDefault="00475C54" w:rsidP="00475C54">
            <w:pPr>
              <w:jc w:val="right"/>
              <w:rPr>
                <w:rFonts w:ascii="Arial" w:hAnsi="Arial" w:cs="Arial"/>
                <w:sz w:val="22"/>
                <w:szCs w:val="22"/>
              </w:rPr>
            </w:pPr>
            <w:r w:rsidRPr="00475C54">
              <w:rPr>
                <w:rFonts w:ascii="Arial" w:hAnsi="Arial" w:cs="Arial"/>
                <w:sz w:val="22"/>
                <w:szCs w:val="22"/>
              </w:rPr>
              <w:t>-</w:t>
            </w:r>
            <w:r w:rsidR="006E4989" w:rsidRPr="006E4989">
              <w:rPr>
                <w:rFonts w:ascii="Arial" w:hAnsi="Arial" w:cs="Arial"/>
                <w:sz w:val="22"/>
                <w:szCs w:val="22"/>
              </w:rPr>
              <w:t>1.840.104</w:t>
            </w:r>
            <w:r w:rsidR="006E4989">
              <w:rPr>
                <w:rFonts w:ascii="Arial" w:hAnsi="Arial" w:cs="Arial"/>
                <w:sz w:val="22"/>
                <w:szCs w:val="22"/>
              </w:rPr>
              <w:t>,62</w:t>
            </w:r>
          </w:p>
        </w:tc>
        <w:tc>
          <w:tcPr>
            <w:tcW w:w="963" w:type="dxa"/>
            <w:tcBorders>
              <w:top w:val="nil"/>
              <w:left w:val="nil"/>
              <w:bottom w:val="single" w:sz="8" w:space="0" w:color="auto"/>
              <w:right w:val="single" w:sz="8" w:space="0" w:color="auto"/>
            </w:tcBorders>
            <w:shd w:val="clear" w:color="auto" w:fill="FDE9D9" w:themeFill="accent6" w:themeFillTint="33"/>
            <w:noWrap/>
            <w:vAlign w:val="bottom"/>
            <w:hideMark/>
          </w:tcPr>
          <w:p w14:paraId="6BAE127C" w14:textId="77777777" w:rsidR="00475C54" w:rsidRPr="00A01B97" w:rsidRDefault="00475C54" w:rsidP="00475C54">
            <w:pPr>
              <w:rPr>
                <w:rFonts w:ascii="Arial" w:hAnsi="Arial" w:cs="Arial"/>
                <w:sz w:val="22"/>
                <w:szCs w:val="22"/>
              </w:rPr>
            </w:pPr>
            <w:r w:rsidRPr="00A01B97">
              <w:rPr>
                <w:rFonts w:ascii="Arial" w:hAnsi="Arial" w:cs="Arial"/>
                <w:sz w:val="22"/>
                <w:szCs w:val="22"/>
              </w:rPr>
              <w:t>FNPV/K</w:t>
            </w:r>
          </w:p>
        </w:tc>
      </w:tr>
    </w:tbl>
    <w:p w14:paraId="04F6FA4C" w14:textId="77777777" w:rsidR="005D0D74" w:rsidRDefault="005D0D74" w:rsidP="00197C2B">
      <w:pPr>
        <w:spacing w:after="120" w:line="276" w:lineRule="auto"/>
        <w:jc w:val="both"/>
        <w:rPr>
          <w:rFonts w:asciiTheme="majorHAnsi" w:hAnsiTheme="majorHAnsi" w:cstheme="majorHAnsi"/>
          <w:sz w:val="22"/>
          <w:szCs w:val="22"/>
        </w:rPr>
      </w:pPr>
    </w:p>
    <w:p w14:paraId="1BA65886" w14:textId="408D25AD" w:rsidR="00466B6E" w:rsidRDefault="00466B6E" w:rsidP="00466B6E">
      <w:pPr>
        <w:pStyle w:val="Tabela-IP"/>
        <w:spacing w:line="276" w:lineRule="auto"/>
        <w:rPr>
          <w:rFonts w:asciiTheme="majorHAnsi" w:eastAsia="ArialNarrow" w:hAnsiTheme="majorHAnsi" w:cstheme="majorHAnsi"/>
          <w:b w:val="0"/>
          <w:bCs/>
        </w:rPr>
      </w:pPr>
      <w:bookmarkStart w:id="359" w:name="_Toc209528315"/>
      <w:r w:rsidRPr="00F11127">
        <w:rPr>
          <w:rFonts w:asciiTheme="majorHAnsi" w:eastAsiaTheme="minorHAnsi" w:hAnsiTheme="majorHAnsi" w:cstheme="majorHAnsi"/>
        </w:rPr>
        <w:t xml:space="preserve">Tabela </w:t>
      </w:r>
      <w:r w:rsidRPr="00F11127">
        <w:rPr>
          <w:rFonts w:asciiTheme="majorHAnsi" w:eastAsiaTheme="minorHAnsi" w:hAnsiTheme="majorHAnsi" w:cstheme="majorHAnsi"/>
        </w:rPr>
        <w:fldChar w:fldCharType="begin"/>
      </w:r>
      <w:r w:rsidRPr="00F11127">
        <w:rPr>
          <w:rFonts w:asciiTheme="majorHAnsi" w:eastAsiaTheme="minorHAnsi" w:hAnsiTheme="majorHAnsi" w:cstheme="majorHAnsi"/>
        </w:rPr>
        <w:instrText xml:space="preserve"> SEQ Tabela \* ARABIC </w:instrText>
      </w:r>
      <w:r w:rsidRPr="00F11127">
        <w:rPr>
          <w:rFonts w:asciiTheme="majorHAnsi" w:eastAsiaTheme="minorHAnsi" w:hAnsiTheme="majorHAnsi" w:cstheme="majorHAnsi"/>
        </w:rPr>
        <w:fldChar w:fldCharType="separate"/>
      </w:r>
      <w:r w:rsidR="00E74D26">
        <w:rPr>
          <w:rFonts w:asciiTheme="majorHAnsi" w:eastAsiaTheme="minorHAnsi" w:hAnsiTheme="majorHAnsi" w:cstheme="majorHAnsi"/>
          <w:noProof/>
        </w:rPr>
        <w:t>29</w:t>
      </w:r>
      <w:r w:rsidRPr="00F11127">
        <w:rPr>
          <w:rFonts w:asciiTheme="majorHAnsi" w:eastAsiaTheme="minorHAnsi" w:hAnsiTheme="majorHAnsi" w:cstheme="majorHAnsi"/>
        </w:rPr>
        <w:fldChar w:fldCharType="end"/>
      </w:r>
      <w:r w:rsidRPr="00F11127">
        <w:rPr>
          <w:rFonts w:asciiTheme="majorHAnsi" w:eastAsiaTheme="minorHAnsi" w:hAnsiTheme="majorHAnsi" w:cstheme="majorHAnsi"/>
        </w:rPr>
        <w:t>:</w:t>
      </w:r>
      <w:r w:rsidRPr="00F11127">
        <w:rPr>
          <w:rFonts w:asciiTheme="majorHAnsi" w:hAnsiTheme="majorHAnsi" w:cstheme="majorHAnsi"/>
        </w:rPr>
        <w:t xml:space="preserve"> </w:t>
      </w:r>
      <w:r>
        <w:rPr>
          <w:rFonts w:asciiTheme="majorHAnsi" w:eastAsia="ArialNarrow" w:hAnsiTheme="majorHAnsi" w:cstheme="majorHAnsi"/>
          <w:b w:val="0"/>
          <w:bCs/>
        </w:rPr>
        <w:t>Izračun stopnje primanjkljaja v financiranju</w:t>
      </w:r>
      <w:bookmarkEnd w:id="359"/>
    </w:p>
    <w:tbl>
      <w:tblPr>
        <w:tblW w:w="8290" w:type="dxa"/>
        <w:tblCellMar>
          <w:left w:w="70" w:type="dxa"/>
          <w:right w:w="70" w:type="dxa"/>
        </w:tblCellMar>
        <w:tblLook w:val="04A0" w:firstRow="1" w:lastRow="0" w:firstColumn="1" w:lastColumn="0" w:noHBand="0" w:noVBand="1"/>
      </w:tblPr>
      <w:tblGrid>
        <w:gridCol w:w="4984"/>
        <w:gridCol w:w="1120"/>
        <w:gridCol w:w="1585"/>
        <w:gridCol w:w="1352"/>
      </w:tblGrid>
      <w:tr w:rsidR="006E4989" w:rsidRPr="006E4989" w14:paraId="2A67D7D1" w14:textId="77777777" w:rsidTr="006E4989">
        <w:trPr>
          <w:trHeight w:val="630"/>
        </w:trPr>
        <w:tc>
          <w:tcPr>
            <w:tcW w:w="4984"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2DF91777" w14:textId="77777777" w:rsidR="006E4989" w:rsidRPr="006E4989" w:rsidRDefault="006E4989">
            <w:pPr>
              <w:jc w:val="center"/>
              <w:rPr>
                <w:rFonts w:ascii="Arial" w:hAnsi="Arial" w:cs="Arial"/>
                <w:b/>
                <w:bCs/>
                <w:color w:val="000000"/>
                <w:sz w:val="20"/>
                <w:szCs w:val="20"/>
              </w:rPr>
            </w:pPr>
            <w:r w:rsidRPr="006E4989">
              <w:rPr>
                <w:rFonts w:ascii="Arial" w:hAnsi="Arial" w:cs="Arial"/>
                <w:b/>
                <w:bCs/>
                <w:color w:val="000000"/>
                <w:sz w:val="20"/>
                <w:szCs w:val="20"/>
              </w:rPr>
              <w:t>Glavni elementi in parametri</w:t>
            </w:r>
          </w:p>
        </w:tc>
        <w:tc>
          <w:tcPr>
            <w:tcW w:w="1120" w:type="dxa"/>
            <w:tcBorders>
              <w:top w:val="single" w:sz="4" w:space="0" w:color="auto"/>
              <w:left w:val="nil"/>
              <w:bottom w:val="single" w:sz="4" w:space="0" w:color="auto"/>
              <w:right w:val="single" w:sz="4" w:space="0" w:color="auto"/>
            </w:tcBorders>
            <w:shd w:val="clear" w:color="000000" w:fill="C5D9F1"/>
            <w:noWrap/>
            <w:vAlign w:val="center"/>
            <w:hideMark/>
          </w:tcPr>
          <w:p w14:paraId="4805F610" w14:textId="77777777" w:rsidR="006E4989" w:rsidRPr="006E4989" w:rsidRDefault="006E4989">
            <w:pPr>
              <w:jc w:val="center"/>
              <w:rPr>
                <w:rFonts w:ascii="Arial" w:hAnsi="Arial" w:cs="Arial"/>
                <w:b/>
                <w:bCs/>
                <w:i/>
                <w:iCs/>
                <w:color w:val="000000"/>
                <w:sz w:val="20"/>
                <w:szCs w:val="20"/>
              </w:rPr>
            </w:pPr>
            <w:r w:rsidRPr="006E4989">
              <w:rPr>
                <w:rFonts w:ascii="Arial" w:hAnsi="Arial" w:cs="Arial"/>
                <w:b/>
                <w:bCs/>
                <w:i/>
                <w:iCs/>
                <w:color w:val="000000"/>
                <w:sz w:val="20"/>
                <w:szCs w:val="20"/>
              </w:rPr>
              <w:t> </w:t>
            </w:r>
          </w:p>
        </w:tc>
        <w:tc>
          <w:tcPr>
            <w:tcW w:w="1186" w:type="dxa"/>
            <w:tcBorders>
              <w:top w:val="single" w:sz="4" w:space="0" w:color="auto"/>
              <w:left w:val="nil"/>
              <w:bottom w:val="single" w:sz="4" w:space="0" w:color="auto"/>
              <w:right w:val="single" w:sz="4" w:space="0" w:color="auto"/>
            </w:tcBorders>
            <w:shd w:val="clear" w:color="000000" w:fill="C5D9F1"/>
            <w:vAlign w:val="center"/>
            <w:hideMark/>
          </w:tcPr>
          <w:p w14:paraId="27BDA8BE" w14:textId="77777777" w:rsidR="006E4989" w:rsidRPr="006E4989" w:rsidRDefault="006E4989">
            <w:pPr>
              <w:jc w:val="center"/>
              <w:rPr>
                <w:rFonts w:ascii="Arial" w:hAnsi="Arial" w:cs="Arial"/>
                <w:b/>
                <w:bCs/>
                <w:i/>
                <w:iCs/>
                <w:color w:val="000000"/>
                <w:sz w:val="20"/>
                <w:szCs w:val="20"/>
              </w:rPr>
            </w:pPr>
            <w:proofErr w:type="spellStart"/>
            <w:r w:rsidRPr="006E4989">
              <w:rPr>
                <w:rFonts w:ascii="Arial" w:hAnsi="Arial" w:cs="Arial"/>
                <w:b/>
                <w:bCs/>
                <w:i/>
                <w:iCs/>
                <w:color w:val="000000"/>
                <w:sz w:val="20"/>
                <w:szCs w:val="20"/>
              </w:rPr>
              <w:t>Nediskontirana</w:t>
            </w:r>
            <w:proofErr w:type="spellEnd"/>
            <w:r w:rsidRPr="006E4989">
              <w:rPr>
                <w:rFonts w:ascii="Arial" w:hAnsi="Arial" w:cs="Arial"/>
                <w:b/>
                <w:bCs/>
                <w:i/>
                <w:iCs/>
                <w:color w:val="000000"/>
                <w:sz w:val="20"/>
                <w:szCs w:val="20"/>
              </w:rPr>
              <w:t xml:space="preserve"> vrednost</w:t>
            </w:r>
          </w:p>
        </w:tc>
        <w:tc>
          <w:tcPr>
            <w:tcW w:w="1000" w:type="dxa"/>
            <w:tcBorders>
              <w:top w:val="single" w:sz="4" w:space="0" w:color="auto"/>
              <w:left w:val="nil"/>
              <w:bottom w:val="single" w:sz="4" w:space="0" w:color="auto"/>
              <w:right w:val="single" w:sz="4" w:space="0" w:color="auto"/>
            </w:tcBorders>
            <w:shd w:val="clear" w:color="000000" w:fill="C5D9F1"/>
            <w:vAlign w:val="center"/>
            <w:hideMark/>
          </w:tcPr>
          <w:p w14:paraId="31FF4E33" w14:textId="77777777" w:rsidR="006E4989" w:rsidRPr="006E4989" w:rsidRDefault="006E4989">
            <w:pPr>
              <w:jc w:val="center"/>
              <w:rPr>
                <w:rFonts w:ascii="Arial" w:hAnsi="Arial" w:cs="Arial"/>
                <w:b/>
                <w:bCs/>
                <w:color w:val="808080"/>
                <w:sz w:val="20"/>
                <w:szCs w:val="20"/>
              </w:rPr>
            </w:pPr>
            <w:r w:rsidRPr="006E4989">
              <w:rPr>
                <w:rFonts w:ascii="Arial" w:hAnsi="Arial" w:cs="Arial"/>
                <w:b/>
                <w:bCs/>
                <w:color w:val="808080"/>
                <w:sz w:val="20"/>
                <w:szCs w:val="20"/>
              </w:rPr>
              <w:t>Diskontirana vrednost</w:t>
            </w:r>
          </w:p>
        </w:tc>
      </w:tr>
      <w:tr w:rsidR="006E4989" w:rsidRPr="006E4989" w14:paraId="05FB079E" w14:textId="77777777" w:rsidTr="006E4989">
        <w:trPr>
          <w:trHeight w:val="285"/>
        </w:trPr>
        <w:tc>
          <w:tcPr>
            <w:tcW w:w="4984" w:type="dxa"/>
            <w:tcBorders>
              <w:top w:val="nil"/>
              <w:left w:val="single" w:sz="4" w:space="0" w:color="auto"/>
              <w:bottom w:val="single" w:sz="4" w:space="0" w:color="auto"/>
              <w:right w:val="single" w:sz="4" w:space="0" w:color="auto"/>
            </w:tcBorders>
            <w:noWrap/>
            <w:vAlign w:val="bottom"/>
            <w:hideMark/>
          </w:tcPr>
          <w:p w14:paraId="6CCF25DE"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Referenčno obdobje (leta)</w:t>
            </w:r>
          </w:p>
        </w:tc>
        <w:tc>
          <w:tcPr>
            <w:tcW w:w="1120" w:type="dxa"/>
            <w:tcBorders>
              <w:top w:val="nil"/>
              <w:left w:val="nil"/>
              <w:bottom w:val="single" w:sz="4" w:space="0" w:color="auto"/>
              <w:right w:val="single" w:sz="4" w:space="0" w:color="auto"/>
            </w:tcBorders>
            <w:noWrap/>
            <w:vAlign w:val="bottom"/>
            <w:hideMark/>
          </w:tcPr>
          <w:p w14:paraId="61ECB7A6" w14:textId="77777777" w:rsidR="006E4989" w:rsidRPr="006E4989" w:rsidRDefault="006E4989">
            <w:pPr>
              <w:jc w:val="center"/>
              <w:rPr>
                <w:rFonts w:ascii="Arial" w:hAnsi="Arial" w:cs="Arial"/>
                <w:i/>
                <w:iCs/>
                <w:color w:val="000000"/>
                <w:sz w:val="20"/>
                <w:szCs w:val="20"/>
              </w:rPr>
            </w:pPr>
            <w:r w:rsidRPr="006E4989">
              <w:rPr>
                <w:rFonts w:ascii="Arial" w:hAnsi="Arial" w:cs="Arial"/>
                <w:i/>
                <w:iCs/>
                <w:color w:val="000000"/>
                <w:sz w:val="20"/>
                <w:szCs w:val="20"/>
              </w:rPr>
              <w:t>30</w:t>
            </w:r>
          </w:p>
        </w:tc>
        <w:tc>
          <w:tcPr>
            <w:tcW w:w="1186" w:type="dxa"/>
            <w:tcBorders>
              <w:top w:val="nil"/>
              <w:left w:val="nil"/>
              <w:bottom w:val="single" w:sz="4" w:space="0" w:color="auto"/>
              <w:right w:val="single" w:sz="4" w:space="0" w:color="auto"/>
            </w:tcBorders>
            <w:noWrap/>
            <w:vAlign w:val="center"/>
            <w:hideMark/>
          </w:tcPr>
          <w:p w14:paraId="514E3AD6"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000" w:type="dxa"/>
            <w:tcBorders>
              <w:top w:val="nil"/>
              <w:left w:val="nil"/>
              <w:bottom w:val="single" w:sz="4" w:space="0" w:color="auto"/>
              <w:right w:val="single" w:sz="4" w:space="0" w:color="auto"/>
            </w:tcBorders>
            <w:noWrap/>
            <w:vAlign w:val="center"/>
            <w:hideMark/>
          </w:tcPr>
          <w:p w14:paraId="41341449" w14:textId="77777777" w:rsidR="006E4989" w:rsidRPr="006E4989" w:rsidRDefault="006E4989">
            <w:pPr>
              <w:rPr>
                <w:rFonts w:ascii="Arial" w:hAnsi="Arial" w:cs="Arial"/>
                <w:color w:val="808080"/>
                <w:sz w:val="20"/>
                <w:szCs w:val="20"/>
              </w:rPr>
            </w:pPr>
            <w:r w:rsidRPr="006E4989">
              <w:rPr>
                <w:rFonts w:ascii="Arial" w:hAnsi="Arial" w:cs="Arial"/>
                <w:color w:val="808080"/>
                <w:sz w:val="20"/>
                <w:szCs w:val="20"/>
              </w:rPr>
              <w:t> </w:t>
            </w:r>
          </w:p>
        </w:tc>
      </w:tr>
      <w:tr w:rsidR="006E4989" w:rsidRPr="006E4989" w14:paraId="6FE84A98" w14:textId="77777777" w:rsidTr="006E4989">
        <w:trPr>
          <w:trHeight w:val="285"/>
        </w:trPr>
        <w:tc>
          <w:tcPr>
            <w:tcW w:w="4984" w:type="dxa"/>
            <w:tcBorders>
              <w:top w:val="nil"/>
              <w:left w:val="single" w:sz="4" w:space="0" w:color="auto"/>
              <w:bottom w:val="single" w:sz="4" w:space="0" w:color="auto"/>
              <w:right w:val="single" w:sz="4" w:space="0" w:color="auto"/>
            </w:tcBorders>
            <w:noWrap/>
            <w:vAlign w:val="bottom"/>
            <w:hideMark/>
          </w:tcPr>
          <w:p w14:paraId="0A5FFCBD"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Finančna diskontna stopnja (%)</w:t>
            </w:r>
          </w:p>
        </w:tc>
        <w:tc>
          <w:tcPr>
            <w:tcW w:w="1120" w:type="dxa"/>
            <w:tcBorders>
              <w:top w:val="nil"/>
              <w:left w:val="nil"/>
              <w:bottom w:val="single" w:sz="4" w:space="0" w:color="auto"/>
              <w:right w:val="single" w:sz="4" w:space="0" w:color="auto"/>
            </w:tcBorders>
            <w:noWrap/>
            <w:vAlign w:val="bottom"/>
            <w:hideMark/>
          </w:tcPr>
          <w:p w14:paraId="1F6F84F3" w14:textId="77777777" w:rsidR="006E4989" w:rsidRPr="006E4989" w:rsidRDefault="006E4989">
            <w:pPr>
              <w:jc w:val="center"/>
              <w:rPr>
                <w:rFonts w:ascii="Arial" w:hAnsi="Arial" w:cs="Arial"/>
                <w:i/>
                <w:iCs/>
                <w:color w:val="000000"/>
                <w:sz w:val="20"/>
                <w:szCs w:val="20"/>
              </w:rPr>
            </w:pPr>
            <w:r w:rsidRPr="006E4989">
              <w:rPr>
                <w:rFonts w:ascii="Arial" w:hAnsi="Arial" w:cs="Arial"/>
                <w:i/>
                <w:iCs/>
                <w:color w:val="000000"/>
                <w:sz w:val="20"/>
                <w:szCs w:val="20"/>
              </w:rPr>
              <w:t>4%</w:t>
            </w:r>
          </w:p>
        </w:tc>
        <w:tc>
          <w:tcPr>
            <w:tcW w:w="1186" w:type="dxa"/>
            <w:tcBorders>
              <w:top w:val="nil"/>
              <w:left w:val="nil"/>
              <w:bottom w:val="single" w:sz="4" w:space="0" w:color="auto"/>
              <w:right w:val="single" w:sz="4" w:space="0" w:color="auto"/>
            </w:tcBorders>
            <w:noWrap/>
            <w:vAlign w:val="center"/>
            <w:hideMark/>
          </w:tcPr>
          <w:p w14:paraId="144C3127"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000" w:type="dxa"/>
            <w:tcBorders>
              <w:top w:val="nil"/>
              <w:left w:val="nil"/>
              <w:bottom w:val="single" w:sz="4" w:space="0" w:color="auto"/>
              <w:right w:val="single" w:sz="4" w:space="0" w:color="auto"/>
            </w:tcBorders>
            <w:noWrap/>
            <w:vAlign w:val="center"/>
            <w:hideMark/>
          </w:tcPr>
          <w:p w14:paraId="4A065499" w14:textId="77777777" w:rsidR="006E4989" w:rsidRPr="006E4989" w:rsidRDefault="006E4989">
            <w:pPr>
              <w:rPr>
                <w:rFonts w:ascii="Arial" w:hAnsi="Arial" w:cs="Arial"/>
                <w:color w:val="808080"/>
                <w:sz w:val="20"/>
                <w:szCs w:val="20"/>
              </w:rPr>
            </w:pPr>
            <w:r w:rsidRPr="006E4989">
              <w:rPr>
                <w:rFonts w:ascii="Arial" w:hAnsi="Arial" w:cs="Arial"/>
                <w:color w:val="808080"/>
                <w:sz w:val="20"/>
                <w:szCs w:val="20"/>
              </w:rPr>
              <w:t> </w:t>
            </w:r>
          </w:p>
        </w:tc>
      </w:tr>
      <w:tr w:rsidR="006E4989" w:rsidRPr="006E4989" w14:paraId="251C8839" w14:textId="77777777" w:rsidTr="006E4989">
        <w:trPr>
          <w:trHeight w:val="285"/>
        </w:trPr>
        <w:tc>
          <w:tcPr>
            <w:tcW w:w="4984" w:type="dxa"/>
            <w:tcBorders>
              <w:top w:val="nil"/>
              <w:left w:val="single" w:sz="4" w:space="0" w:color="auto"/>
              <w:bottom w:val="single" w:sz="4" w:space="0" w:color="auto"/>
              <w:right w:val="single" w:sz="4" w:space="0" w:color="auto"/>
            </w:tcBorders>
            <w:shd w:val="clear" w:color="000000" w:fill="ECF2F8"/>
            <w:noWrap/>
            <w:vAlign w:val="bottom"/>
            <w:hideMark/>
          </w:tcPr>
          <w:p w14:paraId="3D82A154"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Skupni stroški naložb brez nepredvidenih stroškov (stalne cene, EUR)</w:t>
            </w:r>
          </w:p>
        </w:tc>
        <w:tc>
          <w:tcPr>
            <w:tcW w:w="1120" w:type="dxa"/>
            <w:tcBorders>
              <w:top w:val="nil"/>
              <w:left w:val="nil"/>
              <w:bottom w:val="single" w:sz="4" w:space="0" w:color="auto"/>
              <w:right w:val="single" w:sz="4" w:space="0" w:color="auto"/>
            </w:tcBorders>
            <w:shd w:val="clear" w:color="000000" w:fill="ECF2F8"/>
            <w:noWrap/>
            <w:vAlign w:val="bottom"/>
            <w:hideMark/>
          </w:tcPr>
          <w:p w14:paraId="5773F3F2"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shd w:val="clear" w:color="000000" w:fill="ECF2F8"/>
            <w:noWrap/>
            <w:vAlign w:val="bottom"/>
            <w:hideMark/>
          </w:tcPr>
          <w:p w14:paraId="1662825A"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3.465.825,46</w:t>
            </w:r>
          </w:p>
        </w:tc>
        <w:tc>
          <w:tcPr>
            <w:tcW w:w="1000" w:type="dxa"/>
            <w:tcBorders>
              <w:top w:val="nil"/>
              <w:left w:val="nil"/>
              <w:bottom w:val="single" w:sz="4" w:space="0" w:color="auto"/>
              <w:right w:val="single" w:sz="4" w:space="0" w:color="auto"/>
            </w:tcBorders>
            <w:shd w:val="clear" w:color="000000" w:fill="ECF2F8"/>
            <w:noWrap/>
            <w:vAlign w:val="bottom"/>
            <w:hideMark/>
          </w:tcPr>
          <w:p w14:paraId="5C2F7EB3"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3.201.050,91</w:t>
            </w:r>
          </w:p>
        </w:tc>
      </w:tr>
      <w:tr w:rsidR="006E4989" w:rsidRPr="006E4989" w14:paraId="27C9D0DE" w14:textId="77777777" w:rsidTr="006E4989">
        <w:trPr>
          <w:trHeight w:val="285"/>
        </w:trPr>
        <w:tc>
          <w:tcPr>
            <w:tcW w:w="4984" w:type="dxa"/>
            <w:tcBorders>
              <w:top w:val="nil"/>
              <w:left w:val="single" w:sz="4" w:space="0" w:color="auto"/>
              <w:bottom w:val="single" w:sz="4" w:space="0" w:color="auto"/>
              <w:right w:val="single" w:sz="4" w:space="0" w:color="auto"/>
            </w:tcBorders>
            <w:noWrap/>
            <w:vAlign w:val="bottom"/>
            <w:hideMark/>
          </w:tcPr>
          <w:p w14:paraId="52A2BB76"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Preostala vrednost (EUR)</w:t>
            </w:r>
          </w:p>
        </w:tc>
        <w:tc>
          <w:tcPr>
            <w:tcW w:w="1120" w:type="dxa"/>
            <w:tcBorders>
              <w:top w:val="nil"/>
              <w:left w:val="nil"/>
              <w:bottom w:val="single" w:sz="4" w:space="0" w:color="auto"/>
              <w:right w:val="single" w:sz="4" w:space="0" w:color="auto"/>
            </w:tcBorders>
            <w:noWrap/>
            <w:vAlign w:val="bottom"/>
            <w:hideMark/>
          </w:tcPr>
          <w:p w14:paraId="47FE8604"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noWrap/>
            <w:vAlign w:val="bottom"/>
            <w:hideMark/>
          </w:tcPr>
          <w:p w14:paraId="0A6833BA"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672.471,25</w:t>
            </w:r>
          </w:p>
        </w:tc>
        <w:tc>
          <w:tcPr>
            <w:tcW w:w="1000" w:type="dxa"/>
            <w:tcBorders>
              <w:top w:val="nil"/>
              <w:left w:val="nil"/>
              <w:bottom w:val="single" w:sz="4" w:space="0" w:color="auto"/>
              <w:right w:val="single" w:sz="4" w:space="0" w:color="auto"/>
            </w:tcBorders>
            <w:noWrap/>
            <w:vAlign w:val="bottom"/>
            <w:hideMark/>
          </w:tcPr>
          <w:p w14:paraId="5A952C1A"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215.628,86</w:t>
            </w:r>
          </w:p>
        </w:tc>
      </w:tr>
      <w:tr w:rsidR="006E4989" w:rsidRPr="006E4989" w14:paraId="205138A5" w14:textId="77777777" w:rsidTr="006E4989">
        <w:trPr>
          <w:trHeight w:val="285"/>
        </w:trPr>
        <w:tc>
          <w:tcPr>
            <w:tcW w:w="4984" w:type="dxa"/>
            <w:tcBorders>
              <w:top w:val="nil"/>
              <w:left w:val="single" w:sz="4" w:space="0" w:color="auto"/>
              <w:bottom w:val="single" w:sz="4" w:space="0" w:color="auto"/>
              <w:right w:val="single" w:sz="4" w:space="0" w:color="auto"/>
            </w:tcBorders>
            <w:shd w:val="clear" w:color="000000" w:fill="ECF2F8"/>
            <w:noWrap/>
            <w:vAlign w:val="bottom"/>
            <w:hideMark/>
          </w:tcPr>
          <w:p w14:paraId="045E8BF3"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Prihodki (EUR, diskontirano)</w:t>
            </w:r>
          </w:p>
        </w:tc>
        <w:tc>
          <w:tcPr>
            <w:tcW w:w="1120" w:type="dxa"/>
            <w:tcBorders>
              <w:top w:val="nil"/>
              <w:left w:val="nil"/>
              <w:bottom w:val="single" w:sz="4" w:space="0" w:color="auto"/>
              <w:right w:val="single" w:sz="4" w:space="0" w:color="auto"/>
            </w:tcBorders>
            <w:shd w:val="clear" w:color="000000" w:fill="ECF2F8"/>
            <w:noWrap/>
            <w:vAlign w:val="bottom"/>
            <w:hideMark/>
          </w:tcPr>
          <w:p w14:paraId="3A2B9EB4"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shd w:val="clear" w:color="000000" w:fill="ECF2F8"/>
            <w:noWrap/>
            <w:vAlign w:val="bottom"/>
            <w:hideMark/>
          </w:tcPr>
          <w:p w14:paraId="3674266C"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624.000,00</w:t>
            </w:r>
          </w:p>
        </w:tc>
        <w:tc>
          <w:tcPr>
            <w:tcW w:w="1000" w:type="dxa"/>
            <w:tcBorders>
              <w:top w:val="nil"/>
              <w:left w:val="nil"/>
              <w:bottom w:val="single" w:sz="4" w:space="0" w:color="auto"/>
              <w:right w:val="single" w:sz="4" w:space="0" w:color="auto"/>
            </w:tcBorders>
            <w:shd w:val="clear" w:color="000000" w:fill="ECF2F8"/>
            <w:noWrap/>
            <w:vAlign w:val="bottom"/>
            <w:hideMark/>
          </w:tcPr>
          <w:p w14:paraId="20F2DE92"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333.311,33</w:t>
            </w:r>
          </w:p>
        </w:tc>
      </w:tr>
      <w:tr w:rsidR="006E4989" w:rsidRPr="006E4989" w14:paraId="2743888C" w14:textId="77777777" w:rsidTr="006E4989">
        <w:trPr>
          <w:trHeight w:val="285"/>
        </w:trPr>
        <w:tc>
          <w:tcPr>
            <w:tcW w:w="4984" w:type="dxa"/>
            <w:tcBorders>
              <w:top w:val="nil"/>
              <w:left w:val="single" w:sz="4" w:space="0" w:color="auto"/>
              <w:bottom w:val="single" w:sz="4" w:space="0" w:color="auto"/>
              <w:right w:val="single" w:sz="4" w:space="0" w:color="auto"/>
            </w:tcBorders>
            <w:noWrap/>
            <w:vAlign w:val="bottom"/>
            <w:hideMark/>
          </w:tcPr>
          <w:p w14:paraId="66F6CEDB"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Operativni stroški in stroški nadomestitve (EUR, diskontirano)</w:t>
            </w:r>
          </w:p>
        </w:tc>
        <w:tc>
          <w:tcPr>
            <w:tcW w:w="1120" w:type="dxa"/>
            <w:tcBorders>
              <w:top w:val="nil"/>
              <w:left w:val="nil"/>
              <w:bottom w:val="single" w:sz="4" w:space="0" w:color="auto"/>
              <w:right w:val="single" w:sz="4" w:space="0" w:color="auto"/>
            </w:tcBorders>
            <w:noWrap/>
            <w:vAlign w:val="bottom"/>
            <w:hideMark/>
          </w:tcPr>
          <w:p w14:paraId="256A9B40"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noWrap/>
            <w:vAlign w:val="bottom"/>
            <w:hideMark/>
          </w:tcPr>
          <w:p w14:paraId="05D2AB1D"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1.243.232,00</w:t>
            </w:r>
          </w:p>
        </w:tc>
        <w:tc>
          <w:tcPr>
            <w:tcW w:w="1000" w:type="dxa"/>
            <w:tcBorders>
              <w:top w:val="nil"/>
              <w:left w:val="nil"/>
              <w:bottom w:val="single" w:sz="4" w:space="0" w:color="auto"/>
              <w:right w:val="single" w:sz="4" w:space="0" w:color="auto"/>
            </w:tcBorders>
            <w:noWrap/>
            <w:vAlign w:val="bottom"/>
            <w:hideMark/>
          </w:tcPr>
          <w:p w14:paraId="7DFB283C"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652.753,29</w:t>
            </w:r>
          </w:p>
        </w:tc>
      </w:tr>
      <w:tr w:rsidR="006E4989" w:rsidRPr="006E4989" w14:paraId="057CBD32" w14:textId="77777777" w:rsidTr="006E4989">
        <w:trPr>
          <w:trHeight w:val="285"/>
        </w:trPr>
        <w:tc>
          <w:tcPr>
            <w:tcW w:w="4984" w:type="dxa"/>
            <w:tcBorders>
              <w:top w:val="nil"/>
              <w:left w:val="single" w:sz="4" w:space="0" w:color="auto"/>
              <w:bottom w:val="single" w:sz="4" w:space="0" w:color="auto"/>
              <w:right w:val="single" w:sz="4" w:space="0" w:color="auto"/>
            </w:tcBorders>
            <w:shd w:val="clear" w:color="000000" w:fill="ECF2F8"/>
            <w:noWrap/>
            <w:vAlign w:val="bottom"/>
            <w:hideMark/>
          </w:tcPr>
          <w:p w14:paraId="64DA3B59"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Neto prihodki (EUR, diskontirano)</w:t>
            </w:r>
          </w:p>
        </w:tc>
        <w:tc>
          <w:tcPr>
            <w:tcW w:w="1120" w:type="dxa"/>
            <w:tcBorders>
              <w:top w:val="nil"/>
              <w:left w:val="nil"/>
              <w:bottom w:val="single" w:sz="4" w:space="0" w:color="auto"/>
              <w:right w:val="single" w:sz="4" w:space="0" w:color="auto"/>
            </w:tcBorders>
            <w:shd w:val="clear" w:color="000000" w:fill="ECF2F8"/>
            <w:noWrap/>
            <w:vAlign w:val="bottom"/>
            <w:hideMark/>
          </w:tcPr>
          <w:p w14:paraId="2323B307"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shd w:val="clear" w:color="000000" w:fill="ECF2F8"/>
            <w:noWrap/>
            <w:vAlign w:val="bottom"/>
            <w:hideMark/>
          </w:tcPr>
          <w:p w14:paraId="2B97EA63"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000" w:type="dxa"/>
            <w:tcBorders>
              <w:top w:val="nil"/>
              <w:left w:val="nil"/>
              <w:bottom w:val="single" w:sz="4" w:space="0" w:color="auto"/>
              <w:right w:val="single" w:sz="4" w:space="0" w:color="auto"/>
            </w:tcBorders>
            <w:shd w:val="clear" w:color="000000" w:fill="ECF2F8"/>
            <w:noWrap/>
            <w:vAlign w:val="bottom"/>
            <w:hideMark/>
          </w:tcPr>
          <w:p w14:paraId="7E079F71"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-103.813,10</w:t>
            </w:r>
          </w:p>
        </w:tc>
      </w:tr>
      <w:tr w:rsidR="006E4989" w:rsidRPr="006E4989" w14:paraId="7ED5B6E3" w14:textId="77777777" w:rsidTr="006E4989">
        <w:trPr>
          <w:trHeight w:val="285"/>
        </w:trPr>
        <w:tc>
          <w:tcPr>
            <w:tcW w:w="4984" w:type="dxa"/>
            <w:tcBorders>
              <w:top w:val="nil"/>
              <w:left w:val="single" w:sz="4" w:space="0" w:color="auto"/>
              <w:bottom w:val="single" w:sz="4" w:space="0" w:color="auto"/>
              <w:right w:val="single" w:sz="4" w:space="0" w:color="auto"/>
            </w:tcBorders>
            <w:noWrap/>
            <w:vAlign w:val="bottom"/>
            <w:hideMark/>
          </w:tcPr>
          <w:p w14:paraId="1D72E67B" w14:textId="77777777" w:rsidR="006E4989" w:rsidRPr="006E4989" w:rsidRDefault="006E4989">
            <w:pPr>
              <w:rPr>
                <w:rFonts w:ascii="Arial" w:hAnsi="Arial" w:cs="Arial"/>
                <w:color w:val="000000"/>
                <w:sz w:val="20"/>
                <w:szCs w:val="20"/>
              </w:rPr>
            </w:pPr>
            <w:r w:rsidRPr="006E4989">
              <w:rPr>
                <w:rFonts w:ascii="Arial" w:hAnsi="Arial" w:cs="Arial"/>
                <w:color w:val="000000"/>
                <w:sz w:val="20"/>
                <w:szCs w:val="20"/>
              </w:rPr>
              <w:t>Skupni stroški naložb – neto prihodki (EUR, diskontirano)</w:t>
            </w:r>
          </w:p>
        </w:tc>
        <w:tc>
          <w:tcPr>
            <w:tcW w:w="1120" w:type="dxa"/>
            <w:tcBorders>
              <w:top w:val="nil"/>
              <w:left w:val="nil"/>
              <w:bottom w:val="single" w:sz="4" w:space="0" w:color="auto"/>
              <w:right w:val="single" w:sz="4" w:space="0" w:color="auto"/>
            </w:tcBorders>
            <w:noWrap/>
            <w:vAlign w:val="bottom"/>
            <w:hideMark/>
          </w:tcPr>
          <w:p w14:paraId="5C00C2D1"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186" w:type="dxa"/>
            <w:tcBorders>
              <w:top w:val="nil"/>
              <w:left w:val="nil"/>
              <w:bottom w:val="single" w:sz="4" w:space="0" w:color="auto"/>
              <w:right w:val="single" w:sz="4" w:space="0" w:color="auto"/>
            </w:tcBorders>
            <w:noWrap/>
            <w:vAlign w:val="bottom"/>
            <w:hideMark/>
          </w:tcPr>
          <w:p w14:paraId="243EA65E" w14:textId="77777777" w:rsidR="006E4989" w:rsidRPr="006E4989" w:rsidRDefault="006E4989">
            <w:pPr>
              <w:rPr>
                <w:rFonts w:ascii="Arial" w:hAnsi="Arial" w:cs="Arial"/>
                <w:i/>
                <w:iCs/>
                <w:color w:val="000000"/>
                <w:sz w:val="20"/>
                <w:szCs w:val="20"/>
              </w:rPr>
            </w:pPr>
            <w:r w:rsidRPr="006E4989">
              <w:rPr>
                <w:rFonts w:ascii="Arial" w:hAnsi="Arial" w:cs="Arial"/>
                <w:i/>
                <w:iCs/>
                <w:color w:val="000000"/>
                <w:sz w:val="20"/>
                <w:szCs w:val="20"/>
              </w:rPr>
              <w:t> </w:t>
            </w:r>
          </w:p>
        </w:tc>
        <w:tc>
          <w:tcPr>
            <w:tcW w:w="1000" w:type="dxa"/>
            <w:tcBorders>
              <w:top w:val="nil"/>
              <w:left w:val="nil"/>
              <w:bottom w:val="single" w:sz="4" w:space="0" w:color="auto"/>
              <w:right w:val="single" w:sz="4" w:space="0" w:color="auto"/>
            </w:tcBorders>
            <w:noWrap/>
            <w:vAlign w:val="bottom"/>
            <w:hideMark/>
          </w:tcPr>
          <w:p w14:paraId="128120D8" w14:textId="77777777" w:rsidR="006E4989" w:rsidRPr="006E4989" w:rsidRDefault="006E4989">
            <w:pPr>
              <w:jc w:val="right"/>
              <w:rPr>
                <w:rFonts w:ascii="Arial" w:hAnsi="Arial" w:cs="Arial"/>
                <w:i/>
                <w:iCs/>
                <w:color w:val="000000"/>
                <w:sz w:val="20"/>
                <w:szCs w:val="20"/>
              </w:rPr>
            </w:pPr>
            <w:r w:rsidRPr="006E4989">
              <w:rPr>
                <w:rFonts w:ascii="Arial" w:hAnsi="Arial" w:cs="Arial"/>
                <w:i/>
                <w:iCs/>
                <w:color w:val="000000"/>
                <w:sz w:val="20"/>
                <w:szCs w:val="20"/>
              </w:rPr>
              <w:t>3.304.864,01</w:t>
            </w:r>
          </w:p>
        </w:tc>
      </w:tr>
      <w:tr w:rsidR="006E4989" w:rsidRPr="006E4989" w14:paraId="46B8A9DE" w14:textId="77777777" w:rsidTr="006E4989">
        <w:trPr>
          <w:trHeight w:val="285"/>
        </w:trPr>
        <w:tc>
          <w:tcPr>
            <w:tcW w:w="4984" w:type="dxa"/>
            <w:tcBorders>
              <w:top w:val="nil"/>
              <w:left w:val="single" w:sz="4" w:space="0" w:color="auto"/>
              <w:bottom w:val="single" w:sz="4" w:space="0" w:color="auto"/>
              <w:right w:val="single" w:sz="4" w:space="0" w:color="auto"/>
            </w:tcBorders>
            <w:shd w:val="clear" w:color="000000" w:fill="D6DCE4"/>
            <w:noWrap/>
            <w:vAlign w:val="bottom"/>
            <w:hideMark/>
          </w:tcPr>
          <w:p w14:paraId="67D61A0C" w14:textId="77777777" w:rsidR="006E4989" w:rsidRPr="006E4989" w:rsidRDefault="006E4989">
            <w:pPr>
              <w:rPr>
                <w:rFonts w:ascii="Arial" w:hAnsi="Arial" w:cs="Arial"/>
                <w:b/>
                <w:bCs/>
                <w:color w:val="000000"/>
                <w:sz w:val="20"/>
                <w:szCs w:val="20"/>
              </w:rPr>
            </w:pPr>
            <w:r w:rsidRPr="006E4989">
              <w:rPr>
                <w:rFonts w:ascii="Arial" w:hAnsi="Arial" w:cs="Arial"/>
                <w:b/>
                <w:bCs/>
                <w:color w:val="000000"/>
                <w:sz w:val="20"/>
                <w:szCs w:val="20"/>
              </w:rPr>
              <w:t xml:space="preserve">Sorazmerna uporaba diskontiranih neto prihodkov (%) </w:t>
            </w:r>
          </w:p>
        </w:tc>
        <w:tc>
          <w:tcPr>
            <w:tcW w:w="1120" w:type="dxa"/>
            <w:tcBorders>
              <w:top w:val="nil"/>
              <w:left w:val="nil"/>
              <w:bottom w:val="single" w:sz="4" w:space="0" w:color="auto"/>
              <w:right w:val="single" w:sz="4" w:space="0" w:color="auto"/>
            </w:tcBorders>
            <w:shd w:val="clear" w:color="000000" w:fill="D6DCE4"/>
            <w:noWrap/>
            <w:vAlign w:val="bottom"/>
            <w:hideMark/>
          </w:tcPr>
          <w:p w14:paraId="1BB23AAB" w14:textId="2AC611F0" w:rsidR="006E4989" w:rsidRPr="006E4989" w:rsidRDefault="006E4989">
            <w:pPr>
              <w:jc w:val="right"/>
              <w:rPr>
                <w:rFonts w:ascii="Arial" w:hAnsi="Arial" w:cs="Arial"/>
                <w:b/>
                <w:bCs/>
                <w:i/>
                <w:iCs/>
                <w:color w:val="000000"/>
                <w:sz w:val="20"/>
                <w:szCs w:val="20"/>
              </w:rPr>
            </w:pPr>
            <w:r w:rsidRPr="006E4989">
              <w:rPr>
                <w:rFonts w:ascii="Arial" w:hAnsi="Arial" w:cs="Arial"/>
                <w:b/>
                <w:bCs/>
                <w:i/>
                <w:iCs/>
                <w:color w:val="000000"/>
                <w:sz w:val="20"/>
                <w:szCs w:val="20"/>
              </w:rPr>
              <w:t>103,24%</w:t>
            </w:r>
          </w:p>
        </w:tc>
        <w:tc>
          <w:tcPr>
            <w:tcW w:w="1186" w:type="dxa"/>
            <w:tcBorders>
              <w:top w:val="nil"/>
              <w:left w:val="nil"/>
              <w:bottom w:val="nil"/>
              <w:right w:val="nil"/>
            </w:tcBorders>
            <w:noWrap/>
            <w:vAlign w:val="bottom"/>
            <w:hideMark/>
          </w:tcPr>
          <w:p w14:paraId="1F8172B6" w14:textId="77777777" w:rsidR="006E4989" w:rsidRPr="006E4989" w:rsidRDefault="006E4989">
            <w:pPr>
              <w:jc w:val="right"/>
              <w:rPr>
                <w:rFonts w:ascii="Arial" w:hAnsi="Arial" w:cs="Arial"/>
                <w:b/>
                <w:bCs/>
                <w:i/>
                <w:iCs/>
                <w:color w:val="000000"/>
                <w:sz w:val="20"/>
                <w:szCs w:val="20"/>
              </w:rPr>
            </w:pPr>
          </w:p>
        </w:tc>
        <w:tc>
          <w:tcPr>
            <w:tcW w:w="1000" w:type="dxa"/>
            <w:tcBorders>
              <w:top w:val="nil"/>
              <w:left w:val="nil"/>
              <w:bottom w:val="nil"/>
              <w:right w:val="nil"/>
            </w:tcBorders>
            <w:noWrap/>
            <w:vAlign w:val="bottom"/>
            <w:hideMark/>
          </w:tcPr>
          <w:p w14:paraId="441A799F" w14:textId="77777777" w:rsidR="006E4989" w:rsidRPr="006E4989" w:rsidRDefault="006E4989">
            <w:pPr>
              <w:rPr>
                <w:sz w:val="20"/>
                <w:szCs w:val="20"/>
              </w:rPr>
            </w:pPr>
          </w:p>
        </w:tc>
      </w:tr>
    </w:tbl>
    <w:p w14:paraId="00197D3E" w14:textId="77777777" w:rsidR="006E4989" w:rsidRDefault="006E4989" w:rsidP="006E4989"/>
    <w:p w14:paraId="5E243281" w14:textId="77777777" w:rsidR="006E4989" w:rsidRPr="006E4989" w:rsidRDefault="006E4989" w:rsidP="006E4989"/>
    <w:p w14:paraId="558B2A1B" w14:textId="5B5EE1A5" w:rsidR="00F03F97" w:rsidRDefault="008D3E04" w:rsidP="00BD1D20">
      <w:pPr>
        <w:spacing w:after="120" w:line="276" w:lineRule="auto"/>
        <w:jc w:val="both"/>
        <w:rPr>
          <w:rFonts w:asciiTheme="majorHAnsi" w:hAnsiTheme="majorHAnsi" w:cstheme="majorHAnsi"/>
          <w:sz w:val="22"/>
          <w:szCs w:val="22"/>
        </w:rPr>
      </w:pPr>
      <w:r w:rsidRPr="008D3E04">
        <w:rPr>
          <w:rFonts w:asciiTheme="majorHAnsi" w:hAnsiTheme="majorHAnsi" w:cstheme="majorHAnsi"/>
          <w:sz w:val="22"/>
          <w:szCs w:val="22"/>
        </w:rPr>
        <w:t>Glede na to, da je z javnim razpisom določena maksimaln</w:t>
      </w:r>
      <w:r>
        <w:rPr>
          <w:rFonts w:asciiTheme="majorHAnsi" w:hAnsiTheme="majorHAnsi" w:cstheme="majorHAnsi"/>
          <w:sz w:val="22"/>
          <w:szCs w:val="22"/>
        </w:rPr>
        <w:t xml:space="preserve">o sofinanciranje v višini 80% upravičenih stroškov, je kljub izračunani večji stopnji primanjkljaja v financiranju </w:t>
      </w:r>
      <w:r w:rsidR="00F03F97">
        <w:rPr>
          <w:rFonts w:asciiTheme="majorHAnsi" w:hAnsiTheme="majorHAnsi" w:cstheme="majorHAnsi"/>
          <w:sz w:val="22"/>
          <w:szCs w:val="22"/>
        </w:rPr>
        <w:t>(103,</w:t>
      </w:r>
      <w:r w:rsidR="006E4989">
        <w:rPr>
          <w:rFonts w:asciiTheme="majorHAnsi" w:hAnsiTheme="majorHAnsi" w:cstheme="majorHAnsi"/>
          <w:sz w:val="22"/>
          <w:szCs w:val="22"/>
        </w:rPr>
        <w:t>24</w:t>
      </w:r>
      <w:r w:rsidR="00F03F97">
        <w:rPr>
          <w:rFonts w:asciiTheme="majorHAnsi" w:hAnsiTheme="majorHAnsi" w:cstheme="majorHAnsi"/>
          <w:sz w:val="22"/>
          <w:szCs w:val="22"/>
        </w:rPr>
        <w:t xml:space="preserve">%) </w:t>
      </w:r>
      <w:r>
        <w:rPr>
          <w:rFonts w:asciiTheme="majorHAnsi" w:hAnsiTheme="majorHAnsi" w:cstheme="majorHAnsi"/>
          <w:sz w:val="22"/>
          <w:szCs w:val="22"/>
        </w:rPr>
        <w:t xml:space="preserve">upoštevana </w:t>
      </w:r>
      <w:r w:rsidR="00F03F97">
        <w:rPr>
          <w:rFonts w:asciiTheme="majorHAnsi" w:hAnsiTheme="majorHAnsi" w:cstheme="majorHAnsi"/>
          <w:sz w:val="22"/>
          <w:szCs w:val="22"/>
        </w:rPr>
        <w:t>omejitev z javnim razpisom, tj. 80%.</w:t>
      </w:r>
    </w:p>
    <w:p w14:paraId="12433117" w14:textId="52A2B625" w:rsidR="00F55912" w:rsidRPr="00F11127" w:rsidRDefault="00F55912" w:rsidP="00BD1D20">
      <w:pPr>
        <w:pStyle w:val="Naslov2"/>
        <w:numPr>
          <w:ilvl w:val="1"/>
          <w:numId w:val="2"/>
        </w:numPr>
        <w:spacing w:before="240" w:after="240"/>
        <w:ind w:left="578" w:hanging="578"/>
        <w:rPr>
          <w:rFonts w:asciiTheme="majorHAnsi" w:eastAsiaTheme="majorEastAsia" w:hAnsiTheme="majorHAnsi" w:cstheme="majorHAnsi"/>
          <w:color w:val="244061" w:themeColor="accent1" w:themeShade="80"/>
        </w:rPr>
      </w:pPr>
      <w:bookmarkStart w:id="360" w:name="_Toc210033863"/>
      <w:bookmarkEnd w:id="350"/>
      <w:r w:rsidRPr="00F11127">
        <w:rPr>
          <w:rFonts w:asciiTheme="majorHAnsi" w:eastAsiaTheme="majorEastAsia" w:hAnsiTheme="majorHAnsi" w:cstheme="majorHAnsi"/>
          <w:color w:val="244061" w:themeColor="accent1" w:themeShade="80"/>
        </w:rPr>
        <w:t>Ekonomska analiza projekta</w:t>
      </w:r>
      <w:bookmarkEnd w:id="360"/>
    </w:p>
    <w:p w14:paraId="36BEEB30"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Analiza stroškov in koristi je temeljno orodje za ocenjevanje ekonomskih koristi projektov. Potrebno je oceniti vse vplive, tj. finančne, ekonomske in družbene, vpliv na okolje, itd.</w:t>
      </w:r>
    </w:p>
    <w:p w14:paraId="5551743E"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Cilj Analize stroškov in koristi je opredeliti in ovrednotiti (tj. pripisati vrednosti v denarnih enotah) vse morebitne vplive, saj so na ta način določeni stroški in koristi projekta.</w:t>
      </w:r>
    </w:p>
    <w:p w14:paraId="30E54644"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lastRenderedPageBreak/>
        <w:t>Rezultat Analize stroškov in koristi je izračunana celota (neto koristi), po finančnem delu pa je ugotovitve potrebno okrepiti s sklepi, ali je projekt zaželen in ali se ga splača izvesti.</w:t>
      </w:r>
    </w:p>
    <w:p w14:paraId="66C56D13" w14:textId="40C63740"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Evropska Komisija, v skladu s sprejeto Uredbo (EU) št. 1303/2013 Evropskega parlamenta in Sveta z dne 17.12.2013 o skupnih določbah o Evropskem skladu za regionalni razvoj, Evropskem socialnem skladu, Kohezijskem skladu, Evropskem kmetijskem skladu za razvoj podeželja in Evropskem skladu za pomorstvo in ribištvo ter o splošnih določbah o Evropskem skladu za regionalni razvoj, Evropskem socialnem skladu, Kohezijskem skladu in Evropskem skladu za pomorstvo in ribištvo, priporoča uporabo 5 % družbene diskontne stopnje za velike projekte iz Kohezijskih držav članic ter 3 % družbeno diskontno stopnjo za ostale članice Unije, torej v našem primeru kot merilo za presojo upravič</w:t>
      </w:r>
      <w:r w:rsidR="001E2946">
        <w:rPr>
          <w:rFonts w:asciiTheme="majorHAnsi" w:hAnsiTheme="majorHAnsi" w:cstheme="majorHAnsi"/>
          <w:sz w:val="22"/>
          <w:szCs w:val="22"/>
        </w:rPr>
        <w:t>enosti investicijskih projektov</w:t>
      </w:r>
      <w:r w:rsidRPr="00F11127">
        <w:rPr>
          <w:rFonts w:asciiTheme="majorHAnsi" w:hAnsiTheme="majorHAnsi" w:cstheme="majorHAnsi"/>
          <w:sz w:val="22"/>
          <w:szCs w:val="22"/>
        </w:rPr>
        <w:t xml:space="preserve"> velja </w:t>
      </w:r>
      <w:r w:rsidR="00756F6B">
        <w:rPr>
          <w:rFonts w:asciiTheme="majorHAnsi" w:hAnsiTheme="majorHAnsi" w:cstheme="majorHAnsi"/>
          <w:sz w:val="22"/>
          <w:szCs w:val="22"/>
        </w:rPr>
        <w:t>4</w:t>
      </w:r>
      <w:r w:rsidRPr="00F11127">
        <w:rPr>
          <w:rFonts w:asciiTheme="majorHAnsi" w:hAnsiTheme="majorHAnsi" w:cstheme="majorHAnsi"/>
          <w:sz w:val="22"/>
          <w:szCs w:val="22"/>
        </w:rPr>
        <w:t xml:space="preserve"> % družbena diskontna stopnja.</w:t>
      </w:r>
    </w:p>
    <w:p w14:paraId="3EF671F5" w14:textId="77777777"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Ekonomska ocena se dela iz širšega družbenega vidika in poleg finančnih kazalcev zajema tudi ostale parametre, na primer vpliv na okolje, varnost, zdravje in podobno, pri čemer se gleda posredne učinke ne samo na investitorja, ampak tudi na širšo družbo. Vsi ti kazalci imajo skupno to, da jih je težko denarno ovrednotiti.</w:t>
      </w:r>
    </w:p>
    <w:p w14:paraId="0F7E87BE" w14:textId="11F08070" w:rsidR="00DB691E" w:rsidRPr="00F11127" w:rsidRDefault="00DB691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V tem kontekstu je projekt vzpostavitve in testiranja nove </w:t>
      </w:r>
      <w:r w:rsidR="00FE57AB" w:rsidRPr="00F11127">
        <w:rPr>
          <w:rFonts w:asciiTheme="majorHAnsi" w:hAnsiTheme="majorHAnsi" w:cstheme="majorHAnsi"/>
          <w:sz w:val="22"/>
          <w:szCs w:val="22"/>
        </w:rPr>
        <w:t xml:space="preserve">aplikacije </w:t>
      </w:r>
      <w:r w:rsidRPr="00F11127">
        <w:rPr>
          <w:rFonts w:asciiTheme="majorHAnsi" w:hAnsiTheme="majorHAnsi" w:cstheme="majorHAnsi"/>
          <w:sz w:val="22"/>
          <w:szCs w:val="22"/>
        </w:rPr>
        <w:t>socialne aktivacije ter izvedba s</w:t>
      </w:r>
      <w:r w:rsidR="001E2946">
        <w:rPr>
          <w:rFonts w:asciiTheme="majorHAnsi" w:hAnsiTheme="majorHAnsi" w:cstheme="majorHAnsi"/>
          <w:sz w:val="22"/>
          <w:szCs w:val="22"/>
        </w:rPr>
        <w:t>ocialno aktivacijskih programov</w:t>
      </w:r>
      <w:r w:rsidRPr="00F11127">
        <w:rPr>
          <w:rFonts w:asciiTheme="majorHAnsi" w:hAnsiTheme="majorHAnsi" w:cstheme="majorHAnsi"/>
          <w:sz w:val="22"/>
          <w:szCs w:val="22"/>
        </w:rPr>
        <w:t xml:space="preserve"> vsekakor pozitivna. Ocenjujemo, da pozitivni nedenarni stroški projekta prav gotovo presegajo denarne in nedenarne stroške projekta. Kot že sledi iz zgornjih navedb</w:t>
      </w:r>
      <w:r w:rsidR="001E2946">
        <w:rPr>
          <w:rFonts w:asciiTheme="majorHAnsi" w:hAnsiTheme="majorHAnsi" w:cstheme="majorHAnsi"/>
          <w:sz w:val="22"/>
          <w:szCs w:val="22"/>
        </w:rPr>
        <w:t>,</w:t>
      </w:r>
      <w:r w:rsidRPr="00F11127">
        <w:rPr>
          <w:rFonts w:asciiTheme="majorHAnsi" w:hAnsiTheme="majorHAnsi" w:cstheme="majorHAnsi"/>
          <w:sz w:val="22"/>
          <w:szCs w:val="22"/>
        </w:rPr>
        <w:t xml:space="preserve"> obstaja veliko nedenarnih vidikov projekta, ki so vsi po vrsti pozitivni. </w:t>
      </w:r>
    </w:p>
    <w:p w14:paraId="042A3F4C" w14:textId="77777777" w:rsidR="00437799" w:rsidRPr="00F11127" w:rsidRDefault="006208C0"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1" w:name="_Toc210033864"/>
      <w:r w:rsidRPr="00F11127">
        <w:rPr>
          <w:rFonts w:asciiTheme="majorHAnsi" w:eastAsiaTheme="majorEastAsia" w:hAnsiTheme="majorHAnsi" w:cstheme="majorHAnsi"/>
          <w:color w:val="244061" w:themeColor="accent1" w:themeShade="80"/>
        </w:rPr>
        <w:t>D</w:t>
      </w:r>
      <w:r w:rsidR="00F55912" w:rsidRPr="00F11127">
        <w:rPr>
          <w:rFonts w:asciiTheme="majorHAnsi" w:eastAsiaTheme="majorEastAsia" w:hAnsiTheme="majorHAnsi" w:cstheme="majorHAnsi"/>
          <w:color w:val="244061" w:themeColor="accent1" w:themeShade="80"/>
        </w:rPr>
        <w:t>avčni popravki</w:t>
      </w:r>
      <w:bookmarkEnd w:id="361"/>
    </w:p>
    <w:p w14:paraId="63CAEDB8" w14:textId="358C4A28" w:rsidR="006208C0" w:rsidRPr="00F11127" w:rsidRDefault="006208C0" w:rsidP="00BD1D20">
      <w:pPr>
        <w:tabs>
          <w:tab w:val="left" w:pos="8520"/>
          <w:tab w:val="left" w:pos="8662"/>
          <w:tab w:val="left" w:pos="9088"/>
          <w:tab w:val="left" w:pos="9656"/>
        </w:tabs>
        <w:autoSpaceDE w:val="0"/>
        <w:autoSpaceDN w:val="0"/>
        <w:adjustRightInd w:val="0"/>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Tržne cene vsebujejo tudi davke in prispevke ter nekatera transferna plačila, ki lahko vplivajo na relativne cene. </w:t>
      </w:r>
      <w:r w:rsidR="007E3C10">
        <w:rPr>
          <w:rFonts w:asciiTheme="majorHAnsi" w:eastAsia="Arial Unicode MS" w:hAnsiTheme="majorHAnsi" w:cstheme="majorHAnsi"/>
          <w:sz w:val="22"/>
          <w:szCs w:val="22"/>
        </w:rPr>
        <w:t>V</w:t>
      </w:r>
      <w:r w:rsidRPr="00F11127">
        <w:rPr>
          <w:rFonts w:asciiTheme="majorHAnsi" w:eastAsia="Arial Unicode MS" w:hAnsiTheme="majorHAnsi" w:cstheme="majorHAnsi"/>
          <w:sz w:val="22"/>
          <w:szCs w:val="22"/>
        </w:rPr>
        <w:t xml:space="preserve"> nekaterih primerih </w:t>
      </w:r>
      <w:r w:rsidR="007E3C10">
        <w:rPr>
          <w:rFonts w:asciiTheme="majorHAnsi" w:eastAsia="Arial Unicode MS" w:hAnsiTheme="majorHAnsi" w:cstheme="majorHAnsi"/>
          <w:sz w:val="22"/>
          <w:szCs w:val="22"/>
        </w:rPr>
        <w:t xml:space="preserve">je </w:t>
      </w:r>
      <w:r w:rsidRPr="00F11127">
        <w:rPr>
          <w:rFonts w:asciiTheme="majorHAnsi" w:eastAsia="Arial Unicode MS" w:hAnsiTheme="majorHAnsi" w:cstheme="majorHAnsi"/>
          <w:sz w:val="22"/>
          <w:szCs w:val="22"/>
        </w:rPr>
        <w:t xml:space="preserve">morda težko oceniti raven cen brez davkov, </w:t>
      </w:r>
      <w:r w:rsidR="007E3C10">
        <w:rPr>
          <w:rFonts w:asciiTheme="majorHAnsi" w:eastAsia="Arial Unicode MS" w:hAnsiTheme="majorHAnsi" w:cstheme="majorHAnsi"/>
          <w:sz w:val="22"/>
          <w:szCs w:val="22"/>
        </w:rPr>
        <w:t xml:space="preserve">vendar </w:t>
      </w:r>
      <w:r w:rsidRPr="00F11127">
        <w:rPr>
          <w:rFonts w:asciiTheme="majorHAnsi" w:eastAsia="Arial Unicode MS" w:hAnsiTheme="majorHAnsi" w:cstheme="majorHAnsi"/>
          <w:sz w:val="22"/>
          <w:szCs w:val="22"/>
        </w:rPr>
        <w:t>se lahko določijo nekateri splošni približki in odpravijo ta nesorazmerja cen:</w:t>
      </w:r>
    </w:p>
    <w:p w14:paraId="7B0EA500" w14:textId="36C3B046" w:rsidR="006208C0" w:rsidRPr="00F11127" w:rsidRDefault="007E3C10"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Pr>
          <w:rFonts w:asciiTheme="majorHAnsi" w:eastAsia="Arial Unicode MS" w:hAnsiTheme="majorHAnsi" w:cstheme="majorHAnsi"/>
          <w:sz w:val="22"/>
          <w:szCs w:val="22"/>
          <w:lang w:eastAsia="x-none"/>
        </w:rPr>
        <w:t>c</w:t>
      </w:r>
      <w:r w:rsidR="00DE6DC7" w:rsidRPr="00F11127">
        <w:rPr>
          <w:rFonts w:asciiTheme="majorHAnsi" w:eastAsia="Arial Unicode MS" w:hAnsiTheme="majorHAnsi" w:cstheme="majorHAnsi"/>
          <w:sz w:val="22"/>
          <w:szCs w:val="22"/>
          <w:lang w:eastAsia="x-none"/>
        </w:rPr>
        <w:t xml:space="preserve">ene </w:t>
      </w:r>
      <w:proofErr w:type="spellStart"/>
      <w:r w:rsidR="006208C0" w:rsidRPr="00F11127">
        <w:rPr>
          <w:rFonts w:asciiTheme="majorHAnsi" w:eastAsia="Arial Unicode MS" w:hAnsiTheme="majorHAnsi" w:cstheme="majorHAnsi"/>
          <w:sz w:val="22"/>
          <w:szCs w:val="22"/>
          <w:lang w:eastAsia="x-none"/>
        </w:rPr>
        <w:t>inputov</w:t>
      </w:r>
      <w:proofErr w:type="spellEnd"/>
      <w:r w:rsidR="006208C0" w:rsidRPr="00F11127">
        <w:rPr>
          <w:rFonts w:asciiTheme="majorHAnsi" w:eastAsia="Arial Unicode MS" w:hAnsiTheme="majorHAnsi" w:cstheme="majorHAnsi"/>
          <w:sz w:val="22"/>
          <w:szCs w:val="22"/>
          <w:lang w:eastAsia="x-none"/>
        </w:rPr>
        <w:t xml:space="preserve"> in </w:t>
      </w:r>
      <w:proofErr w:type="spellStart"/>
      <w:r w:rsidR="006208C0" w:rsidRPr="00F11127">
        <w:rPr>
          <w:rFonts w:asciiTheme="majorHAnsi" w:eastAsia="Arial Unicode MS" w:hAnsiTheme="majorHAnsi" w:cstheme="majorHAnsi"/>
          <w:sz w:val="22"/>
          <w:szCs w:val="22"/>
          <w:lang w:eastAsia="x-none"/>
        </w:rPr>
        <w:t>outputov</w:t>
      </w:r>
      <w:proofErr w:type="spellEnd"/>
      <w:r w:rsidR="006208C0" w:rsidRPr="00F11127">
        <w:rPr>
          <w:rFonts w:asciiTheme="majorHAnsi" w:eastAsia="Arial Unicode MS" w:hAnsiTheme="majorHAnsi" w:cstheme="majorHAnsi"/>
          <w:sz w:val="22"/>
          <w:szCs w:val="22"/>
          <w:lang w:eastAsia="x-none"/>
        </w:rPr>
        <w:t>, ki se jih upošteva v CBA, ne smejo vključevati DDV ali katerih koli drugih posrednih dajatev</w:t>
      </w:r>
      <w:r>
        <w:rPr>
          <w:rFonts w:asciiTheme="majorHAnsi" w:eastAsia="Arial Unicode MS" w:hAnsiTheme="majorHAnsi" w:cstheme="majorHAnsi"/>
          <w:sz w:val="22"/>
          <w:szCs w:val="22"/>
          <w:lang w:eastAsia="x-none"/>
        </w:rPr>
        <w:t>;</w:t>
      </w:r>
    </w:p>
    <w:p w14:paraId="7BDCE62F" w14:textId="7B262580" w:rsidR="006208C0" w:rsidRPr="00F11127" w:rsidRDefault="007E3C10"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Pr>
          <w:rFonts w:asciiTheme="majorHAnsi" w:hAnsiTheme="majorHAnsi" w:cstheme="majorHAnsi"/>
          <w:sz w:val="22"/>
          <w:szCs w:val="22"/>
        </w:rPr>
        <w:t>c</w:t>
      </w:r>
      <w:r w:rsidR="00DE6DC7" w:rsidRPr="00DE6DC7">
        <w:rPr>
          <w:rFonts w:asciiTheme="majorHAnsi" w:hAnsiTheme="majorHAnsi" w:cstheme="majorHAnsi"/>
          <w:sz w:val="22"/>
          <w:szCs w:val="22"/>
        </w:rPr>
        <w:t>ene</w:t>
      </w:r>
      <w:r w:rsidR="00DE6DC7" w:rsidRPr="00F11127">
        <w:rPr>
          <w:rFonts w:asciiTheme="majorHAnsi" w:eastAsia="Arial Unicode MS" w:hAnsiTheme="majorHAnsi" w:cstheme="majorHAnsi"/>
          <w:sz w:val="22"/>
          <w:szCs w:val="22"/>
          <w:lang w:eastAsia="x-none"/>
        </w:rPr>
        <w:t xml:space="preserve"> </w:t>
      </w:r>
      <w:r w:rsidR="006208C0" w:rsidRPr="00F11127">
        <w:rPr>
          <w:rFonts w:asciiTheme="majorHAnsi" w:eastAsia="Arial Unicode MS" w:hAnsiTheme="majorHAnsi" w:cstheme="majorHAnsi"/>
          <w:sz w:val="22"/>
          <w:szCs w:val="22"/>
          <w:lang w:eastAsia="x-none"/>
        </w:rPr>
        <w:t xml:space="preserve">vključenih </w:t>
      </w:r>
      <w:proofErr w:type="spellStart"/>
      <w:r w:rsidR="006208C0" w:rsidRPr="00F11127">
        <w:rPr>
          <w:rFonts w:asciiTheme="majorHAnsi" w:eastAsia="Arial Unicode MS" w:hAnsiTheme="majorHAnsi" w:cstheme="majorHAnsi"/>
          <w:sz w:val="22"/>
          <w:szCs w:val="22"/>
          <w:lang w:eastAsia="x-none"/>
        </w:rPr>
        <w:t>inputov</w:t>
      </w:r>
      <w:proofErr w:type="spellEnd"/>
      <w:r w:rsidR="006208C0" w:rsidRPr="00F11127">
        <w:rPr>
          <w:rFonts w:asciiTheme="majorHAnsi" w:eastAsia="Arial Unicode MS" w:hAnsiTheme="majorHAnsi" w:cstheme="majorHAnsi"/>
          <w:sz w:val="22"/>
          <w:szCs w:val="22"/>
          <w:lang w:eastAsia="x-none"/>
        </w:rPr>
        <w:t xml:space="preserve"> </w:t>
      </w:r>
      <w:r w:rsidRPr="00F11127">
        <w:rPr>
          <w:rFonts w:asciiTheme="majorHAnsi" w:eastAsia="Arial Unicode MS" w:hAnsiTheme="majorHAnsi" w:cstheme="majorHAnsi"/>
          <w:sz w:val="22"/>
          <w:szCs w:val="22"/>
          <w:lang w:eastAsia="x-none"/>
        </w:rPr>
        <w:t xml:space="preserve">v CBA </w:t>
      </w:r>
      <w:r w:rsidR="006208C0" w:rsidRPr="00F11127">
        <w:rPr>
          <w:rFonts w:asciiTheme="majorHAnsi" w:eastAsia="Arial Unicode MS" w:hAnsiTheme="majorHAnsi" w:cstheme="majorHAnsi"/>
          <w:sz w:val="22"/>
          <w:szCs w:val="22"/>
          <w:lang w:eastAsia="x-none"/>
        </w:rPr>
        <w:t>morajo biti v celo</w:t>
      </w:r>
      <w:r>
        <w:rPr>
          <w:rFonts w:asciiTheme="majorHAnsi" w:eastAsia="Arial Unicode MS" w:hAnsiTheme="majorHAnsi" w:cstheme="majorHAnsi"/>
          <w:sz w:val="22"/>
          <w:szCs w:val="22"/>
          <w:lang w:eastAsia="x-none"/>
        </w:rPr>
        <w:t>ti brez neposrednih davščin;</w:t>
      </w:r>
    </w:p>
    <w:p w14:paraId="64779C92" w14:textId="1C15BDC4" w:rsidR="006208C0" w:rsidRPr="00F11127" w:rsidRDefault="007E3C10"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Pr>
          <w:rFonts w:asciiTheme="majorHAnsi" w:hAnsiTheme="majorHAnsi" w:cstheme="majorHAnsi"/>
          <w:sz w:val="22"/>
          <w:szCs w:val="22"/>
        </w:rPr>
        <w:t>i</w:t>
      </w:r>
      <w:r w:rsidR="00DE6DC7" w:rsidRPr="00DE6DC7">
        <w:rPr>
          <w:rFonts w:asciiTheme="majorHAnsi" w:hAnsiTheme="majorHAnsi" w:cstheme="majorHAnsi"/>
          <w:sz w:val="22"/>
          <w:szCs w:val="22"/>
        </w:rPr>
        <w:t>zpustiti</w:t>
      </w:r>
      <w:r w:rsidR="00DE6DC7" w:rsidRPr="00F11127">
        <w:rPr>
          <w:rFonts w:asciiTheme="majorHAnsi" w:eastAsia="Arial Unicode MS" w:hAnsiTheme="majorHAnsi" w:cstheme="majorHAnsi"/>
          <w:sz w:val="22"/>
          <w:szCs w:val="22"/>
          <w:lang w:eastAsia="x-none"/>
        </w:rPr>
        <w:t xml:space="preserve"> </w:t>
      </w:r>
      <w:r w:rsidR="006208C0" w:rsidRPr="00F11127">
        <w:rPr>
          <w:rFonts w:asciiTheme="majorHAnsi" w:eastAsia="Arial Unicode MS" w:hAnsiTheme="majorHAnsi" w:cstheme="majorHAnsi"/>
          <w:sz w:val="22"/>
          <w:szCs w:val="22"/>
          <w:lang w:eastAsia="x-none"/>
        </w:rPr>
        <w:t xml:space="preserve">je treba čista transferna plačila posameznikom, </w:t>
      </w:r>
      <w:r>
        <w:rPr>
          <w:rFonts w:asciiTheme="majorHAnsi" w:eastAsia="Arial Unicode MS" w:hAnsiTheme="majorHAnsi" w:cstheme="majorHAnsi"/>
          <w:sz w:val="22"/>
          <w:szCs w:val="22"/>
          <w:lang w:eastAsia="x-none"/>
        </w:rPr>
        <w:t>kot</w:t>
      </w:r>
      <w:r w:rsidR="006208C0" w:rsidRPr="00F11127">
        <w:rPr>
          <w:rFonts w:asciiTheme="majorHAnsi" w:eastAsia="Arial Unicode MS" w:hAnsiTheme="majorHAnsi" w:cstheme="majorHAnsi"/>
          <w:sz w:val="22"/>
          <w:szCs w:val="22"/>
          <w:lang w:eastAsia="x-none"/>
        </w:rPr>
        <w:t xml:space="preserve"> so na primer plačila za socialno zavarovanje</w:t>
      </w:r>
      <w:r>
        <w:rPr>
          <w:rFonts w:asciiTheme="majorHAnsi" w:eastAsia="Arial Unicode MS" w:hAnsiTheme="majorHAnsi" w:cstheme="majorHAnsi"/>
          <w:sz w:val="22"/>
          <w:szCs w:val="22"/>
          <w:lang w:eastAsia="x-none"/>
        </w:rPr>
        <w:t>;</w:t>
      </w:r>
    </w:p>
    <w:p w14:paraId="5BBE84D9" w14:textId="6C6621DB" w:rsidR="006208C0" w:rsidRPr="00F11127" w:rsidRDefault="007E3C10" w:rsidP="00BD1D20">
      <w:pPr>
        <w:numPr>
          <w:ilvl w:val="0"/>
          <w:numId w:val="92"/>
        </w:numPr>
        <w:spacing w:line="276" w:lineRule="auto"/>
        <w:contextualSpacing/>
        <w:jc w:val="both"/>
        <w:rPr>
          <w:rFonts w:asciiTheme="majorHAnsi" w:eastAsia="Arial Unicode MS" w:hAnsiTheme="majorHAnsi" w:cstheme="majorHAnsi"/>
          <w:sz w:val="22"/>
          <w:szCs w:val="22"/>
        </w:rPr>
      </w:pPr>
      <w:r>
        <w:rPr>
          <w:rFonts w:asciiTheme="majorHAnsi" w:eastAsia="Arial Unicode MS" w:hAnsiTheme="majorHAnsi" w:cstheme="majorHAnsi"/>
          <w:sz w:val="22"/>
          <w:szCs w:val="22"/>
          <w:lang w:eastAsia="x-none"/>
        </w:rPr>
        <w:t>v</w:t>
      </w:r>
      <w:r w:rsidR="00DE6DC7" w:rsidRPr="00F11127">
        <w:rPr>
          <w:rFonts w:asciiTheme="majorHAnsi" w:eastAsia="Arial Unicode MS" w:hAnsiTheme="majorHAnsi" w:cstheme="majorHAnsi"/>
          <w:sz w:val="22"/>
          <w:szCs w:val="22"/>
          <w:lang w:eastAsia="x-none"/>
        </w:rPr>
        <w:t xml:space="preserve"> </w:t>
      </w:r>
      <w:r w:rsidR="006208C0" w:rsidRPr="00F11127">
        <w:rPr>
          <w:rFonts w:asciiTheme="majorHAnsi" w:eastAsia="Arial Unicode MS" w:hAnsiTheme="majorHAnsi" w:cstheme="majorHAnsi"/>
          <w:sz w:val="22"/>
          <w:szCs w:val="22"/>
          <w:lang w:eastAsia="x-none"/>
        </w:rPr>
        <w:t>določenih primerih se neposredni davki in subvencije lahko uporabijo tudi za popravek zunanjih vplivov.</w:t>
      </w:r>
    </w:p>
    <w:p w14:paraId="36FB63AE" w14:textId="77777777" w:rsidR="006208C0" w:rsidRPr="00F11127" w:rsidRDefault="006208C0" w:rsidP="00BD1D20">
      <w:pPr>
        <w:tabs>
          <w:tab w:val="left" w:pos="8520"/>
          <w:tab w:val="left" w:pos="8662"/>
          <w:tab w:val="left" w:pos="9088"/>
          <w:tab w:val="left" w:pos="9656"/>
        </w:tabs>
        <w:autoSpaceDE w:val="0"/>
        <w:autoSpaceDN w:val="0"/>
        <w:adjustRightInd w:val="0"/>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V tem primeru to pomeni, da je iz vrednosti investicije izključen DDV, kar je upoštevano v tabeli izračuna ekonomske stopnje donosnosti, ki je navedena v nadaljevanju.</w:t>
      </w:r>
    </w:p>
    <w:p w14:paraId="652BE4CC" w14:textId="77777777" w:rsidR="00437799"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2" w:name="_Toc210033865"/>
      <w:r w:rsidRPr="00F11127">
        <w:rPr>
          <w:rFonts w:asciiTheme="majorHAnsi" w:eastAsiaTheme="majorEastAsia" w:hAnsiTheme="majorHAnsi" w:cstheme="majorHAnsi"/>
          <w:color w:val="244061" w:themeColor="accent1" w:themeShade="80"/>
        </w:rPr>
        <w:t xml:space="preserve">Faza II – popravki zaradi </w:t>
      </w:r>
      <w:proofErr w:type="spellStart"/>
      <w:r w:rsidRPr="00F11127">
        <w:rPr>
          <w:rFonts w:asciiTheme="majorHAnsi" w:eastAsiaTheme="majorEastAsia" w:hAnsiTheme="majorHAnsi" w:cstheme="majorHAnsi"/>
          <w:color w:val="244061" w:themeColor="accent1" w:themeShade="80"/>
        </w:rPr>
        <w:t>eksternalij</w:t>
      </w:r>
      <w:bookmarkEnd w:id="362"/>
      <w:proofErr w:type="spellEnd"/>
    </w:p>
    <w:p w14:paraId="5FF5571A" w14:textId="77777777" w:rsidR="00C07114" w:rsidRPr="00F11127" w:rsidRDefault="00C07114" w:rsidP="00BD1D20">
      <w:pPr>
        <w:autoSpaceDE w:val="0"/>
        <w:autoSpaceDN w:val="0"/>
        <w:adjustRightInd w:val="0"/>
        <w:spacing w:after="120"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Namen te faze je določiti koristi ali stroške zaradi zunanjih dejavnikov, ki niso bili upoštevani v finančni analizi. Na primer stroški in koristi, ki izhajajo iz omogočitve boljšega življenja prebivalcev in obiskovalcev naše občine. Praviloma je te zunanje koristi in stroške težko ovrednotiti, četudi jih je mogoče določiti. </w:t>
      </w:r>
    </w:p>
    <w:p w14:paraId="621B56FC" w14:textId="77777777" w:rsidR="00C07114" w:rsidRPr="00F11127" w:rsidRDefault="00C07114" w:rsidP="00BD1D20">
      <w:pPr>
        <w:autoSpaceDE w:val="0"/>
        <w:autoSpaceDN w:val="0"/>
        <w:adjustRightInd w:val="0"/>
        <w:spacing w:after="120"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Kot splošno pravilo velja, da je treba vse družbene koristi in stroške, ki se prelivajo od projekta k ostalim subjektom brez nadomestila, v CBA upoštevati kot dodatek k njegovim finančnim stroškom. Zunanjim vplivom je treba določiti denarne vrednosti, če je to le mogoče. Če ni, jih je treba opisati z nedenarnimi pokazatelji.</w:t>
      </w:r>
    </w:p>
    <w:p w14:paraId="4DE4F9E2" w14:textId="77777777" w:rsidR="00C07114" w:rsidRPr="00F11127" w:rsidRDefault="00C07114" w:rsidP="00BD1D20">
      <w:pPr>
        <w:autoSpaceDE w:val="0"/>
        <w:autoSpaceDN w:val="0"/>
        <w:adjustRightInd w:val="0"/>
        <w:spacing w:after="120"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lastRenderedPageBreak/>
        <w:t xml:space="preserve">V našem primeru je določitev eksternih koristi in stroškov za obravnavano investicijo težavna, saj je zelo malo oprijemljivih podatkov, na podlagi katerih bi lahko verodostojno ocenili </w:t>
      </w:r>
      <w:proofErr w:type="spellStart"/>
      <w:r w:rsidRPr="00F11127">
        <w:rPr>
          <w:rFonts w:asciiTheme="majorHAnsi" w:eastAsia="Arial Unicode MS" w:hAnsiTheme="majorHAnsi" w:cstheme="majorHAnsi"/>
          <w:sz w:val="22"/>
          <w:szCs w:val="22"/>
        </w:rPr>
        <w:t>eksternalije</w:t>
      </w:r>
      <w:proofErr w:type="spellEnd"/>
      <w:r w:rsidRPr="00F11127">
        <w:rPr>
          <w:rFonts w:asciiTheme="majorHAnsi" w:eastAsia="Arial Unicode MS" w:hAnsiTheme="majorHAnsi" w:cstheme="majorHAnsi"/>
          <w:sz w:val="22"/>
          <w:szCs w:val="22"/>
        </w:rPr>
        <w:t>.</w:t>
      </w:r>
    </w:p>
    <w:p w14:paraId="64532200" w14:textId="1D49BE6C" w:rsidR="00C07114" w:rsidRPr="00F11127" w:rsidRDefault="00C07114" w:rsidP="00BD1D20">
      <w:pPr>
        <w:autoSpaceDE w:val="0"/>
        <w:autoSpaceDN w:val="0"/>
        <w:adjustRightInd w:val="0"/>
        <w:spacing w:after="120" w:line="276" w:lineRule="auto"/>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rPr>
        <w:t xml:space="preserve">Koristi, ki se jih upošteva v ekonomski analizi in jih prinaša projekt so torej </w:t>
      </w:r>
      <w:r w:rsidRPr="00F11127">
        <w:rPr>
          <w:rFonts w:asciiTheme="majorHAnsi" w:eastAsia="Arial Unicode MS" w:hAnsiTheme="majorHAnsi" w:cstheme="majorHAnsi"/>
          <w:sz w:val="22"/>
          <w:szCs w:val="22"/>
          <w:lang w:eastAsia="x-none"/>
        </w:rPr>
        <w:t>koris</w:t>
      </w:r>
      <w:r w:rsidR="00A56EF7">
        <w:rPr>
          <w:rFonts w:asciiTheme="majorHAnsi" w:eastAsia="Arial Unicode MS" w:hAnsiTheme="majorHAnsi" w:cstheme="majorHAnsi"/>
          <w:sz w:val="22"/>
          <w:szCs w:val="22"/>
          <w:lang w:eastAsia="x-none"/>
        </w:rPr>
        <w:t xml:space="preserve">ti za investitorja in družbo – </w:t>
      </w:r>
      <w:r w:rsidRPr="00F11127">
        <w:rPr>
          <w:rFonts w:asciiTheme="majorHAnsi" w:eastAsia="Arial Unicode MS" w:hAnsiTheme="majorHAnsi" w:cstheme="majorHAnsi"/>
          <w:sz w:val="22"/>
          <w:szCs w:val="22"/>
          <w:lang w:eastAsia="x-none"/>
        </w:rPr>
        <w:t>pogoji za boljše življenje.</w:t>
      </w:r>
    </w:p>
    <w:p w14:paraId="644C3E1A" w14:textId="77777777" w:rsidR="00F55912" w:rsidRPr="00F11127" w:rsidRDefault="00482A34"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3" w:name="_Toc210033866"/>
      <w:r w:rsidRPr="00F11127">
        <w:rPr>
          <w:rFonts w:asciiTheme="majorHAnsi" w:eastAsiaTheme="majorEastAsia" w:hAnsiTheme="majorHAnsi" w:cstheme="majorHAnsi"/>
          <w:color w:val="244061" w:themeColor="accent1" w:themeShade="80"/>
        </w:rPr>
        <w:t xml:space="preserve">Pretvorba </w:t>
      </w:r>
      <w:r w:rsidR="00A10B70" w:rsidRPr="00F11127">
        <w:rPr>
          <w:rFonts w:asciiTheme="majorHAnsi" w:eastAsiaTheme="majorEastAsia" w:hAnsiTheme="majorHAnsi" w:cstheme="majorHAnsi"/>
          <w:color w:val="244061" w:themeColor="accent1" w:themeShade="80"/>
        </w:rPr>
        <w:t>tržnih cen v obračunske cene</w:t>
      </w:r>
      <w:bookmarkEnd w:id="363"/>
      <w:r w:rsidR="00F55912" w:rsidRPr="00F11127">
        <w:rPr>
          <w:rFonts w:asciiTheme="majorHAnsi" w:eastAsiaTheme="majorEastAsia" w:hAnsiTheme="majorHAnsi" w:cstheme="majorHAnsi"/>
          <w:color w:val="244061" w:themeColor="accent1" w:themeShade="80"/>
        </w:rPr>
        <w:t xml:space="preserve"> </w:t>
      </w:r>
    </w:p>
    <w:p w14:paraId="5BF75F0F" w14:textId="7B6745FB" w:rsidR="00690F37" w:rsidRPr="00F11127" w:rsidRDefault="00690F37" w:rsidP="00BD1D20">
      <w:pPr>
        <w:spacing w:before="120" w:after="120"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Cilj pretvorbe tržnih cen v obračunske cene je določitev davčnih popravkov. Predpostavlja se, da trgov</w:t>
      </w:r>
      <w:r w:rsidR="00B53531">
        <w:rPr>
          <w:rFonts w:asciiTheme="majorHAnsi" w:eastAsia="Arial Unicode MS" w:hAnsiTheme="majorHAnsi" w:cstheme="majorHAnsi"/>
          <w:sz w:val="22"/>
          <w:szCs w:val="22"/>
        </w:rPr>
        <w:t>in</w:t>
      </w:r>
      <w:r w:rsidRPr="00F11127">
        <w:rPr>
          <w:rFonts w:asciiTheme="majorHAnsi" w:eastAsia="Arial Unicode MS" w:hAnsiTheme="majorHAnsi" w:cstheme="majorHAnsi"/>
          <w:sz w:val="22"/>
          <w:szCs w:val="22"/>
        </w:rPr>
        <w:t>ska menjava poteka samo znotraj EU, tako da se zunaj-trgovinske menjave in s tem vplive uvoz</w:t>
      </w:r>
      <w:r w:rsidR="00255284">
        <w:rPr>
          <w:rFonts w:asciiTheme="majorHAnsi" w:eastAsia="Arial Unicode MS" w:hAnsiTheme="majorHAnsi" w:cstheme="majorHAnsi"/>
          <w:sz w:val="22"/>
          <w:szCs w:val="22"/>
        </w:rPr>
        <w:t>n</w:t>
      </w:r>
      <w:r w:rsidRPr="00F11127">
        <w:rPr>
          <w:rFonts w:asciiTheme="majorHAnsi" w:eastAsia="Arial Unicode MS" w:hAnsiTheme="majorHAnsi" w:cstheme="majorHAnsi"/>
          <w:sz w:val="22"/>
          <w:szCs w:val="22"/>
        </w:rPr>
        <w:t xml:space="preserve">ih in izvoznih dajatev ne upošteva. </w:t>
      </w:r>
    </w:p>
    <w:p w14:paraId="3C06A6B4" w14:textId="77777777" w:rsidR="00690F37" w:rsidRPr="00F11127" w:rsidRDefault="00690F37" w:rsidP="00BD1D20">
      <w:pPr>
        <w:spacing w:before="120" w:after="120" w:line="276" w:lineRule="auto"/>
        <w:jc w:val="both"/>
        <w:rPr>
          <w:rFonts w:asciiTheme="majorHAnsi" w:eastAsia="Arial Unicode MS" w:hAnsiTheme="majorHAnsi" w:cstheme="majorHAnsi"/>
          <w:sz w:val="22"/>
          <w:szCs w:val="22"/>
        </w:rPr>
      </w:pPr>
      <w:proofErr w:type="spellStart"/>
      <w:r w:rsidRPr="00F11127">
        <w:rPr>
          <w:rFonts w:asciiTheme="majorHAnsi" w:eastAsia="Arial Unicode MS" w:hAnsiTheme="majorHAnsi" w:cstheme="majorHAnsi"/>
          <w:sz w:val="22"/>
          <w:szCs w:val="22"/>
        </w:rPr>
        <w:t>Konverzijski</w:t>
      </w:r>
      <w:proofErr w:type="spellEnd"/>
      <w:r w:rsidRPr="00F11127">
        <w:rPr>
          <w:rFonts w:asciiTheme="majorHAnsi" w:eastAsia="Arial Unicode MS" w:hAnsiTheme="majorHAnsi" w:cstheme="majorHAnsi"/>
          <w:sz w:val="22"/>
          <w:szCs w:val="22"/>
        </w:rPr>
        <w:t xml:space="preserve"> faktorji (</w:t>
      </w:r>
      <w:proofErr w:type="spellStart"/>
      <w:r w:rsidRPr="00F11127">
        <w:rPr>
          <w:rFonts w:asciiTheme="majorHAnsi" w:eastAsia="Arial Unicode MS" w:hAnsiTheme="majorHAnsi" w:cstheme="majorHAnsi"/>
          <w:sz w:val="22"/>
          <w:szCs w:val="22"/>
        </w:rPr>
        <w:t>kf</w:t>
      </w:r>
      <w:proofErr w:type="spellEnd"/>
      <w:r w:rsidRPr="00F11127">
        <w:rPr>
          <w:rFonts w:asciiTheme="majorHAnsi" w:eastAsia="Arial Unicode MS" w:hAnsiTheme="majorHAnsi" w:cstheme="majorHAnsi"/>
          <w:sz w:val="22"/>
          <w:szCs w:val="22"/>
        </w:rPr>
        <w:t>) so:</w:t>
      </w:r>
    </w:p>
    <w:p w14:paraId="45D963C7" w14:textId="744D8C92" w:rsidR="00690F37" w:rsidRPr="00F11127" w:rsidRDefault="00690F37" w:rsidP="00BD1D20">
      <w:pPr>
        <w:spacing w:before="120" w:after="120" w:line="276" w:lineRule="auto"/>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rPr>
        <w:t xml:space="preserve">Za predmetni projekt smo </w:t>
      </w:r>
      <w:r w:rsidR="00655FE7">
        <w:rPr>
          <w:rFonts w:asciiTheme="majorHAnsi" w:eastAsia="Arial Unicode MS" w:hAnsiTheme="majorHAnsi" w:cstheme="majorHAnsi"/>
          <w:sz w:val="22"/>
          <w:szCs w:val="22"/>
        </w:rPr>
        <w:t xml:space="preserve">iz previdnosti </w:t>
      </w:r>
      <w:r w:rsidRPr="00F11127">
        <w:rPr>
          <w:rFonts w:asciiTheme="majorHAnsi" w:eastAsia="Arial Unicode MS" w:hAnsiTheme="majorHAnsi" w:cstheme="majorHAnsi"/>
          <w:sz w:val="22"/>
          <w:szCs w:val="22"/>
        </w:rPr>
        <w:t xml:space="preserve">upoštevali </w:t>
      </w:r>
      <w:proofErr w:type="spellStart"/>
      <w:r w:rsidRPr="00F11127">
        <w:rPr>
          <w:rFonts w:asciiTheme="majorHAnsi" w:eastAsia="Arial Unicode MS" w:hAnsiTheme="majorHAnsi" w:cstheme="majorHAnsi"/>
          <w:sz w:val="22"/>
          <w:szCs w:val="22"/>
        </w:rPr>
        <w:t>konverzijski</w:t>
      </w:r>
      <w:proofErr w:type="spellEnd"/>
      <w:r w:rsidRPr="00F11127">
        <w:rPr>
          <w:rFonts w:asciiTheme="majorHAnsi" w:eastAsia="Arial Unicode MS" w:hAnsiTheme="majorHAnsi" w:cstheme="majorHAnsi"/>
          <w:sz w:val="22"/>
          <w:szCs w:val="22"/>
        </w:rPr>
        <w:t xml:space="preserve"> faktor </w:t>
      </w:r>
      <w:r w:rsidR="00655FE7">
        <w:rPr>
          <w:rFonts w:asciiTheme="majorHAnsi" w:eastAsia="Arial Unicode MS" w:hAnsiTheme="majorHAnsi" w:cstheme="majorHAnsi"/>
          <w:sz w:val="22"/>
          <w:szCs w:val="22"/>
        </w:rPr>
        <w:t>1,00</w:t>
      </w:r>
      <w:r w:rsidRPr="00F11127">
        <w:rPr>
          <w:rFonts w:asciiTheme="majorHAnsi" w:eastAsia="Arial Unicode MS" w:hAnsiTheme="majorHAnsi" w:cstheme="majorHAnsi"/>
          <w:sz w:val="22"/>
          <w:szCs w:val="22"/>
        </w:rPr>
        <w:t xml:space="preserve"> za investicijsko vrednost </w:t>
      </w:r>
      <w:r w:rsidR="00655FE7">
        <w:rPr>
          <w:rFonts w:asciiTheme="majorHAnsi" w:eastAsia="Arial Unicode MS" w:hAnsiTheme="majorHAnsi" w:cstheme="majorHAnsi"/>
          <w:sz w:val="22"/>
          <w:szCs w:val="22"/>
        </w:rPr>
        <w:t>in</w:t>
      </w:r>
      <w:r w:rsidRPr="00F11127">
        <w:rPr>
          <w:rFonts w:asciiTheme="majorHAnsi" w:eastAsia="Arial Unicode MS" w:hAnsiTheme="majorHAnsi" w:cstheme="majorHAnsi"/>
          <w:sz w:val="22"/>
          <w:szCs w:val="22"/>
        </w:rPr>
        <w:t xml:space="preserve"> za investicijsko vzdrževanje </w:t>
      </w:r>
      <w:r w:rsidR="00655FE7">
        <w:rPr>
          <w:rFonts w:asciiTheme="majorHAnsi" w:eastAsia="Arial Unicode MS" w:hAnsiTheme="majorHAnsi" w:cstheme="majorHAnsi"/>
          <w:sz w:val="22"/>
          <w:szCs w:val="22"/>
        </w:rPr>
        <w:t>ter</w:t>
      </w:r>
      <w:r w:rsidRPr="00F11127">
        <w:rPr>
          <w:rFonts w:asciiTheme="majorHAnsi" w:eastAsia="Arial Unicode MS" w:hAnsiTheme="majorHAnsi" w:cstheme="majorHAnsi"/>
          <w:sz w:val="22"/>
          <w:szCs w:val="22"/>
        </w:rPr>
        <w:t xml:space="preserve"> obratovalne stroške</w:t>
      </w:r>
      <w:r w:rsidR="00223BF7" w:rsidRPr="00F11127">
        <w:rPr>
          <w:rFonts w:asciiTheme="majorHAnsi" w:eastAsia="Arial Unicode MS" w:hAnsiTheme="majorHAnsi" w:cstheme="majorHAnsi"/>
          <w:sz w:val="22"/>
          <w:szCs w:val="22"/>
        </w:rPr>
        <w:t>.</w:t>
      </w:r>
    </w:p>
    <w:p w14:paraId="3FD5A53B" w14:textId="77777777" w:rsidR="00F55912" w:rsidRPr="00F11127" w:rsidRDefault="00C70F99"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4" w:name="_Toc210033867"/>
      <w:r w:rsidRPr="00F11127">
        <w:rPr>
          <w:rFonts w:asciiTheme="majorHAnsi" w:eastAsiaTheme="majorEastAsia" w:hAnsiTheme="majorHAnsi" w:cstheme="majorHAnsi"/>
          <w:color w:val="244061" w:themeColor="accent1" w:themeShade="80"/>
        </w:rPr>
        <w:t>Ekonomski tok investicije</w:t>
      </w:r>
      <w:bookmarkEnd w:id="364"/>
    </w:p>
    <w:p w14:paraId="02309D68" w14:textId="258CD18E" w:rsidR="00D16A51" w:rsidRPr="00F11127" w:rsidRDefault="00D16A51" w:rsidP="00BD1D20">
      <w:pPr>
        <w:autoSpaceDE w:val="0"/>
        <w:autoSpaceDN w:val="0"/>
        <w:adjustRightInd w:val="0"/>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Za izračun ekonomske učinkovitosti investicije je izračunana ekonomska interna stopnja donosa na investicijo (EIRR) in ekonomska neto sedanja vrednost (ENPV). Pri izračunih je upoštevana </w:t>
      </w:r>
      <w:r w:rsidR="00655FE7">
        <w:rPr>
          <w:rFonts w:asciiTheme="majorHAnsi" w:eastAsia="Arial Unicode MS" w:hAnsiTheme="majorHAnsi" w:cstheme="majorHAnsi"/>
          <w:sz w:val="22"/>
          <w:szCs w:val="22"/>
        </w:rPr>
        <w:t>4</w:t>
      </w:r>
      <w:r w:rsidRPr="00F11127">
        <w:rPr>
          <w:rFonts w:asciiTheme="majorHAnsi" w:eastAsia="Arial Unicode MS" w:hAnsiTheme="majorHAnsi" w:cstheme="majorHAnsi"/>
          <w:sz w:val="22"/>
          <w:szCs w:val="22"/>
        </w:rPr>
        <w:t xml:space="preserve">% diskontna stopnja. </w:t>
      </w:r>
    </w:p>
    <w:p w14:paraId="1E135183" w14:textId="77777777" w:rsidR="00D16A51" w:rsidRPr="00F11127" w:rsidRDefault="00D16A51" w:rsidP="00BD1D20">
      <w:pPr>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Izračun ekonomske neto sedanje vrednosti projekta upošteva: </w:t>
      </w:r>
    </w:p>
    <w:p w14:paraId="662AC0F1" w14:textId="417EDB32" w:rsidR="00D16A51" w:rsidRPr="00F11127" w:rsidRDefault="00D16A51"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lang w:eastAsia="x-none"/>
        </w:rPr>
        <w:t xml:space="preserve">letne koristi, diskontirane na začetek prvega leta obratovanja </w:t>
      </w:r>
      <w:r w:rsidR="000F4BA0">
        <w:rPr>
          <w:rFonts w:asciiTheme="majorHAnsi" w:eastAsia="Arial Unicode MS" w:hAnsiTheme="majorHAnsi" w:cstheme="majorHAnsi"/>
          <w:sz w:val="22"/>
          <w:szCs w:val="22"/>
          <w:lang w:eastAsia="x-none"/>
        </w:rPr>
        <w:t>investicije;</w:t>
      </w:r>
    </w:p>
    <w:p w14:paraId="1138D0CB" w14:textId="774B7CD4" w:rsidR="00D16A51" w:rsidRPr="00F11127" w:rsidRDefault="00D16A51"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lang w:eastAsia="x-none"/>
        </w:rPr>
        <w:t>stroške investicijskih vlaganj brez DDV, letne koristi in stroške obratovanja v ekonomski dobi rabe projekta, diskontiran</w:t>
      </w:r>
      <w:r w:rsidR="000F4BA0">
        <w:rPr>
          <w:rFonts w:asciiTheme="majorHAnsi" w:eastAsia="Arial Unicode MS" w:hAnsiTheme="majorHAnsi" w:cstheme="majorHAnsi"/>
          <w:sz w:val="22"/>
          <w:szCs w:val="22"/>
          <w:lang w:eastAsia="x-none"/>
        </w:rPr>
        <w:t>e</w:t>
      </w:r>
      <w:r w:rsidRPr="00F11127">
        <w:rPr>
          <w:rFonts w:asciiTheme="majorHAnsi" w:eastAsia="Arial Unicode MS" w:hAnsiTheme="majorHAnsi" w:cstheme="majorHAnsi"/>
          <w:sz w:val="22"/>
          <w:szCs w:val="22"/>
          <w:lang w:eastAsia="x-none"/>
        </w:rPr>
        <w:t xml:space="preserve"> na </w:t>
      </w:r>
      <w:r w:rsidR="000F4BA0">
        <w:rPr>
          <w:rFonts w:asciiTheme="majorHAnsi" w:eastAsia="Arial Unicode MS" w:hAnsiTheme="majorHAnsi" w:cstheme="majorHAnsi"/>
          <w:sz w:val="22"/>
          <w:szCs w:val="22"/>
          <w:lang w:eastAsia="x-none"/>
        </w:rPr>
        <w:t>začetek investicijskih vlaganj;</w:t>
      </w:r>
    </w:p>
    <w:p w14:paraId="4BAEBD28" w14:textId="2690FB73" w:rsidR="00D16A51" w:rsidRPr="00F11127" w:rsidRDefault="00D16A51"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lang w:eastAsia="x-none"/>
        </w:rPr>
        <w:t>pretvorbo tržnih cen v ob</w:t>
      </w:r>
      <w:r w:rsidR="000F4BA0">
        <w:rPr>
          <w:rFonts w:asciiTheme="majorHAnsi" w:eastAsia="Arial Unicode MS" w:hAnsiTheme="majorHAnsi" w:cstheme="majorHAnsi"/>
          <w:sz w:val="22"/>
          <w:szCs w:val="22"/>
          <w:lang w:eastAsia="x-none"/>
        </w:rPr>
        <w:t>računske cene, kjer je potrebno;</w:t>
      </w:r>
    </w:p>
    <w:p w14:paraId="099B9754" w14:textId="482B1B9B" w:rsidR="00D16A51" w:rsidRPr="00F11127" w:rsidRDefault="000F4BA0"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Pr>
          <w:rFonts w:asciiTheme="majorHAnsi" w:eastAsia="Arial Unicode MS" w:hAnsiTheme="majorHAnsi" w:cstheme="majorHAnsi"/>
          <w:sz w:val="22"/>
          <w:szCs w:val="22"/>
          <w:lang w:eastAsia="x-none"/>
        </w:rPr>
        <w:t>čas gradnje;</w:t>
      </w:r>
    </w:p>
    <w:p w14:paraId="3109254B" w14:textId="77777777" w:rsidR="00D16A51" w:rsidRPr="00F11127" w:rsidRDefault="00D16A51" w:rsidP="00BD1D20">
      <w:pPr>
        <w:numPr>
          <w:ilvl w:val="0"/>
          <w:numId w:val="92"/>
        </w:numPr>
        <w:spacing w:line="276" w:lineRule="auto"/>
        <w:contextualSpacing/>
        <w:jc w:val="both"/>
        <w:rPr>
          <w:rFonts w:asciiTheme="majorHAnsi" w:eastAsia="Arial Unicode MS" w:hAnsiTheme="majorHAnsi" w:cstheme="majorHAnsi"/>
          <w:sz w:val="22"/>
          <w:szCs w:val="22"/>
          <w:lang w:eastAsia="x-none"/>
        </w:rPr>
      </w:pPr>
      <w:r w:rsidRPr="00F11127">
        <w:rPr>
          <w:rFonts w:asciiTheme="majorHAnsi" w:eastAsia="Arial Unicode MS" w:hAnsiTheme="majorHAnsi" w:cstheme="majorHAnsi"/>
          <w:sz w:val="22"/>
          <w:szCs w:val="22"/>
          <w:lang w:eastAsia="x-none"/>
        </w:rPr>
        <w:t xml:space="preserve">življenjsko dobo investicije </w:t>
      </w:r>
      <w:r w:rsidR="00003571" w:rsidRPr="00F11127">
        <w:rPr>
          <w:rFonts w:asciiTheme="majorHAnsi" w:eastAsia="Arial Unicode MS" w:hAnsiTheme="majorHAnsi" w:cstheme="majorHAnsi"/>
          <w:sz w:val="22"/>
          <w:szCs w:val="22"/>
          <w:lang w:eastAsia="x-none"/>
        </w:rPr>
        <w:t>30</w:t>
      </w:r>
      <w:r w:rsidRPr="00F11127">
        <w:rPr>
          <w:rFonts w:asciiTheme="majorHAnsi" w:eastAsia="Arial Unicode MS" w:hAnsiTheme="majorHAnsi" w:cstheme="majorHAnsi"/>
          <w:sz w:val="22"/>
          <w:szCs w:val="22"/>
          <w:lang w:eastAsia="x-none"/>
        </w:rPr>
        <w:t xml:space="preserve"> let. </w:t>
      </w:r>
    </w:p>
    <w:p w14:paraId="46E8756E" w14:textId="77777777" w:rsidR="00D16A51" w:rsidRPr="00F11127" w:rsidRDefault="00D16A51" w:rsidP="00BD1D20">
      <w:pPr>
        <w:spacing w:line="276" w:lineRule="auto"/>
        <w:jc w:val="both"/>
        <w:rPr>
          <w:rFonts w:asciiTheme="majorHAnsi" w:eastAsia="Arial Unicode MS" w:hAnsiTheme="majorHAnsi" w:cstheme="majorHAnsi"/>
          <w:sz w:val="22"/>
          <w:szCs w:val="22"/>
        </w:rPr>
      </w:pPr>
    </w:p>
    <w:p w14:paraId="5EEDC5DD" w14:textId="6751E843" w:rsidR="00D16A51" w:rsidRPr="00F11127" w:rsidRDefault="00D16A51" w:rsidP="00BD1D20">
      <w:pPr>
        <w:spacing w:line="276" w:lineRule="auto"/>
        <w:jc w:val="both"/>
        <w:rPr>
          <w:rFonts w:asciiTheme="majorHAnsi" w:eastAsia="Arial Unicode MS" w:hAnsiTheme="majorHAnsi" w:cstheme="majorHAnsi"/>
          <w:sz w:val="22"/>
          <w:szCs w:val="22"/>
        </w:rPr>
      </w:pPr>
      <w:r w:rsidRPr="00F11127">
        <w:rPr>
          <w:rFonts w:asciiTheme="majorHAnsi" w:eastAsia="Arial Unicode MS" w:hAnsiTheme="majorHAnsi" w:cstheme="majorHAnsi"/>
          <w:sz w:val="22"/>
          <w:szCs w:val="22"/>
        </w:rPr>
        <w:t xml:space="preserve">V tabelah v nadaljevanju je podan prikaz ekonomskega toka obravnavane investicije v ekonomskem obdobju </w:t>
      </w:r>
      <w:r w:rsidR="00003571" w:rsidRPr="00F11127">
        <w:rPr>
          <w:rFonts w:asciiTheme="majorHAnsi" w:eastAsia="Arial Unicode MS" w:hAnsiTheme="majorHAnsi" w:cstheme="majorHAnsi"/>
          <w:sz w:val="22"/>
          <w:szCs w:val="22"/>
        </w:rPr>
        <w:t>30</w:t>
      </w:r>
      <w:r w:rsidRPr="00F11127">
        <w:rPr>
          <w:rFonts w:asciiTheme="majorHAnsi" w:eastAsia="Arial Unicode MS" w:hAnsiTheme="majorHAnsi" w:cstheme="majorHAnsi"/>
          <w:sz w:val="22"/>
          <w:szCs w:val="22"/>
        </w:rPr>
        <w:t xml:space="preserve"> let</w:t>
      </w:r>
      <w:r w:rsidR="000F4BA0">
        <w:rPr>
          <w:rFonts w:asciiTheme="majorHAnsi" w:eastAsia="Arial Unicode MS" w:hAnsiTheme="majorHAnsi" w:cstheme="majorHAnsi"/>
          <w:sz w:val="22"/>
          <w:szCs w:val="22"/>
        </w:rPr>
        <w:t>,</w:t>
      </w:r>
      <w:r w:rsidRPr="00F11127">
        <w:rPr>
          <w:rFonts w:asciiTheme="majorHAnsi" w:eastAsia="Arial Unicode MS" w:hAnsiTheme="majorHAnsi" w:cstheme="majorHAnsi"/>
          <w:sz w:val="22"/>
          <w:szCs w:val="22"/>
        </w:rPr>
        <w:t xml:space="preserve"> in to med leti </w:t>
      </w:r>
      <w:r w:rsidR="00223BF7" w:rsidRPr="00F11127">
        <w:rPr>
          <w:rFonts w:asciiTheme="majorHAnsi" w:eastAsia="Arial Unicode MS" w:hAnsiTheme="majorHAnsi" w:cstheme="majorHAnsi"/>
          <w:sz w:val="22"/>
          <w:szCs w:val="22"/>
        </w:rPr>
        <w:t>2025</w:t>
      </w:r>
      <w:r w:rsidRPr="00F11127">
        <w:rPr>
          <w:rFonts w:asciiTheme="majorHAnsi" w:eastAsia="Arial Unicode MS" w:hAnsiTheme="majorHAnsi" w:cstheme="majorHAnsi"/>
          <w:sz w:val="22"/>
          <w:szCs w:val="22"/>
        </w:rPr>
        <w:t xml:space="preserve"> in 20</w:t>
      </w:r>
      <w:r w:rsidR="00003571" w:rsidRPr="00F11127">
        <w:rPr>
          <w:rFonts w:asciiTheme="majorHAnsi" w:eastAsia="Arial Unicode MS" w:hAnsiTheme="majorHAnsi" w:cstheme="majorHAnsi"/>
          <w:sz w:val="22"/>
          <w:szCs w:val="22"/>
        </w:rPr>
        <w:t>5</w:t>
      </w:r>
      <w:r w:rsidR="00223BF7" w:rsidRPr="00F11127">
        <w:rPr>
          <w:rFonts w:asciiTheme="majorHAnsi" w:eastAsia="Arial Unicode MS" w:hAnsiTheme="majorHAnsi" w:cstheme="majorHAnsi"/>
          <w:sz w:val="22"/>
          <w:szCs w:val="22"/>
        </w:rPr>
        <w:t>4</w:t>
      </w:r>
      <w:r w:rsidRPr="00F11127">
        <w:rPr>
          <w:rFonts w:asciiTheme="majorHAnsi" w:eastAsia="Arial Unicode MS" w:hAnsiTheme="majorHAnsi" w:cstheme="majorHAnsi"/>
          <w:sz w:val="22"/>
          <w:szCs w:val="22"/>
        </w:rPr>
        <w:t xml:space="preserve">. V nadaljevanju je prikazan tudi diskontirani ekonomski tok investicije ob upoštevanju zgoraj navedenih predpostavk. Uporabljena je </w:t>
      </w:r>
      <w:r w:rsidR="00655FE7">
        <w:rPr>
          <w:rFonts w:asciiTheme="majorHAnsi" w:eastAsia="Arial Unicode MS" w:hAnsiTheme="majorHAnsi" w:cstheme="majorHAnsi"/>
          <w:sz w:val="22"/>
          <w:szCs w:val="22"/>
        </w:rPr>
        <w:t>4</w:t>
      </w:r>
      <w:r w:rsidRPr="00F11127">
        <w:rPr>
          <w:rFonts w:asciiTheme="majorHAnsi" w:eastAsia="Arial Unicode MS" w:hAnsiTheme="majorHAnsi" w:cstheme="majorHAnsi"/>
          <w:sz w:val="22"/>
          <w:szCs w:val="22"/>
        </w:rPr>
        <w:t>% diskontna stopnja.</w:t>
      </w:r>
    </w:p>
    <w:p w14:paraId="62CCA55F" w14:textId="77777777" w:rsidR="00F55912" w:rsidRPr="00F11127" w:rsidRDefault="00F55912" w:rsidP="00BD1D20">
      <w:pPr>
        <w:spacing w:after="120" w:line="276" w:lineRule="auto"/>
        <w:jc w:val="both"/>
        <w:rPr>
          <w:rFonts w:asciiTheme="majorHAnsi" w:eastAsia="Arial Unicode MS" w:hAnsiTheme="majorHAnsi" w:cstheme="majorHAnsi"/>
        </w:rPr>
      </w:pPr>
    </w:p>
    <w:p w14:paraId="5FF1118A" w14:textId="77777777" w:rsidR="00F55912" w:rsidRPr="00F11127" w:rsidRDefault="00F55912" w:rsidP="00BD1D20">
      <w:pPr>
        <w:spacing w:after="120" w:line="276" w:lineRule="auto"/>
        <w:rPr>
          <w:rFonts w:asciiTheme="majorHAnsi" w:hAnsiTheme="majorHAnsi" w:cstheme="majorHAnsi"/>
          <w:highlight w:val="yellow"/>
        </w:rPr>
        <w:sectPr w:rsidR="00F55912" w:rsidRPr="00F11127" w:rsidSect="00480057">
          <w:headerReference w:type="default" r:id="rId96"/>
          <w:headerReference w:type="first" r:id="rId97"/>
          <w:pgSz w:w="11906" w:h="16838"/>
          <w:pgMar w:top="1134" w:right="1417" w:bottom="1417" w:left="1418" w:header="708" w:footer="708" w:gutter="0"/>
          <w:cols w:space="708"/>
          <w:titlePg/>
          <w:docGrid w:linePitch="360"/>
        </w:sectPr>
      </w:pPr>
    </w:p>
    <w:p w14:paraId="3E3AC7C7" w14:textId="04451E44" w:rsidR="00F55912" w:rsidRDefault="00F55912" w:rsidP="00BD1D20">
      <w:pPr>
        <w:pStyle w:val="Napis"/>
        <w:keepNext/>
        <w:spacing w:after="120" w:line="276" w:lineRule="auto"/>
        <w:rPr>
          <w:rFonts w:asciiTheme="majorHAnsi" w:hAnsiTheme="majorHAnsi" w:cstheme="majorHAnsi"/>
          <w:b w:val="0"/>
          <w:color w:val="auto"/>
          <w:sz w:val="22"/>
          <w:szCs w:val="22"/>
        </w:rPr>
      </w:pPr>
      <w:bookmarkStart w:id="365" w:name="_Toc209528316"/>
      <w:r w:rsidRPr="00F11127">
        <w:rPr>
          <w:rFonts w:asciiTheme="majorHAnsi" w:hAnsiTheme="majorHAnsi" w:cstheme="majorHAnsi"/>
          <w:color w:val="auto"/>
          <w:sz w:val="22"/>
          <w:szCs w:val="22"/>
        </w:rPr>
        <w:lastRenderedPageBreak/>
        <w:t xml:space="preserve">Tabela </w:t>
      </w:r>
      <w:r w:rsidR="00050C93"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00050C93"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30</w:t>
      </w:r>
      <w:r w:rsidR="00050C93" w:rsidRPr="00F11127">
        <w:rPr>
          <w:rFonts w:asciiTheme="majorHAnsi" w:hAnsiTheme="majorHAnsi" w:cstheme="majorHAnsi"/>
          <w:color w:val="auto"/>
          <w:sz w:val="22"/>
          <w:szCs w:val="22"/>
        </w:rPr>
        <w:fldChar w:fldCharType="end"/>
      </w:r>
      <w:r w:rsidRPr="00F11127">
        <w:rPr>
          <w:rFonts w:asciiTheme="majorHAnsi" w:hAnsiTheme="majorHAnsi" w:cstheme="majorHAnsi"/>
          <w:color w:val="auto"/>
          <w:sz w:val="22"/>
          <w:szCs w:val="22"/>
        </w:rPr>
        <w:t>:</w:t>
      </w:r>
      <w:r w:rsidRPr="00F11127">
        <w:rPr>
          <w:rFonts w:asciiTheme="majorHAnsi" w:hAnsiTheme="majorHAnsi" w:cstheme="majorHAnsi"/>
          <w:b w:val="0"/>
          <w:color w:val="auto"/>
          <w:sz w:val="22"/>
          <w:szCs w:val="22"/>
        </w:rPr>
        <w:t xml:space="preserve"> Analiza stroškov in koristi za celotni projekt v </w:t>
      </w:r>
      <w:r w:rsidR="003304EB" w:rsidRPr="00F11127">
        <w:rPr>
          <w:rFonts w:asciiTheme="majorHAnsi" w:hAnsiTheme="majorHAnsi" w:cstheme="majorHAnsi"/>
          <w:b w:val="0"/>
          <w:color w:val="auto"/>
          <w:sz w:val="22"/>
          <w:szCs w:val="22"/>
        </w:rPr>
        <w:t>30</w:t>
      </w:r>
      <w:r w:rsidRPr="00F11127">
        <w:rPr>
          <w:rFonts w:asciiTheme="majorHAnsi" w:hAnsiTheme="majorHAnsi" w:cstheme="majorHAnsi"/>
          <w:b w:val="0"/>
          <w:color w:val="auto"/>
          <w:sz w:val="22"/>
          <w:szCs w:val="22"/>
        </w:rPr>
        <w:t>-letni ekonomski dobi</w:t>
      </w:r>
      <w:bookmarkEnd w:id="365"/>
    </w:p>
    <w:p w14:paraId="253E84FC" w14:textId="1A59F7D4" w:rsidR="006E4989" w:rsidRPr="006E4989" w:rsidRDefault="006E4989" w:rsidP="006E4989">
      <w:r w:rsidRPr="006E4989">
        <w:rPr>
          <w:noProof/>
        </w:rPr>
        <w:drawing>
          <wp:inline distT="0" distB="0" distL="0" distR="0" wp14:anchorId="7BC2AF05" wp14:editId="331B559E">
            <wp:extent cx="9072245" cy="1704975"/>
            <wp:effectExtent l="0" t="0" r="0" b="9525"/>
            <wp:docPr id="1931475826"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072245" cy="1704975"/>
                    </a:xfrm>
                    <a:prstGeom prst="rect">
                      <a:avLst/>
                    </a:prstGeom>
                    <a:noFill/>
                    <a:ln>
                      <a:noFill/>
                    </a:ln>
                  </pic:spPr>
                </pic:pic>
              </a:graphicData>
            </a:graphic>
          </wp:inline>
        </w:drawing>
      </w:r>
    </w:p>
    <w:p w14:paraId="700F05AA" w14:textId="3AB0592D" w:rsidR="005B3550" w:rsidRDefault="005B3550" w:rsidP="00BD1D20">
      <w:pPr>
        <w:spacing w:line="276" w:lineRule="auto"/>
        <w:rPr>
          <w:rFonts w:asciiTheme="majorHAnsi" w:hAnsiTheme="majorHAnsi" w:cstheme="majorHAnsi"/>
          <w:sz w:val="4"/>
          <w:szCs w:val="4"/>
        </w:rPr>
      </w:pPr>
    </w:p>
    <w:p w14:paraId="3E60B50A" w14:textId="5697156F" w:rsidR="00975F90" w:rsidRDefault="006E4989" w:rsidP="00BD1D20">
      <w:pPr>
        <w:spacing w:line="276" w:lineRule="auto"/>
        <w:rPr>
          <w:rFonts w:asciiTheme="majorHAnsi" w:hAnsiTheme="majorHAnsi" w:cstheme="majorHAnsi"/>
          <w:sz w:val="4"/>
          <w:szCs w:val="4"/>
        </w:rPr>
      </w:pPr>
      <w:r w:rsidRPr="006E4989">
        <w:rPr>
          <w:noProof/>
        </w:rPr>
        <w:drawing>
          <wp:inline distT="0" distB="0" distL="0" distR="0" wp14:anchorId="540064E2" wp14:editId="566CCC80">
            <wp:extent cx="9072245" cy="1741805"/>
            <wp:effectExtent l="0" t="0" r="0" b="0"/>
            <wp:docPr id="1292493290"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072245" cy="1741805"/>
                    </a:xfrm>
                    <a:prstGeom prst="rect">
                      <a:avLst/>
                    </a:prstGeom>
                    <a:noFill/>
                    <a:ln>
                      <a:noFill/>
                    </a:ln>
                  </pic:spPr>
                </pic:pic>
              </a:graphicData>
            </a:graphic>
          </wp:inline>
        </w:drawing>
      </w:r>
    </w:p>
    <w:p w14:paraId="6124C838" w14:textId="04C236BB" w:rsidR="00F83706" w:rsidRDefault="006E4989" w:rsidP="00BD1D20">
      <w:pPr>
        <w:spacing w:line="276" w:lineRule="auto"/>
        <w:rPr>
          <w:rFonts w:asciiTheme="majorHAnsi" w:hAnsiTheme="majorHAnsi" w:cstheme="majorHAnsi"/>
          <w:sz w:val="4"/>
          <w:szCs w:val="4"/>
        </w:rPr>
      </w:pPr>
      <w:r w:rsidRPr="006E4989">
        <w:rPr>
          <w:noProof/>
        </w:rPr>
        <w:drawing>
          <wp:inline distT="0" distB="0" distL="0" distR="0" wp14:anchorId="69E4EB43" wp14:editId="1AA930FE">
            <wp:extent cx="7524245" cy="1932167"/>
            <wp:effectExtent l="0" t="0" r="635" b="0"/>
            <wp:docPr id="1468610371"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549926" cy="1938762"/>
                    </a:xfrm>
                    <a:prstGeom prst="rect">
                      <a:avLst/>
                    </a:prstGeom>
                    <a:noFill/>
                    <a:ln>
                      <a:noFill/>
                    </a:ln>
                  </pic:spPr>
                </pic:pic>
              </a:graphicData>
            </a:graphic>
          </wp:inline>
        </w:drawing>
      </w:r>
    </w:p>
    <w:p w14:paraId="18D404E9" w14:textId="67C9420F" w:rsidR="005B7EAE" w:rsidRPr="00F11127" w:rsidRDefault="005B7EAE" w:rsidP="00BD1D20">
      <w:pPr>
        <w:spacing w:line="276" w:lineRule="auto"/>
        <w:rPr>
          <w:rFonts w:asciiTheme="majorHAnsi" w:hAnsiTheme="majorHAnsi" w:cstheme="majorHAnsi"/>
          <w:sz w:val="4"/>
          <w:szCs w:val="4"/>
        </w:rPr>
      </w:pPr>
    </w:p>
    <w:p w14:paraId="1931E842" w14:textId="77777777" w:rsidR="00F83706" w:rsidRPr="00F11127" w:rsidRDefault="00F83706" w:rsidP="00BD1D20">
      <w:pPr>
        <w:spacing w:line="276" w:lineRule="auto"/>
        <w:rPr>
          <w:rFonts w:asciiTheme="majorHAnsi" w:hAnsiTheme="majorHAnsi" w:cstheme="majorHAnsi"/>
          <w:sz w:val="4"/>
          <w:szCs w:val="4"/>
        </w:rPr>
      </w:pPr>
    </w:p>
    <w:p w14:paraId="0B594BF0" w14:textId="2793AE33" w:rsidR="00F55912" w:rsidRPr="00F11127" w:rsidRDefault="00F55912" w:rsidP="00BD1D20">
      <w:pPr>
        <w:spacing w:line="276" w:lineRule="auto"/>
        <w:rPr>
          <w:rFonts w:asciiTheme="majorHAnsi" w:hAnsiTheme="majorHAnsi" w:cstheme="majorHAnsi"/>
        </w:rPr>
        <w:sectPr w:rsidR="00F55912" w:rsidRPr="00F11127" w:rsidSect="00480057">
          <w:headerReference w:type="default" r:id="rId101"/>
          <w:headerReference w:type="first" r:id="rId102"/>
          <w:pgSz w:w="16838" w:h="11906" w:orient="landscape"/>
          <w:pgMar w:top="1134" w:right="1134" w:bottom="1417" w:left="1417" w:header="708" w:footer="708" w:gutter="0"/>
          <w:cols w:space="708"/>
          <w:titlePg/>
          <w:docGrid w:linePitch="360"/>
        </w:sectPr>
      </w:pPr>
    </w:p>
    <w:p w14:paraId="7BC2EF5B" w14:textId="77777777" w:rsidR="00F55912" w:rsidRPr="00F11127" w:rsidRDefault="00F559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66" w:name="_Toc210033868"/>
      <w:r w:rsidRPr="00F11127">
        <w:rPr>
          <w:rFonts w:asciiTheme="majorHAnsi" w:eastAsiaTheme="majorEastAsia" w:hAnsiTheme="majorHAnsi" w:cstheme="majorHAnsi"/>
          <w:color w:val="244061" w:themeColor="accent1" w:themeShade="80"/>
        </w:rPr>
        <w:lastRenderedPageBreak/>
        <w:t>Ekonomski kazalniki</w:t>
      </w:r>
      <w:bookmarkEnd w:id="366"/>
    </w:p>
    <w:p w14:paraId="0065669B" w14:textId="77777777" w:rsidR="00F55912"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7" w:name="_Toc210033869"/>
      <w:r w:rsidRPr="00F11127">
        <w:rPr>
          <w:rFonts w:asciiTheme="majorHAnsi" w:eastAsiaTheme="majorEastAsia" w:hAnsiTheme="majorHAnsi" w:cstheme="majorHAnsi"/>
          <w:color w:val="244061" w:themeColor="accent1" w:themeShade="80"/>
        </w:rPr>
        <w:t>Ekonomska neto sedanja vrednost celotnega projekta</w:t>
      </w:r>
      <w:bookmarkEnd w:id="367"/>
    </w:p>
    <w:p w14:paraId="4D1DF531"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Za analizo ekonomske neto sedanje vrednosti se priporoča uporaba letnega denarnega toka, pri čemer denarni tok predstavlja razliko med denarnimi pritoki in odtoki (vključno z vsemi izmerljivimi koristmi in stroški), povzročenimi s projektom.</w:t>
      </w:r>
    </w:p>
    <w:p w14:paraId="11542B14"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Formula izračuna ekonomske neto sedanje vrednosti:</w:t>
      </w:r>
    </w:p>
    <w:p w14:paraId="65054AB2"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object w:dxaOrig="6942" w:dyaOrig="1257" w14:anchorId="7CE576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i1025" type="#_x0000_t75" style="width:338.7pt;height:64.5pt;visibility:visible" o:ole="">
            <v:imagedata r:id="rId103" o:title=""/>
          </v:shape>
          <o:OLEObject Type="Embed" ProgID="PBrush" ShapeID="Picture 24" DrawAspect="Content" ObjectID="_1820646686" r:id="rId104"/>
        </w:object>
      </w:r>
    </w:p>
    <w:p w14:paraId="170F83DB"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ENPV ali ENSV predstavlja ekonomsko neto vrednost v časovnem obdobju celotnega projekta, ki ostane investitorju ter širši družbi. Je razlika med vsoto sedanjih vrednosti denarnega prihodka za vsako posamezno leto (letni denarni tok) in začetnih investicijskih stroškov.</w:t>
      </w:r>
    </w:p>
    <w:p w14:paraId="49421F55"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Posamezna investicija je ekonomsko upravičena, ko je ENPV ali ENSV večja od nič. ENPV ali ENSV je pozitivna v primeru, ko bodo pričakovani diskontirani stroški investicije nižji od diskontiranih prihodkov in koristi investicije. Kadar je ENPV ali ENSV nič, zadostujejo neto denarni tokovi oz. koristi za pokritje investicijskih vlaganj ter vseh ostalih nastalih stroškov.</w:t>
      </w:r>
    </w:p>
    <w:p w14:paraId="08B8D141" w14:textId="0D55B4E5" w:rsidR="00367A2B" w:rsidRPr="00F11127" w:rsidRDefault="005B3550" w:rsidP="00BD1D20">
      <w:pPr>
        <w:spacing w:after="120" w:line="276" w:lineRule="auto"/>
        <w:jc w:val="both"/>
        <w:rPr>
          <w:rFonts w:asciiTheme="majorHAnsi" w:hAnsiTheme="majorHAnsi" w:cstheme="majorHAnsi"/>
          <w:sz w:val="22"/>
          <w:szCs w:val="22"/>
          <w:highlight w:val="yellow"/>
        </w:rPr>
      </w:pPr>
      <w:r w:rsidRPr="00F11127">
        <w:rPr>
          <w:rFonts w:asciiTheme="majorHAnsi" w:hAnsiTheme="majorHAnsi" w:cstheme="majorHAnsi"/>
          <w:sz w:val="22"/>
          <w:szCs w:val="22"/>
        </w:rPr>
        <w:t xml:space="preserve">V našem primeru je izračunana ekonomska neto sedanja vrednost večja od 0 in znaša </w:t>
      </w:r>
      <w:r w:rsidR="004F50B3" w:rsidRPr="004F50B3">
        <w:rPr>
          <w:rFonts w:asciiTheme="majorHAnsi" w:hAnsiTheme="majorHAnsi" w:cstheme="majorHAnsi"/>
          <w:sz w:val="22"/>
          <w:szCs w:val="22"/>
        </w:rPr>
        <w:t>8.612.385</w:t>
      </w:r>
      <w:r w:rsidR="003304EB" w:rsidRPr="00F11127">
        <w:rPr>
          <w:rFonts w:asciiTheme="majorHAnsi" w:hAnsiTheme="majorHAnsi" w:cstheme="majorHAnsi"/>
          <w:sz w:val="22"/>
          <w:szCs w:val="22"/>
        </w:rPr>
        <w:t xml:space="preserve"> </w:t>
      </w:r>
      <w:r w:rsidR="00506CDC" w:rsidRPr="00F11127">
        <w:rPr>
          <w:rFonts w:asciiTheme="majorHAnsi" w:hAnsiTheme="majorHAnsi" w:cstheme="majorHAnsi"/>
          <w:sz w:val="22"/>
          <w:szCs w:val="22"/>
        </w:rPr>
        <w:t>EUR, kar pomeni, da je celotni projekt iz ekonomskega vidika upravičljiv.</w:t>
      </w:r>
    </w:p>
    <w:p w14:paraId="35406821" w14:textId="77777777" w:rsidR="00F55912" w:rsidRPr="00F11127" w:rsidRDefault="00F55912"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8" w:name="_Toc210033870"/>
      <w:r w:rsidRPr="00F11127">
        <w:rPr>
          <w:rFonts w:asciiTheme="majorHAnsi" w:eastAsiaTheme="majorEastAsia" w:hAnsiTheme="majorHAnsi" w:cstheme="majorHAnsi"/>
          <w:color w:val="244061" w:themeColor="accent1" w:themeShade="80"/>
        </w:rPr>
        <w:t>Ekonomska stopnja donosnosti celotnega projekta</w:t>
      </w:r>
      <w:bookmarkEnd w:id="368"/>
    </w:p>
    <w:p w14:paraId="02E798B4" w14:textId="77777777" w:rsidR="008371D5" w:rsidRPr="00F11127" w:rsidRDefault="008371D5" w:rsidP="00BD1D20">
      <w:pPr>
        <w:spacing w:after="120" w:line="276" w:lineRule="auto"/>
        <w:rPr>
          <w:rFonts w:asciiTheme="majorHAnsi" w:hAnsiTheme="majorHAnsi" w:cstheme="majorHAnsi"/>
          <w:sz w:val="22"/>
          <w:szCs w:val="22"/>
        </w:rPr>
      </w:pPr>
      <w:r w:rsidRPr="00F11127">
        <w:rPr>
          <w:rFonts w:asciiTheme="majorHAnsi" w:hAnsiTheme="majorHAnsi" w:cstheme="majorHAnsi"/>
          <w:sz w:val="22"/>
          <w:szCs w:val="22"/>
        </w:rPr>
        <w:t>Parameter, s katerim ugotavljamo najvišjo dopustno obrestno mero, pri kateri je še smotrno izvesti določeno naložbo, je parameter ERR ali ESD, ki nam prikazuje ocenjeno vrednost v odstotkih (%).</w:t>
      </w:r>
    </w:p>
    <w:p w14:paraId="09D9D549" w14:textId="77777777" w:rsidR="008371D5" w:rsidRPr="00F11127" w:rsidRDefault="008371D5" w:rsidP="00BD1D20">
      <w:pPr>
        <w:spacing w:after="120" w:line="276" w:lineRule="auto"/>
        <w:rPr>
          <w:rFonts w:asciiTheme="majorHAnsi" w:hAnsiTheme="majorHAnsi" w:cstheme="majorHAnsi"/>
          <w:sz w:val="22"/>
          <w:szCs w:val="22"/>
        </w:rPr>
      </w:pPr>
      <w:r w:rsidRPr="00F11127">
        <w:rPr>
          <w:rFonts w:asciiTheme="majorHAnsi" w:hAnsiTheme="majorHAnsi" w:cstheme="majorHAnsi"/>
          <w:sz w:val="22"/>
          <w:szCs w:val="22"/>
        </w:rPr>
        <w:t>Formula izračuna ekonomske stopnje donosnosti:</w:t>
      </w:r>
    </w:p>
    <w:p w14:paraId="04D8053A" w14:textId="77777777" w:rsidR="008371D5" w:rsidRPr="00F11127" w:rsidRDefault="008371D5" w:rsidP="00BD1D20">
      <w:pPr>
        <w:spacing w:after="120" w:line="276" w:lineRule="auto"/>
        <w:rPr>
          <w:rFonts w:asciiTheme="majorHAnsi" w:hAnsiTheme="majorHAnsi" w:cstheme="majorHAnsi"/>
          <w:sz w:val="22"/>
          <w:szCs w:val="22"/>
        </w:rPr>
      </w:pPr>
      <w:r w:rsidRPr="00F11127">
        <w:rPr>
          <w:rFonts w:asciiTheme="majorHAnsi" w:hAnsiTheme="majorHAnsi" w:cstheme="majorHAnsi"/>
          <w:noProof/>
          <w:sz w:val="22"/>
          <w:szCs w:val="22"/>
        </w:rPr>
        <w:drawing>
          <wp:inline distT="0" distB="0" distL="0" distR="0" wp14:anchorId="0A04C7C6" wp14:editId="02854FEF">
            <wp:extent cx="2495550" cy="819150"/>
            <wp:effectExtent l="0" t="0" r="0" b="0"/>
            <wp:docPr id="1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95550" cy="819150"/>
                    </a:xfrm>
                    <a:prstGeom prst="rect">
                      <a:avLst/>
                    </a:prstGeom>
                    <a:noFill/>
                    <a:ln>
                      <a:noFill/>
                    </a:ln>
                  </pic:spPr>
                </pic:pic>
              </a:graphicData>
            </a:graphic>
          </wp:inline>
        </w:drawing>
      </w:r>
    </w:p>
    <w:p w14:paraId="6E4D32E9"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ERR ali ESD je določena kot tista obrestna mera, kjer je ENPV ali ENSV investicije enaka nič. Prikazuje maksimalne obresti, pri katerih je investicija ekonomsko upravičena. Ekonomsko donosnejša investicija ima višjo ERR ali ESD. Naložba je ekonomsko upravičena, če je ERR ali ESD večja kot obrestna mera oz. diskontna stopnja (5 %).</w:t>
      </w:r>
    </w:p>
    <w:p w14:paraId="22A71613"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Poudariti je potrebno, da ocenjevalni parameter ERR ali ESD pri odločitvi o izvedbi investicije ni odločujoči parameter, na podlagi katerega bi zavrnili ali sprejeli odločitev o izvedbi le-te. ERR ali ESD predstavlja neke vrste pomožni instrument v procesu ekonomske evalvacije projekta.</w:t>
      </w:r>
    </w:p>
    <w:p w14:paraId="7F06AC64" w14:textId="0179AFA6" w:rsidR="00CD2C8E" w:rsidRPr="00F11127" w:rsidRDefault="00CD2C8E"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lastRenderedPageBreak/>
        <w:t>V našem primeru je izračunana ekonomska stopnja donosnosti večja od družbene diskontn</w:t>
      </w:r>
      <w:r w:rsidR="005027DF" w:rsidRPr="00F11127">
        <w:rPr>
          <w:rFonts w:asciiTheme="majorHAnsi" w:hAnsiTheme="majorHAnsi" w:cstheme="majorHAnsi"/>
          <w:sz w:val="22"/>
          <w:szCs w:val="22"/>
        </w:rPr>
        <w:t>e stopnje (</w:t>
      </w:r>
      <w:r w:rsidR="00172372">
        <w:rPr>
          <w:rFonts w:asciiTheme="majorHAnsi" w:hAnsiTheme="majorHAnsi" w:cstheme="majorHAnsi"/>
          <w:sz w:val="22"/>
          <w:szCs w:val="22"/>
        </w:rPr>
        <w:t>4</w:t>
      </w:r>
      <w:r w:rsidR="005027DF" w:rsidRPr="00F11127">
        <w:rPr>
          <w:rFonts w:asciiTheme="majorHAnsi" w:hAnsiTheme="majorHAnsi" w:cstheme="majorHAnsi"/>
          <w:sz w:val="22"/>
          <w:szCs w:val="22"/>
        </w:rPr>
        <w:t xml:space="preserve">,00 %) in znaša </w:t>
      </w:r>
      <w:r w:rsidR="001043D5">
        <w:rPr>
          <w:rFonts w:asciiTheme="majorHAnsi" w:hAnsiTheme="majorHAnsi" w:cstheme="majorHAnsi"/>
          <w:sz w:val="22"/>
          <w:szCs w:val="22"/>
        </w:rPr>
        <w:t>1</w:t>
      </w:r>
      <w:r w:rsidR="006E4989">
        <w:rPr>
          <w:rFonts w:asciiTheme="majorHAnsi" w:hAnsiTheme="majorHAnsi" w:cstheme="majorHAnsi"/>
          <w:sz w:val="22"/>
          <w:szCs w:val="22"/>
        </w:rPr>
        <w:t>3</w:t>
      </w:r>
      <w:r w:rsidR="001043D5">
        <w:rPr>
          <w:rFonts w:asciiTheme="majorHAnsi" w:hAnsiTheme="majorHAnsi" w:cstheme="majorHAnsi"/>
          <w:sz w:val="22"/>
          <w:szCs w:val="22"/>
        </w:rPr>
        <w:t>,</w:t>
      </w:r>
      <w:r w:rsidR="006E4989">
        <w:rPr>
          <w:rFonts w:asciiTheme="majorHAnsi" w:hAnsiTheme="majorHAnsi" w:cstheme="majorHAnsi"/>
          <w:sz w:val="22"/>
          <w:szCs w:val="22"/>
        </w:rPr>
        <w:t>58</w:t>
      </w:r>
      <w:r w:rsidRPr="00F11127">
        <w:rPr>
          <w:rFonts w:asciiTheme="majorHAnsi" w:hAnsiTheme="majorHAnsi" w:cstheme="majorHAnsi"/>
          <w:sz w:val="22"/>
          <w:szCs w:val="22"/>
        </w:rPr>
        <w:t>%, kar pomeni, da je celotni projekt iz ekonomskega vidika upravičljiv.</w:t>
      </w:r>
    </w:p>
    <w:p w14:paraId="3E108232" w14:textId="77777777" w:rsidR="00367A2B" w:rsidRPr="00F11127" w:rsidRDefault="00367A2B" w:rsidP="00BD1D20">
      <w:pPr>
        <w:spacing w:line="276" w:lineRule="auto"/>
        <w:rPr>
          <w:rFonts w:asciiTheme="majorHAnsi" w:hAnsiTheme="majorHAnsi" w:cstheme="majorHAnsi"/>
          <w:sz w:val="22"/>
          <w:szCs w:val="22"/>
        </w:rPr>
      </w:pPr>
    </w:p>
    <w:p w14:paraId="1A5F9A66" w14:textId="77777777" w:rsidR="008371D5" w:rsidRPr="00F11127" w:rsidRDefault="008371D5" w:rsidP="00BD1D20">
      <w:pPr>
        <w:pStyle w:val="Naslov2"/>
        <w:numPr>
          <w:ilvl w:val="2"/>
          <w:numId w:val="2"/>
        </w:numPr>
        <w:spacing w:before="240" w:after="240"/>
        <w:rPr>
          <w:rFonts w:asciiTheme="majorHAnsi" w:eastAsiaTheme="majorEastAsia" w:hAnsiTheme="majorHAnsi" w:cstheme="majorHAnsi"/>
          <w:color w:val="244061" w:themeColor="accent1" w:themeShade="80"/>
        </w:rPr>
      </w:pPr>
      <w:bookmarkStart w:id="369" w:name="_Toc210033871"/>
      <w:r w:rsidRPr="00F11127">
        <w:rPr>
          <w:rFonts w:asciiTheme="majorHAnsi" w:eastAsiaTheme="majorEastAsia" w:hAnsiTheme="majorHAnsi" w:cstheme="majorHAnsi"/>
          <w:color w:val="244061" w:themeColor="accent1" w:themeShade="80"/>
        </w:rPr>
        <w:t>Količnik oz. razmerje med skupnimi koristmi in skupnimi stroški celotnega projekta</w:t>
      </w:r>
      <w:bookmarkEnd w:id="369"/>
    </w:p>
    <w:p w14:paraId="60B2F38D" w14:textId="7CF04E8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Kot tre</w:t>
      </w:r>
      <w:r w:rsidR="000F4BA0">
        <w:rPr>
          <w:rFonts w:asciiTheme="majorHAnsi" w:hAnsiTheme="majorHAnsi" w:cstheme="majorHAnsi"/>
          <w:sz w:val="22"/>
          <w:szCs w:val="22"/>
        </w:rPr>
        <w:t>tji pomemben ekonomski kazalnik</w:t>
      </w:r>
      <w:r w:rsidRPr="00F11127">
        <w:rPr>
          <w:rFonts w:asciiTheme="majorHAnsi" w:hAnsiTheme="majorHAnsi" w:cstheme="majorHAnsi"/>
          <w:sz w:val="22"/>
          <w:szCs w:val="22"/>
        </w:rPr>
        <w:t xml:space="preserve"> pa je razmerje med celotnimi koristmi projekta in celotnimi stroški projekta.</w:t>
      </w:r>
    </w:p>
    <w:p w14:paraId="4C36406A"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Formula izračuna razmerja med skupnimi koristmi in skupnimi stroški projekta:</w:t>
      </w:r>
    </w:p>
    <w:p w14:paraId="5851F454" w14:textId="77777777" w:rsidR="008371D5" w:rsidRPr="00F11127" w:rsidRDefault="008371D5" w:rsidP="00BD1D20">
      <w:pPr>
        <w:pBdr>
          <w:top w:val="single" w:sz="4" w:space="1" w:color="auto"/>
          <w:left w:val="single" w:sz="4" w:space="4" w:color="auto"/>
          <w:bottom w:val="single" w:sz="4" w:space="1" w:color="auto"/>
          <w:right w:val="single" w:sz="4" w:space="4" w:color="auto"/>
        </w:pBdr>
        <w:spacing w:after="120" w:line="276" w:lineRule="auto"/>
        <w:ind w:right="6236"/>
        <w:jc w:val="both"/>
        <w:rPr>
          <w:rFonts w:asciiTheme="majorHAnsi" w:hAnsiTheme="majorHAnsi" w:cstheme="majorHAnsi"/>
          <w:sz w:val="32"/>
          <w:szCs w:val="32"/>
          <w:lang w:eastAsia="zh-TW"/>
        </w:rPr>
      </w:pPr>
      <w:r w:rsidRPr="00F11127">
        <w:rPr>
          <w:rFonts w:asciiTheme="majorHAnsi" w:hAnsiTheme="majorHAnsi" w:cstheme="majorHAnsi"/>
          <w:sz w:val="32"/>
          <w:szCs w:val="32"/>
          <w:lang w:eastAsia="zh-TW"/>
        </w:rPr>
        <w:t>B / C     ali     K / S</w:t>
      </w:r>
    </w:p>
    <w:p w14:paraId="5B1721D7"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Razmerje med koristmi in stroški (B/C) mora biti večje od 1, da je projekt zaželen iz ekonomskega vidika.</w:t>
      </w:r>
    </w:p>
    <w:p w14:paraId="217A2174" w14:textId="77777777" w:rsidR="008371D5" w:rsidRPr="00F11127" w:rsidRDefault="008371D5" w:rsidP="00BD1D20">
      <w:pPr>
        <w:spacing w:after="120" w:line="276" w:lineRule="auto"/>
        <w:jc w:val="both"/>
        <w:rPr>
          <w:rFonts w:asciiTheme="majorHAnsi" w:hAnsiTheme="majorHAnsi" w:cstheme="majorHAnsi"/>
          <w:sz w:val="22"/>
          <w:szCs w:val="22"/>
        </w:rPr>
      </w:pPr>
      <w:proofErr w:type="spellStart"/>
      <w:r w:rsidRPr="00F11127">
        <w:rPr>
          <w:rFonts w:asciiTheme="majorHAnsi" w:hAnsiTheme="majorHAnsi" w:cstheme="majorHAnsi"/>
          <w:sz w:val="22"/>
          <w:szCs w:val="22"/>
        </w:rPr>
        <w:t>ISD</w:t>
      </w:r>
      <w:r w:rsidRPr="00F11127">
        <w:rPr>
          <w:rFonts w:asciiTheme="majorHAnsi" w:hAnsiTheme="majorHAnsi" w:cstheme="majorHAnsi"/>
          <w:sz w:val="22"/>
          <w:szCs w:val="22"/>
          <w:vertAlign w:val="subscript"/>
        </w:rPr>
        <w:t>e</w:t>
      </w:r>
      <w:proofErr w:type="spellEnd"/>
      <w:r w:rsidRPr="00F11127">
        <w:rPr>
          <w:rFonts w:asciiTheme="majorHAnsi" w:hAnsiTheme="majorHAnsi" w:cstheme="majorHAnsi"/>
          <w:sz w:val="22"/>
          <w:szCs w:val="22"/>
        </w:rPr>
        <w:t xml:space="preserve"> in razmerje K/S nista odvisna od velikosti projekta. Pri izračunu teh kazalnikov se lahko pojavijo nekatere težave. Glede na vsebino denarnega toka je v posebnih primerih lahko </w:t>
      </w:r>
      <w:proofErr w:type="spellStart"/>
      <w:r w:rsidRPr="00F11127">
        <w:rPr>
          <w:rFonts w:asciiTheme="majorHAnsi" w:hAnsiTheme="majorHAnsi" w:cstheme="majorHAnsi"/>
          <w:sz w:val="22"/>
          <w:szCs w:val="22"/>
        </w:rPr>
        <w:t>ISD</w:t>
      </w:r>
      <w:r w:rsidRPr="00F11127">
        <w:rPr>
          <w:rFonts w:asciiTheme="majorHAnsi" w:hAnsiTheme="majorHAnsi" w:cstheme="majorHAnsi"/>
          <w:sz w:val="22"/>
          <w:szCs w:val="22"/>
          <w:vertAlign w:val="subscript"/>
        </w:rPr>
        <w:t>e</w:t>
      </w:r>
      <w:proofErr w:type="spellEnd"/>
      <w:r w:rsidRPr="00F11127">
        <w:rPr>
          <w:rFonts w:asciiTheme="majorHAnsi" w:hAnsiTheme="majorHAnsi" w:cstheme="majorHAnsi"/>
          <w:sz w:val="22"/>
          <w:szCs w:val="22"/>
        </w:rPr>
        <w:t xml:space="preserve"> več ali pa niso opredeljene. Vrednost razmerja K/S je lahko odvisna od tega, ali je določena postavka upoštevana kot korist ali pa kot znižanje stroškov.</w:t>
      </w:r>
    </w:p>
    <w:p w14:paraId="65622BA4" w14:textId="1C8FDAB0"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V našem primeru je izračunano razmerje med skupnimi koristmi in skupnimi stroški večja od 1 in znaša </w:t>
      </w:r>
      <w:r w:rsidR="001043D5">
        <w:rPr>
          <w:rFonts w:asciiTheme="majorHAnsi" w:hAnsiTheme="majorHAnsi" w:cstheme="majorHAnsi"/>
          <w:sz w:val="22"/>
          <w:szCs w:val="22"/>
        </w:rPr>
        <w:t>2,</w:t>
      </w:r>
      <w:r w:rsidR="006E4989">
        <w:rPr>
          <w:rFonts w:asciiTheme="majorHAnsi" w:hAnsiTheme="majorHAnsi" w:cstheme="majorHAnsi"/>
          <w:sz w:val="22"/>
          <w:szCs w:val="22"/>
        </w:rPr>
        <w:t>0</w:t>
      </w:r>
      <w:r w:rsidR="001043D5">
        <w:rPr>
          <w:rFonts w:asciiTheme="majorHAnsi" w:hAnsiTheme="majorHAnsi" w:cstheme="majorHAnsi"/>
          <w:sz w:val="22"/>
          <w:szCs w:val="22"/>
        </w:rPr>
        <w:t>2</w:t>
      </w:r>
      <w:r w:rsidRPr="00F11127">
        <w:rPr>
          <w:rFonts w:asciiTheme="majorHAnsi" w:hAnsiTheme="majorHAnsi" w:cstheme="majorHAnsi"/>
          <w:sz w:val="22"/>
          <w:szCs w:val="22"/>
        </w:rPr>
        <w:t>, kar pomeni, da je celotni projekt iz ekonomskega vidika upravičljiv.</w:t>
      </w:r>
    </w:p>
    <w:p w14:paraId="02311DE1" w14:textId="77777777" w:rsidR="00F55912" w:rsidRPr="00F11127" w:rsidRDefault="00F55912"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70" w:name="_Toc210033872"/>
      <w:r w:rsidRPr="00F11127">
        <w:rPr>
          <w:rFonts w:asciiTheme="majorHAnsi" w:eastAsiaTheme="majorEastAsia" w:hAnsiTheme="majorHAnsi" w:cstheme="majorHAnsi"/>
          <w:color w:val="244061" w:themeColor="accent1" w:themeShade="80"/>
        </w:rPr>
        <w:t>Povzetek ekonomske analize</w:t>
      </w:r>
      <w:bookmarkEnd w:id="370"/>
    </w:p>
    <w:p w14:paraId="3153F869" w14:textId="77777777" w:rsidR="00BB25C6" w:rsidRPr="000F4BA0" w:rsidRDefault="008371D5" w:rsidP="00BD1D20">
      <w:pPr>
        <w:spacing w:after="120" w:line="276" w:lineRule="auto"/>
        <w:jc w:val="both"/>
        <w:rPr>
          <w:rFonts w:asciiTheme="majorHAnsi" w:hAnsiTheme="majorHAnsi" w:cstheme="majorHAnsi"/>
          <w:sz w:val="22"/>
          <w:szCs w:val="22"/>
        </w:rPr>
      </w:pPr>
      <w:bookmarkStart w:id="371" w:name="_Toc447095061"/>
      <w:r w:rsidRPr="000F4BA0">
        <w:rPr>
          <w:rFonts w:asciiTheme="majorHAnsi" w:hAnsiTheme="majorHAnsi" w:cstheme="majorHAnsi"/>
          <w:sz w:val="22"/>
          <w:szCs w:val="22"/>
        </w:rPr>
        <w:t xml:space="preserve">Ekonomska analiza zajema prikaz vseh prihodkovnih in odhodkovnih postavk po denarnem toku (izjema je amortizacija in ostale računovodske bilance, ki ne predstavljajo denarnega toka) kot finančna analiza, vendar so postavke nekoliko popravljene (izpuščen DDV, tržne cene se preoblikujejo v obračunske cene, itd.). Poleg finančnih postavk pa ekonomska analiza obsega tudi nekatere koristi in stroške, ki jih je potrebno najprej denarno oz. monetarno ovrednotiti. </w:t>
      </w:r>
    </w:p>
    <w:p w14:paraId="7D6DAC69" w14:textId="57059996" w:rsidR="00DA321E" w:rsidRPr="000F4BA0" w:rsidRDefault="00DA321E" w:rsidP="00BD1D20">
      <w:pPr>
        <w:spacing w:after="120" w:line="276" w:lineRule="auto"/>
        <w:jc w:val="both"/>
        <w:rPr>
          <w:rFonts w:asciiTheme="majorHAnsi" w:hAnsiTheme="majorHAnsi" w:cstheme="majorHAnsi"/>
          <w:sz w:val="22"/>
          <w:szCs w:val="22"/>
        </w:rPr>
      </w:pPr>
      <w:r w:rsidRPr="000F4BA0">
        <w:rPr>
          <w:rFonts w:asciiTheme="majorHAnsi" w:hAnsiTheme="majorHAnsi" w:cstheme="majorHAnsi"/>
          <w:sz w:val="22"/>
          <w:szCs w:val="22"/>
        </w:rPr>
        <w:t>Z investicijsko namero bomo sledili tudi družbenim koristim, ki jih ne mo</w:t>
      </w:r>
      <w:r w:rsidR="000F4BA0" w:rsidRPr="000F4BA0">
        <w:rPr>
          <w:rFonts w:asciiTheme="majorHAnsi" w:hAnsiTheme="majorHAnsi" w:cstheme="majorHAnsi"/>
          <w:sz w:val="22"/>
          <w:szCs w:val="22"/>
        </w:rPr>
        <w:t>remo izraziti v denarnih enotah. T</w:t>
      </w:r>
      <w:r w:rsidRPr="000F4BA0">
        <w:rPr>
          <w:rFonts w:asciiTheme="majorHAnsi" w:hAnsiTheme="majorHAnsi" w:cstheme="majorHAnsi"/>
          <w:sz w:val="22"/>
          <w:szCs w:val="22"/>
        </w:rPr>
        <w:t xml:space="preserve">e so: </w:t>
      </w:r>
    </w:p>
    <w:p w14:paraId="737C27EF" w14:textId="33EDF806" w:rsidR="00DA321E" w:rsidRPr="000F4BA0" w:rsidRDefault="00DA321E" w:rsidP="00BD1D20">
      <w:pPr>
        <w:numPr>
          <w:ilvl w:val="0"/>
          <w:numId w:val="92"/>
        </w:numPr>
        <w:spacing w:line="276" w:lineRule="auto"/>
        <w:contextualSpacing/>
        <w:jc w:val="both"/>
        <w:rPr>
          <w:rFonts w:asciiTheme="majorHAnsi" w:eastAsiaTheme="minorHAnsi" w:hAnsiTheme="majorHAnsi" w:cstheme="majorHAnsi"/>
          <w:sz w:val="22"/>
          <w:szCs w:val="22"/>
          <w:lang w:eastAsia="en-US"/>
        </w:rPr>
      </w:pPr>
      <w:r w:rsidRPr="000F4BA0">
        <w:rPr>
          <w:rFonts w:asciiTheme="majorHAnsi" w:eastAsiaTheme="minorHAnsi" w:hAnsiTheme="majorHAnsi" w:cstheme="majorHAnsi"/>
          <w:sz w:val="22"/>
          <w:szCs w:val="22"/>
          <w:lang w:eastAsia="en-US"/>
        </w:rPr>
        <w:t>Koristi, ki jih izvedba predmetne</w:t>
      </w:r>
      <w:r w:rsidR="000F4BA0">
        <w:rPr>
          <w:rFonts w:asciiTheme="majorHAnsi" w:eastAsiaTheme="minorHAnsi" w:hAnsiTheme="majorHAnsi" w:cstheme="majorHAnsi"/>
          <w:sz w:val="22"/>
          <w:szCs w:val="22"/>
          <w:lang w:eastAsia="en-US"/>
        </w:rPr>
        <w:t>ga projekta prinaša na družbeno</w:t>
      </w:r>
      <w:r w:rsidRPr="000F4BA0">
        <w:rPr>
          <w:rFonts w:asciiTheme="majorHAnsi" w:eastAsiaTheme="minorHAnsi" w:hAnsiTheme="majorHAnsi" w:cstheme="majorHAnsi"/>
          <w:sz w:val="22"/>
          <w:szCs w:val="22"/>
          <w:lang w:eastAsia="en-US"/>
        </w:rPr>
        <w:t xml:space="preserve">-socialnem področju: </w:t>
      </w:r>
    </w:p>
    <w:p w14:paraId="7D14FC53" w14:textId="011D3580" w:rsidR="00DA321E" w:rsidRPr="000F4BA0" w:rsidRDefault="000F4BA0" w:rsidP="00BD1D20">
      <w:pPr>
        <w:pStyle w:val="Odstavekseznama"/>
        <w:numPr>
          <w:ilvl w:val="0"/>
          <w:numId w:val="93"/>
        </w:numPr>
        <w:spacing w:after="120"/>
        <w:ind w:hanging="356"/>
        <w:contextualSpacing w:val="0"/>
        <w:jc w:val="both"/>
        <w:rPr>
          <w:rFonts w:asciiTheme="majorHAnsi" w:eastAsiaTheme="minorHAnsi" w:hAnsiTheme="majorHAnsi" w:cstheme="majorHAnsi"/>
          <w:lang w:eastAsia="en-US"/>
        </w:rPr>
      </w:pPr>
      <w:r>
        <w:rPr>
          <w:rFonts w:asciiTheme="majorHAnsi" w:eastAsiaTheme="minorHAnsi" w:hAnsiTheme="majorHAnsi" w:cstheme="majorHAnsi"/>
          <w:lang w:eastAsia="en-US"/>
        </w:rPr>
        <w:t>p</w:t>
      </w:r>
      <w:r w:rsidR="00DA321E" w:rsidRPr="000F4BA0">
        <w:rPr>
          <w:rFonts w:asciiTheme="majorHAnsi" w:eastAsiaTheme="minorHAnsi" w:hAnsiTheme="majorHAnsi" w:cstheme="majorHAnsi"/>
          <w:lang w:eastAsia="en-US"/>
        </w:rPr>
        <w:t>ovečanje kakovosti življenja prebivalcev, kar neposredno vpliva na večjo rast prebivalstva z vidika poselitve in m</w:t>
      </w:r>
      <w:r>
        <w:rPr>
          <w:rFonts w:asciiTheme="majorHAnsi" w:eastAsiaTheme="minorHAnsi" w:hAnsiTheme="majorHAnsi" w:cstheme="majorHAnsi"/>
          <w:lang w:eastAsia="en-US"/>
        </w:rPr>
        <w:t>ožnost razvoja ter zaposlovanja;</w:t>
      </w:r>
    </w:p>
    <w:p w14:paraId="2920E9C6" w14:textId="128DCFC1" w:rsidR="00DA321E" w:rsidRPr="000F4BA0" w:rsidRDefault="000F4BA0" w:rsidP="00BD1D20">
      <w:pPr>
        <w:pStyle w:val="Odstavekseznama"/>
        <w:numPr>
          <w:ilvl w:val="0"/>
          <w:numId w:val="93"/>
        </w:numPr>
        <w:spacing w:after="120"/>
        <w:ind w:hanging="356"/>
        <w:contextualSpacing w:val="0"/>
        <w:jc w:val="both"/>
        <w:rPr>
          <w:rFonts w:asciiTheme="majorHAnsi" w:eastAsiaTheme="minorHAnsi" w:hAnsiTheme="majorHAnsi" w:cstheme="majorHAnsi"/>
          <w:lang w:eastAsia="en-US"/>
        </w:rPr>
      </w:pPr>
      <w:r>
        <w:rPr>
          <w:rFonts w:asciiTheme="majorHAnsi" w:eastAsiaTheme="minorHAnsi" w:hAnsiTheme="majorHAnsi" w:cstheme="majorHAnsi"/>
          <w:lang w:eastAsia="en-US"/>
        </w:rPr>
        <w:t>d</w:t>
      </w:r>
      <w:r w:rsidR="00DA321E" w:rsidRPr="000F4BA0">
        <w:rPr>
          <w:rFonts w:asciiTheme="majorHAnsi" w:eastAsiaTheme="minorHAnsi" w:hAnsiTheme="majorHAnsi" w:cstheme="majorHAnsi"/>
          <w:lang w:eastAsia="en-US"/>
        </w:rPr>
        <w:t>vig kvalitete življenja občanov</w:t>
      </w:r>
      <w:r>
        <w:rPr>
          <w:rFonts w:asciiTheme="majorHAnsi" w:eastAsiaTheme="minorHAnsi" w:hAnsiTheme="majorHAnsi" w:cstheme="majorHAnsi"/>
          <w:lang w:eastAsia="en-US"/>
        </w:rPr>
        <w:t>;</w:t>
      </w:r>
    </w:p>
    <w:p w14:paraId="6EB520E0" w14:textId="437F7215" w:rsidR="00DA321E" w:rsidRPr="000F4BA0" w:rsidRDefault="000F4BA0" w:rsidP="00BD1D20">
      <w:pPr>
        <w:pStyle w:val="Odstavekseznama"/>
        <w:numPr>
          <w:ilvl w:val="0"/>
          <w:numId w:val="93"/>
        </w:numPr>
        <w:spacing w:after="120"/>
        <w:ind w:hanging="356"/>
        <w:contextualSpacing w:val="0"/>
        <w:jc w:val="both"/>
        <w:rPr>
          <w:rFonts w:asciiTheme="majorHAnsi" w:eastAsiaTheme="minorHAnsi" w:hAnsiTheme="majorHAnsi" w:cstheme="majorHAnsi"/>
          <w:lang w:eastAsia="en-US"/>
        </w:rPr>
      </w:pPr>
      <w:r>
        <w:rPr>
          <w:rFonts w:asciiTheme="majorHAnsi" w:eastAsiaTheme="minorHAnsi" w:hAnsiTheme="majorHAnsi" w:cstheme="majorHAnsi"/>
          <w:lang w:eastAsia="en-US"/>
        </w:rPr>
        <w:t>z</w:t>
      </w:r>
      <w:r w:rsidR="00DA321E" w:rsidRPr="000F4BA0">
        <w:rPr>
          <w:rFonts w:asciiTheme="majorHAnsi" w:eastAsiaTheme="minorHAnsi" w:hAnsiTheme="majorHAnsi" w:cstheme="majorHAnsi"/>
          <w:lang w:eastAsia="en-US"/>
        </w:rPr>
        <w:t>manjšanje ogroženosti prebivalcev</w:t>
      </w:r>
      <w:r>
        <w:rPr>
          <w:rFonts w:asciiTheme="majorHAnsi" w:eastAsiaTheme="minorHAnsi" w:hAnsiTheme="majorHAnsi" w:cstheme="majorHAnsi"/>
          <w:lang w:eastAsia="en-US"/>
        </w:rPr>
        <w:t>.</w:t>
      </w:r>
    </w:p>
    <w:p w14:paraId="35BB2A4F" w14:textId="77777777" w:rsidR="00DA321E" w:rsidRPr="000F4BA0" w:rsidRDefault="00DA321E" w:rsidP="00BD1D20">
      <w:pPr>
        <w:numPr>
          <w:ilvl w:val="0"/>
          <w:numId w:val="92"/>
        </w:numPr>
        <w:spacing w:line="276" w:lineRule="auto"/>
        <w:contextualSpacing/>
        <w:jc w:val="both"/>
        <w:rPr>
          <w:rFonts w:asciiTheme="majorHAnsi" w:eastAsiaTheme="minorHAnsi" w:hAnsiTheme="majorHAnsi" w:cstheme="majorHAnsi"/>
          <w:sz w:val="22"/>
          <w:szCs w:val="22"/>
          <w:lang w:eastAsia="en-US"/>
        </w:rPr>
      </w:pPr>
      <w:r w:rsidRPr="000F4BA0">
        <w:rPr>
          <w:rFonts w:asciiTheme="majorHAnsi" w:eastAsia="Arial Unicode MS" w:hAnsiTheme="majorHAnsi" w:cstheme="majorHAnsi"/>
          <w:sz w:val="22"/>
          <w:szCs w:val="22"/>
          <w:lang w:eastAsia="x-none"/>
        </w:rPr>
        <w:t>Koristi</w:t>
      </w:r>
      <w:r w:rsidRPr="000F4BA0">
        <w:rPr>
          <w:rFonts w:asciiTheme="majorHAnsi" w:eastAsiaTheme="minorHAnsi" w:hAnsiTheme="majorHAnsi" w:cstheme="majorHAnsi"/>
          <w:sz w:val="22"/>
          <w:szCs w:val="22"/>
          <w:lang w:eastAsia="en-US"/>
        </w:rPr>
        <w:t xml:space="preserve">, ki jih izvedba predmetnega projekta prinaša na razvojno gospodarskem področju: </w:t>
      </w:r>
    </w:p>
    <w:p w14:paraId="6852F921" w14:textId="1634AFC3" w:rsidR="00DA321E" w:rsidRPr="000F4BA0" w:rsidRDefault="00CA671C" w:rsidP="00BD1D20">
      <w:pPr>
        <w:pStyle w:val="Odstavekseznama"/>
        <w:numPr>
          <w:ilvl w:val="0"/>
          <w:numId w:val="93"/>
        </w:numPr>
        <w:spacing w:after="120"/>
        <w:ind w:hanging="356"/>
        <w:contextualSpacing w:val="0"/>
        <w:jc w:val="both"/>
        <w:rPr>
          <w:rFonts w:asciiTheme="majorHAnsi" w:eastAsiaTheme="minorHAnsi" w:hAnsiTheme="majorHAnsi" w:cstheme="majorHAnsi"/>
          <w:lang w:eastAsia="en-US"/>
        </w:rPr>
      </w:pPr>
      <w:r>
        <w:rPr>
          <w:rFonts w:asciiTheme="majorHAnsi" w:eastAsiaTheme="minorHAnsi" w:hAnsiTheme="majorHAnsi" w:cstheme="majorHAnsi"/>
          <w:lang w:eastAsia="en-US"/>
        </w:rPr>
        <w:t>z</w:t>
      </w:r>
      <w:r w:rsidR="00DA321E" w:rsidRPr="000F4BA0">
        <w:rPr>
          <w:rFonts w:asciiTheme="majorHAnsi" w:eastAsiaTheme="minorHAnsi" w:hAnsiTheme="majorHAnsi" w:cstheme="majorHAnsi"/>
          <w:lang w:eastAsia="en-US"/>
        </w:rPr>
        <w:t xml:space="preserve"> implementacijo projekta se pričakuje zaščita celotnega območja investicije.</w:t>
      </w:r>
    </w:p>
    <w:p w14:paraId="522C5E6C" w14:textId="77777777" w:rsidR="00DA321E" w:rsidRPr="000F4BA0" w:rsidRDefault="00DA321E" w:rsidP="00BD1D20">
      <w:pPr>
        <w:numPr>
          <w:ilvl w:val="0"/>
          <w:numId w:val="92"/>
        </w:numPr>
        <w:spacing w:line="276" w:lineRule="auto"/>
        <w:contextualSpacing/>
        <w:jc w:val="both"/>
        <w:rPr>
          <w:rFonts w:asciiTheme="majorHAnsi" w:eastAsiaTheme="minorHAnsi" w:hAnsiTheme="majorHAnsi" w:cstheme="majorHAnsi"/>
          <w:sz w:val="22"/>
          <w:szCs w:val="22"/>
          <w:lang w:eastAsia="en-US"/>
        </w:rPr>
      </w:pPr>
      <w:r w:rsidRPr="000F4BA0">
        <w:rPr>
          <w:rFonts w:asciiTheme="majorHAnsi" w:eastAsia="Arial Unicode MS" w:hAnsiTheme="majorHAnsi" w:cstheme="majorHAnsi"/>
          <w:sz w:val="22"/>
          <w:szCs w:val="22"/>
          <w:lang w:eastAsia="x-none"/>
        </w:rPr>
        <w:t>Koristi</w:t>
      </w:r>
      <w:r w:rsidRPr="000F4BA0">
        <w:rPr>
          <w:rFonts w:asciiTheme="majorHAnsi" w:eastAsiaTheme="minorHAnsi" w:hAnsiTheme="majorHAnsi" w:cstheme="majorHAnsi"/>
          <w:sz w:val="22"/>
          <w:szCs w:val="22"/>
          <w:lang w:eastAsia="en-US"/>
        </w:rPr>
        <w:t xml:space="preserve">, ki jih izvedba predmetnega projekta prinaša na okoljevarstvenem področju: </w:t>
      </w:r>
    </w:p>
    <w:p w14:paraId="0B2F439B" w14:textId="2360A733" w:rsidR="00DA321E" w:rsidRPr="000F4BA0" w:rsidRDefault="00CA671C" w:rsidP="00BD1D20">
      <w:pPr>
        <w:pStyle w:val="Odstavekseznama"/>
        <w:numPr>
          <w:ilvl w:val="0"/>
          <w:numId w:val="93"/>
        </w:numPr>
        <w:spacing w:after="120"/>
        <w:ind w:hanging="356"/>
        <w:contextualSpacing w:val="0"/>
        <w:jc w:val="both"/>
        <w:rPr>
          <w:rFonts w:asciiTheme="majorHAnsi" w:eastAsiaTheme="minorHAnsi" w:hAnsiTheme="majorHAnsi" w:cstheme="majorHAnsi"/>
          <w:lang w:eastAsia="en-US"/>
        </w:rPr>
      </w:pPr>
      <w:r>
        <w:rPr>
          <w:rFonts w:asciiTheme="majorHAnsi" w:eastAsiaTheme="minorHAnsi" w:hAnsiTheme="majorHAnsi" w:cstheme="majorHAnsi"/>
          <w:lang w:eastAsia="en-US"/>
        </w:rPr>
        <w:t>k</w:t>
      </w:r>
      <w:r w:rsidR="00DA321E" w:rsidRPr="000F4BA0">
        <w:rPr>
          <w:rFonts w:asciiTheme="majorHAnsi" w:eastAsiaTheme="minorHAnsi" w:hAnsiTheme="majorHAnsi" w:cstheme="majorHAnsi"/>
          <w:lang w:eastAsia="en-US"/>
        </w:rPr>
        <w:t>oristi iz naslova izvedbe ukrepov v zmanjšanju negativnih vplivov na okolje.</w:t>
      </w:r>
    </w:p>
    <w:p w14:paraId="2F415A24"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Prav tako najpomembnejši izračuni ekonomskih kazalnikov prikazujejo, ali je projekt upravičen do pridobitve </w:t>
      </w:r>
      <w:proofErr w:type="spellStart"/>
      <w:r w:rsidRPr="00F11127">
        <w:rPr>
          <w:rFonts w:asciiTheme="majorHAnsi" w:hAnsiTheme="majorHAnsi" w:cstheme="majorHAnsi"/>
          <w:sz w:val="22"/>
          <w:szCs w:val="22"/>
        </w:rPr>
        <w:t>sofinancerskih</w:t>
      </w:r>
      <w:proofErr w:type="spellEnd"/>
      <w:r w:rsidRPr="00F11127">
        <w:rPr>
          <w:rFonts w:asciiTheme="majorHAnsi" w:hAnsiTheme="majorHAnsi" w:cstheme="majorHAnsi"/>
          <w:sz w:val="22"/>
          <w:szCs w:val="22"/>
        </w:rPr>
        <w:t xml:space="preserve"> sredstev ter v kakšnem obsegu.</w:t>
      </w:r>
    </w:p>
    <w:p w14:paraId="792BDFD5" w14:textId="77777777" w:rsidR="008371D5" w:rsidRPr="00F11127" w:rsidRDefault="008371D5"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lastRenderedPageBreak/>
        <w:t>Tabela v nadaljevanju prikazuje povzetek preračunanih najpomembnejših ekonomskih kazalnikov celotnega projekta.</w:t>
      </w:r>
    </w:p>
    <w:p w14:paraId="2336D688" w14:textId="77777777" w:rsidR="008371D5" w:rsidRPr="00F11127" w:rsidRDefault="008371D5" w:rsidP="00BD1D20">
      <w:pPr>
        <w:spacing w:after="120" w:line="276" w:lineRule="auto"/>
        <w:jc w:val="both"/>
        <w:rPr>
          <w:rFonts w:asciiTheme="majorHAnsi" w:hAnsiTheme="majorHAnsi" w:cstheme="majorHAnsi"/>
          <w:sz w:val="22"/>
          <w:szCs w:val="22"/>
        </w:rPr>
      </w:pPr>
    </w:p>
    <w:p w14:paraId="09D0E578" w14:textId="77777777" w:rsidR="003F5D73" w:rsidRPr="00F11127" w:rsidRDefault="003F5D73" w:rsidP="00BD1D20">
      <w:pPr>
        <w:pStyle w:val="Napis"/>
        <w:keepNext/>
        <w:spacing w:after="120" w:line="276" w:lineRule="auto"/>
        <w:rPr>
          <w:rFonts w:asciiTheme="majorHAnsi" w:hAnsiTheme="majorHAnsi" w:cstheme="majorHAnsi"/>
          <w:color w:val="auto"/>
          <w:sz w:val="22"/>
          <w:szCs w:val="22"/>
        </w:rPr>
      </w:pPr>
    </w:p>
    <w:p w14:paraId="2DFFD9B4" w14:textId="2C318DD5" w:rsidR="00F55912" w:rsidRDefault="00524677" w:rsidP="00BD1D20">
      <w:pPr>
        <w:pStyle w:val="Napis"/>
        <w:keepNext/>
        <w:spacing w:after="120" w:line="276" w:lineRule="auto"/>
        <w:rPr>
          <w:rFonts w:asciiTheme="majorHAnsi" w:hAnsiTheme="majorHAnsi" w:cstheme="majorHAnsi"/>
          <w:b w:val="0"/>
          <w:color w:val="auto"/>
          <w:sz w:val="22"/>
          <w:szCs w:val="22"/>
        </w:rPr>
      </w:pPr>
      <w:bookmarkStart w:id="372" w:name="_Toc209528317"/>
      <w:r w:rsidRPr="00F11127">
        <w:rPr>
          <w:rFonts w:asciiTheme="majorHAnsi" w:hAnsiTheme="majorHAnsi" w:cstheme="majorHAnsi"/>
          <w:color w:val="auto"/>
          <w:sz w:val="22"/>
          <w:szCs w:val="22"/>
        </w:rPr>
        <w:t xml:space="preserve">Tabela </w:t>
      </w:r>
      <w:r w:rsidR="00050C93"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00050C93"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31</w:t>
      </w:r>
      <w:r w:rsidR="00050C93" w:rsidRPr="00F11127">
        <w:rPr>
          <w:rFonts w:asciiTheme="majorHAnsi" w:hAnsiTheme="majorHAnsi" w:cstheme="majorHAnsi"/>
          <w:color w:val="auto"/>
          <w:sz w:val="22"/>
          <w:szCs w:val="22"/>
        </w:rPr>
        <w:fldChar w:fldCharType="end"/>
      </w:r>
      <w:r w:rsidRPr="00F11127">
        <w:rPr>
          <w:rFonts w:asciiTheme="majorHAnsi" w:hAnsiTheme="majorHAnsi" w:cstheme="majorHAnsi"/>
          <w:color w:val="auto"/>
          <w:sz w:val="22"/>
          <w:szCs w:val="22"/>
        </w:rPr>
        <w:t>:</w:t>
      </w:r>
      <w:r w:rsidRPr="00F11127">
        <w:rPr>
          <w:rFonts w:asciiTheme="majorHAnsi" w:hAnsiTheme="majorHAnsi" w:cstheme="majorHAnsi"/>
          <w:b w:val="0"/>
          <w:color w:val="auto"/>
          <w:sz w:val="22"/>
          <w:szCs w:val="22"/>
        </w:rPr>
        <w:t xml:space="preserve"> </w:t>
      </w:r>
      <w:r w:rsidR="00F55912" w:rsidRPr="00F11127">
        <w:rPr>
          <w:rFonts w:asciiTheme="majorHAnsi" w:hAnsiTheme="majorHAnsi" w:cstheme="majorHAnsi"/>
          <w:b w:val="0"/>
          <w:color w:val="auto"/>
          <w:sz w:val="22"/>
          <w:szCs w:val="22"/>
        </w:rPr>
        <w:t xml:space="preserve">Prikaz najpomembnejših ekonomskih kazalnikov </w:t>
      </w:r>
      <w:bookmarkEnd w:id="371"/>
      <w:r w:rsidR="00F55912" w:rsidRPr="00F11127">
        <w:rPr>
          <w:rFonts w:asciiTheme="majorHAnsi" w:hAnsiTheme="majorHAnsi" w:cstheme="majorHAnsi"/>
          <w:b w:val="0"/>
          <w:color w:val="auto"/>
          <w:sz w:val="22"/>
          <w:szCs w:val="22"/>
        </w:rPr>
        <w:t>celotnega projekta</w:t>
      </w:r>
      <w:bookmarkEnd w:id="372"/>
    </w:p>
    <w:tbl>
      <w:tblPr>
        <w:tblW w:w="8217" w:type="dxa"/>
        <w:tblCellMar>
          <w:left w:w="70" w:type="dxa"/>
          <w:right w:w="70" w:type="dxa"/>
        </w:tblCellMar>
        <w:tblLook w:val="04A0" w:firstRow="1" w:lastRow="0" w:firstColumn="1" w:lastColumn="0" w:noHBand="0" w:noVBand="1"/>
      </w:tblPr>
      <w:tblGrid>
        <w:gridCol w:w="6658"/>
        <w:gridCol w:w="1559"/>
      </w:tblGrid>
      <w:tr w:rsidR="001043D5" w:rsidRPr="001043D5" w14:paraId="3F20EE24" w14:textId="77777777" w:rsidTr="001043D5">
        <w:trPr>
          <w:trHeight w:val="285"/>
        </w:trPr>
        <w:tc>
          <w:tcPr>
            <w:tcW w:w="6658"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14:paraId="723AB5ED" w14:textId="77777777" w:rsidR="001043D5" w:rsidRPr="001043D5" w:rsidRDefault="001043D5" w:rsidP="001043D5">
            <w:pPr>
              <w:spacing w:before="60" w:after="60"/>
              <w:rPr>
                <w:rFonts w:ascii="Arial" w:hAnsi="Arial" w:cs="Arial"/>
                <w:b/>
                <w:bCs/>
                <w:color w:val="000000"/>
                <w:sz w:val="22"/>
                <w:szCs w:val="22"/>
              </w:rPr>
            </w:pPr>
            <w:r w:rsidRPr="001043D5">
              <w:rPr>
                <w:rFonts w:ascii="Arial" w:hAnsi="Arial" w:cs="Arial"/>
                <w:b/>
                <w:bCs/>
                <w:color w:val="000000"/>
                <w:sz w:val="22"/>
                <w:szCs w:val="22"/>
              </w:rPr>
              <w:t>EKONOMSKI KAZALNIKI</w:t>
            </w:r>
          </w:p>
        </w:tc>
        <w:tc>
          <w:tcPr>
            <w:tcW w:w="1559"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14:paraId="516231E5" w14:textId="77777777" w:rsidR="001043D5" w:rsidRPr="001043D5" w:rsidRDefault="001043D5" w:rsidP="001043D5">
            <w:pPr>
              <w:spacing w:before="60" w:after="60"/>
              <w:rPr>
                <w:rFonts w:ascii="Arial" w:hAnsi="Arial" w:cs="Arial"/>
                <w:i/>
                <w:iCs/>
                <w:color w:val="000000"/>
                <w:sz w:val="22"/>
                <w:szCs w:val="22"/>
              </w:rPr>
            </w:pPr>
            <w:r w:rsidRPr="001043D5">
              <w:rPr>
                <w:rFonts w:ascii="Arial" w:hAnsi="Arial" w:cs="Arial"/>
                <w:i/>
                <w:iCs/>
                <w:color w:val="000000"/>
                <w:sz w:val="22"/>
                <w:szCs w:val="22"/>
              </w:rPr>
              <w:t> </w:t>
            </w:r>
          </w:p>
        </w:tc>
      </w:tr>
      <w:tr w:rsidR="001043D5" w:rsidRPr="001043D5" w14:paraId="6ED6F910" w14:textId="77777777" w:rsidTr="001043D5">
        <w:trPr>
          <w:trHeight w:val="285"/>
        </w:trPr>
        <w:tc>
          <w:tcPr>
            <w:tcW w:w="6658" w:type="dxa"/>
            <w:tcBorders>
              <w:top w:val="nil"/>
              <w:left w:val="single" w:sz="4" w:space="0" w:color="auto"/>
              <w:bottom w:val="single" w:sz="4" w:space="0" w:color="auto"/>
              <w:right w:val="single" w:sz="4" w:space="0" w:color="auto"/>
            </w:tcBorders>
            <w:noWrap/>
            <w:vAlign w:val="bottom"/>
            <w:hideMark/>
          </w:tcPr>
          <w:p w14:paraId="6D5CADA6" w14:textId="77777777" w:rsidR="001043D5" w:rsidRPr="001043D5" w:rsidRDefault="001043D5" w:rsidP="001043D5">
            <w:pPr>
              <w:spacing w:before="60" w:after="60"/>
              <w:rPr>
                <w:rFonts w:ascii="Arial" w:hAnsi="Arial" w:cs="Arial"/>
                <w:color w:val="000000"/>
                <w:sz w:val="22"/>
                <w:szCs w:val="22"/>
              </w:rPr>
            </w:pPr>
            <w:r w:rsidRPr="001043D5">
              <w:rPr>
                <w:rFonts w:ascii="Arial" w:hAnsi="Arial" w:cs="Arial"/>
                <w:color w:val="000000"/>
                <w:sz w:val="22"/>
                <w:szCs w:val="22"/>
              </w:rPr>
              <w:t>Neto sedanja vrednost (ENSV)</w:t>
            </w:r>
          </w:p>
        </w:tc>
        <w:tc>
          <w:tcPr>
            <w:tcW w:w="1559" w:type="dxa"/>
            <w:tcBorders>
              <w:top w:val="nil"/>
              <w:left w:val="nil"/>
              <w:bottom w:val="single" w:sz="4" w:space="0" w:color="auto"/>
              <w:right w:val="single" w:sz="4" w:space="0" w:color="auto"/>
            </w:tcBorders>
            <w:noWrap/>
            <w:vAlign w:val="bottom"/>
            <w:hideMark/>
          </w:tcPr>
          <w:p w14:paraId="177E9997" w14:textId="35E943DA" w:rsidR="001043D5" w:rsidRPr="001043D5" w:rsidRDefault="006E4989" w:rsidP="001043D5">
            <w:pPr>
              <w:spacing w:before="60" w:after="60"/>
              <w:jc w:val="right"/>
              <w:rPr>
                <w:rFonts w:ascii="Arial" w:hAnsi="Arial" w:cs="Arial"/>
                <w:i/>
                <w:iCs/>
                <w:color w:val="000000"/>
                <w:sz w:val="22"/>
                <w:szCs w:val="22"/>
              </w:rPr>
            </w:pPr>
            <w:r w:rsidRPr="006E4989">
              <w:rPr>
                <w:rFonts w:ascii="Arial" w:hAnsi="Arial" w:cs="Arial"/>
                <w:i/>
                <w:iCs/>
                <w:color w:val="000000"/>
                <w:sz w:val="22"/>
                <w:szCs w:val="22"/>
              </w:rPr>
              <w:t>3.290.241</w:t>
            </w:r>
          </w:p>
        </w:tc>
      </w:tr>
      <w:tr w:rsidR="001043D5" w:rsidRPr="001043D5" w14:paraId="6852FCD7" w14:textId="77777777" w:rsidTr="001043D5">
        <w:trPr>
          <w:trHeight w:val="285"/>
        </w:trPr>
        <w:tc>
          <w:tcPr>
            <w:tcW w:w="6658" w:type="dxa"/>
            <w:tcBorders>
              <w:top w:val="nil"/>
              <w:left w:val="single" w:sz="4" w:space="0" w:color="auto"/>
              <w:bottom w:val="single" w:sz="4" w:space="0" w:color="auto"/>
              <w:right w:val="single" w:sz="4" w:space="0" w:color="auto"/>
            </w:tcBorders>
            <w:noWrap/>
            <w:vAlign w:val="bottom"/>
            <w:hideMark/>
          </w:tcPr>
          <w:p w14:paraId="481DD864" w14:textId="77777777" w:rsidR="001043D5" w:rsidRPr="001043D5" w:rsidRDefault="001043D5" w:rsidP="001043D5">
            <w:pPr>
              <w:spacing w:before="60" w:after="60"/>
              <w:rPr>
                <w:rFonts w:ascii="Arial" w:hAnsi="Arial" w:cs="Arial"/>
                <w:color w:val="000000"/>
                <w:sz w:val="22"/>
                <w:szCs w:val="22"/>
              </w:rPr>
            </w:pPr>
            <w:r w:rsidRPr="001043D5">
              <w:rPr>
                <w:rFonts w:ascii="Arial" w:hAnsi="Arial" w:cs="Arial"/>
                <w:color w:val="000000"/>
                <w:sz w:val="22"/>
                <w:szCs w:val="22"/>
              </w:rPr>
              <w:t>Ekonomska stopnja donosa (ESD)</w:t>
            </w:r>
          </w:p>
        </w:tc>
        <w:tc>
          <w:tcPr>
            <w:tcW w:w="1559" w:type="dxa"/>
            <w:tcBorders>
              <w:top w:val="nil"/>
              <w:left w:val="nil"/>
              <w:bottom w:val="single" w:sz="4" w:space="0" w:color="auto"/>
              <w:right w:val="single" w:sz="4" w:space="0" w:color="auto"/>
            </w:tcBorders>
            <w:noWrap/>
            <w:vAlign w:val="bottom"/>
            <w:hideMark/>
          </w:tcPr>
          <w:p w14:paraId="3C035EA7" w14:textId="15CAFFD1" w:rsidR="001043D5" w:rsidRPr="001043D5" w:rsidRDefault="001043D5" w:rsidP="001043D5">
            <w:pPr>
              <w:spacing w:before="60" w:after="60"/>
              <w:jc w:val="right"/>
              <w:rPr>
                <w:rFonts w:ascii="Arial" w:hAnsi="Arial" w:cs="Arial"/>
                <w:i/>
                <w:iCs/>
                <w:color w:val="000000"/>
                <w:sz w:val="22"/>
                <w:szCs w:val="22"/>
              </w:rPr>
            </w:pPr>
            <w:r w:rsidRPr="001043D5">
              <w:rPr>
                <w:rFonts w:ascii="Arial" w:hAnsi="Arial" w:cs="Arial"/>
                <w:i/>
                <w:iCs/>
                <w:color w:val="000000"/>
                <w:sz w:val="22"/>
                <w:szCs w:val="22"/>
              </w:rPr>
              <w:t>1</w:t>
            </w:r>
            <w:r w:rsidR="006E4989">
              <w:rPr>
                <w:rFonts w:ascii="Arial" w:hAnsi="Arial" w:cs="Arial"/>
                <w:i/>
                <w:iCs/>
                <w:color w:val="000000"/>
                <w:sz w:val="22"/>
                <w:szCs w:val="22"/>
              </w:rPr>
              <w:t>3</w:t>
            </w:r>
            <w:r w:rsidRPr="001043D5">
              <w:rPr>
                <w:rFonts w:ascii="Arial" w:hAnsi="Arial" w:cs="Arial"/>
                <w:i/>
                <w:iCs/>
                <w:color w:val="000000"/>
                <w:sz w:val="22"/>
                <w:szCs w:val="22"/>
              </w:rPr>
              <w:t>,</w:t>
            </w:r>
            <w:r w:rsidR="006E4989">
              <w:rPr>
                <w:rFonts w:ascii="Arial" w:hAnsi="Arial" w:cs="Arial"/>
                <w:i/>
                <w:iCs/>
                <w:color w:val="000000"/>
                <w:sz w:val="22"/>
                <w:szCs w:val="22"/>
              </w:rPr>
              <w:t>58</w:t>
            </w:r>
            <w:r w:rsidRPr="001043D5">
              <w:rPr>
                <w:rFonts w:ascii="Arial" w:hAnsi="Arial" w:cs="Arial"/>
                <w:i/>
                <w:iCs/>
                <w:color w:val="000000"/>
                <w:sz w:val="22"/>
                <w:szCs w:val="22"/>
              </w:rPr>
              <w:t>%</w:t>
            </w:r>
          </w:p>
        </w:tc>
      </w:tr>
      <w:tr w:rsidR="001043D5" w:rsidRPr="001043D5" w14:paraId="089381FC" w14:textId="77777777" w:rsidTr="001043D5">
        <w:trPr>
          <w:trHeight w:val="285"/>
        </w:trPr>
        <w:tc>
          <w:tcPr>
            <w:tcW w:w="6658" w:type="dxa"/>
            <w:tcBorders>
              <w:top w:val="nil"/>
              <w:left w:val="single" w:sz="4" w:space="0" w:color="auto"/>
              <w:bottom w:val="single" w:sz="4" w:space="0" w:color="auto"/>
              <w:right w:val="single" w:sz="4" w:space="0" w:color="auto"/>
            </w:tcBorders>
            <w:noWrap/>
            <w:vAlign w:val="bottom"/>
            <w:hideMark/>
          </w:tcPr>
          <w:p w14:paraId="52BAAB95" w14:textId="77777777" w:rsidR="001043D5" w:rsidRPr="001043D5" w:rsidRDefault="001043D5" w:rsidP="001043D5">
            <w:pPr>
              <w:spacing w:before="60" w:after="60"/>
              <w:rPr>
                <w:rFonts w:ascii="Arial" w:hAnsi="Arial" w:cs="Arial"/>
                <w:color w:val="000000"/>
                <w:sz w:val="22"/>
                <w:szCs w:val="22"/>
              </w:rPr>
            </w:pPr>
            <w:r w:rsidRPr="001043D5">
              <w:rPr>
                <w:rFonts w:ascii="Arial" w:hAnsi="Arial" w:cs="Arial"/>
                <w:color w:val="000000"/>
                <w:sz w:val="22"/>
                <w:szCs w:val="22"/>
              </w:rPr>
              <w:t>Relativna neto sedanja vrednost (</w:t>
            </w:r>
            <w:proofErr w:type="spellStart"/>
            <w:r w:rsidRPr="001043D5">
              <w:rPr>
                <w:rFonts w:ascii="Arial" w:hAnsi="Arial" w:cs="Arial"/>
                <w:color w:val="000000"/>
                <w:sz w:val="22"/>
                <w:szCs w:val="22"/>
              </w:rPr>
              <w:t>ErNSV</w:t>
            </w:r>
            <w:proofErr w:type="spellEnd"/>
            <w:r w:rsidRPr="001043D5">
              <w:rPr>
                <w:rFonts w:ascii="Arial" w:hAnsi="Arial" w:cs="Arial"/>
                <w:color w:val="000000"/>
                <w:sz w:val="22"/>
                <w:szCs w:val="22"/>
              </w:rPr>
              <w:t>)</w:t>
            </w:r>
          </w:p>
        </w:tc>
        <w:tc>
          <w:tcPr>
            <w:tcW w:w="1559" w:type="dxa"/>
            <w:tcBorders>
              <w:top w:val="nil"/>
              <w:left w:val="nil"/>
              <w:bottom w:val="single" w:sz="4" w:space="0" w:color="auto"/>
              <w:right w:val="single" w:sz="4" w:space="0" w:color="auto"/>
            </w:tcBorders>
            <w:noWrap/>
            <w:vAlign w:val="bottom"/>
            <w:hideMark/>
          </w:tcPr>
          <w:p w14:paraId="5E55470C" w14:textId="1F2D483B" w:rsidR="001043D5" w:rsidRPr="001043D5" w:rsidRDefault="001043D5" w:rsidP="001043D5">
            <w:pPr>
              <w:spacing w:before="60" w:after="60"/>
              <w:jc w:val="right"/>
              <w:rPr>
                <w:rFonts w:ascii="Arial" w:hAnsi="Arial" w:cs="Arial"/>
                <w:i/>
                <w:iCs/>
                <w:color w:val="000000"/>
                <w:sz w:val="22"/>
                <w:szCs w:val="22"/>
              </w:rPr>
            </w:pPr>
            <w:r w:rsidRPr="001043D5">
              <w:rPr>
                <w:rFonts w:ascii="Arial" w:hAnsi="Arial" w:cs="Arial"/>
                <w:i/>
                <w:iCs/>
                <w:color w:val="000000"/>
                <w:sz w:val="22"/>
                <w:szCs w:val="22"/>
              </w:rPr>
              <w:t>1,</w:t>
            </w:r>
            <w:r w:rsidR="006E4989">
              <w:rPr>
                <w:rFonts w:ascii="Arial" w:hAnsi="Arial" w:cs="Arial"/>
                <w:i/>
                <w:iCs/>
                <w:color w:val="000000"/>
                <w:sz w:val="22"/>
                <w:szCs w:val="22"/>
              </w:rPr>
              <w:t>27</w:t>
            </w:r>
          </w:p>
        </w:tc>
      </w:tr>
      <w:tr w:rsidR="001043D5" w:rsidRPr="001043D5" w14:paraId="454D7704" w14:textId="77777777" w:rsidTr="001043D5">
        <w:trPr>
          <w:trHeight w:val="285"/>
        </w:trPr>
        <w:tc>
          <w:tcPr>
            <w:tcW w:w="6658" w:type="dxa"/>
            <w:tcBorders>
              <w:top w:val="nil"/>
              <w:left w:val="single" w:sz="4" w:space="0" w:color="auto"/>
              <w:bottom w:val="single" w:sz="4" w:space="0" w:color="auto"/>
              <w:right w:val="single" w:sz="4" w:space="0" w:color="auto"/>
            </w:tcBorders>
            <w:noWrap/>
            <w:vAlign w:val="bottom"/>
            <w:hideMark/>
          </w:tcPr>
          <w:p w14:paraId="1DEE663C" w14:textId="77777777" w:rsidR="001043D5" w:rsidRPr="001043D5" w:rsidRDefault="001043D5" w:rsidP="001043D5">
            <w:pPr>
              <w:spacing w:before="60" w:after="60"/>
              <w:rPr>
                <w:rFonts w:ascii="Arial" w:hAnsi="Arial" w:cs="Arial"/>
                <w:color w:val="000000"/>
                <w:sz w:val="22"/>
                <w:szCs w:val="22"/>
              </w:rPr>
            </w:pPr>
            <w:r w:rsidRPr="001043D5">
              <w:rPr>
                <w:rFonts w:ascii="Arial" w:hAnsi="Arial" w:cs="Arial"/>
                <w:color w:val="000000"/>
                <w:sz w:val="22"/>
                <w:szCs w:val="22"/>
              </w:rPr>
              <w:t>Razmerje med koristmi in stroški (B/</w:t>
            </w:r>
            <w:proofErr w:type="spellStart"/>
            <w:r w:rsidRPr="001043D5">
              <w:rPr>
                <w:rFonts w:ascii="Arial" w:hAnsi="Arial" w:cs="Arial"/>
                <w:color w:val="000000"/>
                <w:sz w:val="22"/>
                <w:szCs w:val="22"/>
              </w:rPr>
              <w:t>C</w:t>
            </w:r>
            <w:r w:rsidRPr="001043D5">
              <w:rPr>
                <w:rFonts w:ascii="Arial" w:hAnsi="Arial" w:cs="Arial"/>
                <w:color w:val="000000"/>
                <w:sz w:val="22"/>
                <w:szCs w:val="22"/>
                <w:vertAlign w:val="subscript"/>
              </w:rPr>
              <w:t>ratio</w:t>
            </w:r>
            <w:proofErr w:type="spellEnd"/>
            <w:r w:rsidRPr="001043D5">
              <w:rPr>
                <w:rFonts w:ascii="Arial" w:hAnsi="Arial" w:cs="Arial"/>
                <w:color w:val="000000"/>
                <w:sz w:val="22"/>
                <w:szCs w:val="22"/>
              </w:rPr>
              <w:t>)</w:t>
            </w:r>
          </w:p>
        </w:tc>
        <w:tc>
          <w:tcPr>
            <w:tcW w:w="1559" w:type="dxa"/>
            <w:tcBorders>
              <w:top w:val="nil"/>
              <w:left w:val="nil"/>
              <w:bottom w:val="single" w:sz="4" w:space="0" w:color="auto"/>
              <w:right w:val="single" w:sz="4" w:space="0" w:color="auto"/>
            </w:tcBorders>
            <w:noWrap/>
            <w:vAlign w:val="bottom"/>
            <w:hideMark/>
          </w:tcPr>
          <w:p w14:paraId="5DD4BC6D" w14:textId="4A19ADEE" w:rsidR="001043D5" w:rsidRPr="001043D5" w:rsidRDefault="001043D5" w:rsidP="001043D5">
            <w:pPr>
              <w:spacing w:before="60" w:after="60"/>
              <w:jc w:val="right"/>
              <w:rPr>
                <w:rFonts w:ascii="Arial" w:hAnsi="Arial" w:cs="Arial"/>
                <w:i/>
                <w:iCs/>
                <w:color w:val="000000"/>
                <w:sz w:val="22"/>
                <w:szCs w:val="22"/>
              </w:rPr>
            </w:pPr>
            <w:r w:rsidRPr="001043D5">
              <w:rPr>
                <w:rFonts w:ascii="Arial" w:hAnsi="Arial" w:cs="Arial"/>
                <w:i/>
                <w:iCs/>
                <w:color w:val="000000"/>
                <w:sz w:val="22"/>
                <w:szCs w:val="22"/>
              </w:rPr>
              <w:t>2,</w:t>
            </w:r>
            <w:r w:rsidR="006E4989">
              <w:rPr>
                <w:rFonts w:ascii="Arial" w:hAnsi="Arial" w:cs="Arial"/>
                <w:i/>
                <w:iCs/>
                <w:color w:val="000000"/>
                <w:sz w:val="22"/>
                <w:szCs w:val="22"/>
              </w:rPr>
              <w:t>0</w:t>
            </w:r>
            <w:r w:rsidRPr="001043D5">
              <w:rPr>
                <w:rFonts w:ascii="Arial" w:hAnsi="Arial" w:cs="Arial"/>
                <w:i/>
                <w:iCs/>
                <w:color w:val="000000"/>
                <w:sz w:val="22"/>
                <w:szCs w:val="22"/>
              </w:rPr>
              <w:t>2</w:t>
            </w:r>
          </w:p>
        </w:tc>
      </w:tr>
      <w:tr w:rsidR="001043D5" w:rsidRPr="001043D5" w14:paraId="73D9A8D2" w14:textId="77777777" w:rsidTr="001043D5">
        <w:trPr>
          <w:trHeight w:val="285"/>
        </w:trPr>
        <w:tc>
          <w:tcPr>
            <w:tcW w:w="6658" w:type="dxa"/>
            <w:tcBorders>
              <w:top w:val="nil"/>
              <w:left w:val="single" w:sz="4" w:space="0" w:color="auto"/>
              <w:bottom w:val="single" w:sz="4" w:space="0" w:color="auto"/>
              <w:right w:val="single" w:sz="4" w:space="0" w:color="auto"/>
            </w:tcBorders>
            <w:noWrap/>
            <w:vAlign w:val="bottom"/>
            <w:hideMark/>
          </w:tcPr>
          <w:p w14:paraId="47DBB0FD" w14:textId="77777777" w:rsidR="001043D5" w:rsidRPr="001043D5" w:rsidRDefault="001043D5" w:rsidP="001043D5">
            <w:pPr>
              <w:spacing w:before="60" w:after="60"/>
              <w:rPr>
                <w:rFonts w:ascii="Arial" w:hAnsi="Arial" w:cs="Arial"/>
                <w:color w:val="000000"/>
                <w:sz w:val="22"/>
                <w:szCs w:val="22"/>
              </w:rPr>
            </w:pPr>
            <w:r w:rsidRPr="001043D5">
              <w:rPr>
                <w:rFonts w:ascii="Arial" w:hAnsi="Arial" w:cs="Arial"/>
                <w:color w:val="000000"/>
                <w:sz w:val="22"/>
                <w:szCs w:val="22"/>
              </w:rPr>
              <w:t>Doba vračanja</w:t>
            </w:r>
          </w:p>
        </w:tc>
        <w:tc>
          <w:tcPr>
            <w:tcW w:w="1559" w:type="dxa"/>
            <w:tcBorders>
              <w:top w:val="nil"/>
              <w:left w:val="nil"/>
              <w:bottom w:val="single" w:sz="4" w:space="0" w:color="auto"/>
              <w:right w:val="single" w:sz="4" w:space="0" w:color="auto"/>
            </w:tcBorders>
            <w:noWrap/>
            <w:vAlign w:val="bottom"/>
            <w:hideMark/>
          </w:tcPr>
          <w:p w14:paraId="5221C043" w14:textId="512347B9" w:rsidR="001043D5" w:rsidRPr="001043D5" w:rsidRDefault="006E4989" w:rsidP="001043D5">
            <w:pPr>
              <w:spacing w:before="60" w:after="60"/>
              <w:jc w:val="right"/>
              <w:rPr>
                <w:rFonts w:ascii="Arial" w:hAnsi="Arial" w:cs="Arial"/>
                <w:i/>
                <w:iCs/>
                <w:color w:val="000000"/>
                <w:sz w:val="22"/>
                <w:szCs w:val="22"/>
              </w:rPr>
            </w:pPr>
            <w:r>
              <w:rPr>
                <w:rFonts w:ascii="Arial" w:hAnsi="Arial" w:cs="Arial"/>
                <w:i/>
                <w:iCs/>
                <w:color w:val="000000"/>
                <w:sz w:val="22"/>
                <w:szCs w:val="22"/>
              </w:rPr>
              <w:t>6,22</w:t>
            </w:r>
          </w:p>
        </w:tc>
      </w:tr>
    </w:tbl>
    <w:p w14:paraId="4493317A" w14:textId="77777777" w:rsidR="00BB0811" w:rsidRPr="00F11127" w:rsidRDefault="00BB0811"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73" w:name="_Toc210033873"/>
      <w:r w:rsidRPr="00F11127">
        <w:rPr>
          <w:rFonts w:asciiTheme="majorHAnsi" w:eastAsiaTheme="majorEastAsia" w:hAnsiTheme="majorHAnsi" w:cstheme="majorHAnsi"/>
          <w:color w:val="244061" w:themeColor="accent1" w:themeShade="80"/>
        </w:rPr>
        <w:t xml:space="preserve">Koristi, ki jih ni mogoče </w:t>
      </w:r>
      <w:r w:rsidR="001B02AA" w:rsidRPr="00F11127">
        <w:rPr>
          <w:rFonts w:asciiTheme="majorHAnsi" w:eastAsiaTheme="majorEastAsia" w:hAnsiTheme="majorHAnsi" w:cstheme="majorHAnsi"/>
          <w:color w:val="244061" w:themeColor="accent1" w:themeShade="80"/>
        </w:rPr>
        <w:t>ovrednotiti</w:t>
      </w:r>
      <w:bookmarkEnd w:id="373"/>
    </w:p>
    <w:p w14:paraId="06772186" w14:textId="77777777" w:rsidR="00CF10D3" w:rsidRDefault="00CF10D3" w:rsidP="00BD1D20">
      <w:pPr>
        <w:spacing w:after="120" w:line="276" w:lineRule="auto"/>
        <w:rPr>
          <w:rFonts w:asciiTheme="majorHAnsi" w:hAnsiTheme="majorHAnsi" w:cstheme="majorHAnsi"/>
          <w:sz w:val="22"/>
          <w:szCs w:val="22"/>
        </w:rPr>
      </w:pPr>
    </w:p>
    <w:p w14:paraId="234DB4AC"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 xml:space="preserve">Ekonomska upravičenost projekta temelji na ugotovitvi, da koristi za prebivalce, obiskovalce in širšo družbo bistveno presegajo stroške izvedbe. Projekt naslavlja ključne razvojne in </w:t>
      </w:r>
      <w:proofErr w:type="spellStart"/>
      <w:r w:rsidRPr="000054FF">
        <w:rPr>
          <w:rFonts w:ascii="Arial" w:hAnsi="Arial" w:cs="Arial"/>
          <w:sz w:val="22"/>
          <w:szCs w:val="22"/>
        </w:rPr>
        <w:t>okoljske</w:t>
      </w:r>
      <w:proofErr w:type="spellEnd"/>
      <w:r w:rsidRPr="000054FF">
        <w:rPr>
          <w:rFonts w:ascii="Arial" w:hAnsi="Arial" w:cs="Arial"/>
          <w:sz w:val="22"/>
          <w:szCs w:val="22"/>
        </w:rPr>
        <w:t xml:space="preserve"> izzive v središču Občine Ig ter neposredno zasleduje namen in cilje javnega razpisa JR EKP UTM 2025.</w:t>
      </w:r>
    </w:p>
    <w:p w14:paraId="7718FDA7" w14:textId="77777777" w:rsidR="00CF10D3" w:rsidRPr="007639D3" w:rsidRDefault="00CF10D3" w:rsidP="00CF10D3">
      <w:pPr>
        <w:spacing w:line="276" w:lineRule="auto"/>
        <w:jc w:val="both"/>
        <w:rPr>
          <w:rFonts w:ascii="Arial" w:hAnsi="Arial" w:cs="Arial"/>
          <w:sz w:val="22"/>
          <w:szCs w:val="22"/>
        </w:rPr>
      </w:pPr>
    </w:p>
    <w:p w14:paraId="14C7E156"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r w:rsidRPr="00AB1367">
        <w:rPr>
          <w:rFonts w:ascii="Arial" w:hAnsi="Arial" w:cs="Arial"/>
          <w:i/>
          <w:iCs/>
          <w:u w:val="single"/>
        </w:rPr>
        <w:t>Prispevek k trajnostni mobilnosti in zmanjšanju stroškov prometa</w:t>
      </w:r>
    </w:p>
    <w:p w14:paraId="531C68D9"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Z ureditvijo varnih peš in kolesarskih poti, izboljšanjem pogojev za uporabo javnega potniškega prometa in vzpostavitvijo skupnih prometnih prostorov se bo zmanjšala odvisnost prebivalcev od osebnih vozil. Posledično se pričakuje:</w:t>
      </w:r>
    </w:p>
    <w:p w14:paraId="03EF270D" w14:textId="77777777" w:rsidR="00CF10D3" w:rsidRPr="000054FF" w:rsidRDefault="00CF10D3" w:rsidP="00CF10D3">
      <w:pPr>
        <w:numPr>
          <w:ilvl w:val="0"/>
          <w:numId w:val="148"/>
        </w:numPr>
        <w:spacing w:line="276" w:lineRule="auto"/>
        <w:jc w:val="both"/>
        <w:rPr>
          <w:rFonts w:ascii="Arial" w:hAnsi="Arial" w:cs="Arial"/>
          <w:sz w:val="22"/>
          <w:szCs w:val="22"/>
        </w:rPr>
      </w:pPr>
      <w:r w:rsidRPr="000054FF">
        <w:rPr>
          <w:rFonts w:ascii="Arial" w:hAnsi="Arial" w:cs="Arial"/>
          <w:sz w:val="22"/>
          <w:szCs w:val="22"/>
        </w:rPr>
        <w:t>zmanjšanje stroškov gospodinjstev za gorivo in vzdrževanje osebnih vozil,</w:t>
      </w:r>
    </w:p>
    <w:p w14:paraId="08B9C583" w14:textId="77777777" w:rsidR="00CF10D3" w:rsidRPr="000054FF" w:rsidRDefault="00CF10D3" w:rsidP="00CF10D3">
      <w:pPr>
        <w:numPr>
          <w:ilvl w:val="0"/>
          <w:numId w:val="148"/>
        </w:numPr>
        <w:spacing w:line="276" w:lineRule="auto"/>
        <w:jc w:val="both"/>
        <w:rPr>
          <w:rFonts w:ascii="Arial" w:hAnsi="Arial" w:cs="Arial"/>
          <w:sz w:val="22"/>
          <w:szCs w:val="22"/>
        </w:rPr>
      </w:pPr>
      <w:r w:rsidRPr="000054FF">
        <w:rPr>
          <w:rFonts w:ascii="Arial" w:hAnsi="Arial" w:cs="Arial"/>
          <w:sz w:val="22"/>
          <w:szCs w:val="22"/>
        </w:rPr>
        <w:t>izboljšanje dostopnosti do javnih storitev, šole in turističnih točk brez uporabe avtomobila,</w:t>
      </w:r>
    </w:p>
    <w:p w14:paraId="59DAF75F" w14:textId="77777777" w:rsidR="00CF10D3" w:rsidRPr="000054FF" w:rsidRDefault="00CF10D3" w:rsidP="00CF10D3">
      <w:pPr>
        <w:numPr>
          <w:ilvl w:val="0"/>
          <w:numId w:val="148"/>
        </w:numPr>
        <w:spacing w:line="276" w:lineRule="auto"/>
        <w:jc w:val="both"/>
        <w:rPr>
          <w:rFonts w:ascii="Arial" w:hAnsi="Arial" w:cs="Arial"/>
          <w:sz w:val="22"/>
          <w:szCs w:val="22"/>
        </w:rPr>
      </w:pPr>
      <w:r w:rsidRPr="000054FF">
        <w:rPr>
          <w:rFonts w:ascii="Arial" w:hAnsi="Arial" w:cs="Arial"/>
          <w:sz w:val="22"/>
          <w:szCs w:val="22"/>
        </w:rPr>
        <w:t>povečanje prometne varnosti ter manj stroškov povezanih s prometnimi nesrečami.</w:t>
      </w:r>
    </w:p>
    <w:p w14:paraId="4050EDF9" w14:textId="77777777" w:rsidR="00CF10D3" w:rsidRPr="007639D3" w:rsidRDefault="00CF10D3" w:rsidP="00CF10D3">
      <w:pPr>
        <w:spacing w:line="276" w:lineRule="auto"/>
        <w:jc w:val="both"/>
        <w:rPr>
          <w:rFonts w:ascii="Arial" w:hAnsi="Arial" w:cs="Arial"/>
          <w:sz w:val="22"/>
          <w:szCs w:val="22"/>
        </w:rPr>
      </w:pPr>
    </w:p>
    <w:p w14:paraId="7BC649F6"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proofErr w:type="spellStart"/>
      <w:r w:rsidRPr="00AB1367">
        <w:rPr>
          <w:rFonts w:ascii="Arial" w:hAnsi="Arial" w:cs="Arial"/>
          <w:i/>
          <w:iCs/>
          <w:u w:val="single"/>
        </w:rPr>
        <w:t>Okoljske</w:t>
      </w:r>
      <w:proofErr w:type="spellEnd"/>
      <w:r w:rsidRPr="00AB1367">
        <w:rPr>
          <w:rFonts w:ascii="Arial" w:hAnsi="Arial" w:cs="Arial"/>
          <w:i/>
          <w:iCs/>
          <w:u w:val="single"/>
        </w:rPr>
        <w:t xml:space="preserve"> koristi</w:t>
      </w:r>
    </w:p>
    <w:p w14:paraId="011060C6"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Projekt bo imel merljive pozitivne učinke na okolje:</w:t>
      </w:r>
    </w:p>
    <w:p w14:paraId="6C5D4FE3" w14:textId="77777777" w:rsidR="00CF10D3" w:rsidRPr="000054FF" w:rsidRDefault="00CF10D3" w:rsidP="00CF10D3">
      <w:pPr>
        <w:numPr>
          <w:ilvl w:val="0"/>
          <w:numId w:val="149"/>
        </w:numPr>
        <w:spacing w:line="276" w:lineRule="auto"/>
        <w:jc w:val="both"/>
        <w:rPr>
          <w:rFonts w:ascii="Arial" w:hAnsi="Arial" w:cs="Arial"/>
          <w:sz w:val="22"/>
          <w:szCs w:val="22"/>
        </w:rPr>
      </w:pPr>
      <w:r w:rsidRPr="000054FF">
        <w:rPr>
          <w:rFonts w:ascii="Arial" w:hAnsi="Arial" w:cs="Arial"/>
          <w:sz w:val="22"/>
          <w:szCs w:val="22"/>
        </w:rPr>
        <w:t>zmanjšanje emisij toplogrednih plinov in prašnih delcev v središču kraja,</w:t>
      </w:r>
    </w:p>
    <w:p w14:paraId="52CEAE00" w14:textId="77777777" w:rsidR="00CF10D3" w:rsidRPr="000054FF" w:rsidRDefault="00CF10D3" w:rsidP="00CF10D3">
      <w:pPr>
        <w:numPr>
          <w:ilvl w:val="0"/>
          <w:numId w:val="149"/>
        </w:numPr>
        <w:spacing w:line="276" w:lineRule="auto"/>
        <w:jc w:val="both"/>
        <w:rPr>
          <w:rFonts w:ascii="Arial" w:hAnsi="Arial" w:cs="Arial"/>
          <w:sz w:val="22"/>
          <w:szCs w:val="22"/>
        </w:rPr>
      </w:pPr>
      <w:r w:rsidRPr="000054FF">
        <w:rPr>
          <w:rFonts w:ascii="Arial" w:hAnsi="Arial" w:cs="Arial"/>
          <w:sz w:val="22"/>
          <w:szCs w:val="22"/>
        </w:rPr>
        <w:t>izboljšanje kakovosti zraka in zmanjšanje hrupa,</w:t>
      </w:r>
    </w:p>
    <w:p w14:paraId="5DF62903" w14:textId="77777777" w:rsidR="00CF10D3" w:rsidRPr="000054FF" w:rsidRDefault="00CF10D3" w:rsidP="00CF10D3">
      <w:pPr>
        <w:numPr>
          <w:ilvl w:val="0"/>
          <w:numId w:val="149"/>
        </w:numPr>
        <w:spacing w:line="276" w:lineRule="auto"/>
        <w:jc w:val="both"/>
        <w:rPr>
          <w:rFonts w:ascii="Arial" w:hAnsi="Arial" w:cs="Arial"/>
          <w:sz w:val="22"/>
          <w:szCs w:val="22"/>
        </w:rPr>
      </w:pPr>
      <w:r w:rsidRPr="000054FF">
        <w:rPr>
          <w:rFonts w:ascii="Arial" w:hAnsi="Arial" w:cs="Arial"/>
          <w:sz w:val="22"/>
          <w:szCs w:val="22"/>
        </w:rPr>
        <w:t>zmanjšanje stroškov povezanih z zdravstvenimi obremenitvami zaradi onesnaženega zraka,</w:t>
      </w:r>
    </w:p>
    <w:p w14:paraId="47905153" w14:textId="77777777" w:rsidR="00CF10D3" w:rsidRPr="000054FF" w:rsidRDefault="00CF10D3" w:rsidP="00CF10D3">
      <w:pPr>
        <w:numPr>
          <w:ilvl w:val="0"/>
          <w:numId w:val="149"/>
        </w:numPr>
        <w:spacing w:line="276" w:lineRule="auto"/>
        <w:jc w:val="both"/>
        <w:rPr>
          <w:rFonts w:ascii="Arial" w:hAnsi="Arial" w:cs="Arial"/>
          <w:sz w:val="22"/>
          <w:szCs w:val="22"/>
        </w:rPr>
      </w:pPr>
      <w:r w:rsidRPr="000054FF">
        <w:rPr>
          <w:rFonts w:ascii="Arial" w:hAnsi="Arial" w:cs="Arial"/>
          <w:sz w:val="22"/>
          <w:szCs w:val="22"/>
        </w:rPr>
        <w:t>dolgoročno zmanjšanje stroškov vzdrževanja kanalizacije z zadrževanjem in ponovno uporabo padavinskih voda.</w:t>
      </w:r>
    </w:p>
    <w:p w14:paraId="068CB2F3" w14:textId="77777777" w:rsidR="00CF10D3" w:rsidRPr="007639D3" w:rsidRDefault="00CF10D3" w:rsidP="00CF10D3">
      <w:pPr>
        <w:spacing w:line="276" w:lineRule="auto"/>
        <w:jc w:val="both"/>
        <w:rPr>
          <w:rFonts w:ascii="Arial" w:hAnsi="Arial" w:cs="Arial"/>
          <w:sz w:val="22"/>
          <w:szCs w:val="22"/>
        </w:rPr>
      </w:pPr>
    </w:p>
    <w:p w14:paraId="5EB9C6ED"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r w:rsidRPr="00AB1367">
        <w:rPr>
          <w:rFonts w:ascii="Arial" w:hAnsi="Arial" w:cs="Arial"/>
          <w:i/>
          <w:iCs/>
          <w:u w:val="single"/>
        </w:rPr>
        <w:t>Socialne koristi in dvig kakovosti življenja</w:t>
      </w:r>
    </w:p>
    <w:p w14:paraId="18116A36"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Projekt bo izboljšal življenjske pogoje za prebivalce in obiskovalce:</w:t>
      </w:r>
    </w:p>
    <w:p w14:paraId="6F24539C" w14:textId="77777777" w:rsidR="00CF10D3" w:rsidRPr="000054FF" w:rsidRDefault="00CF10D3" w:rsidP="00CF10D3">
      <w:pPr>
        <w:numPr>
          <w:ilvl w:val="0"/>
          <w:numId w:val="150"/>
        </w:numPr>
        <w:spacing w:line="276" w:lineRule="auto"/>
        <w:jc w:val="both"/>
        <w:rPr>
          <w:rFonts w:ascii="Arial" w:hAnsi="Arial" w:cs="Arial"/>
          <w:sz w:val="22"/>
          <w:szCs w:val="22"/>
        </w:rPr>
      </w:pPr>
      <w:r w:rsidRPr="000054FF">
        <w:rPr>
          <w:rFonts w:ascii="Arial" w:hAnsi="Arial" w:cs="Arial"/>
          <w:sz w:val="22"/>
          <w:szCs w:val="22"/>
        </w:rPr>
        <w:t>povečana varnost otrok na poti v šolo in drugih ranljivih skupin,</w:t>
      </w:r>
    </w:p>
    <w:p w14:paraId="5FA87823" w14:textId="77777777" w:rsidR="00CF10D3" w:rsidRPr="000054FF" w:rsidRDefault="00CF10D3" w:rsidP="00CF10D3">
      <w:pPr>
        <w:numPr>
          <w:ilvl w:val="0"/>
          <w:numId w:val="150"/>
        </w:numPr>
        <w:spacing w:line="276" w:lineRule="auto"/>
        <w:jc w:val="both"/>
        <w:rPr>
          <w:rFonts w:ascii="Arial" w:hAnsi="Arial" w:cs="Arial"/>
          <w:sz w:val="22"/>
          <w:szCs w:val="22"/>
        </w:rPr>
      </w:pPr>
      <w:r w:rsidRPr="000054FF">
        <w:rPr>
          <w:rFonts w:ascii="Arial" w:hAnsi="Arial" w:cs="Arial"/>
          <w:sz w:val="22"/>
          <w:szCs w:val="22"/>
        </w:rPr>
        <w:t>ustvarjanje prostorov za druženje, rekreacijo in kulturne aktivnosti,</w:t>
      </w:r>
    </w:p>
    <w:p w14:paraId="5D15C947" w14:textId="77777777" w:rsidR="00CF10D3" w:rsidRPr="000054FF" w:rsidRDefault="00CF10D3" w:rsidP="00CF10D3">
      <w:pPr>
        <w:numPr>
          <w:ilvl w:val="0"/>
          <w:numId w:val="150"/>
        </w:numPr>
        <w:spacing w:line="276" w:lineRule="auto"/>
        <w:jc w:val="both"/>
        <w:rPr>
          <w:rFonts w:ascii="Arial" w:hAnsi="Arial" w:cs="Arial"/>
          <w:sz w:val="22"/>
          <w:szCs w:val="22"/>
        </w:rPr>
      </w:pPr>
      <w:r w:rsidRPr="000054FF">
        <w:rPr>
          <w:rFonts w:ascii="Arial" w:hAnsi="Arial" w:cs="Arial"/>
          <w:sz w:val="22"/>
          <w:szCs w:val="22"/>
        </w:rPr>
        <w:t>večja privlačnost prostora za obiskovalce in turiste, kar pomeni dodatne prihodke lokalnega gospodarstva (turizem, gostinstvo, trgovina).</w:t>
      </w:r>
    </w:p>
    <w:p w14:paraId="27D79E95" w14:textId="77777777" w:rsidR="00CF10D3" w:rsidRPr="007639D3" w:rsidRDefault="00CF10D3" w:rsidP="00CF10D3">
      <w:pPr>
        <w:spacing w:line="276" w:lineRule="auto"/>
        <w:jc w:val="both"/>
        <w:rPr>
          <w:rFonts w:ascii="Arial" w:hAnsi="Arial" w:cs="Arial"/>
          <w:sz w:val="22"/>
          <w:szCs w:val="22"/>
        </w:rPr>
      </w:pPr>
    </w:p>
    <w:p w14:paraId="15EB824A"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r w:rsidRPr="00AB1367">
        <w:rPr>
          <w:rFonts w:ascii="Arial" w:hAnsi="Arial" w:cs="Arial"/>
          <w:i/>
          <w:iCs/>
          <w:u w:val="single"/>
        </w:rPr>
        <w:lastRenderedPageBreak/>
        <w:t>Gospodarski učinki</w:t>
      </w:r>
    </w:p>
    <w:p w14:paraId="06F2014A"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Izvedba projekta bo imela neposredne in posredne gospodarske učinke:</w:t>
      </w:r>
    </w:p>
    <w:p w14:paraId="0D283466" w14:textId="77777777" w:rsidR="00CF10D3" w:rsidRPr="000054FF" w:rsidRDefault="00CF10D3" w:rsidP="00CF10D3">
      <w:pPr>
        <w:numPr>
          <w:ilvl w:val="0"/>
          <w:numId w:val="151"/>
        </w:numPr>
        <w:spacing w:line="276" w:lineRule="auto"/>
        <w:jc w:val="both"/>
        <w:rPr>
          <w:rFonts w:ascii="Arial" w:hAnsi="Arial" w:cs="Arial"/>
          <w:sz w:val="22"/>
          <w:szCs w:val="22"/>
        </w:rPr>
      </w:pPr>
      <w:r w:rsidRPr="000054FF">
        <w:rPr>
          <w:rFonts w:ascii="Arial" w:hAnsi="Arial" w:cs="Arial"/>
          <w:sz w:val="22"/>
          <w:szCs w:val="22"/>
        </w:rPr>
        <w:t>angažma gradbenih podjetij, projektantov in dobaviteljev pri izvedbi del,</w:t>
      </w:r>
    </w:p>
    <w:p w14:paraId="5A6EEF97" w14:textId="77777777" w:rsidR="00CF10D3" w:rsidRPr="000054FF" w:rsidRDefault="00CF10D3" w:rsidP="00CF10D3">
      <w:pPr>
        <w:numPr>
          <w:ilvl w:val="0"/>
          <w:numId w:val="151"/>
        </w:numPr>
        <w:spacing w:line="276" w:lineRule="auto"/>
        <w:jc w:val="both"/>
        <w:rPr>
          <w:rFonts w:ascii="Arial" w:hAnsi="Arial" w:cs="Arial"/>
          <w:sz w:val="22"/>
          <w:szCs w:val="22"/>
        </w:rPr>
      </w:pPr>
      <w:r w:rsidRPr="000054FF">
        <w:rPr>
          <w:rFonts w:ascii="Arial" w:hAnsi="Arial" w:cs="Arial"/>
          <w:sz w:val="22"/>
          <w:szCs w:val="22"/>
        </w:rPr>
        <w:t>dvig vrednosti nepremičnin v središču naselja zaradi izboljšanega javnega prostora,</w:t>
      </w:r>
    </w:p>
    <w:p w14:paraId="6CEA5915" w14:textId="77777777" w:rsidR="00CF10D3" w:rsidRPr="000054FF" w:rsidRDefault="00CF10D3" w:rsidP="00CF10D3">
      <w:pPr>
        <w:numPr>
          <w:ilvl w:val="0"/>
          <w:numId w:val="151"/>
        </w:numPr>
        <w:spacing w:line="276" w:lineRule="auto"/>
        <w:jc w:val="both"/>
        <w:rPr>
          <w:rFonts w:ascii="Arial" w:hAnsi="Arial" w:cs="Arial"/>
          <w:sz w:val="22"/>
          <w:szCs w:val="22"/>
        </w:rPr>
      </w:pPr>
      <w:r w:rsidRPr="000054FF">
        <w:rPr>
          <w:rFonts w:ascii="Arial" w:hAnsi="Arial" w:cs="Arial"/>
          <w:sz w:val="22"/>
          <w:szCs w:val="22"/>
        </w:rPr>
        <w:t>povečanje konkurenčnosti kraja kot privlačne lokacije za bivanje in obisk,</w:t>
      </w:r>
    </w:p>
    <w:p w14:paraId="756863AD" w14:textId="77777777" w:rsidR="00CF10D3" w:rsidRPr="000054FF" w:rsidRDefault="00CF10D3" w:rsidP="00CF10D3">
      <w:pPr>
        <w:numPr>
          <w:ilvl w:val="0"/>
          <w:numId w:val="151"/>
        </w:numPr>
        <w:spacing w:line="276" w:lineRule="auto"/>
        <w:jc w:val="both"/>
        <w:rPr>
          <w:rFonts w:ascii="Arial" w:hAnsi="Arial" w:cs="Arial"/>
          <w:sz w:val="22"/>
          <w:szCs w:val="22"/>
        </w:rPr>
      </w:pPr>
      <w:r w:rsidRPr="000054FF">
        <w:rPr>
          <w:rFonts w:ascii="Arial" w:hAnsi="Arial" w:cs="Arial"/>
          <w:sz w:val="22"/>
          <w:szCs w:val="22"/>
        </w:rPr>
        <w:t xml:space="preserve">razvoj lokalne turistične ponudbe v povezavi z </w:t>
      </w:r>
      <w:proofErr w:type="spellStart"/>
      <w:r w:rsidRPr="000054FF">
        <w:rPr>
          <w:rFonts w:ascii="Arial" w:hAnsi="Arial" w:cs="Arial"/>
          <w:sz w:val="22"/>
          <w:szCs w:val="22"/>
        </w:rPr>
        <w:t>interpretacijskim</w:t>
      </w:r>
      <w:proofErr w:type="spellEnd"/>
      <w:r w:rsidRPr="000054FF">
        <w:rPr>
          <w:rFonts w:ascii="Arial" w:hAnsi="Arial" w:cs="Arial"/>
          <w:sz w:val="22"/>
          <w:szCs w:val="22"/>
        </w:rPr>
        <w:t xml:space="preserve"> centrom </w:t>
      </w:r>
      <w:proofErr w:type="spellStart"/>
      <w:r w:rsidRPr="000054FF">
        <w:rPr>
          <w:rFonts w:ascii="Arial" w:hAnsi="Arial" w:cs="Arial"/>
          <w:sz w:val="22"/>
          <w:szCs w:val="22"/>
        </w:rPr>
        <w:t>Morostig</w:t>
      </w:r>
      <w:proofErr w:type="spellEnd"/>
      <w:r w:rsidRPr="000054FF">
        <w:rPr>
          <w:rFonts w:ascii="Arial" w:hAnsi="Arial" w:cs="Arial"/>
          <w:sz w:val="22"/>
          <w:szCs w:val="22"/>
        </w:rPr>
        <w:t xml:space="preserve"> in naravnim okoljem Ljubljanskega barja.</w:t>
      </w:r>
    </w:p>
    <w:p w14:paraId="40C4D72A" w14:textId="77777777" w:rsidR="00CF10D3" w:rsidRPr="007639D3" w:rsidRDefault="00CF10D3" w:rsidP="00CF10D3">
      <w:pPr>
        <w:spacing w:line="276" w:lineRule="auto"/>
        <w:jc w:val="both"/>
        <w:rPr>
          <w:rFonts w:ascii="Arial" w:hAnsi="Arial" w:cs="Arial"/>
          <w:sz w:val="22"/>
          <w:szCs w:val="22"/>
        </w:rPr>
      </w:pPr>
    </w:p>
    <w:p w14:paraId="5A7F2EB6"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r w:rsidRPr="00AB1367">
        <w:rPr>
          <w:rFonts w:ascii="Arial" w:hAnsi="Arial" w:cs="Arial"/>
          <w:i/>
          <w:iCs/>
          <w:u w:val="single"/>
        </w:rPr>
        <w:t>Usklajenost z razpisnimi cilji</w:t>
      </w:r>
    </w:p>
    <w:p w14:paraId="5C2FEEC2" w14:textId="77777777" w:rsidR="00CF10D3" w:rsidRPr="000054FF" w:rsidRDefault="00CF10D3" w:rsidP="00CF10D3">
      <w:pPr>
        <w:spacing w:line="276" w:lineRule="auto"/>
        <w:jc w:val="both"/>
        <w:rPr>
          <w:rFonts w:ascii="Arial" w:hAnsi="Arial" w:cs="Arial"/>
          <w:sz w:val="22"/>
          <w:szCs w:val="22"/>
        </w:rPr>
      </w:pPr>
      <w:r w:rsidRPr="000054FF">
        <w:rPr>
          <w:rFonts w:ascii="Arial" w:hAnsi="Arial" w:cs="Arial"/>
          <w:sz w:val="22"/>
          <w:szCs w:val="22"/>
        </w:rPr>
        <w:t>Projekt neposredno sledi namenu razpisa JR EKP UTM 2025, saj:</w:t>
      </w:r>
    </w:p>
    <w:p w14:paraId="35E75EDF" w14:textId="77777777" w:rsidR="00CF10D3" w:rsidRPr="000054FF" w:rsidRDefault="00CF10D3" w:rsidP="00CF10D3">
      <w:pPr>
        <w:numPr>
          <w:ilvl w:val="0"/>
          <w:numId w:val="152"/>
        </w:numPr>
        <w:spacing w:line="276" w:lineRule="auto"/>
        <w:jc w:val="both"/>
        <w:rPr>
          <w:rFonts w:ascii="Arial" w:hAnsi="Arial" w:cs="Arial"/>
          <w:sz w:val="22"/>
          <w:szCs w:val="22"/>
        </w:rPr>
      </w:pPr>
      <w:r w:rsidRPr="000054FF">
        <w:rPr>
          <w:rFonts w:ascii="Arial" w:hAnsi="Arial" w:cs="Arial"/>
          <w:sz w:val="22"/>
          <w:szCs w:val="22"/>
        </w:rPr>
        <w:t>zmanjšuje emisije toplogrednih plinov in izboljšuje kakovost zraka in bivanja,</w:t>
      </w:r>
    </w:p>
    <w:p w14:paraId="082F550D" w14:textId="77777777" w:rsidR="00CF10D3" w:rsidRPr="000054FF" w:rsidRDefault="00CF10D3" w:rsidP="00CF10D3">
      <w:pPr>
        <w:numPr>
          <w:ilvl w:val="0"/>
          <w:numId w:val="152"/>
        </w:numPr>
        <w:spacing w:line="276" w:lineRule="auto"/>
        <w:jc w:val="both"/>
        <w:rPr>
          <w:rFonts w:ascii="Arial" w:hAnsi="Arial" w:cs="Arial"/>
          <w:sz w:val="22"/>
          <w:szCs w:val="22"/>
        </w:rPr>
      </w:pPr>
      <w:r w:rsidRPr="000054FF">
        <w:rPr>
          <w:rFonts w:ascii="Arial" w:hAnsi="Arial" w:cs="Arial"/>
          <w:sz w:val="22"/>
          <w:szCs w:val="22"/>
        </w:rPr>
        <w:t>spodbuja aktivne oblike mobilnosti (hoja, kolesarjenje) in uporabo javnega potniškega prometa,</w:t>
      </w:r>
    </w:p>
    <w:p w14:paraId="1ADE8481" w14:textId="77777777" w:rsidR="00CF10D3" w:rsidRPr="000054FF" w:rsidRDefault="00CF10D3" w:rsidP="00CF10D3">
      <w:pPr>
        <w:numPr>
          <w:ilvl w:val="0"/>
          <w:numId w:val="152"/>
        </w:numPr>
        <w:spacing w:line="276" w:lineRule="auto"/>
        <w:jc w:val="both"/>
        <w:rPr>
          <w:rFonts w:ascii="Arial" w:hAnsi="Arial" w:cs="Arial"/>
          <w:sz w:val="22"/>
          <w:szCs w:val="22"/>
        </w:rPr>
      </w:pPr>
      <w:r w:rsidRPr="000054FF">
        <w:rPr>
          <w:rFonts w:ascii="Arial" w:hAnsi="Arial" w:cs="Arial"/>
          <w:sz w:val="22"/>
          <w:szCs w:val="22"/>
        </w:rPr>
        <w:t>razvija zeleno in modro infrastrukturo kot podporni element trajnostnega prometa,</w:t>
      </w:r>
    </w:p>
    <w:p w14:paraId="658E05DA" w14:textId="77777777" w:rsidR="00CF10D3" w:rsidRPr="000054FF" w:rsidRDefault="00CF10D3" w:rsidP="00CF10D3">
      <w:pPr>
        <w:numPr>
          <w:ilvl w:val="0"/>
          <w:numId w:val="152"/>
        </w:numPr>
        <w:spacing w:line="276" w:lineRule="auto"/>
        <w:jc w:val="both"/>
        <w:rPr>
          <w:rFonts w:ascii="Arial" w:hAnsi="Arial" w:cs="Arial"/>
          <w:sz w:val="22"/>
          <w:szCs w:val="22"/>
        </w:rPr>
      </w:pPr>
      <w:r w:rsidRPr="000054FF">
        <w:rPr>
          <w:rFonts w:ascii="Arial" w:hAnsi="Arial" w:cs="Arial"/>
          <w:sz w:val="22"/>
          <w:szCs w:val="22"/>
        </w:rPr>
        <w:t>sledi načelom krožnega gospodarstva in trajnostne gradnje,</w:t>
      </w:r>
    </w:p>
    <w:p w14:paraId="148376DB" w14:textId="77777777" w:rsidR="00CF10D3" w:rsidRPr="000054FF" w:rsidRDefault="00CF10D3" w:rsidP="00CF10D3">
      <w:pPr>
        <w:numPr>
          <w:ilvl w:val="0"/>
          <w:numId w:val="152"/>
        </w:numPr>
        <w:spacing w:line="276" w:lineRule="auto"/>
        <w:jc w:val="both"/>
        <w:rPr>
          <w:rFonts w:ascii="Arial" w:hAnsi="Arial" w:cs="Arial"/>
          <w:sz w:val="22"/>
          <w:szCs w:val="22"/>
        </w:rPr>
      </w:pPr>
      <w:r w:rsidRPr="000054FF">
        <w:rPr>
          <w:rFonts w:ascii="Arial" w:hAnsi="Arial" w:cs="Arial"/>
          <w:sz w:val="22"/>
          <w:szCs w:val="22"/>
        </w:rPr>
        <w:t>povečuje prometno varnost in vključuje vse družbene skupine.</w:t>
      </w:r>
    </w:p>
    <w:p w14:paraId="1273704D" w14:textId="77777777" w:rsidR="00CF10D3" w:rsidRPr="007639D3" w:rsidRDefault="00CF10D3" w:rsidP="00CF10D3">
      <w:pPr>
        <w:spacing w:line="276" w:lineRule="auto"/>
        <w:jc w:val="both"/>
        <w:rPr>
          <w:rFonts w:ascii="Arial" w:hAnsi="Arial" w:cs="Arial"/>
          <w:sz w:val="22"/>
          <w:szCs w:val="22"/>
        </w:rPr>
      </w:pPr>
    </w:p>
    <w:p w14:paraId="71A7EB0C" w14:textId="77777777" w:rsidR="00CF10D3" w:rsidRPr="00AB1367" w:rsidRDefault="00CF10D3" w:rsidP="002169F1">
      <w:pPr>
        <w:pStyle w:val="Odstavekseznama"/>
        <w:numPr>
          <w:ilvl w:val="0"/>
          <w:numId w:val="219"/>
        </w:numPr>
        <w:spacing w:after="0"/>
        <w:ind w:left="426"/>
        <w:jc w:val="both"/>
        <w:rPr>
          <w:rFonts w:ascii="Arial" w:hAnsi="Arial" w:cs="Arial"/>
          <w:i/>
          <w:iCs/>
          <w:u w:val="single"/>
        </w:rPr>
      </w:pPr>
      <w:r w:rsidRPr="00AB1367">
        <w:rPr>
          <w:rFonts w:ascii="Arial" w:hAnsi="Arial" w:cs="Arial"/>
          <w:i/>
          <w:iCs/>
          <w:u w:val="single"/>
        </w:rPr>
        <w:t>Stroškovna učinkovitost</w:t>
      </w:r>
    </w:p>
    <w:p w14:paraId="65574896" w14:textId="77777777" w:rsidR="00CF10D3" w:rsidRDefault="00CF10D3" w:rsidP="00CF10D3">
      <w:pPr>
        <w:spacing w:after="120" w:line="276" w:lineRule="auto"/>
        <w:rPr>
          <w:rFonts w:ascii="Arial" w:hAnsi="Arial" w:cs="Arial"/>
          <w:sz w:val="22"/>
          <w:szCs w:val="22"/>
        </w:rPr>
      </w:pPr>
      <w:r w:rsidRPr="000054FF">
        <w:rPr>
          <w:rFonts w:ascii="Arial" w:hAnsi="Arial" w:cs="Arial"/>
          <w:sz w:val="22"/>
          <w:szCs w:val="22"/>
        </w:rPr>
        <w:t>S pridobitvijo sofinanciranja iz evropskih sredstev bo občina bistveno zmanjšala obremenitev občinskega proračuna. Pričakovane koristi – nižji stroški prometa, manj zdravstvenih obremenitev, višja kakovost bivanja, večja turistična privlačnost – dolgoročno presežejo stroške investicije, zato je projekt ekonomsko utemeljen in učinkovit.</w:t>
      </w:r>
    </w:p>
    <w:p w14:paraId="2EB4DA03" w14:textId="77777777" w:rsidR="00357FA2" w:rsidRPr="00F11127" w:rsidRDefault="00BB0811" w:rsidP="00BD1D20">
      <w:pPr>
        <w:spacing w:after="120" w:line="276" w:lineRule="auto"/>
        <w:jc w:val="both"/>
        <w:rPr>
          <w:rFonts w:asciiTheme="majorHAnsi" w:eastAsiaTheme="majorEastAsia" w:hAnsiTheme="majorHAnsi" w:cstheme="majorHAnsi"/>
          <w:b/>
          <w:bCs/>
          <w:color w:val="365F91" w:themeColor="accent1" w:themeShade="BF"/>
          <w:sz w:val="28"/>
          <w:szCs w:val="28"/>
          <w:highlight w:val="yellow"/>
        </w:rPr>
      </w:pPr>
      <w:r w:rsidRPr="00414C22">
        <w:rPr>
          <w:rFonts w:asciiTheme="majorHAnsi" w:hAnsiTheme="majorHAnsi" w:cstheme="majorHAnsi"/>
          <w:b/>
          <w:sz w:val="22"/>
          <w:szCs w:val="22"/>
        </w:rPr>
        <w:t>Iz vseh zgoraj navedenih pozitivnih rezultatov izvedbe investicije smo torej mnenja, da je predlagana investicija ekonomsko in družbeno upravičena.</w:t>
      </w:r>
      <w:r w:rsidR="00357FA2" w:rsidRPr="00F11127">
        <w:rPr>
          <w:rFonts w:asciiTheme="majorHAnsi" w:hAnsiTheme="majorHAnsi" w:cstheme="majorHAnsi"/>
          <w:highlight w:val="yellow"/>
        </w:rPr>
        <w:br w:type="page"/>
      </w:r>
    </w:p>
    <w:p w14:paraId="6B1C836C" w14:textId="77777777" w:rsidR="006B2762" w:rsidRPr="00F11127" w:rsidRDefault="00357FA2" w:rsidP="00BD1D20">
      <w:pPr>
        <w:pStyle w:val="Naslov1"/>
        <w:numPr>
          <w:ilvl w:val="0"/>
          <w:numId w:val="3"/>
        </w:numPr>
        <w:rPr>
          <w:rFonts w:cstheme="majorHAnsi"/>
        </w:rPr>
      </w:pPr>
      <w:bookmarkStart w:id="374" w:name="_Toc210033874"/>
      <w:r w:rsidRPr="00F11127">
        <w:rPr>
          <w:rFonts w:cstheme="majorHAnsi"/>
        </w:rPr>
        <w:lastRenderedPageBreak/>
        <w:t>ANALIZA TVEGANJ IN ANALIZA OBČUTLJIVOSTI</w:t>
      </w:r>
      <w:bookmarkEnd w:id="374"/>
    </w:p>
    <w:p w14:paraId="3FEABA60" w14:textId="77777777" w:rsidR="000F39AE" w:rsidRPr="00F11127" w:rsidRDefault="000F39AE"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75" w:name="_Toc210033875"/>
      <w:r w:rsidRPr="00F11127">
        <w:rPr>
          <w:rFonts w:asciiTheme="majorHAnsi" w:eastAsiaTheme="majorEastAsia" w:hAnsiTheme="majorHAnsi" w:cstheme="majorHAnsi"/>
          <w:color w:val="244061" w:themeColor="accent1" w:themeShade="80"/>
        </w:rPr>
        <w:t>Analiza tveganj</w:t>
      </w:r>
      <w:bookmarkEnd w:id="375"/>
    </w:p>
    <w:p w14:paraId="2AFCBD55" w14:textId="353243A1" w:rsidR="00D04FFD" w:rsidRPr="00F11127" w:rsidRDefault="00D04FFD"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Analiza tveganja je ocenjevanje verjetnosti, da s projektom ne bo pričakovanih dosežkov. Če je mogoče to verjetnost številčno izraziti</w:t>
      </w:r>
      <w:r w:rsidR="000655A0">
        <w:rPr>
          <w:rFonts w:asciiTheme="majorHAnsi" w:hAnsiTheme="majorHAnsi" w:cstheme="majorHAnsi"/>
          <w:sz w:val="22"/>
          <w:szCs w:val="22"/>
        </w:rPr>
        <w:t>,</w:t>
      </w:r>
      <w:r w:rsidRPr="00F11127">
        <w:rPr>
          <w:rFonts w:asciiTheme="majorHAnsi" w:hAnsiTheme="majorHAnsi" w:cstheme="majorHAnsi"/>
          <w:sz w:val="22"/>
          <w:szCs w:val="22"/>
        </w:rPr>
        <w:t xml:space="preserve"> se </w:t>
      </w:r>
      <w:r w:rsidR="000655A0">
        <w:rPr>
          <w:rFonts w:asciiTheme="majorHAnsi" w:hAnsiTheme="majorHAnsi" w:cstheme="majorHAnsi"/>
          <w:sz w:val="22"/>
          <w:szCs w:val="22"/>
        </w:rPr>
        <w:t xml:space="preserve">le-ta </w:t>
      </w:r>
      <w:r w:rsidRPr="00F11127">
        <w:rPr>
          <w:rFonts w:asciiTheme="majorHAnsi" w:hAnsiTheme="majorHAnsi" w:cstheme="majorHAnsi"/>
          <w:sz w:val="22"/>
          <w:szCs w:val="22"/>
        </w:rPr>
        <w:t xml:space="preserve">imenuje stopnja tveganja. Analiza zajema ovrednotenje projektnih (tveganje razvoja projekta, tveganje izvedbe in obratovanja projekta) in splošnih tveganj (politična, narodno-gospodarska, družbeno-kulturna in druga tveganja). </w:t>
      </w:r>
    </w:p>
    <w:p w14:paraId="3CF83228" w14:textId="77777777" w:rsidR="00D04FFD" w:rsidRPr="00F11127" w:rsidRDefault="00D04FFD"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Druga tveganja ne bodo bistveno spremenila poteka projekta, gre pa zlasti za nepredvidene dogodke med samo izvedbo projekta, ki bi lahko zakasnili ali podražili celotni projekt. </w:t>
      </w:r>
    </w:p>
    <w:p w14:paraId="18A8FEED" w14:textId="77777777" w:rsidR="00D04FFD" w:rsidRPr="00F11127" w:rsidRDefault="00D04FFD"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 xml:space="preserve">Ti dogodki bi imeli tako nizek vpliv na celoten projekt, prav tako je verjetnost teh dogodkov razmeroma malo verjetna, čeprav mogoča. </w:t>
      </w:r>
      <w:r w:rsidRPr="00F11127">
        <w:rPr>
          <w:rFonts w:asciiTheme="majorHAnsi" w:eastAsia="Arial Unicode MS" w:hAnsiTheme="majorHAnsi" w:cstheme="majorHAnsi"/>
          <w:sz w:val="22"/>
          <w:szCs w:val="22"/>
        </w:rPr>
        <w:t xml:space="preserve">V nadaljevanju prikazujemo 3 kritične skupine tveganj in sicer: tveganja razvoja projekta in splošna tveganja, tveganja izvedbe projekta ter tveganja, ki lahko nastanejo v fazi obratovanja projekta, vključno s prikazom njihovega vpliva ter možnost nastanka. </w:t>
      </w:r>
    </w:p>
    <w:p w14:paraId="26488E22" w14:textId="32CF95D5" w:rsidR="00D04FFD" w:rsidRDefault="00D04FFD" w:rsidP="00BD1D20">
      <w:pPr>
        <w:spacing w:after="120" w:line="276" w:lineRule="auto"/>
        <w:jc w:val="both"/>
        <w:rPr>
          <w:rFonts w:asciiTheme="majorHAnsi" w:hAnsiTheme="majorHAnsi" w:cstheme="majorHAnsi"/>
          <w:sz w:val="22"/>
          <w:szCs w:val="22"/>
        </w:rPr>
      </w:pPr>
      <w:r w:rsidRPr="00F11127">
        <w:rPr>
          <w:rFonts w:asciiTheme="majorHAnsi" w:eastAsia="Arial Unicode MS" w:hAnsiTheme="majorHAnsi" w:cstheme="majorHAnsi"/>
          <w:sz w:val="22"/>
          <w:szCs w:val="22"/>
        </w:rPr>
        <w:t>Natančnejši prikaz tveganj je predstavljen v spodnji tabeli »</w:t>
      </w:r>
      <w:r w:rsidRPr="00F11127">
        <w:rPr>
          <w:rFonts w:asciiTheme="majorHAnsi" w:hAnsiTheme="majorHAnsi" w:cstheme="majorHAnsi"/>
          <w:sz w:val="22"/>
          <w:szCs w:val="22"/>
        </w:rPr>
        <w:t>Analiza tveganj za obravnavan celotni projekt«.</w:t>
      </w:r>
    </w:p>
    <w:p w14:paraId="4881857E" w14:textId="77777777" w:rsidR="000F39AE" w:rsidRPr="00F11127" w:rsidRDefault="000F39AE" w:rsidP="00BD1D20">
      <w:pPr>
        <w:spacing w:after="120" w:line="276" w:lineRule="auto"/>
        <w:rPr>
          <w:rFonts w:asciiTheme="majorHAnsi" w:eastAsia="Arial Unicode MS" w:hAnsiTheme="majorHAnsi" w:cstheme="majorHAnsi"/>
          <w:u w:val="single"/>
        </w:rPr>
      </w:pPr>
      <w:r w:rsidRPr="00F11127">
        <w:rPr>
          <w:rFonts w:asciiTheme="majorHAnsi" w:eastAsia="Arial Unicode MS" w:hAnsiTheme="majorHAnsi" w:cstheme="majorHAnsi"/>
          <w:u w:val="single"/>
        </w:rPr>
        <w:t>Legenda:</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69"/>
        <w:gridCol w:w="2276"/>
        <w:gridCol w:w="2263"/>
        <w:gridCol w:w="2253"/>
      </w:tblGrid>
      <w:tr w:rsidR="00A73121" w:rsidRPr="00F11127" w14:paraId="71379DBC" w14:textId="77777777" w:rsidTr="000F39AE">
        <w:trPr>
          <w:trHeight w:val="348"/>
        </w:trPr>
        <w:tc>
          <w:tcPr>
            <w:tcW w:w="2373" w:type="dxa"/>
            <w:vMerge w:val="restart"/>
            <w:shd w:val="clear" w:color="auto" w:fill="B8CCE4" w:themeFill="accent1" w:themeFillTint="66"/>
            <w:vAlign w:val="center"/>
          </w:tcPr>
          <w:p w14:paraId="2BEB1621" w14:textId="77777777" w:rsidR="000F39AE" w:rsidRPr="00F11127" w:rsidRDefault="000F39AE" w:rsidP="00BD1D20">
            <w:pPr>
              <w:spacing w:line="276" w:lineRule="auto"/>
              <w:jc w:val="center"/>
              <w:rPr>
                <w:rFonts w:asciiTheme="majorHAnsi" w:eastAsia="Arial Unicode MS" w:hAnsiTheme="majorHAnsi" w:cstheme="majorHAnsi"/>
                <w:u w:val="single"/>
              </w:rPr>
            </w:pPr>
            <w:r w:rsidRPr="00F11127">
              <w:rPr>
                <w:rFonts w:asciiTheme="majorHAnsi" w:hAnsiTheme="majorHAnsi" w:cstheme="majorHAnsi"/>
              </w:rPr>
              <w:t>*Stopnja tveganja:</w:t>
            </w:r>
          </w:p>
        </w:tc>
        <w:tc>
          <w:tcPr>
            <w:tcW w:w="2374" w:type="dxa"/>
          </w:tcPr>
          <w:p w14:paraId="74BCC448"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1 = majhna verjetnost</w:t>
            </w:r>
          </w:p>
        </w:tc>
        <w:tc>
          <w:tcPr>
            <w:tcW w:w="2374" w:type="dxa"/>
            <w:vMerge w:val="restart"/>
            <w:shd w:val="clear" w:color="auto" w:fill="B8CCE4" w:themeFill="accent1" w:themeFillTint="66"/>
            <w:vAlign w:val="center"/>
          </w:tcPr>
          <w:p w14:paraId="08C2E543" w14:textId="77777777" w:rsidR="000F39AE" w:rsidRPr="00F11127" w:rsidRDefault="000F39AE" w:rsidP="00BD1D20">
            <w:pPr>
              <w:spacing w:line="276" w:lineRule="auto"/>
              <w:jc w:val="center"/>
              <w:rPr>
                <w:rFonts w:asciiTheme="majorHAnsi" w:eastAsia="Arial Unicode MS" w:hAnsiTheme="majorHAnsi" w:cstheme="majorHAnsi"/>
                <w:u w:val="single"/>
              </w:rPr>
            </w:pPr>
            <w:r w:rsidRPr="00F11127">
              <w:rPr>
                <w:rFonts w:asciiTheme="majorHAnsi" w:hAnsiTheme="majorHAnsi" w:cstheme="majorHAnsi"/>
              </w:rPr>
              <w:t>**Ocena vpliva:</w:t>
            </w:r>
          </w:p>
        </w:tc>
        <w:tc>
          <w:tcPr>
            <w:tcW w:w="2374" w:type="dxa"/>
          </w:tcPr>
          <w:p w14:paraId="37E1EC6B"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0 = ni vpliva</w:t>
            </w:r>
          </w:p>
        </w:tc>
      </w:tr>
      <w:tr w:rsidR="00A73121" w:rsidRPr="00F11127" w14:paraId="607CDFCE" w14:textId="77777777" w:rsidTr="000F39AE">
        <w:trPr>
          <w:trHeight w:val="349"/>
        </w:trPr>
        <w:tc>
          <w:tcPr>
            <w:tcW w:w="2373" w:type="dxa"/>
            <w:vMerge/>
            <w:shd w:val="clear" w:color="auto" w:fill="B8CCE4" w:themeFill="accent1" w:themeFillTint="66"/>
          </w:tcPr>
          <w:p w14:paraId="7DAB1F78"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28E32745"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3 = srednja verjetnost</w:t>
            </w:r>
          </w:p>
        </w:tc>
        <w:tc>
          <w:tcPr>
            <w:tcW w:w="2374" w:type="dxa"/>
            <w:vMerge/>
            <w:shd w:val="clear" w:color="auto" w:fill="B8CCE4" w:themeFill="accent1" w:themeFillTint="66"/>
          </w:tcPr>
          <w:p w14:paraId="2D665277"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4976753F" w14:textId="77777777" w:rsidR="000F39AE" w:rsidRPr="00F11127" w:rsidRDefault="000F39AE" w:rsidP="00BD1D20">
            <w:pPr>
              <w:spacing w:line="276" w:lineRule="auto"/>
              <w:rPr>
                <w:rFonts w:asciiTheme="majorHAnsi" w:hAnsiTheme="majorHAnsi" w:cstheme="majorHAnsi"/>
              </w:rPr>
            </w:pPr>
            <w:r w:rsidRPr="00F11127">
              <w:rPr>
                <w:rFonts w:asciiTheme="majorHAnsi" w:hAnsiTheme="majorHAnsi" w:cstheme="majorHAnsi"/>
              </w:rPr>
              <w:t>1 = majhen vpliv</w:t>
            </w:r>
          </w:p>
        </w:tc>
      </w:tr>
      <w:tr w:rsidR="00A73121" w:rsidRPr="00F11127" w14:paraId="53FB3320" w14:textId="77777777" w:rsidTr="000F39AE">
        <w:trPr>
          <w:trHeight w:val="348"/>
        </w:trPr>
        <w:tc>
          <w:tcPr>
            <w:tcW w:w="2373" w:type="dxa"/>
            <w:vMerge/>
            <w:shd w:val="clear" w:color="auto" w:fill="B8CCE4" w:themeFill="accent1" w:themeFillTint="66"/>
          </w:tcPr>
          <w:p w14:paraId="31A2CD96"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4DB5AE9C"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5 = velika verjetnost</w:t>
            </w:r>
          </w:p>
        </w:tc>
        <w:tc>
          <w:tcPr>
            <w:tcW w:w="2374" w:type="dxa"/>
            <w:vMerge/>
            <w:shd w:val="clear" w:color="auto" w:fill="B8CCE4" w:themeFill="accent1" w:themeFillTint="66"/>
          </w:tcPr>
          <w:p w14:paraId="4DF87C93"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50CFEE71"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3 = srednji vpliv</w:t>
            </w:r>
          </w:p>
        </w:tc>
      </w:tr>
      <w:tr w:rsidR="000F39AE" w:rsidRPr="00F11127" w14:paraId="5B65ACC6" w14:textId="77777777" w:rsidTr="005E1D49">
        <w:trPr>
          <w:trHeight w:val="349"/>
        </w:trPr>
        <w:tc>
          <w:tcPr>
            <w:tcW w:w="2373" w:type="dxa"/>
          </w:tcPr>
          <w:p w14:paraId="66E536CD"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0274510F"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vMerge/>
            <w:shd w:val="clear" w:color="auto" w:fill="B8CCE4" w:themeFill="accent1" w:themeFillTint="66"/>
          </w:tcPr>
          <w:p w14:paraId="43566638" w14:textId="77777777" w:rsidR="000F39AE" w:rsidRPr="00F11127" w:rsidRDefault="000F39AE" w:rsidP="00BD1D20">
            <w:pPr>
              <w:spacing w:line="276" w:lineRule="auto"/>
              <w:rPr>
                <w:rFonts w:asciiTheme="majorHAnsi" w:eastAsia="Arial Unicode MS" w:hAnsiTheme="majorHAnsi" w:cstheme="majorHAnsi"/>
                <w:u w:val="single"/>
              </w:rPr>
            </w:pPr>
          </w:p>
        </w:tc>
        <w:tc>
          <w:tcPr>
            <w:tcW w:w="2374" w:type="dxa"/>
          </w:tcPr>
          <w:p w14:paraId="649C4DE8" w14:textId="77777777" w:rsidR="000F39AE" w:rsidRPr="00F11127" w:rsidRDefault="000F39AE" w:rsidP="00BD1D20">
            <w:pPr>
              <w:spacing w:line="276" w:lineRule="auto"/>
              <w:rPr>
                <w:rFonts w:asciiTheme="majorHAnsi" w:eastAsia="Arial Unicode MS" w:hAnsiTheme="majorHAnsi" w:cstheme="majorHAnsi"/>
                <w:u w:val="single"/>
              </w:rPr>
            </w:pPr>
            <w:r w:rsidRPr="00F11127">
              <w:rPr>
                <w:rFonts w:asciiTheme="majorHAnsi" w:hAnsiTheme="majorHAnsi" w:cstheme="majorHAnsi"/>
              </w:rPr>
              <w:t>5 = velik vpliv</w:t>
            </w:r>
          </w:p>
        </w:tc>
      </w:tr>
    </w:tbl>
    <w:p w14:paraId="66A20C8E" w14:textId="77777777" w:rsidR="000F39AE" w:rsidRPr="00F11127" w:rsidRDefault="000F39AE" w:rsidP="00BD1D20">
      <w:pPr>
        <w:spacing w:line="276" w:lineRule="auto"/>
        <w:rPr>
          <w:rFonts w:asciiTheme="majorHAnsi" w:hAnsiTheme="majorHAnsi" w:cstheme="majorHAnsi"/>
          <w:highlight w:val="yellow"/>
        </w:rPr>
      </w:pPr>
    </w:p>
    <w:p w14:paraId="71C8A19D" w14:textId="77777777" w:rsidR="000F39AE" w:rsidRPr="00F11127" w:rsidRDefault="000F39AE" w:rsidP="00BD1D20">
      <w:pPr>
        <w:spacing w:line="276" w:lineRule="auto"/>
        <w:rPr>
          <w:rFonts w:asciiTheme="majorHAnsi" w:hAnsiTheme="majorHAnsi" w:cstheme="majorHAnsi"/>
          <w:highlight w:val="yellow"/>
        </w:rPr>
        <w:sectPr w:rsidR="000F39AE" w:rsidRPr="00F11127" w:rsidSect="00480057">
          <w:headerReference w:type="default" r:id="rId106"/>
          <w:headerReference w:type="first" r:id="rId107"/>
          <w:pgSz w:w="11906" w:h="16838"/>
          <w:pgMar w:top="1134" w:right="1417" w:bottom="1417" w:left="1418" w:header="708" w:footer="708" w:gutter="0"/>
          <w:cols w:space="708"/>
          <w:titlePg/>
          <w:docGrid w:linePitch="360"/>
        </w:sectPr>
      </w:pPr>
    </w:p>
    <w:p w14:paraId="38ECF1CE" w14:textId="469AA5B9" w:rsidR="000F39AE" w:rsidRPr="00F11127" w:rsidRDefault="000F39AE" w:rsidP="00BD1D20">
      <w:pPr>
        <w:pStyle w:val="Napis"/>
        <w:keepNext/>
        <w:spacing w:after="120" w:line="276" w:lineRule="auto"/>
        <w:rPr>
          <w:rFonts w:asciiTheme="majorHAnsi" w:hAnsiTheme="majorHAnsi" w:cstheme="majorHAnsi"/>
          <w:b w:val="0"/>
          <w:color w:val="auto"/>
          <w:sz w:val="22"/>
          <w:szCs w:val="22"/>
        </w:rPr>
      </w:pPr>
      <w:bookmarkStart w:id="376" w:name="_Toc209528318"/>
      <w:r w:rsidRPr="00F11127">
        <w:rPr>
          <w:rFonts w:asciiTheme="majorHAnsi" w:hAnsiTheme="majorHAnsi" w:cstheme="majorHAnsi"/>
          <w:color w:val="auto"/>
          <w:sz w:val="22"/>
          <w:szCs w:val="22"/>
        </w:rPr>
        <w:lastRenderedPageBreak/>
        <w:t xml:space="preserve">Tabela </w:t>
      </w:r>
      <w:r w:rsidR="00050C93" w:rsidRPr="00F11127">
        <w:rPr>
          <w:rFonts w:asciiTheme="majorHAnsi" w:hAnsiTheme="majorHAnsi" w:cstheme="majorHAnsi"/>
          <w:color w:val="auto"/>
          <w:sz w:val="22"/>
          <w:szCs w:val="22"/>
        </w:rPr>
        <w:fldChar w:fldCharType="begin"/>
      </w:r>
      <w:r w:rsidRPr="00F11127">
        <w:rPr>
          <w:rFonts w:asciiTheme="majorHAnsi" w:hAnsiTheme="majorHAnsi" w:cstheme="majorHAnsi"/>
          <w:color w:val="auto"/>
          <w:sz w:val="22"/>
          <w:szCs w:val="22"/>
        </w:rPr>
        <w:instrText xml:space="preserve"> SEQ Tabela \* ARABIC </w:instrText>
      </w:r>
      <w:r w:rsidR="00050C93" w:rsidRPr="00F11127">
        <w:rPr>
          <w:rFonts w:asciiTheme="majorHAnsi" w:hAnsiTheme="majorHAnsi" w:cstheme="majorHAnsi"/>
          <w:color w:val="auto"/>
          <w:sz w:val="22"/>
          <w:szCs w:val="22"/>
        </w:rPr>
        <w:fldChar w:fldCharType="separate"/>
      </w:r>
      <w:r w:rsidR="00E74D26">
        <w:rPr>
          <w:rFonts w:asciiTheme="majorHAnsi" w:hAnsiTheme="majorHAnsi" w:cstheme="majorHAnsi"/>
          <w:noProof/>
          <w:color w:val="auto"/>
          <w:sz w:val="22"/>
          <w:szCs w:val="22"/>
        </w:rPr>
        <w:t>32</w:t>
      </w:r>
      <w:r w:rsidR="00050C93" w:rsidRPr="00F11127">
        <w:rPr>
          <w:rFonts w:asciiTheme="majorHAnsi" w:hAnsiTheme="majorHAnsi" w:cstheme="majorHAnsi"/>
          <w:color w:val="auto"/>
          <w:sz w:val="22"/>
          <w:szCs w:val="22"/>
        </w:rPr>
        <w:fldChar w:fldCharType="end"/>
      </w:r>
      <w:r w:rsidRPr="00F11127">
        <w:rPr>
          <w:rFonts w:asciiTheme="majorHAnsi" w:hAnsiTheme="majorHAnsi" w:cstheme="majorHAnsi"/>
          <w:color w:val="auto"/>
          <w:sz w:val="22"/>
          <w:szCs w:val="22"/>
        </w:rPr>
        <w:t>:</w:t>
      </w:r>
      <w:r w:rsidRPr="00F11127">
        <w:rPr>
          <w:rFonts w:asciiTheme="majorHAnsi" w:hAnsiTheme="majorHAnsi" w:cstheme="majorHAnsi"/>
          <w:b w:val="0"/>
          <w:color w:val="auto"/>
          <w:sz w:val="22"/>
          <w:szCs w:val="22"/>
        </w:rPr>
        <w:t xml:space="preserve"> Analiza tveganj za obravnavan celotni projekt</w:t>
      </w:r>
      <w:bookmarkEnd w:id="376"/>
    </w:p>
    <w:p w14:paraId="750549B8" w14:textId="77777777" w:rsidR="00D04FFD" w:rsidRPr="00F11127" w:rsidRDefault="00D04FFD" w:rsidP="00BD1D20">
      <w:pPr>
        <w:spacing w:line="276" w:lineRule="auto"/>
        <w:rPr>
          <w:rFonts w:asciiTheme="majorHAnsi" w:hAnsiTheme="majorHAnsi" w:cstheme="majorHAnsi"/>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9"/>
        <w:gridCol w:w="2373"/>
        <w:gridCol w:w="1533"/>
        <w:gridCol w:w="3629"/>
        <w:gridCol w:w="4123"/>
      </w:tblGrid>
      <w:tr w:rsidR="00F002C9" w:rsidRPr="00F11127" w14:paraId="6737CE6D" w14:textId="77777777" w:rsidTr="00F002C9">
        <w:tc>
          <w:tcPr>
            <w:tcW w:w="917" w:type="pct"/>
            <w:shd w:val="clear" w:color="auto" w:fill="BFBFBF"/>
            <w:vAlign w:val="center"/>
          </w:tcPr>
          <w:p w14:paraId="66EA0889"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Tveganja</w:t>
            </w:r>
          </w:p>
        </w:tc>
        <w:tc>
          <w:tcPr>
            <w:tcW w:w="831" w:type="pct"/>
            <w:shd w:val="clear" w:color="auto" w:fill="BFBFBF"/>
            <w:vAlign w:val="center"/>
          </w:tcPr>
          <w:p w14:paraId="3B5650CD"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Stopnja tveganj (verjetnost dogodka)*</w:t>
            </w:r>
          </w:p>
        </w:tc>
        <w:tc>
          <w:tcPr>
            <w:tcW w:w="537" w:type="pct"/>
            <w:shd w:val="clear" w:color="auto" w:fill="BFBFBF"/>
            <w:vAlign w:val="center"/>
          </w:tcPr>
          <w:p w14:paraId="7966AAED"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Ocena vpliva**</w:t>
            </w:r>
          </w:p>
        </w:tc>
        <w:tc>
          <w:tcPr>
            <w:tcW w:w="1271" w:type="pct"/>
            <w:shd w:val="clear" w:color="auto" w:fill="BFBFBF"/>
            <w:vAlign w:val="center"/>
          </w:tcPr>
          <w:p w14:paraId="72B839DC"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Posledice tveganj</w:t>
            </w:r>
          </w:p>
        </w:tc>
        <w:tc>
          <w:tcPr>
            <w:tcW w:w="1444" w:type="pct"/>
            <w:shd w:val="clear" w:color="auto" w:fill="BFBFBF"/>
            <w:vAlign w:val="center"/>
          </w:tcPr>
          <w:p w14:paraId="20909F31"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Ukrepi za zmanjšanje tveganj</w:t>
            </w:r>
          </w:p>
        </w:tc>
      </w:tr>
      <w:tr w:rsidR="00F002C9" w:rsidRPr="00F11127" w14:paraId="3A75C167" w14:textId="77777777" w:rsidTr="00F002C9">
        <w:trPr>
          <w:trHeight w:val="369"/>
        </w:trPr>
        <w:tc>
          <w:tcPr>
            <w:tcW w:w="5000" w:type="pct"/>
            <w:gridSpan w:val="5"/>
            <w:shd w:val="clear" w:color="auto" w:fill="E5B8B7"/>
            <w:vAlign w:val="center"/>
          </w:tcPr>
          <w:p w14:paraId="62F70B34" w14:textId="77777777" w:rsidR="00F002C9" w:rsidRPr="00F11127" w:rsidRDefault="00F002C9" w:rsidP="00BD1D20">
            <w:pPr>
              <w:numPr>
                <w:ilvl w:val="0"/>
                <w:numId w:val="18"/>
              </w:numPr>
              <w:overflowPunct w:val="0"/>
              <w:autoSpaceDE w:val="0"/>
              <w:autoSpaceDN w:val="0"/>
              <w:adjustRightInd w:val="0"/>
              <w:spacing w:line="276" w:lineRule="auto"/>
              <w:ind w:left="284" w:hanging="284"/>
              <w:contextualSpacing/>
              <w:jc w:val="both"/>
              <w:textAlignment w:val="baseline"/>
              <w:rPr>
                <w:rFonts w:asciiTheme="majorHAnsi" w:eastAsia="Arial Unicode MS" w:hAnsiTheme="majorHAnsi" w:cstheme="majorHAnsi"/>
                <w:sz w:val="20"/>
                <w:szCs w:val="20"/>
                <w:lang w:eastAsia="zh-TW"/>
              </w:rPr>
            </w:pPr>
            <w:r w:rsidRPr="00F11127">
              <w:rPr>
                <w:rFonts w:asciiTheme="majorHAnsi" w:eastAsia="Arial Unicode MS" w:hAnsiTheme="majorHAnsi" w:cstheme="majorHAnsi"/>
                <w:b/>
                <w:sz w:val="20"/>
                <w:szCs w:val="20"/>
                <w:lang w:eastAsia="zh-TW"/>
              </w:rPr>
              <w:t>TVEGANJA RAZVOJA PROJEKTA IN SPLOŠNA TVEGANJA</w:t>
            </w:r>
          </w:p>
        </w:tc>
      </w:tr>
      <w:tr w:rsidR="00F002C9" w:rsidRPr="00F11127" w14:paraId="55EE28E1" w14:textId="77777777" w:rsidTr="00F002C9">
        <w:tc>
          <w:tcPr>
            <w:tcW w:w="917" w:type="pct"/>
            <w:vAlign w:val="center"/>
          </w:tcPr>
          <w:p w14:paraId="52895B64"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Tveganje zaradi imenovanja neizkušenega in strokovno neusposobljenega odgovornega vodje za izvedbo investicijskega projekta. </w:t>
            </w:r>
          </w:p>
        </w:tc>
        <w:tc>
          <w:tcPr>
            <w:tcW w:w="831" w:type="pct"/>
            <w:vAlign w:val="center"/>
          </w:tcPr>
          <w:p w14:paraId="7A83F666"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3390968D"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4CEC5D7D"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22CB5C14"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5</w:t>
            </w:r>
          </w:p>
        </w:tc>
        <w:tc>
          <w:tcPr>
            <w:tcW w:w="1271" w:type="pct"/>
            <w:vAlign w:val="center"/>
          </w:tcPr>
          <w:p w14:paraId="6E9832AB" w14:textId="0CE31905"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Projekt ne bo uspešn</w:t>
            </w:r>
            <w:r w:rsidR="00C4520E">
              <w:rPr>
                <w:rFonts w:asciiTheme="majorHAnsi" w:eastAsia="Arial Unicode MS" w:hAnsiTheme="majorHAnsi" w:cstheme="majorHAnsi"/>
                <w:bCs/>
                <w:kern w:val="28"/>
                <w:sz w:val="20"/>
                <w:szCs w:val="20"/>
              </w:rPr>
              <w:t>o voden in pravočasno zaključen.</w:t>
            </w:r>
          </w:p>
          <w:p w14:paraId="5FDCCE4B" w14:textId="3A6FFD0C"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w:t>
            </w:r>
            <w:r w:rsidR="00C4520E">
              <w:rPr>
                <w:rFonts w:asciiTheme="majorHAnsi" w:eastAsia="Arial Unicode MS" w:hAnsiTheme="majorHAnsi" w:cstheme="majorHAnsi"/>
                <w:bCs/>
                <w:kern w:val="28"/>
                <w:sz w:val="20"/>
                <w:szCs w:val="20"/>
              </w:rPr>
              <w:t>prejemanje napačnih odločitev.</w:t>
            </w:r>
          </w:p>
          <w:p w14:paraId="34E2FCF9" w14:textId="00D05240"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N</w:t>
            </w:r>
            <w:r w:rsidR="00C4520E">
              <w:rPr>
                <w:rFonts w:asciiTheme="majorHAnsi" w:eastAsia="Arial Unicode MS" w:hAnsiTheme="majorHAnsi" w:cstheme="majorHAnsi"/>
                <w:bCs/>
                <w:kern w:val="28"/>
                <w:sz w:val="20"/>
                <w:szCs w:val="20"/>
              </w:rPr>
              <w:t>ejasno delegirane naloge.</w:t>
            </w:r>
          </w:p>
          <w:p w14:paraId="030F9B4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Nejasno opredeljene odgovornosti in pristojnosti udeležencev na projektu.</w:t>
            </w:r>
          </w:p>
        </w:tc>
        <w:tc>
          <w:tcPr>
            <w:tcW w:w="1444" w:type="pct"/>
            <w:vAlign w:val="center"/>
          </w:tcPr>
          <w:p w14:paraId="08C3A1F9" w14:textId="6718FF0F"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Imenovanje izkušenega in strokovno usposobljenega odgovornega vodje za i</w:t>
            </w:r>
            <w:r w:rsidR="00C4520E">
              <w:rPr>
                <w:rFonts w:asciiTheme="majorHAnsi" w:eastAsia="Arial Unicode MS" w:hAnsiTheme="majorHAnsi" w:cstheme="majorHAnsi"/>
                <w:bCs/>
                <w:kern w:val="28"/>
                <w:sz w:val="20"/>
                <w:szCs w:val="20"/>
              </w:rPr>
              <w:t>zvedbo investicijskega projekta.</w:t>
            </w:r>
          </w:p>
          <w:p w14:paraId="54297805"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Zagotovitev zunanjih in notranjih svetovalcev.</w:t>
            </w:r>
          </w:p>
        </w:tc>
      </w:tr>
      <w:tr w:rsidR="00F002C9" w:rsidRPr="00F11127" w14:paraId="6C342108" w14:textId="77777777" w:rsidTr="00F002C9">
        <w:tc>
          <w:tcPr>
            <w:tcW w:w="917" w:type="pct"/>
            <w:vAlign w:val="center"/>
          </w:tcPr>
          <w:p w14:paraId="2CA31ED3"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Tveganje zaradi preobremenjenosti odgovornega vodje za izvedbo investicijskega projekta in članov projektne skupine z drugimi nalogami.</w:t>
            </w:r>
          </w:p>
        </w:tc>
        <w:tc>
          <w:tcPr>
            <w:tcW w:w="831" w:type="pct"/>
            <w:vAlign w:val="center"/>
          </w:tcPr>
          <w:p w14:paraId="08E24B63"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6C72DA6C"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0D3249B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5D41A081"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5</w:t>
            </w:r>
          </w:p>
        </w:tc>
        <w:tc>
          <w:tcPr>
            <w:tcW w:w="1271" w:type="pct"/>
            <w:vAlign w:val="center"/>
          </w:tcPr>
          <w:p w14:paraId="39B75E37" w14:textId="565337EA" w:rsidR="00F002C9" w:rsidRPr="00F11127" w:rsidRDefault="00F002C9" w:rsidP="00BD1D20">
            <w:pPr>
              <w:numPr>
                <w:ilvl w:val="0"/>
                <w:numId w:val="16"/>
              </w:numPr>
              <w:tabs>
                <w:tab w:val="num" w:pos="252"/>
              </w:tabs>
              <w:overflowPunct w:val="0"/>
              <w:autoSpaceDE w:val="0"/>
              <w:autoSpaceDN w:val="0"/>
              <w:adjustRightInd w:val="0"/>
              <w:spacing w:line="276" w:lineRule="auto"/>
              <w:ind w:left="249" w:hanging="249"/>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Projekt ne bo uspešno voden in izveden ter </w:t>
            </w:r>
            <w:r w:rsidR="00C4520E">
              <w:rPr>
                <w:rFonts w:asciiTheme="majorHAnsi" w:eastAsia="Arial Unicode MS" w:hAnsiTheme="majorHAnsi" w:cstheme="majorHAnsi"/>
                <w:bCs/>
                <w:kern w:val="28"/>
                <w:sz w:val="20"/>
                <w:szCs w:val="20"/>
              </w:rPr>
              <w:t>pravočasno zaključen.</w:t>
            </w:r>
          </w:p>
          <w:p w14:paraId="4AA6264B" w14:textId="77777777" w:rsidR="00F002C9" w:rsidRPr="00F11127" w:rsidRDefault="00F002C9" w:rsidP="00BD1D20">
            <w:pPr>
              <w:numPr>
                <w:ilvl w:val="0"/>
                <w:numId w:val="16"/>
              </w:numPr>
              <w:tabs>
                <w:tab w:val="num" w:pos="252"/>
              </w:tabs>
              <w:overflowPunct w:val="0"/>
              <w:autoSpaceDE w:val="0"/>
              <w:autoSpaceDN w:val="0"/>
              <w:adjustRightInd w:val="0"/>
              <w:spacing w:line="276" w:lineRule="auto"/>
              <w:ind w:left="249" w:hanging="249"/>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Projekt ne bo primerno spremljan in posledično se bodo nastali problemi reševali na daljše časovno obdobje.</w:t>
            </w:r>
          </w:p>
        </w:tc>
        <w:tc>
          <w:tcPr>
            <w:tcW w:w="1444" w:type="pct"/>
            <w:vAlign w:val="center"/>
          </w:tcPr>
          <w:p w14:paraId="6317DB91" w14:textId="09B705E1" w:rsidR="00F002C9" w:rsidRPr="00F11127" w:rsidRDefault="00F002C9" w:rsidP="00BD1D20">
            <w:pPr>
              <w:numPr>
                <w:ilvl w:val="0"/>
                <w:numId w:val="16"/>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Imenovanje izkušenega in usposobljenega strokovnega vodje, ki ni p</w:t>
            </w:r>
            <w:r w:rsidR="00C4520E">
              <w:rPr>
                <w:rFonts w:asciiTheme="majorHAnsi" w:eastAsia="Arial Unicode MS" w:hAnsiTheme="majorHAnsi" w:cstheme="majorHAnsi"/>
                <w:bCs/>
                <w:kern w:val="28"/>
                <w:sz w:val="20"/>
                <w:szCs w:val="20"/>
              </w:rPr>
              <w:t>reobremenjen z drugimi nalogami.</w:t>
            </w:r>
          </w:p>
          <w:p w14:paraId="254F3F17" w14:textId="77777777" w:rsidR="00F002C9" w:rsidRPr="00F11127" w:rsidRDefault="00F002C9" w:rsidP="00BD1D20">
            <w:pPr>
              <w:numPr>
                <w:ilvl w:val="0"/>
                <w:numId w:val="16"/>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Imenovanje ustreznih članov projektne skupine, ki niso preobremenjeni z drugimi nalogami.</w:t>
            </w:r>
          </w:p>
        </w:tc>
      </w:tr>
      <w:tr w:rsidR="00F002C9" w:rsidRPr="00F11127" w14:paraId="31FB4C22" w14:textId="77777777" w:rsidTr="00F002C9">
        <w:tc>
          <w:tcPr>
            <w:tcW w:w="917" w:type="pct"/>
            <w:vAlign w:val="center"/>
          </w:tcPr>
          <w:p w14:paraId="26E41B48" w14:textId="3012AFCC"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Tveganje zaradi neskladnosti projekta s strategijo </w:t>
            </w:r>
            <w:r w:rsidR="00557BD9" w:rsidRPr="00F11127">
              <w:rPr>
                <w:rFonts w:asciiTheme="majorHAnsi" w:eastAsia="Arial Unicode MS" w:hAnsiTheme="majorHAnsi" w:cstheme="majorHAnsi"/>
                <w:bCs/>
                <w:kern w:val="28"/>
                <w:sz w:val="20"/>
                <w:szCs w:val="20"/>
              </w:rPr>
              <w:t>O</w:t>
            </w:r>
            <w:r w:rsidRPr="00F11127">
              <w:rPr>
                <w:rFonts w:asciiTheme="majorHAnsi" w:eastAsia="Arial Unicode MS" w:hAnsiTheme="majorHAnsi" w:cstheme="majorHAnsi"/>
                <w:bCs/>
                <w:kern w:val="28"/>
                <w:sz w:val="20"/>
                <w:szCs w:val="20"/>
              </w:rPr>
              <w:t xml:space="preserve">bčine </w:t>
            </w:r>
            <w:r w:rsidR="001C283B">
              <w:rPr>
                <w:rFonts w:asciiTheme="majorHAnsi" w:eastAsia="Arial Unicode MS" w:hAnsiTheme="majorHAnsi" w:cstheme="majorHAnsi"/>
                <w:bCs/>
                <w:kern w:val="28"/>
                <w:sz w:val="20"/>
                <w:szCs w:val="20"/>
              </w:rPr>
              <w:t>Ig</w:t>
            </w:r>
            <w:r w:rsidRPr="00F11127">
              <w:rPr>
                <w:rFonts w:asciiTheme="majorHAnsi" w:eastAsia="Arial Unicode MS" w:hAnsiTheme="majorHAnsi" w:cstheme="majorHAnsi"/>
                <w:bCs/>
                <w:kern w:val="28"/>
                <w:sz w:val="20"/>
                <w:szCs w:val="20"/>
              </w:rPr>
              <w:t>.</w:t>
            </w:r>
          </w:p>
        </w:tc>
        <w:tc>
          <w:tcPr>
            <w:tcW w:w="831" w:type="pct"/>
            <w:vAlign w:val="center"/>
          </w:tcPr>
          <w:p w14:paraId="17F757E0"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06F2E121"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2EB35DAC"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321D492E"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1</w:t>
            </w:r>
          </w:p>
        </w:tc>
        <w:tc>
          <w:tcPr>
            <w:tcW w:w="1271" w:type="pct"/>
            <w:vAlign w:val="center"/>
          </w:tcPr>
          <w:p w14:paraId="288D3E4F" w14:textId="734FE6C0" w:rsidR="00F002C9" w:rsidRPr="00F11127" w:rsidRDefault="00F002C9" w:rsidP="00BD1D20">
            <w:pPr>
              <w:numPr>
                <w:ilvl w:val="0"/>
                <w:numId w:val="16"/>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Neus</w:t>
            </w:r>
            <w:r w:rsidR="00C4520E">
              <w:rPr>
                <w:rFonts w:asciiTheme="majorHAnsi" w:eastAsia="Arial Unicode MS" w:hAnsiTheme="majorHAnsi" w:cstheme="majorHAnsi"/>
                <w:bCs/>
                <w:kern w:val="28"/>
                <w:sz w:val="20"/>
                <w:szCs w:val="20"/>
              </w:rPr>
              <w:t>klajenost projekta s strategijo.</w:t>
            </w:r>
          </w:p>
          <w:p w14:paraId="4D9C12F2" w14:textId="77777777" w:rsidR="00F002C9" w:rsidRPr="00F11127" w:rsidRDefault="00F002C9" w:rsidP="00BD1D20">
            <w:pPr>
              <w:numPr>
                <w:ilvl w:val="0"/>
                <w:numId w:val="16"/>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Podaljšanje roka izvedbe zaradi potrebnih prilagoditev dokumentacije.</w:t>
            </w:r>
          </w:p>
        </w:tc>
        <w:tc>
          <w:tcPr>
            <w:tcW w:w="1444" w:type="pct"/>
            <w:vAlign w:val="center"/>
          </w:tcPr>
          <w:p w14:paraId="778FBB3B" w14:textId="4ED4E9F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Sodelovanje </w:t>
            </w:r>
            <w:r w:rsidR="00557BD9" w:rsidRPr="00F11127">
              <w:rPr>
                <w:rFonts w:asciiTheme="majorHAnsi" w:eastAsia="Arial Unicode MS" w:hAnsiTheme="majorHAnsi" w:cstheme="majorHAnsi"/>
                <w:bCs/>
                <w:kern w:val="28"/>
                <w:sz w:val="20"/>
                <w:szCs w:val="20"/>
              </w:rPr>
              <w:t xml:space="preserve">Občine </w:t>
            </w:r>
            <w:r w:rsidR="001C283B">
              <w:rPr>
                <w:rFonts w:asciiTheme="majorHAnsi" w:eastAsia="Arial Unicode MS" w:hAnsiTheme="majorHAnsi" w:cstheme="majorHAnsi"/>
                <w:bCs/>
                <w:kern w:val="28"/>
                <w:sz w:val="20"/>
                <w:szCs w:val="20"/>
              </w:rPr>
              <w:t>Ig</w:t>
            </w:r>
            <w:r w:rsidRPr="00F11127">
              <w:rPr>
                <w:rFonts w:asciiTheme="majorHAnsi" w:eastAsia="Arial Unicode MS" w:hAnsiTheme="majorHAnsi" w:cstheme="majorHAnsi"/>
                <w:bCs/>
                <w:kern w:val="28"/>
                <w:sz w:val="20"/>
                <w:szCs w:val="20"/>
              </w:rPr>
              <w:t xml:space="preserve"> z izvajalcem projekta ter obveščanje oz. informiranje o vseh veljavnih in sprejeti</w:t>
            </w:r>
            <w:r w:rsidR="00C4520E">
              <w:rPr>
                <w:rFonts w:asciiTheme="majorHAnsi" w:eastAsia="Arial Unicode MS" w:hAnsiTheme="majorHAnsi" w:cstheme="majorHAnsi"/>
                <w:bCs/>
                <w:kern w:val="28"/>
                <w:sz w:val="20"/>
                <w:szCs w:val="20"/>
              </w:rPr>
              <w:t>h strategijah in merilih občine.</w:t>
            </w:r>
          </w:p>
          <w:p w14:paraId="600EC729"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Upoštevanje sprejetih strategij in meril v fazi projektiranja ter kasneje v fazi izvedbe.</w:t>
            </w:r>
          </w:p>
        </w:tc>
      </w:tr>
      <w:tr w:rsidR="00F002C9" w:rsidRPr="00F11127" w14:paraId="192684B0" w14:textId="77777777" w:rsidTr="00F002C9">
        <w:trPr>
          <w:trHeight w:val="463"/>
        </w:trPr>
        <w:tc>
          <w:tcPr>
            <w:tcW w:w="917" w:type="pct"/>
            <w:vAlign w:val="center"/>
          </w:tcPr>
          <w:p w14:paraId="10A47ED5"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Tveganje zaradi spremembe zakonodaje.</w:t>
            </w:r>
          </w:p>
        </w:tc>
        <w:tc>
          <w:tcPr>
            <w:tcW w:w="831" w:type="pct"/>
            <w:vAlign w:val="center"/>
          </w:tcPr>
          <w:p w14:paraId="11A279FD"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212E92C3"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12C110FE"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1</w:t>
            </w:r>
          </w:p>
          <w:p w14:paraId="13B5A51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1</w:t>
            </w:r>
          </w:p>
        </w:tc>
        <w:tc>
          <w:tcPr>
            <w:tcW w:w="1271" w:type="pct"/>
            <w:vAlign w:val="center"/>
          </w:tcPr>
          <w:p w14:paraId="3A8A008C" w14:textId="09CE4EEC"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Neusklajenost</w:t>
            </w:r>
            <w:r w:rsidR="00C4520E">
              <w:rPr>
                <w:rFonts w:asciiTheme="majorHAnsi" w:eastAsia="Arial Unicode MS" w:hAnsiTheme="majorHAnsi" w:cstheme="majorHAnsi"/>
                <w:bCs/>
                <w:kern w:val="28"/>
                <w:sz w:val="20"/>
                <w:szCs w:val="20"/>
              </w:rPr>
              <w:t xml:space="preserve"> projekta z veljavno zakonodajo.</w:t>
            </w:r>
          </w:p>
          <w:p w14:paraId="5B43DB5E"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Podaljšanje roka izvedbe projekta zaradi potrebnih prilagoditev dokumentacije.</w:t>
            </w:r>
          </w:p>
        </w:tc>
        <w:tc>
          <w:tcPr>
            <w:tcW w:w="1444" w:type="pct"/>
            <w:vAlign w:val="center"/>
          </w:tcPr>
          <w:p w14:paraId="55437D3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Spremljanje zakonodaje v vseh fazah izvedbe projekta.</w:t>
            </w:r>
          </w:p>
        </w:tc>
      </w:tr>
      <w:tr w:rsidR="00F002C9" w:rsidRPr="00F11127" w14:paraId="151E3A2C" w14:textId="77777777" w:rsidTr="00F002C9">
        <w:trPr>
          <w:trHeight w:val="619"/>
        </w:trPr>
        <w:tc>
          <w:tcPr>
            <w:tcW w:w="917" w:type="pct"/>
            <w:vAlign w:val="center"/>
          </w:tcPr>
          <w:p w14:paraId="75BD1D24"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lastRenderedPageBreak/>
              <w:t>Tveganje zaradi nestabilnih političnih dejavnikov.</w:t>
            </w:r>
          </w:p>
        </w:tc>
        <w:tc>
          <w:tcPr>
            <w:tcW w:w="831" w:type="pct"/>
            <w:vAlign w:val="center"/>
          </w:tcPr>
          <w:p w14:paraId="7313D9AC"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5B929564"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5</w:t>
            </w:r>
          </w:p>
          <w:p w14:paraId="217A0B8D"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6219DB1D"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1</w:t>
            </w:r>
          </w:p>
        </w:tc>
        <w:tc>
          <w:tcPr>
            <w:tcW w:w="1271" w:type="pct"/>
            <w:vAlign w:val="center"/>
          </w:tcPr>
          <w:p w14:paraId="14F7DEE6"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Zastoj (ustavitev) projekta.</w:t>
            </w:r>
          </w:p>
        </w:tc>
        <w:tc>
          <w:tcPr>
            <w:tcW w:w="1444" w:type="pct"/>
            <w:vAlign w:val="center"/>
          </w:tcPr>
          <w:p w14:paraId="042EDE99"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Preveritev strateških odločitev države.</w:t>
            </w:r>
          </w:p>
        </w:tc>
      </w:tr>
      <w:tr w:rsidR="00F002C9" w:rsidRPr="00F11127" w14:paraId="16F07B9B" w14:textId="77777777" w:rsidTr="00F002C9">
        <w:tc>
          <w:tcPr>
            <w:tcW w:w="917" w:type="pct"/>
            <w:vAlign w:val="center"/>
          </w:tcPr>
          <w:p w14:paraId="43AA725D"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Tveganje zaradi odklonilnega javnega mnenja do realizacije projekta</w:t>
            </w:r>
          </w:p>
        </w:tc>
        <w:tc>
          <w:tcPr>
            <w:tcW w:w="831" w:type="pct"/>
            <w:vAlign w:val="center"/>
          </w:tcPr>
          <w:p w14:paraId="7CF24574"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755F7404"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69F2A779"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1</w:t>
            </w:r>
          </w:p>
          <w:p w14:paraId="1D0FCE1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1</w:t>
            </w:r>
          </w:p>
        </w:tc>
        <w:tc>
          <w:tcPr>
            <w:tcW w:w="1271" w:type="pct"/>
            <w:vAlign w:val="center"/>
          </w:tcPr>
          <w:p w14:paraId="0260EE05"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Podaljšanje roka izvedbe projekta.</w:t>
            </w:r>
          </w:p>
        </w:tc>
        <w:tc>
          <w:tcPr>
            <w:tcW w:w="1444" w:type="pct"/>
            <w:vAlign w:val="center"/>
          </w:tcPr>
          <w:p w14:paraId="5B97DDC0" w14:textId="4963855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Up</w:t>
            </w:r>
            <w:r w:rsidR="00C4520E">
              <w:rPr>
                <w:rFonts w:asciiTheme="majorHAnsi" w:eastAsia="Arial Unicode MS" w:hAnsiTheme="majorHAnsi" w:cstheme="majorHAnsi"/>
                <w:bCs/>
                <w:kern w:val="28"/>
                <w:sz w:val="20"/>
                <w:szCs w:val="20"/>
              </w:rPr>
              <w:t>oštevanje zahtev oz. priporočil.</w:t>
            </w:r>
          </w:p>
          <w:p w14:paraId="6C2307D6"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Pozitivno informiranje javnosti glede projekta. </w:t>
            </w:r>
          </w:p>
        </w:tc>
      </w:tr>
      <w:tr w:rsidR="00F002C9" w:rsidRPr="00F11127" w14:paraId="684B7D08" w14:textId="77777777" w:rsidTr="00F002C9">
        <w:tc>
          <w:tcPr>
            <w:tcW w:w="917" w:type="pct"/>
            <w:shd w:val="clear" w:color="auto" w:fill="D9D9D9"/>
            <w:vAlign w:val="center"/>
          </w:tcPr>
          <w:p w14:paraId="22C29B4A"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Tveganja</w:t>
            </w:r>
          </w:p>
        </w:tc>
        <w:tc>
          <w:tcPr>
            <w:tcW w:w="831" w:type="pct"/>
            <w:shd w:val="clear" w:color="auto" w:fill="D9D9D9"/>
            <w:vAlign w:val="center"/>
          </w:tcPr>
          <w:p w14:paraId="1ECC1F48"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Stopnja tveganj (verjetnost dogodka)*</w:t>
            </w:r>
          </w:p>
        </w:tc>
        <w:tc>
          <w:tcPr>
            <w:tcW w:w="537" w:type="pct"/>
            <w:shd w:val="clear" w:color="auto" w:fill="D9D9D9"/>
            <w:vAlign w:val="center"/>
          </w:tcPr>
          <w:p w14:paraId="17D8C5E1" w14:textId="77777777" w:rsidR="00F002C9" w:rsidRPr="00F11127" w:rsidRDefault="00F002C9" w:rsidP="00BD1D20">
            <w:pPr>
              <w:tabs>
                <w:tab w:val="num" w:pos="252"/>
              </w:tabs>
              <w:overflowPunct w:val="0"/>
              <w:autoSpaceDE w:val="0"/>
              <w:autoSpaceDN w:val="0"/>
              <w:adjustRightInd w:val="0"/>
              <w:spacing w:line="276" w:lineRule="auto"/>
              <w:ind w:left="252" w:hanging="180"/>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Ocena vpliva**</w:t>
            </w:r>
          </w:p>
        </w:tc>
        <w:tc>
          <w:tcPr>
            <w:tcW w:w="1271" w:type="pct"/>
            <w:shd w:val="clear" w:color="auto" w:fill="D9D9D9"/>
            <w:vAlign w:val="center"/>
          </w:tcPr>
          <w:p w14:paraId="722C0F78" w14:textId="77777777" w:rsidR="00F002C9" w:rsidRPr="00F11127" w:rsidRDefault="00F002C9" w:rsidP="00BD1D20">
            <w:pPr>
              <w:tabs>
                <w:tab w:val="num" w:pos="252"/>
              </w:tabs>
              <w:overflowPunct w:val="0"/>
              <w:autoSpaceDE w:val="0"/>
              <w:autoSpaceDN w:val="0"/>
              <w:adjustRightInd w:val="0"/>
              <w:spacing w:line="276" w:lineRule="auto"/>
              <w:ind w:left="252" w:hanging="252"/>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Posledice tveganj</w:t>
            </w:r>
          </w:p>
        </w:tc>
        <w:tc>
          <w:tcPr>
            <w:tcW w:w="1444" w:type="pct"/>
            <w:shd w:val="clear" w:color="auto" w:fill="D9D9D9"/>
            <w:vAlign w:val="center"/>
          </w:tcPr>
          <w:p w14:paraId="1F5A5A6B" w14:textId="77777777" w:rsidR="00F002C9" w:rsidRPr="00F11127" w:rsidRDefault="00F002C9" w:rsidP="00BD1D20">
            <w:pPr>
              <w:tabs>
                <w:tab w:val="num" w:pos="252"/>
              </w:tabs>
              <w:overflowPunct w:val="0"/>
              <w:autoSpaceDE w:val="0"/>
              <w:autoSpaceDN w:val="0"/>
              <w:adjustRightInd w:val="0"/>
              <w:spacing w:line="276" w:lineRule="auto"/>
              <w:ind w:left="252" w:hanging="252"/>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Ukrepi za zmanjšanje tveganj</w:t>
            </w:r>
          </w:p>
        </w:tc>
      </w:tr>
      <w:tr w:rsidR="00F002C9" w:rsidRPr="00F11127" w14:paraId="68D5F852" w14:textId="77777777" w:rsidTr="00F002C9">
        <w:tc>
          <w:tcPr>
            <w:tcW w:w="5000" w:type="pct"/>
            <w:gridSpan w:val="5"/>
            <w:shd w:val="clear" w:color="auto" w:fill="E5B8B7"/>
          </w:tcPr>
          <w:p w14:paraId="330884A8" w14:textId="77777777" w:rsidR="00F002C9" w:rsidRPr="00F11127" w:rsidRDefault="00F002C9" w:rsidP="00BD1D20">
            <w:pPr>
              <w:numPr>
                <w:ilvl w:val="0"/>
                <w:numId w:val="18"/>
              </w:numPr>
              <w:overflowPunct w:val="0"/>
              <w:autoSpaceDE w:val="0"/>
              <w:autoSpaceDN w:val="0"/>
              <w:adjustRightInd w:val="0"/>
              <w:spacing w:before="40" w:line="276" w:lineRule="auto"/>
              <w:ind w:left="284" w:hanging="284"/>
              <w:contextualSpacing/>
              <w:jc w:val="both"/>
              <w:textAlignment w:val="baseline"/>
              <w:rPr>
                <w:rFonts w:asciiTheme="majorHAnsi" w:eastAsia="Arial Unicode MS" w:hAnsiTheme="majorHAnsi" w:cstheme="majorHAnsi"/>
                <w:b/>
                <w:sz w:val="20"/>
                <w:szCs w:val="20"/>
                <w:lang w:eastAsia="zh-TW"/>
              </w:rPr>
            </w:pPr>
            <w:r w:rsidRPr="00F11127">
              <w:rPr>
                <w:rFonts w:asciiTheme="majorHAnsi" w:eastAsia="Arial Unicode MS" w:hAnsiTheme="majorHAnsi" w:cstheme="majorHAnsi"/>
                <w:b/>
                <w:sz w:val="20"/>
                <w:szCs w:val="20"/>
                <w:lang w:eastAsia="zh-TW"/>
              </w:rPr>
              <w:t>TVEGANJE IZVEDBE PROJEKTA</w:t>
            </w:r>
          </w:p>
        </w:tc>
      </w:tr>
      <w:tr w:rsidR="00F002C9" w:rsidRPr="00F11127" w14:paraId="2F9E7214" w14:textId="77777777" w:rsidTr="00F002C9">
        <w:trPr>
          <w:trHeight w:val="316"/>
        </w:trPr>
        <w:tc>
          <w:tcPr>
            <w:tcW w:w="917" w:type="pct"/>
            <w:vAlign w:val="center"/>
          </w:tcPr>
          <w:p w14:paraId="73A45314"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Tveganje v postopkih oddaje del.</w:t>
            </w:r>
          </w:p>
        </w:tc>
        <w:tc>
          <w:tcPr>
            <w:tcW w:w="831" w:type="pct"/>
            <w:vAlign w:val="center"/>
          </w:tcPr>
          <w:p w14:paraId="021418AF"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3</w:t>
            </w:r>
          </w:p>
        </w:tc>
        <w:tc>
          <w:tcPr>
            <w:tcW w:w="537" w:type="pct"/>
            <w:vAlign w:val="center"/>
          </w:tcPr>
          <w:p w14:paraId="5803B323"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20FC1D16"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02F49788"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1</w:t>
            </w:r>
          </w:p>
        </w:tc>
        <w:tc>
          <w:tcPr>
            <w:tcW w:w="1271" w:type="pct"/>
            <w:vAlign w:val="center"/>
          </w:tcPr>
          <w:p w14:paraId="7C65FB45" w14:textId="5FCF2C23"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Pon</w:t>
            </w:r>
            <w:r w:rsidR="00C4520E">
              <w:rPr>
                <w:rFonts w:asciiTheme="majorHAnsi" w:eastAsia="Arial Unicode MS" w:hAnsiTheme="majorHAnsi" w:cstheme="majorHAnsi"/>
                <w:bCs/>
                <w:kern w:val="28"/>
                <w:sz w:val="20"/>
                <w:szCs w:val="20"/>
              </w:rPr>
              <w:t>ovitev postopka javnega razpisa.</w:t>
            </w:r>
          </w:p>
          <w:p w14:paraId="6F656F1E"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Zamuda pri oddaji del.</w:t>
            </w:r>
          </w:p>
        </w:tc>
        <w:tc>
          <w:tcPr>
            <w:tcW w:w="1444" w:type="pct"/>
            <w:vAlign w:val="center"/>
          </w:tcPr>
          <w:p w14:paraId="2164B5C8" w14:textId="55F2B863"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Posebna pozornost namenjena postopku oddaje del (jasna opredelitev obsega del, itd.)</w:t>
            </w:r>
            <w:r w:rsidR="00C4520E">
              <w:rPr>
                <w:rFonts w:asciiTheme="majorHAnsi" w:eastAsia="Arial Unicode MS" w:hAnsiTheme="majorHAnsi" w:cstheme="majorHAnsi"/>
                <w:bCs/>
                <w:kern w:val="28"/>
                <w:sz w:val="20"/>
                <w:szCs w:val="20"/>
              </w:rPr>
              <w:t>.</w:t>
            </w:r>
          </w:p>
        </w:tc>
      </w:tr>
      <w:tr w:rsidR="00F002C9" w:rsidRPr="00F11127" w14:paraId="435F5FB4" w14:textId="77777777" w:rsidTr="00F002C9">
        <w:trPr>
          <w:trHeight w:val="1688"/>
        </w:trPr>
        <w:tc>
          <w:tcPr>
            <w:tcW w:w="917" w:type="pct"/>
            <w:vAlign w:val="center"/>
          </w:tcPr>
          <w:p w14:paraId="6C8B3A7C"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Tveganje zaradi izbora nestrokovnih in neizkušenih zunanjih izvajalcev.</w:t>
            </w:r>
          </w:p>
        </w:tc>
        <w:tc>
          <w:tcPr>
            <w:tcW w:w="831" w:type="pct"/>
            <w:vAlign w:val="center"/>
          </w:tcPr>
          <w:p w14:paraId="344FA35B"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3</w:t>
            </w:r>
          </w:p>
        </w:tc>
        <w:tc>
          <w:tcPr>
            <w:tcW w:w="537" w:type="pct"/>
            <w:vAlign w:val="center"/>
          </w:tcPr>
          <w:p w14:paraId="6E3A9AB8"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5</w:t>
            </w:r>
          </w:p>
          <w:p w14:paraId="594E7BAE"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3</w:t>
            </w:r>
          </w:p>
          <w:p w14:paraId="32EB9F59"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5</w:t>
            </w:r>
          </w:p>
        </w:tc>
        <w:tc>
          <w:tcPr>
            <w:tcW w:w="1271" w:type="pct"/>
            <w:vAlign w:val="center"/>
          </w:tcPr>
          <w:p w14:paraId="144CEAB5" w14:textId="3560AACC"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Podaljševanje rokov izvedbe in potreba po zagotovitvi dodatnih denarni</w:t>
            </w:r>
            <w:r w:rsidR="00C4520E">
              <w:rPr>
                <w:rFonts w:asciiTheme="majorHAnsi" w:eastAsia="Arial Unicode MS" w:hAnsiTheme="majorHAnsi" w:cstheme="majorHAnsi"/>
                <w:bCs/>
                <w:kern w:val="28"/>
                <w:sz w:val="20"/>
                <w:szCs w:val="20"/>
              </w:rPr>
              <w:t>h sredstev (rebalans proračuna).</w:t>
            </w:r>
          </w:p>
          <w:p w14:paraId="65D4DF45" w14:textId="30E9F85F"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Zamude pri pr</w:t>
            </w:r>
            <w:r w:rsidR="00C4520E">
              <w:rPr>
                <w:rFonts w:asciiTheme="majorHAnsi" w:eastAsia="Arial Unicode MS" w:hAnsiTheme="majorHAnsi" w:cstheme="majorHAnsi"/>
                <w:bCs/>
                <w:kern w:val="28"/>
                <w:sz w:val="20"/>
                <w:szCs w:val="20"/>
              </w:rPr>
              <w:t>idobitvi ustrezne dokumentacije.</w:t>
            </w:r>
          </w:p>
          <w:p w14:paraId="328638C7" w14:textId="41BD2BA3"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Zaplet</w:t>
            </w:r>
            <w:r w:rsidR="00C4520E">
              <w:rPr>
                <w:rFonts w:asciiTheme="majorHAnsi" w:eastAsia="Arial Unicode MS" w:hAnsiTheme="majorHAnsi" w:cstheme="majorHAnsi"/>
                <w:bCs/>
                <w:kern w:val="28"/>
                <w:sz w:val="20"/>
                <w:szCs w:val="20"/>
              </w:rPr>
              <w:t>i pri potrjevanju dokumentacije.</w:t>
            </w:r>
          </w:p>
          <w:p w14:paraId="623CF48C"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Spreminjanje in dopolnjevanje dokumentacije.</w:t>
            </w:r>
          </w:p>
        </w:tc>
        <w:tc>
          <w:tcPr>
            <w:tcW w:w="1444" w:type="pct"/>
            <w:vAlign w:val="center"/>
          </w:tcPr>
          <w:p w14:paraId="577E78EC" w14:textId="2790BC83"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Priprava kvalitetne razpisne dokumentacije</w:t>
            </w:r>
            <w:r w:rsidR="00C4520E">
              <w:rPr>
                <w:rFonts w:asciiTheme="majorHAnsi" w:eastAsia="Arial Unicode MS" w:hAnsiTheme="majorHAnsi" w:cstheme="majorHAnsi"/>
                <w:bCs/>
                <w:kern w:val="28"/>
                <w:sz w:val="20"/>
                <w:szCs w:val="20"/>
              </w:rPr>
              <w:t xml:space="preserve"> v skladu z veljavno zakonodajo.</w:t>
            </w:r>
          </w:p>
          <w:p w14:paraId="29F1DC50" w14:textId="588E7EA4"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Jasno definiranje pogojev, ki jih mora ponudnik – izvajalec izpolniti predvsem glede referenc, kadrovske zasedbe, ter določitev ustrezni</w:t>
            </w:r>
            <w:r w:rsidR="00C4520E">
              <w:rPr>
                <w:rFonts w:asciiTheme="majorHAnsi" w:eastAsia="Arial Unicode MS" w:hAnsiTheme="majorHAnsi" w:cstheme="majorHAnsi"/>
                <w:bCs/>
                <w:kern w:val="28"/>
                <w:sz w:val="20"/>
                <w:szCs w:val="20"/>
              </w:rPr>
              <w:t>h meril za izbor ponudnika.</w:t>
            </w:r>
          </w:p>
          <w:p w14:paraId="3E9DB617"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Zagotavljanje stalnega nadzora nad delom izvajalcev za pravočasno ukrepanje.</w:t>
            </w:r>
          </w:p>
        </w:tc>
      </w:tr>
      <w:tr w:rsidR="00F002C9" w:rsidRPr="00F11127" w14:paraId="6B817073" w14:textId="77777777" w:rsidTr="00F002C9">
        <w:trPr>
          <w:trHeight w:val="1688"/>
        </w:trPr>
        <w:tc>
          <w:tcPr>
            <w:tcW w:w="917" w:type="pct"/>
            <w:vAlign w:val="center"/>
          </w:tcPr>
          <w:p w14:paraId="3CE763F1"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Tveganje zaradi </w:t>
            </w:r>
            <w:proofErr w:type="spellStart"/>
            <w:r w:rsidRPr="00F11127">
              <w:rPr>
                <w:rFonts w:asciiTheme="majorHAnsi" w:eastAsia="Arial Unicode MS" w:hAnsiTheme="majorHAnsi" w:cstheme="majorHAnsi"/>
                <w:bCs/>
                <w:kern w:val="28"/>
                <w:sz w:val="20"/>
                <w:szCs w:val="20"/>
              </w:rPr>
              <w:t>nerazpolaganja</w:t>
            </w:r>
            <w:proofErr w:type="spellEnd"/>
            <w:r w:rsidRPr="00F11127">
              <w:rPr>
                <w:rFonts w:asciiTheme="majorHAnsi" w:eastAsia="Arial Unicode MS" w:hAnsiTheme="majorHAnsi" w:cstheme="majorHAnsi"/>
                <w:bCs/>
                <w:kern w:val="28"/>
                <w:sz w:val="20"/>
                <w:szCs w:val="20"/>
              </w:rPr>
              <w:t xml:space="preserve"> z zadostnimi finančnimi sredstvi (glede na pridobljene ponudbe).</w:t>
            </w:r>
          </w:p>
        </w:tc>
        <w:tc>
          <w:tcPr>
            <w:tcW w:w="831" w:type="pct"/>
            <w:vAlign w:val="center"/>
          </w:tcPr>
          <w:p w14:paraId="13F1EF71"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3</w:t>
            </w:r>
          </w:p>
        </w:tc>
        <w:tc>
          <w:tcPr>
            <w:tcW w:w="537" w:type="pct"/>
            <w:vAlign w:val="center"/>
          </w:tcPr>
          <w:p w14:paraId="437B8231"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5</w:t>
            </w:r>
          </w:p>
          <w:p w14:paraId="743E57DB"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Stroški: 5</w:t>
            </w:r>
          </w:p>
          <w:p w14:paraId="16BD6665"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Kakovost: 3</w:t>
            </w:r>
          </w:p>
        </w:tc>
        <w:tc>
          <w:tcPr>
            <w:tcW w:w="1271" w:type="pct"/>
            <w:vAlign w:val="center"/>
          </w:tcPr>
          <w:p w14:paraId="7B0DF1A7" w14:textId="5D745C05"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Projekt ne bo </w:t>
            </w:r>
            <w:r w:rsidR="00C4520E">
              <w:rPr>
                <w:rFonts w:asciiTheme="majorHAnsi" w:eastAsia="Arial Unicode MS" w:hAnsiTheme="majorHAnsi" w:cstheme="majorHAnsi"/>
                <w:bCs/>
                <w:kern w:val="28"/>
                <w:sz w:val="20"/>
                <w:szCs w:val="20"/>
              </w:rPr>
              <w:t>zaključen v predvidenem roku.</w:t>
            </w:r>
          </w:p>
          <w:p w14:paraId="60FC8003" w14:textId="71802D9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Potreba po zagotovitvi dodatnih denarni</w:t>
            </w:r>
            <w:r w:rsidR="00C4520E">
              <w:rPr>
                <w:rFonts w:asciiTheme="majorHAnsi" w:eastAsia="Arial Unicode MS" w:hAnsiTheme="majorHAnsi" w:cstheme="majorHAnsi"/>
                <w:bCs/>
                <w:kern w:val="28"/>
                <w:sz w:val="20"/>
                <w:szCs w:val="20"/>
              </w:rPr>
              <w:t>h sredstev (rebalans proračuna).</w:t>
            </w:r>
          </w:p>
          <w:p w14:paraId="51C7E61B"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Pri prekoračitvi predvidenega zneska za izvedbo investicije za več kot 20%, potreba po </w:t>
            </w:r>
            <w:proofErr w:type="spellStart"/>
            <w:r w:rsidRPr="00F11127">
              <w:rPr>
                <w:rFonts w:asciiTheme="majorHAnsi" w:eastAsia="Arial Unicode MS" w:hAnsiTheme="majorHAnsi" w:cstheme="majorHAnsi"/>
                <w:bCs/>
                <w:kern w:val="28"/>
                <w:sz w:val="20"/>
                <w:szCs w:val="20"/>
              </w:rPr>
              <w:t>novelaciji</w:t>
            </w:r>
            <w:proofErr w:type="spellEnd"/>
            <w:r w:rsidRPr="00F11127">
              <w:rPr>
                <w:rFonts w:asciiTheme="majorHAnsi" w:eastAsia="Arial Unicode MS" w:hAnsiTheme="majorHAnsi" w:cstheme="majorHAnsi"/>
                <w:bCs/>
                <w:kern w:val="28"/>
                <w:sz w:val="20"/>
                <w:szCs w:val="20"/>
              </w:rPr>
              <w:t xml:space="preserve"> investicijske dokumentacije. </w:t>
            </w:r>
          </w:p>
        </w:tc>
        <w:tc>
          <w:tcPr>
            <w:tcW w:w="1444" w:type="pct"/>
            <w:vAlign w:val="center"/>
          </w:tcPr>
          <w:p w14:paraId="7CD36CAD" w14:textId="7CD44932"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Priprava kvalitetne projektne dokumentacije</w:t>
            </w:r>
            <w:r w:rsidR="00C4520E">
              <w:rPr>
                <w:rFonts w:asciiTheme="majorHAnsi" w:eastAsia="Arial Unicode MS" w:hAnsiTheme="majorHAnsi" w:cstheme="majorHAnsi"/>
                <w:bCs/>
                <w:kern w:val="28"/>
                <w:sz w:val="20"/>
                <w:szCs w:val="20"/>
              </w:rPr>
              <w:t xml:space="preserve"> v skladu z veljavno zakonodajo.</w:t>
            </w:r>
          </w:p>
          <w:p w14:paraId="55FD2501"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Priprava natančnih popisov del, ki so sestavni del razpisne dokumentacije, za čim natančnejšo oceno predvidenih stroškov. </w:t>
            </w:r>
          </w:p>
        </w:tc>
      </w:tr>
      <w:tr w:rsidR="00F002C9" w:rsidRPr="00F11127" w14:paraId="7A15AFCB" w14:textId="77777777" w:rsidTr="00F002C9">
        <w:tc>
          <w:tcPr>
            <w:tcW w:w="5000" w:type="pct"/>
            <w:gridSpan w:val="5"/>
            <w:shd w:val="clear" w:color="auto" w:fill="E5B8B7"/>
          </w:tcPr>
          <w:p w14:paraId="5FC3EADB" w14:textId="77777777" w:rsidR="00F002C9" w:rsidRPr="00F11127" w:rsidRDefault="00F002C9" w:rsidP="00BD1D20">
            <w:pPr>
              <w:numPr>
                <w:ilvl w:val="0"/>
                <w:numId w:val="18"/>
              </w:numPr>
              <w:overflowPunct w:val="0"/>
              <w:autoSpaceDE w:val="0"/>
              <w:autoSpaceDN w:val="0"/>
              <w:adjustRightInd w:val="0"/>
              <w:spacing w:before="40" w:line="276" w:lineRule="auto"/>
              <w:ind w:left="284" w:hanging="284"/>
              <w:contextualSpacing/>
              <w:textAlignment w:val="baseline"/>
              <w:rPr>
                <w:rFonts w:asciiTheme="majorHAnsi" w:eastAsia="Arial Unicode MS" w:hAnsiTheme="majorHAnsi" w:cstheme="majorHAnsi"/>
                <w:b/>
                <w:sz w:val="20"/>
                <w:szCs w:val="20"/>
                <w:lang w:eastAsia="zh-TW"/>
              </w:rPr>
            </w:pPr>
            <w:r w:rsidRPr="00F11127">
              <w:rPr>
                <w:rFonts w:asciiTheme="majorHAnsi" w:eastAsia="Arial Unicode MS" w:hAnsiTheme="majorHAnsi" w:cstheme="majorHAnsi"/>
                <w:b/>
                <w:sz w:val="20"/>
                <w:szCs w:val="20"/>
                <w:lang w:eastAsia="zh-TW"/>
              </w:rPr>
              <w:t>TVEGANJE OBRATOVANJA PROJEKTA</w:t>
            </w:r>
          </w:p>
        </w:tc>
      </w:tr>
      <w:tr w:rsidR="00F002C9" w:rsidRPr="00F11127" w14:paraId="7C4643C9" w14:textId="77777777" w:rsidTr="00F002C9">
        <w:tc>
          <w:tcPr>
            <w:tcW w:w="917" w:type="pct"/>
            <w:vAlign w:val="center"/>
          </w:tcPr>
          <w:p w14:paraId="2D05EF97" w14:textId="77777777" w:rsidR="00F002C9" w:rsidRPr="00F11127" w:rsidRDefault="00F002C9" w:rsidP="00BD1D20">
            <w:pPr>
              <w:overflowPunct w:val="0"/>
              <w:autoSpaceDE w:val="0"/>
              <w:autoSpaceDN w:val="0"/>
              <w:adjustRightInd w:val="0"/>
              <w:spacing w:line="276" w:lineRule="auto"/>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lastRenderedPageBreak/>
              <w:t>Tveganje zaradi nedoseganja okolje-varstvenih standardov.</w:t>
            </w:r>
          </w:p>
        </w:tc>
        <w:tc>
          <w:tcPr>
            <w:tcW w:w="831" w:type="pct"/>
            <w:vAlign w:val="center"/>
          </w:tcPr>
          <w:p w14:paraId="57C53C9C" w14:textId="77777777" w:rsidR="00F002C9" w:rsidRPr="00F11127" w:rsidRDefault="00F002C9" w:rsidP="00BD1D20">
            <w:pPr>
              <w:overflowPunct w:val="0"/>
              <w:autoSpaceDE w:val="0"/>
              <w:autoSpaceDN w:val="0"/>
              <w:adjustRightInd w:val="0"/>
              <w:spacing w:line="276" w:lineRule="auto"/>
              <w:jc w:val="center"/>
              <w:textAlignment w:val="baseline"/>
              <w:rPr>
                <w:rFonts w:asciiTheme="majorHAnsi" w:eastAsia="Arial Unicode MS" w:hAnsiTheme="majorHAnsi" w:cstheme="majorHAnsi"/>
                <w:b/>
                <w:bCs/>
                <w:kern w:val="28"/>
                <w:sz w:val="20"/>
                <w:szCs w:val="20"/>
              </w:rPr>
            </w:pPr>
            <w:r w:rsidRPr="00F11127">
              <w:rPr>
                <w:rFonts w:asciiTheme="majorHAnsi" w:eastAsia="Arial Unicode MS" w:hAnsiTheme="majorHAnsi" w:cstheme="majorHAnsi"/>
                <w:b/>
                <w:bCs/>
                <w:kern w:val="28"/>
                <w:sz w:val="20"/>
                <w:szCs w:val="20"/>
              </w:rPr>
              <w:t>1</w:t>
            </w:r>
          </w:p>
        </w:tc>
        <w:tc>
          <w:tcPr>
            <w:tcW w:w="537" w:type="pct"/>
            <w:vAlign w:val="center"/>
          </w:tcPr>
          <w:p w14:paraId="44B314D2"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Čas: 3</w:t>
            </w:r>
          </w:p>
          <w:p w14:paraId="2532A890"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Stroški: 1 </w:t>
            </w:r>
          </w:p>
          <w:p w14:paraId="237961D9"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 xml:space="preserve">Kakovost: 3 </w:t>
            </w:r>
          </w:p>
        </w:tc>
        <w:tc>
          <w:tcPr>
            <w:tcW w:w="1271" w:type="pct"/>
          </w:tcPr>
          <w:p w14:paraId="02AB8AE4" w14:textId="3D58667D" w:rsidR="00F002C9" w:rsidRPr="00F11127" w:rsidRDefault="00C4520E"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Pr>
                <w:rFonts w:asciiTheme="majorHAnsi" w:eastAsia="Arial Unicode MS" w:hAnsiTheme="majorHAnsi" w:cstheme="majorHAnsi"/>
                <w:bCs/>
                <w:kern w:val="28"/>
                <w:sz w:val="20"/>
                <w:szCs w:val="20"/>
              </w:rPr>
              <w:t>Poslabšanje kakovosti okolja.</w:t>
            </w:r>
          </w:p>
          <w:p w14:paraId="09FC0421" w14:textId="7E7A1BE0" w:rsidR="00F002C9" w:rsidRPr="00F11127" w:rsidRDefault="00C4520E"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Pr>
                <w:rFonts w:asciiTheme="majorHAnsi" w:eastAsia="Arial Unicode MS" w:hAnsiTheme="majorHAnsi" w:cstheme="majorHAnsi"/>
                <w:bCs/>
                <w:kern w:val="28"/>
                <w:sz w:val="20"/>
                <w:szCs w:val="20"/>
              </w:rPr>
              <w:t>Povečanje obremenitev okolja.</w:t>
            </w:r>
          </w:p>
          <w:p w14:paraId="24371B6B" w14:textId="77777777" w:rsidR="00F002C9" w:rsidRPr="00F11127" w:rsidRDefault="00F002C9" w:rsidP="00BD1D20">
            <w:pPr>
              <w:numPr>
                <w:ilvl w:val="0"/>
                <w:numId w:val="15"/>
              </w:numPr>
              <w:tabs>
                <w:tab w:val="num" w:pos="252"/>
              </w:tabs>
              <w:overflowPunct w:val="0"/>
              <w:autoSpaceDE w:val="0"/>
              <w:autoSpaceDN w:val="0"/>
              <w:adjustRightInd w:val="0"/>
              <w:spacing w:line="276" w:lineRule="auto"/>
              <w:ind w:left="252" w:hanging="180"/>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Povečanje stroškov izvedbe projekta.</w:t>
            </w:r>
          </w:p>
        </w:tc>
        <w:tc>
          <w:tcPr>
            <w:tcW w:w="1444" w:type="pct"/>
          </w:tcPr>
          <w:p w14:paraId="71238F88" w14:textId="77777777" w:rsidR="00F002C9" w:rsidRPr="00F11127" w:rsidRDefault="00F002C9" w:rsidP="00BD1D20">
            <w:pPr>
              <w:numPr>
                <w:ilvl w:val="0"/>
                <w:numId w:val="17"/>
              </w:numPr>
              <w:tabs>
                <w:tab w:val="num" w:pos="252"/>
              </w:tabs>
              <w:overflowPunct w:val="0"/>
              <w:autoSpaceDE w:val="0"/>
              <w:autoSpaceDN w:val="0"/>
              <w:adjustRightInd w:val="0"/>
              <w:spacing w:line="276" w:lineRule="auto"/>
              <w:ind w:left="252" w:hanging="252"/>
              <w:textAlignment w:val="baseline"/>
              <w:rPr>
                <w:rFonts w:asciiTheme="majorHAnsi" w:eastAsia="Arial Unicode MS" w:hAnsiTheme="majorHAnsi" w:cstheme="majorHAnsi"/>
                <w:bCs/>
                <w:kern w:val="28"/>
                <w:sz w:val="20"/>
                <w:szCs w:val="20"/>
              </w:rPr>
            </w:pPr>
            <w:r w:rsidRPr="00F11127">
              <w:rPr>
                <w:rFonts w:asciiTheme="majorHAnsi" w:eastAsia="Arial Unicode MS" w:hAnsiTheme="majorHAnsi" w:cstheme="majorHAnsi"/>
                <w:bCs/>
                <w:kern w:val="28"/>
                <w:sz w:val="20"/>
                <w:szCs w:val="20"/>
              </w:rPr>
              <w:t>Upoštevanje standardov kakovosti okolja v vseh fazah izvajanja investicije kakor tudi v fazi obratovanja.</w:t>
            </w:r>
          </w:p>
        </w:tc>
      </w:tr>
    </w:tbl>
    <w:p w14:paraId="2EA3637E" w14:textId="77777777" w:rsidR="008B4BCE" w:rsidRPr="00F11127" w:rsidRDefault="008B4BCE" w:rsidP="00BD1D20">
      <w:pPr>
        <w:spacing w:line="276" w:lineRule="auto"/>
        <w:rPr>
          <w:rFonts w:asciiTheme="majorHAnsi" w:hAnsiTheme="majorHAnsi" w:cstheme="majorHAnsi"/>
          <w:highlight w:val="yellow"/>
        </w:rPr>
        <w:sectPr w:rsidR="008B4BCE" w:rsidRPr="00F11127" w:rsidSect="00480057">
          <w:headerReference w:type="default" r:id="rId108"/>
          <w:headerReference w:type="first" r:id="rId109"/>
          <w:pgSz w:w="16838" w:h="11906" w:orient="landscape"/>
          <w:pgMar w:top="1134" w:right="1134" w:bottom="1417" w:left="1417" w:header="708" w:footer="708" w:gutter="0"/>
          <w:cols w:space="708"/>
          <w:titlePg/>
          <w:docGrid w:linePitch="360"/>
        </w:sectPr>
      </w:pPr>
    </w:p>
    <w:p w14:paraId="4D2C9AC9" w14:textId="77777777" w:rsidR="000F39AE" w:rsidRPr="00F11127" w:rsidRDefault="000F39AE" w:rsidP="00BD1D20">
      <w:pPr>
        <w:pStyle w:val="Naslov2"/>
        <w:numPr>
          <w:ilvl w:val="1"/>
          <w:numId w:val="1"/>
        </w:numPr>
        <w:spacing w:before="240" w:after="240"/>
        <w:ind w:left="578" w:hanging="578"/>
        <w:rPr>
          <w:rFonts w:asciiTheme="majorHAnsi" w:eastAsiaTheme="majorEastAsia" w:hAnsiTheme="majorHAnsi" w:cstheme="majorHAnsi"/>
          <w:color w:val="244061" w:themeColor="accent1" w:themeShade="80"/>
        </w:rPr>
      </w:pPr>
      <w:bookmarkStart w:id="377" w:name="_Toc210033876"/>
      <w:r w:rsidRPr="00F11127">
        <w:rPr>
          <w:rFonts w:asciiTheme="majorHAnsi" w:eastAsiaTheme="majorEastAsia" w:hAnsiTheme="majorHAnsi" w:cstheme="majorHAnsi"/>
          <w:color w:val="244061" w:themeColor="accent1" w:themeShade="80"/>
        </w:rPr>
        <w:lastRenderedPageBreak/>
        <w:t>Analiza občutljivosti</w:t>
      </w:r>
      <w:bookmarkEnd w:id="377"/>
    </w:p>
    <w:p w14:paraId="433AEBD5" w14:textId="77777777" w:rsidR="00781242" w:rsidRPr="00F11127" w:rsidRDefault="00781242" w:rsidP="00BD1D20">
      <w:pPr>
        <w:spacing w:after="120" w:line="276" w:lineRule="auto"/>
        <w:rPr>
          <w:rFonts w:asciiTheme="majorHAnsi" w:hAnsiTheme="majorHAnsi" w:cstheme="majorHAnsi"/>
          <w:sz w:val="22"/>
          <w:szCs w:val="22"/>
        </w:rPr>
      </w:pPr>
      <w:r w:rsidRPr="00F11127">
        <w:rPr>
          <w:rFonts w:asciiTheme="majorHAnsi" w:hAnsiTheme="majorHAnsi" w:cstheme="majorHAnsi"/>
          <w:sz w:val="22"/>
          <w:szCs w:val="22"/>
        </w:rPr>
        <w:t>Analiza občutljivosti je narejena v treh korakih:</w:t>
      </w:r>
    </w:p>
    <w:p w14:paraId="467629EA" w14:textId="40EC3A4C" w:rsidR="00781242" w:rsidRPr="00F11127" w:rsidRDefault="00781242" w:rsidP="00BD1D20">
      <w:pPr>
        <w:tabs>
          <w:tab w:val="left" w:pos="567"/>
        </w:tabs>
        <w:spacing w:after="120" w:line="276" w:lineRule="auto"/>
        <w:ind w:right="400"/>
        <w:jc w:val="both"/>
        <w:rPr>
          <w:rFonts w:asciiTheme="majorHAnsi" w:eastAsia="Symbol" w:hAnsiTheme="majorHAnsi" w:cstheme="majorHAnsi"/>
          <w:sz w:val="22"/>
          <w:szCs w:val="22"/>
        </w:rPr>
      </w:pPr>
      <w:r w:rsidRPr="00F11127">
        <w:rPr>
          <w:rFonts w:asciiTheme="majorHAnsi" w:hAnsiTheme="majorHAnsi" w:cstheme="majorHAnsi"/>
          <w:b/>
          <w:sz w:val="22"/>
          <w:szCs w:val="22"/>
          <w:u w:val="single"/>
        </w:rPr>
        <w:t xml:space="preserve">Opredelitev spremenljivk, ki se uporabijo pri izračunu </w:t>
      </w:r>
      <w:proofErr w:type="spellStart"/>
      <w:r w:rsidRPr="00F11127">
        <w:rPr>
          <w:rFonts w:asciiTheme="majorHAnsi" w:hAnsiTheme="majorHAnsi" w:cstheme="majorHAnsi"/>
          <w:b/>
          <w:sz w:val="22"/>
          <w:szCs w:val="22"/>
          <w:u w:val="single"/>
        </w:rPr>
        <w:t>outputov</w:t>
      </w:r>
      <w:proofErr w:type="spellEnd"/>
      <w:r w:rsidRPr="00F11127">
        <w:rPr>
          <w:rFonts w:asciiTheme="majorHAnsi" w:hAnsiTheme="majorHAnsi" w:cstheme="majorHAnsi"/>
          <w:b/>
          <w:sz w:val="22"/>
          <w:szCs w:val="22"/>
          <w:u w:val="single"/>
        </w:rPr>
        <w:t xml:space="preserve"> in </w:t>
      </w:r>
      <w:proofErr w:type="spellStart"/>
      <w:r w:rsidRPr="00F11127">
        <w:rPr>
          <w:rFonts w:asciiTheme="majorHAnsi" w:hAnsiTheme="majorHAnsi" w:cstheme="majorHAnsi"/>
          <w:b/>
          <w:sz w:val="22"/>
          <w:szCs w:val="22"/>
          <w:u w:val="single"/>
        </w:rPr>
        <w:t>inputov</w:t>
      </w:r>
      <w:proofErr w:type="spellEnd"/>
      <w:r w:rsidRPr="00F11127">
        <w:rPr>
          <w:rFonts w:asciiTheme="majorHAnsi" w:hAnsiTheme="majorHAnsi" w:cstheme="majorHAnsi"/>
          <w:b/>
          <w:sz w:val="22"/>
          <w:szCs w:val="22"/>
          <w:u w:val="single"/>
        </w:rPr>
        <w:t xml:space="preserve"> v finančni in ekonomski analizi</w:t>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 xml:space="preserve">Izračun se nanaša na spremenljivke oz. faktorje, </w:t>
      </w:r>
      <w:r w:rsidR="0056275C">
        <w:rPr>
          <w:rFonts w:asciiTheme="majorHAnsi" w:hAnsiTheme="majorHAnsi" w:cstheme="majorHAnsi"/>
          <w:sz w:val="22"/>
          <w:szCs w:val="22"/>
        </w:rPr>
        <w:t>ki jih</w:t>
      </w:r>
      <w:r w:rsidRPr="00F11127">
        <w:rPr>
          <w:rFonts w:asciiTheme="majorHAnsi" w:hAnsiTheme="majorHAnsi" w:cstheme="majorHAnsi"/>
          <w:sz w:val="22"/>
          <w:szCs w:val="22"/>
        </w:rPr>
        <w:t xml:space="preserve"> spreminjamo na</w:t>
      </w:r>
      <w:r w:rsidRPr="00F11127">
        <w:rPr>
          <w:rFonts w:asciiTheme="majorHAnsi" w:hAnsiTheme="majorHAnsi" w:cstheme="majorHAnsi"/>
          <w:b/>
          <w:sz w:val="22"/>
          <w:szCs w:val="22"/>
        </w:rPr>
        <w:t xml:space="preserve"> </w:t>
      </w:r>
      <w:r w:rsidRPr="00F11127">
        <w:rPr>
          <w:rFonts w:asciiTheme="majorHAnsi" w:hAnsiTheme="majorHAnsi" w:cstheme="majorHAnsi"/>
          <w:sz w:val="22"/>
          <w:szCs w:val="22"/>
        </w:rPr>
        <w:t>intervalu +/- 1%. Za projekt so bile preučene naslednje spremenljivke:</w:t>
      </w:r>
    </w:p>
    <w:p w14:paraId="3E32C030" w14:textId="77777777" w:rsidR="00781242" w:rsidRPr="00F11127" w:rsidRDefault="00781242" w:rsidP="00BD1D20">
      <w:pPr>
        <w:numPr>
          <w:ilvl w:val="2"/>
          <w:numId w:val="104"/>
        </w:numPr>
        <w:tabs>
          <w:tab w:val="left" w:pos="1134"/>
        </w:tabs>
        <w:spacing w:after="120" w:line="276" w:lineRule="auto"/>
        <w:ind w:left="1134"/>
        <w:jc w:val="both"/>
        <w:rPr>
          <w:rFonts w:asciiTheme="majorHAnsi" w:eastAsia="Symbol" w:hAnsiTheme="majorHAnsi" w:cstheme="majorHAnsi"/>
          <w:sz w:val="22"/>
          <w:szCs w:val="22"/>
        </w:rPr>
      </w:pPr>
      <w:r w:rsidRPr="00F11127">
        <w:rPr>
          <w:rFonts w:asciiTheme="majorHAnsi" w:hAnsiTheme="majorHAnsi" w:cstheme="majorHAnsi"/>
          <w:sz w:val="22"/>
          <w:szCs w:val="22"/>
        </w:rPr>
        <w:t>sprememba investicijske vrednosti,</w:t>
      </w:r>
    </w:p>
    <w:p w14:paraId="3C03C489" w14:textId="77777777" w:rsidR="00781242" w:rsidRPr="00F11127" w:rsidRDefault="00781242" w:rsidP="00BD1D20">
      <w:pPr>
        <w:numPr>
          <w:ilvl w:val="2"/>
          <w:numId w:val="104"/>
        </w:numPr>
        <w:tabs>
          <w:tab w:val="left" w:pos="1134"/>
        </w:tabs>
        <w:spacing w:after="120" w:line="276" w:lineRule="auto"/>
        <w:ind w:left="1134"/>
        <w:jc w:val="both"/>
        <w:rPr>
          <w:rFonts w:asciiTheme="majorHAnsi" w:eastAsia="Symbol" w:hAnsiTheme="majorHAnsi" w:cstheme="majorHAnsi"/>
          <w:sz w:val="22"/>
          <w:szCs w:val="22"/>
        </w:rPr>
      </w:pPr>
      <w:r w:rsidRPr="00F11127">
        <w:rPr>
          <w:rFonts w:asciiTheme="majorHAnsi" w:hAnsiTheme="majorHAnsi" w:cstheme="majorHAnsi"/>
          <w:sz w:val="22"/>
          <w:szCs w:val="22"/>
        </w:rPr>
        <w:t>sprememba obratovalnih stroškov,</w:t>
      </w:r>
    </w:p>
    <w:p w14:paraId="7797801A" w14:textId="77777777" w:rsidR="00781242" w:rsidRPr="00F11127" w:rsidRDefault="00781242" w:rsidP="00BD1D20">
      <w:pPr>
        <w:numPr>
          <w:ilvl w:val="2"/>
          <w:numId w:val="104"/>
        </w:numPr>
        <w:tabs>
          <w:tab w:val="left" w:pos="1134"/>
        </w:tabs>
        <w:spacing w:after="120" w:line="276" w:lineRule="auto"/>
        <w:ind w:left="1134"/>
        <w:jc w:val="both"/>
        <w:rPr>
          <w:rFonts w:asciiTheme="majorHAnsi" w:eastAsia="Symbol" w:hAnsiTheme="majorHAnsi" w:cstheme="majorHAnsi"/>
          <w:sz w:val="22"/>
          <w:szCs w:val="22"/>
        </w:rPr>
      </w:pPr>
      <w:r w:rsidRPr="00F11127">
        <w:rPr>
          <w:rFonts w:asciiTheme="majorHAnsi" w:hAnsiTheme="majorHAnsi" w:cstheme="majorHAnsi"/>
          <w:sz w:val="22"/>
          <w:szCs w:val="22"/>
        </w:rPr>
        <w:t>sprememba prihodkov.</w:t>
      </w:r>
    </w:p>
    <w:p w14:paraId="2FC079D0" w14:textId="7581BC6B" w:rsidR="00781242" w:rsidRPr="0056275C" w:rsidRDefault="00781242" w:rsidP="00BD1D20">
      <w:pPr>
        <w:spacing w:after="120" w:line="276" w:lineRule="auto"/>
        <w:rPr>
          <w:rFonts w:asciiTheme="majorHAnsi" w:hAnsiTheme="majorHAnsi" w:cstheme="majorHAnsi"/>
          <w:sz w:val="22"/>
          <w:szCs w:val="22"/>
        </w:rPr>
      </w:pPr>
      <w:r w:rsidRPr="00F11127">
        <w:rPr>
          <w:rFonts w:asciiTheme="majorHAnsi" w:hAnsiTheme="majorHAnsi" w:cstheme="majorHAnsi"/>
          <w:sz w:val="22"/>
          <w:szCs w:val="22"/>
        </w:rPr>
        <w:t>Vpliv teh sprememb je bil analiziran za interval med -1 % in +1 %.</w:t>
      </w:r>
    </w:p>
    <w:p w14:paraId="060DFD54" w14:textId="77777777" w:rsidR="00781242" w:rsidRPr="00F11127" w:rsidRDefault="00781242" w:rsidP="00BD1D20">
      <w:pPr>
        <w:spacing w:after="120" w:line="276" w:lineRule="auto"/>
        <w:rPr>
          <w:rFonts w:asciiTheme="majorHAnsi" w:eastAsia="Arial Unicode MS" w:hAnsiTheme="majorHAnsi" w:cstheme="majorHAnsi"/>
          <w:kern w:val="28"/>
          <w:sz w:val="22"/>
          <w:szCs w:val="22"/>
        </w:rPr>
      </w:pPr>
      <w:r w:rsidRPr="00F11127">
        <w:rPr>
          <w:rFonts w:asciiTheme="majorHAnsi" w:eastAsia="Arial Unicode MS" w:hAnsiTheme="majorHAnsi" w:cstheme="majorHAnsi"/>
          <w:kern w:val="28"/>
          <w:sz w:val="22"/>
          <w:szCs w:val="22"/>
        </w:rPr>
        <w:t>Kritična spremenljivka je tista, katere 1 % sprememba povzroči več kot 5 % spremembo neto sedanje vrednosti oz. ekonomske neto sedanje vrednosti.</w:t>
      </w:r>
    </w:p>
    <w:p w14:paraId="61BC2E0B" w14:textId="77777777" w:rsidR="00781242" w:rsidRPr="00F11127" w:rsidRDefault="00781242" w:rsidP="00BD1D20">
      <w:pPr>
        <w:spacing w:after="120" w:line="276" w:lineRule="auto"/>
        <w:rPr>
          <w:rFonts w:asciiTheme="majorHAnsi" w:eastAsia="Arial Unicode MS" w:hAnsiTheme="majorHAnsi" w:cstheme="majorHAnsi"/>
          <w:kern w:val="28"/>
          <w:sz w:val="22"/>
          <w:szCs w:val="22"/>
        </w:rPr>
      </w:pPr>
      <w:r w:rsidRPr="00F11127">
        <w:rPr>
          <w:rFonts w:asciiTheme="majorHAnsi" w:eastAsia="Arial Unicode MS" w:hAnsiTheme="majorHAnsi" w:cstheme="majorHAnsi"/>
          <w:kern w:val="28"/>
          <w:sz w:val="22"/>
          <w:szCs w:val="22"/>
        </w:rPr>
        <w:t>Kritična spremenljivka je tista, katere 1 % sprememba povzroči spremembo finančne stopnje donosa (IRR) oz. ekonomske stopnje donosa (ERR) za več kot 1 odstotno točko.</w:t>
      </w:r>
    </w:p>
    <w:p w14:paraId="1798CF86" w14:textId="433AE5BE" w:rsidR="00781242" w:rsidRDefault="00781242" w:rsidP="00BD1D20">
      <w:pPr>
        <w:spacing w:line="276" w:lineRule="auto"/>
        <w:rPr>
          <w:rFonts w:asciiTheme="majorHAnsi" w:hAnsiTheme="majorHAnsi" w:cstheme="majorHAnsi"/>
          <w:sz w:val="22"/>
          <w:szCs w:val="22"/>
        </w:rPr>
      </w:pPr>
      <w:bookmarkStart w:id="378" w:name="_Toc209528319"/>
      <w:bookmarkStart w:id="379" w:name="_Toc474883094"/>
      <w:bookmarkStart w:id="380" w:name="_Toc6450800"/>
      <w:bookmarkStart w:id="381" w:name="_Toc20364765"/>
      <w:r w:rsidRPr="00F11127">
        <w:rPr>
          <w:rFonts w:asciiTheme="majorHAnsi" w:eastAsia="Arial Unicode MS" w:hAnsiTheme="majorHAnsi" w:cstheme="majorHAnsi"/>
          <w:b/>
          <w:bCs/>
          <w:sz w:val="22"/>
          <w:szCs w:val="22"/>
        </w:rPr>
        <w:t xml:space="preserve">Tabela </w:t>
      </w:r>
      <w:r w:rsidRPr="00F11127">
        <w:rPr>
          <w:rFonts w:asciiTheme="majorHAnsi" w:eastAsia="Arial Unicode MS" w:hAnsiTheme="majorHAnsi" w:cstheme="majorHAnsi"/>
          <w:b/>
          <w:bCs/>
          <w:sz w:val="22"/>
          <w:szCs w:val="22"/>
        </w:rPr>
        <w:fldChar w:fldCharType="begin"/>
      </w:r>
      <w:r w:rsidRPr="00F11127">
        <w:rPr>
          <w:rFonts w:asciiTheme="majorHAnsi" w:eastAsia="Arial Unicode MS" w:hAnsiTheme="majorHAnsi" w:cstheme="majorHAnsi"/>
          <w:b/>
          <w:bCs/>
          <w:sz w:val="22"/>
          <w:szCs w:val="22"/>
        </w:rPr>
        <w:instrText xml:space="preserve"> SEQ Tabela \* ARABIC </w:instrText>
      </w:r>
      <w:r w:rsidRPr="00F11127">
        <w:rPr>
          <w:rFonts w:asciiTheme="majorHAnsi" w:eastAsia="Arial Unicode MS" w:hAnsiTheme="majorHAnsi" w:cstheme="majorHAnsi"/>
          <w:b/>
          <w:bCs/>
          <w:sz w:val="22"/>
          <w:szCs w:val="22"/>
        </w:rPr>
        <w:fldChar w:fldCharType="separate"/>
      </w:r>
      <w:r w:rsidR="00E74D26">
        <w:rPr>
          <w:rFonts w:asciiTheme="majorHAnsi" w:eastAsia="Arial Unicode MS" w:hAnsiTheme="majorHAnsi" w:cstheme="majorHAnsi"/>
          <w:b/>
          <w:bCs/>
          <w:noProof/>
          <w:sz w:val="22"/>
          <w:szCs w:val="22"/>
        </w:rPr>
        <w:t>33</w:t>
      </w:r>
      <w:r w:rsidRPr="00F11127">
        <w:rPr>
          <w:rFonts w:asciiTheme="majorHAnsi" w:eastAsia="Arial Unicode MS" w:hAnsiTheme="majorHAnsi" w:cstheme="majorHAnsi"/>
          <w:b/>
          <w:bCs/>
          <w:sz w:val="22"/>
          <w:szCs w:val="22"/>
        </w:rPr>
        <w:fldChar w:fldCharType="end"/>
      </w:r>
      <w:r w:rsidRPr="00F11127">
        <w:rPr>
          <w:rFonts w:asciiTheme="majorHAnsi" w:eastAsia="Arial Unicode MS" w:hAnsiTheme="majorHAnsi" w:cstheme="majorHAnsi"/>
          <w:b/>
          <w:bCs/>
          <w:sz w:val="22"/>
          <w:szCs w:val="22"/>
        </w:rPr>
        <w:t xml:space="preserve">: </w:t>
      </w:r>
      <w:r w:rsidRPr="00F11127">
        <w:rPr>
          <w:rFonts w:asciiTheme="majorHAnsi" w:hAnsiTheme="majorHAnsi" w:cstheme="majorHAnsi"/>
          <w:sz w:val="22"/>
          <w:szCs w:val="22"/>
        </w:rPr>
        <w:t>Analiza občutljivosti</w:t>
      </w:r>
      <w:bookmarkEnd w:id="378"/>
      <w:r w:rsidRPr="00F11127">
        <w:rPr>
          <w:rFonts w:asciiTheme="majorHAnsi" w:hAnsiTheme="majorHAnsi" w:cstheme="majorHAnsi"/>
          <w:sz w:val="22"/>
          <w:szCs w:val="22"/>
        </w:rPr>
        <w:t xml:space="preserve"> </w:t>
      </w:r>
      <w:bookmarkEnd w:id="379"/>
      <w:bookmarkEnd w:id="380"/>
      <w:bookmarkEnd w:id="381"/>
    </w:p>
    <w:tbl>
      <w:tblPr>
        <w:tblW w:w="5000" w:type="pct"/>
        <w:tblCellMar>
          <w:left w:w="70" w:type="dxa"/>
          <w:right w:w="70" w:type="dxa"/>
        </w:tblCellMar>
        <w:tblLook w:val="04A0" w:firstRow="1" w:lastRow="0" w:firstColumn="1" w:lastColumn="0" w:noHBand="0" w:noVBand="1"/>
      </w:tblPr>
      <w:tblGrid>
        <w:gridCol w:w="1195"/>
        <w:gridCol w:w="1151"/>
        <w:gridCol w:w="1211"/>
        <w:gridCol w:w="1211"/>
        <w:gridCol w:w="1001"/>
        <w:gridCol w:w="1001"/>
        <w:gridCol w:w="1141"/>
        <w:gridCol w:w="1141"/>
      </w:tblGrid>
      <w:tr w:rsidR="00566643" w:rsidRPr="00566643" w14:paraId="21B56FA3" w14:textId="77777777" w:rsidTr="00566643">
        <w:trPr>
          <w:trHeight w:val="300"/>
        </w:trPr>
        <w:tc>
          <w:tcPr>
            <w:tcW w:w="1650" w:type="pct"/>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14:paraId="411B5F82"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Kriterij</w:t>
            </w:r>
          </w:p>
        </w:tc>
        <w:tc>
          <w:tcPr>
            <w:tcW w:w="458" w:type="pct"/>
            <w:vMerge w:val="restart"/>
            <w:tcBorders>
              <w:top w:val="single" w:sz="8" w:space="0" w:color="auto"/>
              <w:left w:val="single" w:sz="8" w:space="0" w:color="auto"/>
              <w:bottom w:val="single" w:sz="8" w:space="0" w:color="000000"/>
              <w:right w:val="single" w:sz="8" w:space="0" w:color="auto"/>
            </w:tcBorders>
            <w:shd w:val="clear" w:color="000000" w:fill="B8CCE4"/>
            <w:vAlign w:val="center"/>
            <w:hideMark/>
          </w:tcPr>
          <w:p w14:paraId="522BE733"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Brez spremembe</w:t>
            </w:r>
          </w:p>
        </w:tc>
        <w:tc>
          <w:tcPr>
            <w:tcW w:w="484" w:type="pct"/>
            <w:tcBorders>
              <w:top w:val="single" w:sz="8" w:space="0" w:color="auto"/>
              <w:left w:val="nil"/>
              <w:bottom w:val="single" w:sz="8" w:space="0" w:color="auto"/>
              <w:right w:val="single" w:sz="8" w:space="0" w:color="auto"/>
            </w:tcBorders>
            <w:shd w:val="clear" w:color="000000" w:fill="B8CCE4"/>
            <w:vAlign w:val="center"/>
            <w:hideMark/>
          </w:tcPr>
          <w:p w14:paraId="79517BB8"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c>
          <w:tcPr>
            <w:tcW w:w="484" w:type="pct"/>
            <w:tcBorders>
              <w:top w:val="single" w:sz="8" w:space="0" w:color="auto"/>
              <w:left w:val="nil"/>
              <w:bottom w:val="single" w:sz="8" w:space="0" w:color="auto"/>
              <w:right w:val="single" w:sz="8" w:space="0" w:color="auto"/>
            </w:tcBorders>
            <w:shd w:val="clear" w:color="000000" w:fill="B8CCE4"/>
            <w:vAlign w:val="center"/>
            <w:hideMark/>
          </w:tcPr>
          <w:p w14:paraId="46044D23"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c>
          <w:tcPr>
            <w:tcW w:w="438" w:type="pct"/>
            <w:tcBorders>
              <w:top w:val="single" w:sz="8" w:space="0" w:color="auto"/>
              <w:left w:val="nil"/>
              <w:bottom w:val="single" w:sz="8" w:space="0" w:color="auto"/>
              <w:right w:val="single" w:sz="8" w:space="0" w:color="auto"/>
            </w:tcBorders>
            <w:shd w:val="clear" w:color="000000" w:fill="B8CCE4"/>
            <w:vAlign w:val="center"/>
            <w:hideMark/>
          </w:tcPr>
          <w:p w14:paraId="2E1004F8"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c>
          <w:tcPr>
            <w:tcW w:w="438" w:type="pct"/>
            <w:tcBorders>
              <w:top w:val="single" w:sz="8" w:space="0" w:color="auto"/>
              <w:left w:val="nil"/>
              <w:bottom w:val="single" w:sz="8" w:space="0" w:color="auto"/>
              <w:right w:val="single" w:sz="8" w:space="0" w:color="auto"/>
            </w:tcBorders>
            <w:shd w:val="clear" w:color="000000" w:fill="B8CCE4"/>
            <w:vAlign w:val="center"/>
            <w:hideMark/>
          </w:tcPr>
          <w:p w14:paraId="379B5BFC"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c>
          <w:tcPr>
            <w:tcW w:w="594" w:type="pct"/>
            <w:tcBorders>
              <w:top w:val="single" w:sz="8" w:space="0" w:color="auto"/>
              <w:left w:val="nil"/>
              <w:bottom w:val="single" w:sz="8" w:space="0" w:color="auto"/>
              <w:right w:val="single" w:sz="8" w:space="0" w:color="auto"/>
            </w:tcBorders>
            <w:shd w:val="clear" w:color="000000" w:fill="B8CCE4"/>
            <w:vAlign w:val="center"/>
            <w:hideMark/>
          </w:tcPr>
          <w:p w14:paraId="5E24ADBC"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c>
          <w:tcPr>
            <w:tcW w:w="453" w:type="pct"/>
            <w:tcBorders>
              <w:top w:val="single" w:sz="8" w:space="0" w:color="auto"/>
              <w:left w:val="nil"/>
              <w:bottom w:val="single" w:sz="8" w:space="0" w:color="auto"/>
              <w:right w:val="single" w:sz="8" w:space="0" w:color="auto"/>
            </w:tcBorders>
            <w:shd w:val="clear" w:color="000000" w:fill="B8CCE4"/>
            <w:vAlign w:val="center"/>
            <w:hideMark/>
          </w:tcPr>
          <w:p w14:paraId="4029E14F"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-1%</w:t>
            </w:r>
          </w:p>
        </w:tc>
      </w:tr>
      <w:tr w:rsidR="00566643" w:rsidRPr="00566643" w14:paraId="5F371E5E" w14:textId="77777777" w:rsidTr="00566643">
        <w:trPr>
          <w:trHeight w:val="780"/>
        </w:trPr>
        <w:tc>
          <w:tcPr>
            <w:tcW w:w="1650" w:type="pct"/>
            <w:vMerge/>
            <w:tcBorders>
              <w:top w:val="single" w:sz="8" w:space="0" w:color="auto"/>
              <w:left w:val="single" w:sz="8" w:space="0" w:color="auto"/>
              <w:bottom w:val="single" w:sz="8" w:space="0" w:color="000000"/>
              <w:right w:val="single" w:sz="8" w:space="0" w:color="auto"/>
            </w:tcBorders>
            <w:vAlign w:val="center"/>
            <w:hideMark/>
          </w:tcPr>
          <w:p w14:paraId="4888952F" w14:textId="77777777" w:rsidR="00566643" w:rsidRPr="00566643" w:rsidRDefault="00566643">
            <w:pPr>
              <w:rPr>
                <w:rFonts w:ascii="Arial" w:hAnsi="Arial" w:cs="Arial"/>
                <w:b/>
                <w:bCs/>
                <w:color w:val="000000"/>
                <w:sz w:val="18"/>
                <w:szCs w:val="18"/>
              </w:rPr>
            </w:pPr>
          </w:p>
        </w:tc>
        <w:tc>
          <w:tcPr>
            <w:tcW w:w="458" w:type="pct"/>
            <w:vMerge/>
            <w:tcBorders>
              <w:top w:val="single" w:sz="8" w:space="0" w:color="auto"/>
              <w:left w:val="single" w:sz="8" w:space="0" w:color="auto"/>
              <w:bottom w:val="single" w:sz="8" w:space="0" w:color="000000"/>
              <w:right w:val="single" w:sz="8" w:space="0" w:color="auto"/>
            </w:tcBorders>
            <w:vAlign w:val="center"/>
            <w:hideMark/>
          </w:tcPr>
          <w:p w14:paraId="3AD0052A" w14:textId="77777777" w:rsidR="00566643" w:rsidRPr="00566643" w:rsidRDefault="00566643">
            <w:pPr>
              <w:rPr>
                <w:rFonts w:ascii="Arial" w:hAnsi="Arial" w:cs="Arial"/>
                <w:b/>
                <w:bCs/>
                <w:color w:val="000000"/>
                <w:sz w:val="18"/>
                <w:szCs w:val="18"/>
              </w:rPr>
            </w:pPr>
          </w:p>
        </w:tc>
        <w:tc>
          <w:tcPr>
            <w:tcW w:w="484" w:type="pct"/>
            <w:tcBorders>
              <w:top w:val="nil"/>
              <w:left w:val="nil"/>
              <w:bottom w:val="single" w:sz="8" w:space="0" w:color="auto"/>
              <w:right w:val="single" w:sz="8" w:space="0" w:color="auto"/>
            </w:tcBorders>
            <w:shd w:val="clear" w:color="000000" w:fill="B8CCE4"/>
            <w:vAlign w:val="center"/>
            <w:hideMark/>
          </w:tcPr>
          <w:p w14:paraId="5962F4F9"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Investicijska vrednost</w:t>
            </w:r>
          </w:p>
        </w:tc>
        <w:tc>
          <w:tcPr>
            <w:tcW w:w="484" w:type="pct"/>
            <w:tcBorders>
              <w:top w:val="nil"/>
              <w:left w:val="nil"/>
              <w:bottom w:val="single" w:sz="8" w:space="0" w:color="auto"/>
              <w:right w:val="single" w:sz="8" w:space="0" w:color="auto"/>
            </w:tcBorders>
            <w:shd w:val="clear" w:color="000000" w:fill="B8CCE4"/>
            <w:vAlign w:val="center"/>
            <w:hideMark/>
          </w:tcPr>
          <w:p w14:paraId="445CD0B2"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Investicijska vrednost</w:t>
            </w:r>
          </w:p>
        </w:tc>
        <w:tc>
          <w:tcPr>
            <w:tcW w:w="438" w:type="pct"/>
            <w:tcBorders>
              <w:top w:val="nil"/>
              <w:left w:val="nil"/>
              <w:bottom w:val="single" w:sz="8" w:space="0" w:color="auto"/>
              <w:right w:val="single" w:sz="8" w:space="0" w:color="auto"/>
            </w:tcBorders>
            <w:shd w:val="clear" w:color="000000" w:fill="B8CCE4"/>
            <w:vAlign w:val="center"/>
            <w:hideMark/>
          </w:tcPr>
          <w:p w14:paraId="37BF0725"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Prihodki</w:t>
            </w:r>
          </w:p>
        </w:tc>
        <w:tc>
          <w:tcPr>
            <w:tcW w:w="438" w:type="pct"/>
            <w:tcBorders>
              <w:top w:val="nil"/>
              <w:left w:val="nil"/>
              <w:bottom w:val="single" w:sz="8" w:space="0" w:color="auto"/>
              <w:right w:val="single" w:sz="8" w:space="0" w:color="auto"/>
            </w:tcBorders>
            <w:shd w:val="clear" w:color="000000" w:fill="B8CCE4"/>
            <w:vAlign w:val="center"/>
            <w:hideMark/>
          </w:tcPr>
          <w:p w14:paraId="3681DF0C"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Prihodki</w:t>
            </w:r>
          </w:p>
        </w:tc>
        <w:tc>
          <w:tcPr>
            <w:tcW w:w="594" w:type="pct"/>
            <w:tcBorders>
              <w:top w:val="nil"/>
              <w:left w:val="nil"/>
              <w:bottom w:val="single" w:sz="8" w:space="0" w:color="auto"/>
              <w:right w:val="single" w:sz="8" w:space="0" w:color="auto"/>
            </w:tcBorders>
            <w:shd w:val="clear" w:color="000000" w:fill="B8CCE4"/>
            <w:vAlign w:val="center"/>
            <w:hideMark/>
          </w:tcPr>
          <w:p w14:paraId="2F56A993"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Obratovalni stroški</w:t>
            </w:r>
          </w:p>
        </w:tc>
        <w:tc>
          <w:tcPr>
            <w:tcW w:w="453" w:type="pct"/>
            <w:tcBorders>
              <w:top w:val="nil"/>
              <w:left w:val="nil"/>
              <w:bottom w:val="single" w:sz="8" w:space="0" w:color="auto"/>
              <w:right w:val="single" w:sz="8" w:space="0" w:color="auto"/>
            </w:tcBorders>
            <w:shd w:val="clear" w:color="000000" w:fill="B8CCE4"/>
            <w:vAlign w:val="center"/>
            <w:hideMark/>
          </w:tcPr>
          <w:p w14:paraId="2AB43A8E"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Obratovalni stroški</w:t>
            </w:r>
          </w:p>
        </w:tc>
      </w:tr>
      <w:tr w:rsidR="00566643" w:rsidRPr="00566643" w14:paraId="22C6B776" w14:textId="77777777" w:rsidTr="00566643">
        <w:trPr>
          <w:trHeight w:val="300"/>
        </w:trPr>
        <w:tc>
          <w:tcPr>
            <w:tcW w:w="1650" w:type="pct"/>
            <w:tcBorders>
              <w:top w:val="nil"/>
              <w:left w:val="single" w:sz="8" w:space="0" w:color="auto"/>
              <w:bottom w:val="single" w:sz="8" w:space="0" w:color="auto"/>
              <w:right w:val="single" w:sz="8" w:space="0" w:color="auto"/>
            </w:tcBorders>
            <w:shd w:val="clear" w:color="000000" w:fill="E5B8B7"/>
            <w:noWrap/>
            <w:vAlign w:val="center"/>
            <w:hideMark/>
          </w:tcPr>
          <w:p w14:paraId="6094F29C"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FIRR</w:t>
            </w:r>
          </w:p>
        </w:tc>
        <w:tc>
          <w:tcPr>
            <w:tcW w:w="458" w:type="pct"/>
            <w:tcBorders>
              <w:top w:val="nil"/>
              <w:left w:val="nil"/>
              <w:bottom w:val="single" w:sz="8" w:space="0" w:color="auto"/>
              <w:right w:val="single" w:sz="8" w:space="0" w:color="auto"/>
            </w:tcBorders>
            <w:shd w:val="clear" w:color="000000" w:fill="E5B8B7"/>
            <w:noWrap/>
            <w:vAlign w:val="center"/>
            <w:hideMark/>
          </w:tcPr>
          <w:p w14:paraId="4D2C2B2E"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-7,85%</w:t>
            </w:r>
          </w:p>
        </w:tc>
        <w:tc>
          <w:tcPr>
            <w:tcW w:w="484" w:type="pct"/>
            <w:tcBorders>
              <w:top w:val="nil"/>
              <w:left w:val="nil"/>
              <w:bottom w:val="single" w:sz="8" w:space="0" w:color="auto"/>
              <w:right w:val="single" w:sz="8" w:space="0" w:color="auto"/>
            </w:tcBorders>
            <w:shd w:val="clear" w:color="000000" w:fill="E5B8B7"/>
            <w:noWrap/>
            <w:vAlign w:val="center"/>
            <w:hideMark/>
          </w:tcPr>
          <w:p w14:paraId="32815BC1"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-7,88%</w:t>
            </w:r>
          </w:p>
        </w:tc>
        <w:tc>
          <w:tcPr>
            <w:tcW w:w="484" w:type="pct"/>
            <w:tcBorders>
              <w:top w:val="nil"/>
              <w:left w:val="nil"/>
              <w:bottom w:val="single" w:sz="8" w:space="0" w:color="auto"/>
              <w:right w:val="single" w:sz="8" w:space="0" w:color="auto"/>
            </w:tcBorders>
            <w:shd w:val="clear" w:color="000000" w:fill="E5B8B7"/>
            <w:noWrap/>
            <w:vAlign w:val="center"/>
            <w:hideMark/>
          </w:tcPr>
          <w:p w14:paraId="27A9BF00"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-7,82%</w:t>
            </w:r>
          </w:p>
        </w:tc>
        <w:tc>
          <w:tcPr>
            <w:tcW w:w="438" w:type="pct"/>
            <w:tcBorders>
              <w:top w:val="nil"/>
              <w:left w:val="nil"/>
              <w:bottom w:val="single" w:sz="8" w:space="0" w:color="auto"/>
              <w:right w:val="single" w:sz="8" w:space="0" w:color="auto"/>
            </w:tcBorders>
            <w:shd w:val="clear" w:color="000000" w:fill="E5B8B7"/>
            <w:noWrap/>
            <w:vAlign w:val="center"/>
            <w:hideMark/>
          </w:tcPr>
          <w:p w14:paraId="36112C35"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-7,83%</w:t>
            </w:r>
          </w:p>
        </w:tc>
        <w:tc>
          <w:tcPr>
            <w:tcW w:w="438" w:type="pct"/>
            <w:tcBorders>
              <w:top w:val="nil"/>
              <w:left w:val="nil"/>
              <w:bottom w:val="single" w:sz="8" w:space="0" w:color="auto"/>
              <w:right w:val="single" w:sz="8" w:space="0" w:color="auto"/>
            </w:tcBorders>
            <w:shd w:val="clear" w:color="000000" w:fill="E5B8B7"/>
            <w:noWrap/>
            <w:vAlign w:val="center"/>
            <w:hideMark/>
          </w:tcPr>
          <w:p w14:paraId="4BD9B27D"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-7,87%</w:t>
            </w:r>
          </w:p>
        </w:tc>
        <w:tc>
          <w:tcPr>
            <w:tcW w:w="594" w:type="pct"/>
            <w:tcBorders>
              <w:top w:val="nil"/>
              <w:left w:val="nil"/>
              <w:bottom w:val="single" w:sz="8" w:space="0" w:color="auto"/>
              <w:right w:val="single" w:sz="8" w:space="0" w:color="auto"/>
            </w:tcBorders>
            <w:shd w:val="clear" w:color="000000" w:fill="E5B8B7"/>
            <w:noWrap/>
            <w:vAlign w:val="center"/>
            <w:hideMark/>
          </w:tcPr>
          <w:p w14:paraId="79A138F4"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-7,88%</w:t>
            </w:r>
          </w:p>
        </w:tc>
        <w:tc>
          <w:tcPr>
            <w:tcW w:w="453" w:type="pct"/>
            <w:tcBorders>
              <w:top w:val="nil"/>
              <w:left w:val="nil"/>
              <w:bottom w:val="single" w:sz="8" w:space="0" w:color="auto"/>
              <w:right w:val="single" w:sz="8" w:space="0" w:color="auto"/>
            </w:tcBorders>
            <w:shd w:val="clear" w:color="000000" w:fill="E5B8B7"/>
            <w:noWrap/>
            <w:vAlign w:val="center"/>
            <w:hideMark/>
          </w:tcPr>
          <w:p w14:paraId="3912D6C9"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-7,82%</w:t>
            </w:r>
          </w:p>
        </w:tc>
      </w:tr>
      <w:tr w:rsidR="00566643" w:rsidRPr="00566643" w14:paraId="410AA1E7" w14:textId="77777777" w:rsidTr="00566643">
        <w:trPr>
          <w:trHeight w:val="300"/>
        </w:trPr>
        <w:tc>
          <w:tcPr>
            <w:tcW w:w="1650" w:type="pct"/>
            <w:tcBorders>
              <w:top w:val="nil"/>
              <w:left w:val="single" w:sz="8" w:space="0" w:color="auto"/>
              <w:bottom w:val="single" w:sz="8" w:space="0" w:color="auto"/>
              <w:right w:val="single" w:sz="8" w:space="0" w:color="auto"/>
            </w:tcBorders>
            <w:shd w:val="clear" w:color="000000" w:fill="E5B8B7"/>
            <w:noWrap/>
            <w:vAlign w:val="center"/>
            <w:hideMark/>
          </w:tcPr>
          <w:p w14:paraId="3C78E68F"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FNPV</w:t>
            </w:r>
          </w:p>
        </w:tc>
        <w:tc>
          <w:tcPr>
            <w:tcW w:w="458" w:type="pct"/>
            <w:tcBorders>
              <w:top w:val="nil"/>
              <w:left w:val="nil"/>
              <w:bottom w:val="single" w:sz="8" w:space="0" w:color="auto"/>
              <w:right w:val="single" w:sz="8" w:space="0" w:color="auto"/>
            </w:tcBorders>
            <w:shd w:val="clear" w:color="000000" w:fill="E5B8B7"/>
            <w:noWrap/>
            <w:vAlign w:val="center"/>
            <w:hideMark/>
          </w:tcPr>
          <w:p w14:paraId="0531DABD"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-3.304.864</w:t>
            </w:r>
          </w:p>
        </w:tc>
        <w:tc>
          <w:tcPr>
            <w:tcW w:w="484" w:type="pct"/>
            <w:tcBorders>
              <w:top w:val="nil"/>
              <w:left w:val="nil"/>
              <w:bottom w:val="single" w:sz="8" w:space="0" w:color="auto"/>
              <w:right w:val="single" w:sz="8" w:space="0" w:color="auto"/>
            </w:tcBorders>
            <w:shd w:val="clear" w:color="000000" w:fill="E5B8B7"/>
            <w:noWrap/>
            <w:vAlign w:val="center"/>
            <w:hideMark/>
          </w:tcPr>
          <w:p w14:paraId="64A12F84"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-3.336.968</w:t>
            </w:r>
          </w:p>
        </w:tc>
        <w:tc>
          <w:tcPr>
            <w:tcW w:w="484" w:type="pct"/>
            <w:tcBorders>
              <w:top w:val="nil"/>
              <w:left w:val="nil"/>
              <w:bottom w:val="single" w:sz="8" w:space="0" w:color="auto"/>
              <w:right w:val="single" w:sz="8" w:space="0" w:color="auto"/>
            </w:tcBorders>
            <w:shd w:val="clear" w:color="000000" w:fill="E5B8B7"/>
            <w:noWrap/>
            <w:vAlign w:val="center"/>
            <w:hideMark/>
          </w:tcPr>
          <w:p w14:paraId="16A8D743"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-3.272.760</w:t>
            </w:r>
          </w:p>
        </w:tc>
        <w:tc>
          <w:tcPr>
            <w:tcW w:w="438" w:type="pct"/>
            <w:tcBorders>
              <w:top w:val="nil"/>
              <w:left w:val="nil"/>
              <w:bottom w:val="single" w:sz="8" w:space="0" w:color="auto"/>
              <w:right w:val="single" w:sz="8" w:space="0" w:color="auto"/>
            </w:tcBorders>
            <w:shd w:val="clear" w:color="000000" w:fill="E5B8B7"/>
            <w:noWrap/>
            <w:vAlign w:val="center"/>
            <w:hideMark/>
          </w:tcPr>
          <w:p w14:paraId="6656E5ED"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-3.301.531</w:t>
            </w:r>
          </w:p>
        </w:tc>
        <w:tc>
          <w:tcPr>
            <w:tcW w:w="438" w:type="pct"/>
            <w:tcBorders>
              <w:top w:val="nil"/>
              <w:left w:val="nil"/>
              <w:bottom w:val="single" w:sz="8" w:space="0" w:color="auto"/>
              <w:right w:val="single" w:sz="8" w:space="0" w:color="auto"/>
            </w:tcBorders>
            <w:shd w:val="clear" w:color="000000" w:fill="E5B8B7"/>
            <w:noWrap/>
            <w:vAlign w:val="center"/>
            <w:hideMark/>
          </w:tcPr>
          <w:p w14:paraId="2EBFA4F8"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-3.308.197</w:t>
            </w:r>
          </w:p>
        </w:tc>
        <w:tc>
          <w:tcPr>
            <w:tcW w:w="594" w:type="pct"/>
            <w:tcBorders>
              <w:top w:val="nil"/>
              <w:left w:val="nil"/>
              <w:bottom w:val="single" w:sz="8" w:space="0" w:color="auto"/>
              <w:right w:val="single" w:sz="8" w:space="0" w:color="auto"/>
            </w:tcBorders>
            <w:shd w:val="clear" w:color="000000" w:fill="E5B8B7"/>
            <w:noWrap/>
            <w:vAlign w:val="center"/>
            <w:hideMark/>
          </w:tcPr>
          <w:p w14:paraId="092878D7"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-3.310.208</w:t>
            </w:r>
          </w:p>
        </w:tc>
        <w:tc>
          <w:tcPr>
            <w:tcW w:w="453" w:type="pct"/>
            <w:tcBorders>
              <w:top w:val="nil"/>
              <w:left w:val="nil"/>
              <w:bottom w:val="single" w:sz="8" w:space="0" w:color="auto"/>
              <w:right w:val="single" w:sz="8" w:space="0" w:color="auto"/>
            </w:tcBorders>
            <w:shd w:val="clear" w:color="000000" w:fill="E5B8B7"/>
            <w:noWrap/>
            <w:vAlign w:val="center"/>
            <w:hideMark/>
          </w:tcPr>
          <w:p w14:paraId="70B0932A"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-3.299.520</w:t>
            </w:r>
          </w:p>
        </w:tc>
      </w:tr>
      <w:tr w:rsidR="00566643" w:rsidRPr="00566643" w14:paraId="53261F06" w14:textId="77777777" w:rsidTr="00566643">
        <w:trPr>
          <w:trHeight w:val="300"/>
        </w:trPr>
        <w:tc>
          <w:tcPr>
            <w:tcW w:w="1650" w:type="pct"/>
            <w:tcBorders>
              <w:top w:val="nil"/>
              <w:left w:val="single" w:sz="8" w:space="0" w:color="auto"/>
              <w:bottom w:val="single" w:sz="8" w:space="0" w:color="auto"/>
              <w:right w:val="single" w:sz="8" w:space="0" w:color="auto"/>
            </w:tcBorders>
            <w:shd w:val="clear" w:color="000000" w:fill="E5B8B7"/>
            <w:noWrap/>
            <w:vAlign w:val="center"/>
            <w:hideMark/>
          </w:tcPr>
          <w:p w14:paraId="4FF1E745"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EIRR</w:t>
            </w:r>
          </w:p>
        </w:tc>
        <w:tc>
          <w:tcPr>
            <w:tcW w:w="458" w:type="pct"/>
            <w:tcBorders>
              <w:top w:val="nil"/>
              <w:left w:val="nil"/>
              <w:bottom w:val="single" w:sz="8" w:space="0" w:color="auto"/>
              <w:right w:val="single" w:sz="8" w:space="0" w:color="auto"/>
            </w:tcBorders>
            <w:shd w:val="clear" w:color="000000" w:fill="E5B8B7"/>
            <w:noWrap/>
            <w:vAlign w:val="center"/>
            <w:hideMark/>
          </w:tcPr>
          <w:p w14:paraId="0E421F6E"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13,58%</w:t>
            </w:r>
          </w:p>
        </w:tc>
        <w:tc>
          <w:tcPr>
            <w:tcW w:w="484" w:type="pct"/>
            <w:tcBorders>
              <w:top w:val="nil"/>
              <w:left w:val="nil"/>
              <w:bottom w:val="single" w:sz="8" w:space="0" w:color="auto"/>
              <w:right w:val="single" w:sz="8" w:space="0" w:color="auto"/>
            </w:tcBorders>
            <w:shd w:val="clear" w:color="000000" w:fill="E5B8B7"/>
            <w:noWrap/>
            <w:vAlign w:val="center"/>
            <w:hideMark/>
          </w:tcPr>
          <w:p w14:paraId="19BC7EE1"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13,46%</w:t>
            </w:r>
          </w:p>
        </w:tc>
        <w:tc>
          <w:tcPr>
            <w:tcW w:w="484" w:type="pct"/>
            <w:tcBorders>
              <w:top w:val="nil"/>
              <w:left w:val="nil"/>
              <w:bottom w:val="single" w:sz="8" w:space="0" w:color="auto"/>
              <w:right w:val="single" w:sz="8" w:space="0" w:color="auto"/>
            </w:tcBorders>
            <w:shd w:val="clear" w:color="000000" w:fill="E5B8B7"/>
            <w:noWrap/>
            <w:vAlign w:val="center"/>
            <w:hideMark/>
          </w:tcPr>
          <w:p w14:paraId="6F5C2EE4"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13,70%</w:t>
            </w:r>
          </w:p>
        </w:tc>
        <w:tc>
          <w:tcPr>
            <w:tcW w:w="438" w:type="pct"/>
            <w:tcBorders>
              <w:top w:val="nil"/>
              <w:left w:val="nil"/>
              <w:bottom w:val="single" w:sz="8" w:space="0" w:color="auto"/>
              <w:right w:val="single" w:sz="8" w:space="0" w:color="auto"/>
            </w:tcBorders>
            <w:shd w:val="clear" w:color="000000" w:fill="E5B8B7"/>
            <w:noWrap/>
            <w:vAlign w:val="center"/>
            <w:hideMark/>
          </w:tcPr>
          <w:p w14:paraId="3E7FC0A9"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13,58%</w:t>
            </w:r>
          </w:p>
        </w:tc>
        <w:tc>
          <w:tcPr>
            <w:tcW w:w="438" w:type="pct"/>
            <w:tcBorders>
              <w:top w:val="nil"/>
              <w:left w:val="nil"/>
              <w:bottom w:val="single" w:sz="8" w:space="0" w:color="auto"/>
              <w:right w:val="single" w:sz="8" w:space="0" w:color="auto"/>
            </w:tcBorders>
            <w:shd w:val="clear" w:color="000000" w:fill="E5B8B7"/>
            <w:noWrap/>
            <w:vAlign w:val="center"/>
            <w:hideMark/>
          </w:tcPr>
          <w:p w14:paraId="460EF986"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13,58%</w:t>
            </w:r>
          </w:p>
        </w:tc>
        <w:tc>
          <w:tcPr>
            <w:tcW w:w="594" w:type="pct"/>
            <w:tcBorders>
              <w:top w:val="nil"/>
              <w:left w:val="nil"/>
              <w:bottom w:val="single" w:sz="8" w:space="0" w:color="auto"/>
              <w:right w:val="single" w:sz="8" w:space="0" w:color="auto"/>
            </w:tcBorders>
            <w:shd w:val="clear" w:color="000000" w:fill="E5B8B7"/>
            <w:noWrap/>
            <w:vAlign w:val="center"/>
            <w:hideMark/>
          </w:tcPr>
          <w:p w14:paraId="47875342"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13,57%</w:t>
            </w:r>
          </w:p>
        </w:tc>
        <w:tc>
          <w:tcPr>
            <w:tcW w:w="453" w:type="pct"/>
            <w:tcBorders>
              <w:top w:val="nil"/>
              <w:left w:val="nil"/>
              <w:bottom w:val="single" w:sz="8" w:space="0" w:color="auto"/>
              <w:right w:val="single" w:sz="8" w:space="0" w:color="auto"/>
            </w:tcBorders>
            <w:shd w:val="clear" w:color="000000" w:fill="E5B8B7"/>
            <w:noWrap/>
            <w:vAlign w:val="center"/>
            <w:hideMark/>
          </w:tcPr>
          <w:p w14:paraId="2D91F30E"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13,59%</w:t>
            </w:r>
          </w:p>
        </w:tc>
      </w:tr>
      <w:tr w:rsidR="00566643" w:rsidRPr="00566643" w14:paraId="5B0A1709" w14:textId="77777777" w:rsidTr="00566643">
        <w:trPr>
          <w:trHeight w:val="300"/>
        </w:trPr>
        <w:tc>
          <w:tcPr>
            <w:tcW w:w="1650" w:type="pct"/>
            <w:tcBorders>
              <w:top w:val="nil"/>
              <w:left w:val="single" w:sz="8" w:space="0" w:color="auto"/>
              <w:bottom w:val="single" w:sz="8" w:space="0" w:color="auto"/>
              <w:right w:val="single" w:sz="8" w:space="0" w:color="auto"/>
            </w:tcBorders>
            <w:noWrap/>
            <w:vAlign w:val="center"/>
            <w:hideMark/>
          </w:tcPr>
          <w:p w14:paraId="78811932"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ENPV</w:t>
            </w:r>
          </w:p>
        </w:tc>
        <w:tc>
          <w:tcPr>
            <w:tcW w:w="458" w:type="pct"/>
            <w:tcBorders>
              <w:top w:val="nil"/>
              <w:left w:val="nil"/>
              <w:bottom w:val="single" w:sz="8" w:space="0" w:color="auto"/>
              <w:right w:val="single" w:sz="8" w:space="0" w:color="auto"/>
            </w:tcBorders>
            <w:noWrap/>
            <w:vAlign w:val="center"/>
            <w:hideMark/>
          </w:tcPr>
          <w:p w14:paraId="0BB08236"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3.290.241</w:t>
            </w:r>
          </w:p>
        </w:tc>
        <w:tc>
          <w:tcPr>
            <w:tcW w:w="484" w:type="pct"/>
            <w:tcBorders>
              <w:top w:val="nil"/>
              <w:left w:val="nil"/>
              <w:bottom w:val="single" w:sz="8" w:space="0" w:color="auto"/>
              <w:right w:val="single" w:sz="8" w:space="0" w:color="auto"/>
            </w:tcBorders>
            <w:noWrap/>
            <w:vAlign w:val="center"/>
            <w:hideMark/>
          </w:tcPr>
          <w:p w14:paraId="0D800C97"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3.264.270</w:t>
            </w:r>
          </w:p>
        </w:tc>
        <w:tc>
          <w:tcPr>
            <w:tcW w:w="484" w:type="pct"/>
            <w:tcBorders>
              <w:top w:val="nil"/>
              <w:left w:val="nil"/>
              <w:bottom w:val="single" w:sz="8" w:space="0" w:color="auto"/>
              <w:right w:val="single" w:sz="8" w:space="0" w:color="auto"/>
            </w:tcBorders>
            <w:noWrap/>
            <w:vAlign w:val="center"/>
            <w:hideMark/>
          </w:tcPr>
          <w:p w14:paraId="046FAE76"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3.316.212</w:t>
            </w:r>
          </w:p>
        </w:tc>
        <w:tc>
          <w:tcPr>
            <w:tcW w:w="438" w:type="pct"/>
            <w:tcBorders>
              <w:top w:val="nil"/>
              <w:left w:val="nil"/>
              <w:bottom w:val="single" w:sz="8" w:space="0" w:color="auto"/>
              <w:right w:val="single" w:sz="8" w:space="0" w:color="auto"/>
            </w:tcBorders>
            <w:noWrap/>
            <w:vAlign w:val="center"/>
            <w:hideMark/>
          </w:tcPr>
          <w:p w14:paraId="4B84A1C9"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3.290.241</w:t>
            </w:r>
          </w:p>
        </w:tc>
        <w:tc>
          <w:tcPr>
            <w:tcW w:w="438" w:type="pct"/>
            <w:tcBorders>
              <w:top w:val="nil"/>
              <w:left w:val="nil"/>
              <w:bottom w:val="single" w:sz="8" w:space="0" w:color="auto"/>
              <w:right w:val="single" w:sz="8" w:space="0" w:color="auto"/>
            </w:tcBorders>
            <w:noWrap/>
            <w:vAlign w:val="center"/>
            <w:hideMark/>
          </w:tcPr>
          <w:p w14:paraId="3A3F6959"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3.290.241</w:t>
            </w:r>
          </w:p>
        </w:tc>
        <w:tc>
          <w:tcPr>
            <w:tcW w:w="594" w:type="pct"/>
            <w:tcBorders>
              <w:top w:val="nil"/>
              <w:left w:val="nil"/>
              <w:bottom w:val="single" w:sz="8" w:space="0" w:color="auto"/>
              <w:right w:val="single" w:sz="8" w:space="0" w:color="auto"/>
            </w:tcBorders>
            <w:noWrap/>
            <w:vAlign w:val="center"/>
            <w:hideMark/>
          </w:tcPr>
          <w:p w14:paraId="2DB94031"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3.285.102</w:t>
            </w:r>
          </w:p>
        </w:tc>
        <w:tc>
          <w:tcPr>
            <w:tcW w:w="453" w:type="pct"/>
            <w:tcBorders>
              <w:top w:val="nil"/>
              <w:left w:val="nil"/>
              <w:bottom w:val="single" w:sz="8" w:space="0" w:color="auto"/>
              <w:right w:val="single" w:sz="8" w:space="0" w:color="auto"/>
            </w:tcBorders>
            <w:noWrap/>
            <w:vAlign w:val="center"/>
            <w:hideMark/>
          </w:tcPr>
          <w:p w14:paraId="36E06EDE" w14:textId="77777777" w:rsidR="00566643" w:rsidRPr="00566643" w:rsidRDefault="00566643">
            <w:pPr>
              <w:jc w:val="both"/>
              <w:rPr>
                <w:rFonts w:ascii="Arial" w:hAnsi="Arial" w:cs="Arial"/>
                <w:color w:val="000000"/>
                <w:sz w:val="18"/>
                <w:szCs w:val="18"/>
              </w:rPr>
            </w:pPr>
            <w:r w:rsidRPr="00566643">
              <w:rPr>
                <w:rFonts w:ascii="Arial" w:hAnsi="Arial" w:cs="Arial"/>
                <w:color w:val="000000"/>
                <w:sz w:val="18"/>
                <w:szCs w:val="18"/>
              </w:rPr>
              <w:t>3.295.380</w:t>
            </w:r>
          </w:p>
        </w:tc>
      </w:tr>
      <w:tr w:rsidR="00566643" w:rsidRPr="00566643" w14:paraId="7584B5DF" w14:textId="77777777" w:rsidTr="00566643">
        <w:trPr>
          <w:trHeight w:val="102"/>
        </w:trPr>
        <w:tc>
          <w:tcPr>
            <w:tcW w:w="1650" w:type="pct"/>
            <w:tcBorders>
              <w:top w:val="nil"/>
              <w:left w:val="nil"/>
              <w:bottom w:val="single" w:sz="4" w:space="0" w:color="auto"/>
              <w:right w:val="nil"/>
            </w:tcBorders>
            <w:noWrap/>
            <w:vAlign w:val="bottom"/>
            <w:hideMark/>
          </w:tcPr>
          <w:p w14:paraId="2D228CB0" w14:textId="77777777" w:rsidR="00566643" w:rsidRPr="00566643" w:rsidRDefault="00566643">
            <w:pPr>
              <w:jc w:val="both"/>
              <w:rPr>
                <w:rFonts w:ascii="Arial" w:hAnsi="Arial" w:cs="Arial"/>
                <w:color w:val="000000"/>
                <w:sz w:val="18"/>
                <w:szCs w:val="18"/>
              </w:rPr>
            </w:pPr>
          </w:p>
        </w:tc>
        <w:tc>
          <w:tcPr>
            <w:tcW w:w="458" w:type="pct"/>
            <w:tcBorders>
              <w:top w:val="nil"/>
              <w:left w:val="nil"/>
              <w:bottom w:val="nil"/>
              <w:right w:val="nil"/>
            </w:tcBorders>
            <w:noWrap/>
            <w:vAlign w:val="bottom"/>
            <w:hideMark/>
          </w:tcPr>
          <w:p w14:paraId="217BFC4E" w14:textId="77777777" w:rsidR="00566643" w:rsidRPr="00566643" w:rsidRDefault="00566643">
            <w:pPr>
              <w:rPr>
                <w:sz w:val="18"/>
                <w:szCs w:val="18"/>
              </w:rPr>
            </w:pPr>
          </w:p>
        </w:tc>
        <w:tc>
          <w:tcPr>
            <w:tcW w:w="484" w:type="pct"/>
            <w:tcBorders>
              <w:top w:val="nil"/>
              <w:left w:val="nil"/>
              <w:bottom w:val="nil"/>
              <w:right w:val="nil"/>
            </w:tcBorders>
            <w:noWrap/>
            <w:vAlign w:val="bottom"/>
            <w:hideMark/>
          </w:tcPr>
          <w:p w14:paraId="2C8AF0F0" w14:textId="77777777" w:rsidR="00566643" w:rsidRPr="00566643" w:rsidRDefault="00566643">
            <w:pPr>
              <w:rPr>
                <w:sz w:val="18"/>
                <w:szCs w:val="18"/>
              </w:rPr>
            </w:pPr>
          </w:p>
        </w:tc>
        <w:tc>
          <w:tcPr>
            <w:tcW w:w="484" w:type="pct"/>
            <w:tcBorders>
              <w:top w:val="nil"/>
              <w:left w:val="nil"/>
              <w:bottom w:val="nil"/>
              <w:right w:val="nil"/>
            </w:tcBorders>
            <w:noWrap/>
            <w:vAlign w:val="bottom"/>
            <w:hideMark/>
          </w:tcPr>
          <w:p w14:paraId="6949EE4B" w14:textId="77777777" w:rsidR="00566643" w:rsidRPr="00566643" w:rsidRDefault="00566643">
            <w:pPr>
              <w:rPr>
                <w:sz w:val="18"/>
                <w:szCs w:val="18"/>
              </w:rPr>
            </w:pPr>
          </w:p>
        </w:tc>
        <w:tc>
          <w:tcPr>
            <w:tcW w:w="438" w:type="pct"/>
            <w:tcBorders>
              <w:top w:val="nil"/>
              <w:left w:val="nil"/>
              <w:bottom w:val="nil"/>
              <w:right w:val="nil"/>
            </w:tcBorders>
            <w:noWrap/>
            <w:vAlign w:val="bottom"/>
            <w:hideMark/>
          </w:tcPr>
          <w:p w14:paraId="54479B8C" w14:textId="77777777" w:rsidR="00566643" w:rsidRPr="00566643" w:rsidRDefault="00566643">
            <w:pPr>
              <w:rPr>
                <w:sz w:val="18"/>
                <w:szCs w:val="18"/>
              </w:rPr>
            </w:pPr>
          </w:p>
        </w:tc>
        <w:tc>
          <w:tcPr>
            <w:tcW w:w="438" w:type="pct"/>
            <w:tcBorders>
              <w:top w:val="nil"/>
              <w:left w:val="nil"/>
              <w:bottom w:val="nil"/>
              <w:right w:val="nil"/>
            </w:tcBorders>
            <w:noWrap/>
            <w:vAlign w:val="bottom"/>
            <w:hideMark/>
          </w:tcPr>
          <w:p w14:paraId="5A271DB4" w14:textId="77777777" w:rsidR="00566643" w:rsidRPr="00566643" w:rsidRDefault="00566643">
            <w:pPr>
              <w:rPr>
                <w:sz w:val="18"/>
                <w:szCs w:val="18"/>
              </w:rPr>
            </w:pPr>
          </w:p>
        </w:tc>
        <w:tc>
          <w:tcPr>
            <w:tcW w:w="594" w:type="pct"/>
            <w:tcBorders>
              <w:top w:val="nil"/>
              <w:left w:val="nil"/>
              <w:bottom w:val="nil"/>
              <w:right w:val="nil"/>
            </w:tcBorders>
            <w:noWrap/>
            <w:vAlign w:val="bottom"/>
            <w:hideMark/>
          </w:tcPr>
          <w:p w14:paraId="29AB660C" w14:textId="77777777" w:rsidR="00566643" w:rsidRPr="00566643" w:rsidRDefault="00566643">
            <w:pPr>
              <w:rPr>
                <w:sz w:val="18"/>
                <w:szCs w:val="18"/>
              </w:rPr>
            </w:pPr>
          </w:p>
        </w:tc>
        <w:tc>
          <w:tcPr>
            <w:tcW w:w="453" w:type="pct"/>
            <w:tcBorders>
              <w:top w:val="nil"/>
              <w:left w:val="nil"/>
              <w:bottom w:val="nil"/>
              <w:right w:val="nil"/>
            </w:tcBorders>
            <w:noWrap/>
            <w:vAlign w:val="bottom"/>
            <w:hideMark/>
          </w:tcPr>
          <w:p w14:paraId="2F76A42A" w14:textId="77777777" w:rsidR="00566643" w:rsidRPr="00566643" w:rsidRDefault="00566643">
            <w:pPr>
              <w:rPr>
                <w:sz w:val="18"/>
                <w:szCs w:val="18"/>
              </w:rPr>
            </w:pPr>
          </w:p>
        </w:tc>
      </w:tr>
      <w:tr w:rsidR="00566643" w:rsidRPr="00566643" w14:paraId="6F1EA951" w14:textId="77777777" w:rsidTr="00566643">
        <w:trPr>
          <w:trHeight w:val="300"/>
        </w:trPr>
        <w:tc>
          <w:tcPr>
            <w:tcW w:w="1650" w:type="pct"/>
            <w:vMerge w:val="restart"/>
            <w:tcBorders>
              <w:top w:val="single" w:sz="4" w:space="0" w:color="auto"/>
              <w:left w:val="single" w:sz="4" w:space="0" w:color="auto"/>
              <w:bottom w:val="single" w:sz="4" w:space="0" w:color="auto"/>
              <w:right w:val="single" w:sz="4" w:space="0" w:color="auto"/>
            </w:tcBorders>
            <w:vAlign w:val="center"/>
            <w:hideMark/>
          </w:tcPr>
          <w:p w14:paraId="7F422B50" w14:textId="77777777" w:rsidR="00566643" w:rsidRPr="00566643" w:rsidRDefault="00566643">
            <w:pPr>
              <w:jc w:val="center"/>
              <w:rPr>
                <w:rFonts w:ascii="Arial" w:hAnsi="Arial" w:cs="Arial"/>
                <w:b/>
                <w:bCs/>
                <w:color w:val="000000"/>
                <w:sz w:val="18"/>
                <w:szCs w:val="18"/>
              </w:rPr>
            </w:pPr>
            <w:r w:rsidRPr="00566643">
              <w:rPr>
                <w:rFonts w:ascii="Arial" w:hAnsi="Arial" w:cs="Arial"/>
                <w:b/>
                <w:bCs/>
                <w:color w:val="000000"/>
                <w:sz w:val="18"/>
                <w:szCs w:val="18"/>
              </w:rPr>
              <w:t>Sprememba v % oz. odstotnih točk</w:t>
            </w:r>
          </w:p>
        </w:tc>
        <w:tc>
          <w:tcPr>
            <w:tcW w:w="458" w:type="pct"/>
            <w:tcBorders>
              <w:top w:val="single" w:sz="8" w:space="0" w:color="auto"/>
              <w:left w:val="single" w:sz="4" w:space="0" w:color="auto"/>
              <w:bottom w:val="single" w:sz="8" w:space="0" w:color="auto"/>
              <w:right w:val="single" w:sz="8" w:space="0" w:color="auto"/>
            </w:tcBorders>
            <w:shd w:val="clear" w:color="000000" w:fill="D9D9D9"/>
            <w:noWrap/>
            <w:vAlign w:val="center"/>
            <w:hideMark/>
          </w:tcPr>
          <w:p w14:paraId="28848D48"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FNPV</w:t>
            </w:r>
          </w:p>
        </w:tc>
        <w:tc>
          <w:tcPr>
            <w:tcW w:w="484" w:type="pct"/>
            <w:tcBorders>
              <w:top w:val="single" w:sz="8" w:space="0" w:color="auto"/>
              <w:left w:val="nil"/>
              <w:bottom w:val="single" w:sz="8" w:space="0" w:color="auto"/>
              <w:right w:val="single" w:sz="8" w:space="0" w:color="auto"/>
            </w:tcBorders>
            <w:noWrap/>
            <w:vAlign w:val="center"/>
            <w:hideMark/>
          </w:tcPr>
          <w:p w14:paraId="002CC852"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-0,03</w:t>
            </w:r>
          </w:p>
        </w:tc>
        <w:tc>
          <w:tcPr>
            <w:tcW w:w="484" w:type="pct"/>
            <w:tcBorders>
              <w:top w:val="single" w:sz="8" w:space="0" w:color="auto"/>
              <w:left w:val="nil"/>
              <w:bottom w:val="single" w:sz="8" w:space="0" w:color="auto"/>
              <w:right w:val="single" w:sz="8" w:space="0" w:color="auto"/>
            </w:tcBorders>
            <w:noWrap/>
            <w:vAlign w:val="center"/>
            <w:hideMark/>
          </w:tcPr>
          <w:p w14:paraId="510D9800"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0,03</w:t>
            </w:r>
          </w:p>
        </w:tc>
        <w:tc>
          <w:tcPr>
            <w:tcW w:w="438" w:type="pct"/>
            <w:tcBorders>
              <w:top w:val="single" w:sz="8" w:space="0" w:color="auto"/>
              <w:left w:val="nil"/>
              <w:bottom w:val="single" w:sz="8" w:space="0" w:color="auto"/>
              <w:right w:val="single" w:sz="8" w:space="0" w:color="auto"/>
            </w:tcBorders>
            <w:noWrap/>
            <w:vAlign w:val="center"/>
            <w:hideMark/>
          </w:tcPr>
          <w:p w14:paraId="118D2A45"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0,02</w:t>
            </w:r>
          </w:p>
        </w:tc>
        <w:tc>
          <w:tcPr>
            <w:tcW w:w="438" w:type="pct"/>
            <w:tcBorders>
              <w:top w:val="single" w:sz="8" w:space="0" w:color="auto"/>
              <w:left w:val="nil"/>
              <w:bottom w:val="single" w:sz="8" w:space="0" w:color="auto"/>
              <w:right w:val="single" w:sz="8" w:space="0" w:color="auto"/>
            </w:tcBorders>
            <w:noWrap/>
            <w:vAlign w:val="center"/>
            <w:hideMark/>
          </w:tcPr>
          <w:p w14:paraId="6F9B5B00"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-0,02</w:t>
            </w:r>
          </w:p>
        </w:tc>
        <w:tc>
          <w:tcPr>
            <w:tcW w:w="594" w:type="pct"/>
            <w:tcBorders>
              <w:top w:val="single" w:sz="8" w:space="0" w:color="auto"/>
              <w:left w:val="nil"/>
              <w:bottom w:val="single" w:sz="8" w:space="0" w:color="auto"/>
              <w:right w:val="single" w:sz="8" w:space="0" w:color="auto"/>
            </w:tcBorders>
            <w:noWrap/>
            <w:vAlign w:val="center"/>
            <w:hideMark/>
          </w:tcPr>
          <w:p w14:paraId="35FF0936"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-0,03</w:t>
            </w:r>
          </w:p>
        </w:tc>
        <w:tc>
          <w:tcPr>
            <w:tcW w:w="453" w:type="pct"/>
            <w:tcBorders>
              <w:top w:val="single" w:sz="8" w:space="0" w:color="auto"/>
              <w:left w:val="nil"/>
              <w:bottom w:val="single" w:sz="8" w:space="0" w:color="auto"/>
              <w:right w:val="single" w:sz="8" w:space="0" w:color="auto"/>
            </w:tcBorders>
            <w:noWrap/>
            <w:vAlign w:val="center"/>
            <w:hideMark/>
          </w:tcPr>
          <w:p w14:paraId="141119FD"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0,03</w:t>
            </w:r>
          </w:p>
        </w:tc>
      </w:tr>
      <w:tr w:rsidR="00566643" w:rsidRPr="00566643" w14:paraId="6FF9A84D" w14:textId="77777777" w:rsidTr="00566643">
        <w:trPr>
          <w:trHeight w:val="300"/>
        </w:trPr>
        <w:tc>
          <w:tcPr>
            <w:tcW w:w="1650" w:type="pct"/>
            <w:vMerge/>
            <w:tcBorders>
              <w:top w:val="single" w:sz="4" w:space="0" w:color="auto"/>
              <w:left w:val="single" w:sz="4" w:space="0" w:color="auto"/>
              <w:bottom w:val="single" w:sz="4" w:space="0" w:color="auto"/>
              <w:right w:val="single" w:sz="4" w:space="0" w:color="auto"/>
            </w:tcBorders>
            <w:vAlign w:val="center"/>
            <w:hideMark/>
          </w:tcPr>
          <w:p w14:paraId="0652814A" w14:textId="77777777" w:rsidR="00566643" w:rsidRPr="00566643" w:rsidRDefault="00566643">
            <w:pPr>
              <w:rPr>
                <w:rFonts w:ascii="Arial" w:hAnsi="Arial" w:cs="Arial"/>
                <w:b/>
                <w:bCs/>
                <w:color w:val="000000"/>
                <w:sz w:val="18"/>
                <w:szCs w:val="18"/>
              </w:rPr>
            </w:pPr>
          </w:p>
        </w:tc>
        <w:tc>
          <w:tcPr>
            <w:tcW w:w="458" w:type="pct"/>
            <w:tcBorders>
              <w:top w:val="nil"/>
              <w:left w:val="single" w:sz="4" w:space="0" w:color="auto"/>
              <w:bottom w:val="single" w:sz="8" w:space="0" w:color="auto"/>
              <w:right w:val="single" w:sz="8" w:space="0" w:color="auto"/>
            </w:tcBorders>
            <w:shd w:val="clear" w:color="000000" w:fill="D9D9D9"/>
            <w:noWrap/>
            <w:vAlign w:val="center"/>
            <w:hideMark/>
          </w:tcPr>
          <w:p w14:paraId="2636A6E9"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FNPV</w:t>
            </w:r>
          </w:p>
        </w:tc>
        <w:tc>
          <w:tcPr>
            <w:tcW w:w="484" w:type="pct"/>
            <w:tcBorders>
              <w:top w:val="nil"/>
              <w:left w:val="nil"/>
              <w:bottom w:val="single" w:sz="8" w:space="0" w:color="auto"/>
              <w:right w:val="single" w:sz="8" w:space="0" w:color="auto"/>
            </w:tcBorders>
            <w:noWrap/>
            <w:vAlign w:val="center"/>
            <w:hideMark/>
          </w:tcPr>
          <w:p w14:paraId="19AE06DF"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0,97</w:t>
            </w:r>
          </w:p>
        </w:tc>
        <w:tc>
          <w:tcPr>
            <w:tcW w:w="484" w:type="pct"/>
            <w:tcBorders>
              <w:top w:val="nil"/>
              <w:left w:val="nil"/>
              <w:bottom w:val="single" w:sz="8" w:space="0" w:color="auto"/>
              <w:right w:val="single" w:sz="8" w:space="0" w:color="auto"/>
            </w:tcBorders>
            <w:noWrap/>
            <w:vAlign w:val="center"/>
            <w:hideMark/>
          </w:tcPr>
          <w:p w14:paraId="444A64C4"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-0,97</w:t>
            </w:r>
          </w:p>
        </w:tc>
        <w:tc>
          <w:tcPr>
            <w:tcW w:w="438" w:type="pct"/>
            <w:tcBorders>
              <w:top w:val="nil"/>
              <w:left w:val="nil"/>
              <w:bottom w:val="single" w:sz="8" w:space="0" w:color="auto"/>
              <w:right w:val="single" w:sz="8" w:space="0" w:color="auto"/>
            </w:tcBorders>
            <w:noWrap/>
            <w:vAlign w:val="center"/>
            <w:hideMark/>
          </w:tcPr>
          <w:p w14:paraId="75087F2D"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-0,10</w:t>
            </w:r>
          </w:p>
        </w:tc>
        <w:tc>
          <w:tcPr>
            <w:tcW w:w="438" w:type="pct"/>
            <w:tcBorders>
              <w:top w:val="nil"/>
              <w:left w:val="nil"/>
              <w:bottom w:val="single" w:sz="8" w:space="0" w:color="auto"/>
              <w:right w:val="single" w:sz="8" w:space="0" w:color="auto"/>
            </w:tcBorders>
            <w:noWrap/>
            <w:vAlign w:val="center"/>
            <w:hideMark/>
          </w:tcPr>
          <w:p w14:paraId="6203E897"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0,10</w:t>
            </w:r>
          </w:p>
        </w:tc>
        <w:tc>
          <w:tcPr>
            <w:tcW w:w="594" w:type="pct"/>
            <w:tcBorders>
              <w:top w:val="nil"/>
              <w:left w:val="nil"/>
              <w:bottom w:val="single" w:sz="8" w:space="0" w:color="auto"/>
              <w:right w:val="single" w:sz="8" w:space="0" w:color="auto"/>
            </w:tcBorders>
            <w:noWrap/>
            <w:vAlign w:val="center"/>
            <w:hideMark/>
          </w:tcPr>
          <w:p w14:paraId="4AFEE3D0"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0,16</w:t>
            </w:r>
          </w:p>
        </w:tc>
        <w:tc>
          <w:tcPr>
            <w:tcW w:w="453" w:type="pct"/>
            <w:tcBorders>
              <w:top w:val="nil"/>
              <w:left w:val="nil"/>
              <w:bottom w:val="single" w:sz="8" w:space="0" w:color="auto"/>
              <w:right w:val="single" w:sz="8" w:space="0" w:color="auto"/>
            </w:tcBorders>
            <w:noWrap/>
            <w:vAlign w:val="center"/>
            <w:hideMark/>
          </w:tcPr>
          <w:p w14:paraId="2F767F2D"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-0,16</w:t>
            </w:r>
          </w:p>
        </w:tc>
      </w:tr>
      <w:tr w:rsidR="00566643" w:rsidRPr="00566643" w14:paraId="0B054D29" w14:textId="77777777" w:rsidTr="00566643">
        <w:trPr>
          <w:trHeight w:val="300"/>
        </w:trPr>
        <w:tc>
          <w:tcPr>
            <w:tcW w:w="1650" w:type="pct"/>
            <w:vMerge/>
            <w:tcBorders>
              <w:top w:val="single" w:sz="4" w:space="0" w:color="auto"/>
              <w:left w:val="single" w:sz="4" w:space="0" w:color="auto"/>
              <w:bottom w:val="single" w:sz="4" w:space="0" w:color="auto"/>
              <w:right w:val="single" w:sz="4" w:space="0" w:color="auto"/>
            </w:tcBorders>
            <w:vAlign w:val="center"/>
            <w:hideMark/>
          </w:tcPr>
          <w:p w14:paraId="57BA92B3" w14:textId="77777777" w:rsidR="00566643" w:rsidRPr="00566643" w:rsidRDefault="00566643">
            <w:pPr>
              <w:rPr>
                <w:rFonts w:ascii="Arial" w:hAnsi="Arial" w:cs="Arial"/>
                <w:b/>
                <w:bCs/>
                <w:color w:val="000000"/>
                <w:sz w:val="18"/>
                <w:szCs w:val="18"/>
              </w:rPr>
            </w:pPr>
          </w:p>
        </w:tc>
        <w:tc>
          <w:tcPr>
            <w:tcW w:w="458" w:type="pct"/>
            <w:tcBorders>
              <w:top w:val="nil"/>
              <w:left w:val="single" w:sz="4" w:space="0" w:color="auto"/>
              <w:bottom w:val="single" w:sz="8" w:space="0" w:color="auto"/>
              <w:right w:val="single" w:sz="8" w:space="0" w:color="auto"/>
            </w:tcBorders>
            <w:shd w:val="clear" w:color="000000" w:fill="D9D9D9"/>
            <w:noWrap/>
            <w:vAlign w:val="center"/>
            <w:hideMark/>
          </w:tcPr>
          <w:p w14:paraId="2B9AB944"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EIRR</w:t>
            </w:r>
          </w:p>
        </w:tc>
        <w:tc>
          <w:tcPr>
            <w:tcW w:w="484" w:type="pct"/>
            <w:tcBorders>
              <w:top w:val="nil"/>
              <w:left w:val="nil"/>
              <w:bottom w:val="single" w:sz="8" w:space="0" w:color="auto"/>
              <w:right w:val="single" w:sz="8" w:space="0" w:color="auto"/>
            </w:tcBorders>
            <w:noWrap/>
            <w:vAlign w:val="center"/>
            <w:hideMark/>
          </w:tcPr>
          <w:p w14:paraId="69C2302E"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-0,12</w:t>
            </w:r>
          </w:p>
        </w:tc>
        <w:tc>
          <w:tcPr>
            <w:tcW w:w="484" w:type="pct"/>
            <w:tcBorders>
              <w:top w:val="nil"/>
              <w:left w:val="nil"/>
              <w:bottom w:val="single" w:sz="8" w:space="0" w:color="auto"/>
              <w:right w:val="single" w:sz="8" w:space="0" w:color="auto"/>
            </w:tcBorders>
            <w:noWrap/>
            <w:vAlign w:val="center"/>
            <w:hideMark/>
          </w:tcPr>
          <w:p w14:paraId="59BF43AE"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0,12</w:t>
            </w:r>
          </w:p>
        </w:tc>
        <w:tc>
          <w:tcPr>
            <w:tcW w:w="438" w:type="pct"/>
            <w:tcBorders>
              <w:top w:val="nil"/>
              <w:left w:val="nil"/>
              <w:bottom w:val="single" w:sz="8" w:space="0" w:color="auto"/>
              <w:right w:val="single" w:sz="8" w:space="0" w:color="auto"/>
            </w:tcBorders>
            <w:noWrap/>
            <w:vAlign w:val="center"/>
            <w:hideMark/>
          </w:tcPr>
          <w:p w14:paraId="1994446D"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0,00</w:t>
            </w:r>
          </w:p>
        </w:tc>
        <w:tc>
          <w:tcPr>
            <w:tcW w:w="438" w:type="pct"/>
            <w:tcBorders>
              <w:top w:val="nil"/>
              <w:left w:val="nil"/>
              <w:bottom w:val="single" w:sz="8" w:space="0" w:color="auto"/>
              <w:right w:val="single" w:sz="8" w:space="0" w:color="auto"/>
            </w:tcBorders>
            <w:noWrap/>
            <w:vAlign w:val="center"/>
            <w:hideMark/>
          </w:tcPr>
          <w:p w14:paraId="6811D7BF"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0,00</w:t>
            </w:r>
          </w:p>
        </w:tc>
        <w:tc>
          <w:tcPr>
            <w:tcW w:w="594" w:type="pct"/>
            <w:tcBorders>
              <w:top w:val="nil"/>
              <w:left w:val="nil"/>
              <w:bottom w:val="single" w:sz="8" w:space="0" w:color="auto"/>
              <w:right w:val="single" w:sz="8" w:space="0" w:color="auto"/>
            </w:tcBorders>
            <w:noWrap/>
            <w:vAlign w:val="center"/>
            <w:hideMark/>
          </w:tcPr>
          <w:p w14:paraId="0F8EA58A"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-0,01</w:t>
            </w:r>
          </w:p>
        </w:tc>
        <w:tc>
          <w:tcPr>
            <w:tcW w:w="453" w:type="pct"/>
            <w:tcBorders>
              <w:top w:val="nil"/>
              <w:left w:val="nil"/>
              <w:bottom w:val="single" w:sz="8" w:space="0" w:color="auto"/>
              <w:right w:val="single" w:sz="8" w:space="0" w:color="auto"/>
            </w:tcBorders>
            <w:noWrap/>
            <w:vAlign w:val="center"/>
            <w:hideMark/>
          </w:tcPr>
          <w:p w14:paraId="6E7148DE"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0,01</w:t>
            </w:r>
          </w:p>
        </w:tc>
      </w:tr>
      <w:tr w:rsidR="00566643" w:rsidRPr="00566643" w14:paraId="63150E05" w14:textId="77777777" w:rsidTr="00566643">
        <w:trPr>
          <w:trHeight w:val="300"/>
        </w:trPr>
        <w:tc>
          <w:tcPr>
            <w:tcW w:w="1650" w:type="pct"/>
            <w:vMerge/>
            <w:tcBorders>
              <w:top w:val="single" w:sz="4" w:space="0" w:color="auto"/>
              <w:left w:val="single" w:sz="4" w:space="0" w:color="auto"/>
              <w:bottom w:val="single" w:sz="4" w:space="0" w:color="auto"/>
              <w:right w:val="single" w:sz="4" w:space="0" w:color="auto"/>
            </w:tcBorders>
            <w:vAlign w:val="center"/>
            <w:hideMark/>
          </w:tcPr>
          <w:p w14:paraId="656DCF92" w14:textId="77777777" w:rsidR="00566643" w:rsidRPr="00566643" w:rsidRDefault="00566643">
            <w:pPr>
              <w:rPr>
                <w:rFonts w:ascii="Arial" w:hAnsi="Arial" w:cs="Arial"/>
                <w:b/>
                <w:bCs/>
                <w:color w:val="000000"/>
                <w:sz w:val="18"/>
                <w:szCs w:val="18"/>
              </w:rPr>
            </w:pPr>
          </w:p>
        </w:tc>
        <w:tc>
          <w:tcPr>
            <w:tcW w:w="458" w:type="pct"/>
            <w:tcBorders>
              <w:top w:val="nil"/>
              <w:left w:val="single" w:sz="4" w:space="0" w:color="auto"/>
              <w:bottom w:val="single" w:sz="8" w:space="0" w:color="auto"/>
              <w:right w:val="single" w:sz="8" w:space="0" w:color="auto"/>
            </w:tcBorders>
            <w:shd w:val="clear" w:color="000000" w:fill="D9D9D9"/>
            <w:noWrap/>
            <w:vAlign w:val="center"/>
            <w:hideMark/>
          </w:tcPr>
          <w:p w14:paraId="40C0FE4A" w14:textId="77777777" w:rsidR="00566643" w:rsidRPr="00566643" w:rsidRDefault="00566643">
            <w:pPr>
              <w:rPr>
                <w:rFonts w:ascii="Arial" w:hAnsi="Arial" w:cs="Arial"/>
                <w:color w:val="000000"/>
                <w:sz w:val="18"/>
                <w:szCs w:val="18"/>
              </w:rPr>
            </w:pPr>
            <w:r w:rsidRPr="00566643">
              <w:rPr>
                <w:rFonts w:ascii="Arial" w:hAnsi="Arial" w:cs="Arial"/>
                <w:color w:val="000000"/>
                <w:sz w:val="18"/>
                <w:szCs w:val="18"/>
              </w:rPr>
              <w:t>ENPV</w:t>
            </w:r>
          </w:p>
        </w:tc>
        <w:tc>
          <w:tcPr>
            <w:tcW w:w="484" w:type="pct"/>
            <w:tcBorders>
              <w:top w:val="nil"/>
              <w:left w:val="nil"/>
              <w:bottom w:val="single" w:sz="8" w:space="0" w:color="auto"/>
              <w:right w:val="single" w:sz="8" w:space="0" w:color="auto"/>
            </w:tcBorders>
            <w:noWrap/>
            <w:vAlign w:val="center"/>
            <w:hideMark/>
          </w:tcPr>
          <w:p w14:paraId="46E82616"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-0,79</w:t>
            </w:r>
          </w:p>
        </w:tc>
        <w:tc>
          <w:tcPr>
            <w:tcW w:w="484" w:type="pct"/>
            <w:tcBorders>
              <w:top w:val="nil"/>
              <w:left w:val="nil"/>
              <w:bottom w:val="single" w:sz="8" w:space="0" w:color="auto"/>
              <w:right w:val="single" w:sz="8" w:space="0" w:color="auto"/>
            </w:tcBorders>
            <w:noWrap/>
            <w:vAlign w:val="center"/>
            <w:hideMark/>
          </w:tcPr>
          <w:p w14:paraId="530A0597"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0,79</w:t>
            </w:r>
          </w:p>
        </w:tc>
        <w:tc>
          <w:tcPr>
            <w:tcW w:w="438" w:type="pct"/>
            <w:tcBorders>
              <w:top w:val="nil"/>
              <w:left w:val="nil"/>
              <w:bottom w:val="single" w:sz="8" w:space="0" w:color="auto"/>
              <w:right w:val="single" w:sz="8" w:space="0" w:color="auto"/>
            </w:tcBorders>
            <w:noWrap/>
            <w:vAlign w:val="center"/>
            <w:hideMark/>
          </w:tcPr>
          <w:p w14:paraId="42854567"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0,00</w:t>
            </w:r>
          </w:p>
        </w:tc>
        <w:tc>
          <w:tcPr>
            <w:tcW w:w="438" w:type="pct"/>
            <w:tcBorders>
              <w:top w:val="nil"/>
              <w:left w:val="nil"/>
              <w:bottom w:val="single" w:sz="8" w:space="0" w:color="auto"/>
              <w:right w:val="single" w:sz="8" w:space="0" w:color="auto"/>
            </w:tcBorders>
            <w:noWrap/>
            <w:vAlign w:val="center"/>
            <w:hideMark/>
          </w:tcPr>
          <w:p w14:paraId="0DC44834"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0,00</w:t>
            </w:r>
          </w:p>
        </w:tc>
        <w:tc>
          <w:tcPr>
            <w:tcW w:w="594" w:type="pct"/>
            <w:tcBorders>
              <w:top w:val="nil"/>
              <w:left w:val="nil"/>
              <w:bottom w:val="single" w:sz="8" w:space="0" w:color="auto"/>
              <w:right w:val="single" w:sz="8" w:space="0" w:color="auto"/>
            </w:tcBorders>
            <w:noWrap/>
            <w:vAlign w:val="center"/>
            <w:hideMark/>
          </w:tcPr>
          <w:p w14:paraId="3E12A6D1"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-0,16</w:t>
            </w:r>
          </w:p>
        </w:tc>
        <w:tc>
          <w:tcPr>
            <w:tcW w:w="453" w:type="pct"/>
            <w:tcBorders>
              <w:top w:val="nil"/>
              <w:left w:val="nil"/>
              <w:bottom w:val="single" w:sz="8" w:space="0" w:color="auto"/>
              <w:right w:val="single" w:sz="8" w:space="0" w:color="auto"/>
            </w:tcBorders>
            <w:noWrap/>
            <w:vAlign w:val="center"/>
            <w:hideMark/>
          </w:tcPr>
          <w:p w14:paraId="6C96750B" w14:textId="77777777" w:rsidR="00566643" w:rsidRPr="00566643" w:rsidRDefault="00566643">
            <w:pPr>
              <w:jc w:val="right"/>
              <w:rPr>
                <w:rFonts w:ascii="Arial" w:hAnsi="Arial" w:cs="Arial"/>
                <w:color w:val="000000"/>
                <w:sz w:val="18"/>
                <w:szCs w:val="18"/>
              </w:rPr>
            </w:pPr>
            <w:r w:rsidRPr="00566643">
              <w:rPr>
                <w:rFonts w:ascii="Arial" w:hAnsi="Arial" w:cs="Arial"/>
                <w:color w:val="000000"/>
                <w:sz w:val="18"/>
                <w:szCs w:val="18"/>
              </w:rPr>
              <w:t>0,16</w:t>
            </w:r>
          </w:p>
        </w:tc>
      </w:tr>
    </w:tbl>
    <w:p w14:paraId="656AE4D8" w14:textId="77777777" w:rsidR="00566643" w:rsidRDefault="00566643" w:rsidP="00BD1D20">
      <w:pPr>
        <w:spacing w:line="276" w:lineRule="auto"/>
        <w:rPr>
          <w:rFonts w:asciiTheme="majorHAnsi" w:hAnsiTheme="majorHAnsi" w:cstheme="majorHAnsi"/>
          <w:sz w:val="22"/>
          <w:szCs w:val="22"/>
        </w:rPr>
      </w:pPr>
    </w:p>
    <w:p w14:paraId="38C9F2B3" w14:textId="02F4D75C" w:rsidR="0056275C" w:rsidRPr="00F11127" w:rsidRDefault="00781242" w:rsidP="00BD1D20">
      <w:pPr>
        <w:spacing w:after="120" w:line="276" w:lineRule="auto"/>
        <w:jc w:val="both"/>
        <w:rPr>
          <w:rFonts w:asciiTheme="majorHAnsi" w:hAnsiTheme="majorHAnsi" w:cstheme="majorHAnsi"/>
          <w:sz w:val="22"/>
          <w:szCs w:val="22"/>
        </w:rPr>
      </w:pPr>
      <w:r w:rsidRPr="00F11127">
        <w:rPr>
          <w:rFonts w:asciiTheme="majorHAnsi" w:hAnsiTheme="majorHAnsi" w:cstheme="majorHAnsi"/>
          <w:sz w:val="22"/>
          <w:szCs w:val="22"/>
        </w:rPr>
        <w:t>Iz tabele je razvidno, da ima najvišji vpliv na finančno in ekonomsko neto sedanjo vrednost ter ekonomsko interno stopnjo donosnosti sprememba investicijske vrednosti, vendar je tako v primeru spremembe prihodkov za 1% ekonomske neto sedanje stopnje in ekonomske interne stopnje donosnosti še vedno pozitivna, zato jo ne smatramo kot kritično. Enako velja za spremembo stroškov investicije za 1%. Odstopanje je manjše od 5% in sta ekonomska neto sedanja stopnja in ekonomska interna stopnja donosnosti pozitivn</w:t>
      </w:r>
      <w:r w:rsidR="0056275C">
        <w:rPr>
          <w:rFonts w:asciiTheme="majorHAnsi" w:hAnsiTheme="majorHAnsi" w:cstheme="majorHAnsi"/>
          <w:sz w:val="22"/>
          <w:szCs w:val="22"/>
        </w:rPr>
        <w:t>i</w:t>
      </w:r>
      <w:r w:rsidRPr="00F11127">
        <w:rPr>
          <w:rFonts w:asciiTheme="majorHAnsi" w:hAnsiTheme="majorHAnsi" w:cstheme="majorHAnsi"/>
          <w:sz w:val="22"/>
          <w:szCs w:val="22"/>
        </w:rPr>
        <w:t>, zato j</w:t>
      </w:r>
      <w:r w:rsidR="0056275C">
        <w:rPr>
          <w:rFonts w:asciiTheme="majorHAnsi" w:hAnsiTheme="majorHAnsi" w:cstheme="majorHAnsi"/>
          <w:sz w:val="22"/>
          <w:szCs w:val="22"/>
        </w:rPr>
        <w:t>u</w:t>
      </w:r>
      <w:r w:rsidRPr="00F11127">
        <w:rPr>
          <w:rFonts w:asciiTheme="majorHAnsi" w:hAnsiTheme="majorHAnsi" w:cstheme="majorHAnsi"/>
          <w:sz w:val="22"/>
          <w:szCs w:val="22"/>
        </w:rPr>
        <w:t xml:space="preserve"> ne smatramo kot kritičn</w:t>
      </w:r>
      <w:r w:rsidR="0056275C">
        <w:rPr>
          <w:rFonts w:asciiTheme="majorHAnsi" w:hAnsiTheme="majorHAnsi" w:cstheme="majorHAnsi"/>
          <w:sz w:val="22"/>
          <w:szCs w:val="22"/>
        </w:rPr>
        <w:t>i</w:t>
      </w:r>
      <w:r w:rsidRPr="00F11127">
        <w:rPr>
          <w:rFonts w:asciiTheme="majorHAnsi" w:hAnsiTheme="majorHAnsi" w:cstheme="majorHAnsi"/>
          <w:sz w:val="22"/>
          <w:szCs w:val="22"/>
        </w:rPr>
        <w:t>.</w:t>
      </w:r>
    </w:p>
    <w:p w14:paraId="50D41412" w14:textId="6E41FD36" w:rsidR="00357FA2" w:rsidRPr="00F11127" w:rsidRDefault="00781242" w:rsidP="00BD1D20">
      <w:pPr>
        <w:spacing w:after="120" w:line="276" w:lineRule="auto"/>
        <w:jc w:val="both"/>
        <w:rPr>
          <w:rFonts w:asciiTheme="majorHAnsi" w:eastAsiaTheme="majorEastAsia" w:hAnsiTheme="majorHAnsi" w:cstheme="majorHAnsi"/>
          <w:b/>
          <w:bCs/>
          <w:color w:val="365F91" w:themeColor="accent1" w:themeShade="BF"/>
          <w:sz w:val="22"/>
          <w:szCs w:val="22"/>
          <w:highlight w:val="yellow"/>
        </w:rPr>
      </w:pPr>
      <w:r w:rsidRPr="00F11127">
        <w:rPr>
          <w:rFonts w:asciiTheme="majorHAnsi" w:eastAsia="Arial Unicode MS" w:hAnsiTheme="majorHAnsi" w:cstheme="majorHAnsi"/>
          <w:kern w:val="28"/>
          <w:sz w:val="22"/>
          <w:szCs w:val="22"/>
        </w:rPr>
        <w:t>Čeprav nobena izmed spremenljivk ni kritična, smo izdelali izračun mejnih vrednosti za ključno spremenljivko. Izračun mejnih vrednosti za ključne spremenljivke: ključne spremenljivke zahtevajo kalkulacijo spremenjenih vrednosti, torej maksimalnih variacij (v odstotkih) kl</w:t>
      </w:r>
      <w:r w:rsidR="00D83334" w:rsidRPr="00F11127">
        <w:rPr>
          <w:rFonts w:asciiTheme="majorHAnsi" w:eastAsia="Arial Unicode MS" w:hAnsiTheme="majorHAnsi" w:cstheme="majorHAnsi"/>
          <w:kern w:val="28"/>
          <w:sz w:val="22"/>
          <w:szCs w:val="22"/>
        </w:rPr>
        <w:t>jučnih spremenljivk, tik preden</w:t>
      </w:r>
      <w:r w:rsidRPr="00F11127">
        <w:rPr>
          <w:rFonts w:asciiTheme="majorHAnsi" w:eastAsia="Arial Unicode MS" w:hAnsiTheme="majorHAnsi" w:cstheme="majorHAnsi"/>
          <w:kern w:val="28"/>
          <w:sz w:val="22"/>
          <w:szCs w:val="22"/>
        </w:rPr>
        <w:t xml:space="preserve"> </w:t>
      </w:r>
      <w:r w:rsidR="00D83334" w:rsidRPr="00F11127">
        <w:rPr>
          <w:rFonts w:asciiTheme="majorHAnsi" w:eastAsia="Arial Unicode MS" w:hAnsiTheme="majorHAnsi" w:cstheme="majorHAnsi"/>
          <w:kern w:val="28"/>
          <w:sz w:val="22"/>
          <w:szCs w:val="22"/>
        </w:rPr>
        <w:t>ekonomska</w:t>
      </w:r>
      <w:r w:rsidRPr="00F11127">
        <w:rPr>
          <w:rFonts w:asciiTheme="majorHAnsi" w:eastAsia="Arial Unicode MS" w:hAnsiTheme="majorHAnsi" w:cstheme="majorHAnsi"/>
          <w:kern w:val="28"/>
          <w:sz w:val="22"/>
          <w:szCs w:val="22"/>
        </w:rPr>
        <w:t xml:space="preserve"> neto sedanja vrednost postane pozitivna. Ključna oz. najbolj značilna spremenljivka, za katero je bila izračunana mejna vrednost je sprememba </w:t>
      </w:r>
      <w:r w:rsidR="00D83334" w:rsidRPr="00F11127">
        <w:rPr>
          <w:rFonts w:asciiTheme="majorHAnsi" w:eastAsia="Arial Unicode MS" w:hAnsiTheme="majorHAnsi" w:cstheme="majorHAnsi"/>
          <w:kern w:val="28"/>
          <w:sz w:val="22"/>
          <w:szCs w:val="22"/>
        </w:rPr>
        <w:t>prihodkov</w:t>
      </w:r>
      <w:r w:rsidRPr="00F11127">
        <w:rPr>
          <w:rFonts w:asciiTheme="majorHAnsi" w:eastAsia="Arial Unicode MS" w:hAnsiTheme="majorHAnsi" w:cstheme="majorHAnsi"/>
          <w:kern w:val="28"/>
          <w:sz w:val="22"/>
          <w:szCs w:val="22"/>
        </w:rPr>
        <w:t xml:space="preserve">. Ko se </w:t>
      </w:r>
      <w:r w:rsidR="00566643">
        <w:rPr>
          <w:rFonts w:asciiTheme="majorHAnsi" w:eastAsia="Arial Unicode MS" w:hAnsiTheme="majorHAnsi" w:cstheme="majorHAnsi"/>
          <w:kern w:val="28"/>
          <w:sz w:val="22"/>
          <w:szCs w:val="22"/>
        </w:rPr>
        <w:t xml:space="preserve">koristi </w:t>
      </w:r>
      <w:r w:rsidR="00D83334" w:rsidRPr="00F11127">
        <w:rPr>
          <w:rFonts w:asciiTheme="majorHAnsi" w:eastAsia="Arial Unicode MS" w:hAnsiTheme="majorHAnsi" w:cstheme="majorHAnsi"/>
          <w:kern w:val="28"/>
          <w:sz w:val="22"/>
          <w:szCs w:val="22"/>
        </w:rPr>
        <w:t>zmanjšajo</w:t>
      </w:r>
      <w:r w:rsidRPr="00F11127">
        <w:rPr>
          <w:rFonts w:asciiTheme="majorHAnsi" w:eastAsia="Arial Unicode MS" w:hAnsiTheme="majorHAnsi" w:cstheme="majorHAnsi"/>
          <w:kern w:val="28"/>
          <w:sz w:val="22"/>
          <w:szCs w:val="22"/>
        </w:rPr>
        <w:t xml:space="preserve"> za </w:t>
      </w:r>
      <w:r w:rsidR="00566643">
        <w:rPr>
          <w:rFonts w:asciiTheme="majorHAnsi" w:eastAsia="Arial Unicode MS" w:hAnsiTheme="majorHAnsi" w:cstheme="majorHAnsi"/>
          <w:kern w:val="28"/>
          <w:sz w:val="22"/>
          <w:szCs w:val="22"/>
        </w:rPr>
        <w:t>13,58</w:t>
      </w:r>
      <w:r w:rsidR="006F5576" w:rsidRPr="00F11127">
        <w:rPr>
          <w:rFonts w:asciiTheme="majorHAnsi" w:eastAsia="Arial Unicode MS" w:hAnsiTheme="majorHAnsi" w:cstheme="majorHAnsi"/>
          <w:kern w:val="28"/>
          <w:sz w:val="22"/>
          <w:szCs w:val="22"/>
        </w:rPr>
        <w:t>%</w:t>
      </w:r>
      <w:r w:rsidR="0056275C">
        <w:rPr>
          <w:rFonts w:asciiTheme="majorHAnsi" w:eastAsia="Arial Unicode MS" w:hAnsiTheme="majorHAnsi" w:cstheme="majorHAnsi"/>
          <w:kern w:val="28"/>
          <w:sz w:val="22"/>
          <w:szCs w:val="22"/>
        </w:rPr>
        <w:t>,</w:t>
      </w:r>
      <w:r w:rsidR="006F5576" w:rsidRPr="00F11127">
        <w:rPr>
          <w:rFonts w:asciiTheme="majorHAnsi" w:eastAsia="Arial Unicode MS" w:hAnsiTheme="majorHAnsi" w:cstheme="majorHAnsi"/>
          <w:kern w:val="28"/>
          <w:sz w:val="22"/>
          <w:szCs w:val="22"/>
        </w:rPr>
        <w:t xml:space="preserve"> bo ekonomska neto sedanja vrednost tik pred tem, da postane negativna.</w:t>
      </w:r>
    </w:p>
    <w:p w14:paraId="7312CD01" w14:textId="241A2444" w:rsidR="006B2762" w:rsidRPr="00F11127" w:rsidRDefault="009260A8" w:rsidP="00BD1D20">
      <w:pPr>
        <w:pStyle w:val="Naslov1"/>
        <w:numPr>
          <w:ilvl w:val="0"/>
          <w:numId w:val="3"/>
        </w:numPr>
        <w:rPr>
          <w:rFonts w:cstheme="majorHAnsi"/>
        </w:rPr>
      </w:pPr>
      <w:bookmarkStart w:id="382" w:name="_Toc210033877"/>
      <w:r w:rsidRPr="00F11127">
        <w:rPr>
          <w:rFonts w:cstheme="majorHAnsi"/>
        </w:rPr>
        <w:lastRenderedPageBreak/>
        <w:t>PREDSTAVITEV IN RAZLAGA REZULTATOV</w:t>
      </w:r>
      <w:bookmarkEnd w:id="382"/>
    </w:p>
    <w:p w14:paraId="334F90BB" w14:textId="77777777" w:rsidR="00055736" w:rsidRPr="00F11127" w:rsidRDefault="00055736" w:rsidP="00BD1D20">
      <w:pPr>
        <w:spacing w:after="120" w:line="276" w:lineRule="auto"/>
        <w:rPr>
          <w:rFonts w:asciiTheme="majorHAnsi" w:hAnsiTheme="majorHAnsi" w:cstheme="majorHAnsi"/>
          <w:sz w:val="22"/>
          <w:szCs w:val="22"/>
        </w:rPr>
      </w:pPr>
    </w:p>
    <w:p w14:paraId="16EA98DD" w14:textId="77777777"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Investicijski program za projekt </w:t>
      </w:r>
      <w:r w:rsidRPr="007D0B2A">
        <w:rPr>
          <w:rFonts w:asciiTheme="majorHAnsi" w:hAnsiTheme="majorHAnsi" w:cstheme="majorHAnsi"/>
          <w:b/>
          <w:bCs/>
          <w:sz w:val="22"/>
          <w:szCs w:val="22"/>
        </w:rPr>
        <w:t>Celovita ureditev centra Ig – ukrepi trajnostne mobilnosti</w:t>
      </w:r>
      <w:r w:rsidRPr="007D0B2A">
        <w:rPr>
          <w:rFonts w:asciiTheme="majorHAnsi" w:hAnsiTheme="majorHAnsi" w:cstheme="majorHAnsi"/>
          <w:sz w:val="22"/>
          <w:szCs w:val="22"/>
        </w:rPr>
        <w:t xml:space="preserve"> je bil pripravljen v skladu z Uredbo o enotni metodologiji za pripravo in obravnavo investicijske dokumentacije na področju javnih financ (UEM). Dokument zajema vse obvezne elemente in omogoča celovito presojo smiselnosti ter izvedljivosti naložbe.</w:t>
      </w:r>
    </w:p>
    <w:p w14:paraId="40F72470" w14:textId="5148CA89"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Občina Ig se sooča z zastarelo prometno infrastrukturo v središču naselja, prevelikim deležem motornega prometa, slabimi pogoji za pešce in kolesarje ter nezadostno prometno varnostjo. Namen investicije je povečanje prometne varnosti, spodbujanje trajnostnih oblik mobilnosti in dvig kakovosti javnega prostora.</w:t>
      </w:r>
    </w:p>
    <w:p w14:paraId="643DA178" w14:textId="176D7381"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Projekt predvideva celovito prenovo osrednjega dela Iga, vključno z ureditvijo cest, avtobusnega postajališča, sistema e-koles, kolesarnic in spremljajoče infrastrukture. Skupna vrednost investicije znaša 3,</w:t>
      </w:r>
      <w:r w:rsidR="00566643">
        <w:rPr>
          <w:rFonts w:asciiTheme="majorHAnsi" w:hAnsiTheme="majorHAnsi" w:cstheme="majorHAnsi"/>
          <w:sz w:val="22"/>
          <w:szCs w:val="22"/>
        </w:rPr>
        <w:t>66</w:t>
      </w:r>
      <w:r w:rsidRPr="007D0B2A">
        <w:rPr>
          <w:rFonts w:asciiTheme="majorHAnsi" w:hAnsiTheme="majorHAnsi" w:cstheme="majorHAnsi"/>
          <w:sz w:val="22"/>
          <w:szCs w:val="22"/>
        </w:rPr>
        <w:t xml:space="preserve"> mio EUR z DDV, od tega je približno </w:t>
      </w:r>
      <w:r w:rsidR="00566643">
        <w:rPr>
          <w:rFonts w:asciiTheme="majorHAnsi" w:hAnsiTheme="majorHAnsi" w:cstheme="majorHAnsi"/>
          <w:sz w:val="22"/>
          <w:szCs w:val="22"/>
        </w:rPr>
        <w:t>54</w:t>
      </w:r>
      <w:r w:rsidRPr="007D0B2A">
        <w:rPr>
          <w:rFonts w:asciiTheme="majorHAnsi" w:hAnsiTheme="majorHAnsi" w:cstheme="majorHAnsi"/>
          <w:sz w:val="22"/>
          <w:szCs w:val="22"/>
        </w:rPr>
        <w:t xml:space="preserve"> % predvidenih iz nepovratnih sredstev EU in države.</w:t>
      </w:r>
    </w:p>
    <w:p w14:paraId="2B686F0F" w14:textId="3861428C"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Ker gre za javno infrastrukturo, projekt nima klasičnih tržnih prihodkov. Pričakovani so le prihodki iz parkirnin in sistema </w:t>
      </w:r>
      <w:r w:rsidR="00416437">
        <w:rPr>
          <w:rFonts w:asciiTheme="majorHAnsi" w:hAnsiTheme="majorHAnsi" w:cstheme="majorHAnsi"/>
          <w:sz w:val="22"/>
          <w:szCs w:val="22"/>
        </w:rPr>
        <w:t xml:space="preserve">izposoje </w:t>
      </w:r>
      <w:r w:rsidRPr="007D0B2A">
        <w:rPr>
          <w:rFonts w:asciiTheme="majorHAnsi" w:hAnsiTheme="majorHAnsi" w:cstheme="majorHAnsi"/>
          <w:sz w:val="22"/>
          <w:szCs w:val="22"/>
        </w:rPr>
        <w:t>e-koles, ki bodo delno pokrili obratovalne stroške. Ključni namen projekta ni ustvarjanje dobička, temveč zagotavljanje javnih koristi.</w:t>
      </w:r>
    </w:p>
    <w:p w14:paraId="287C3B43" w14:textId="0A2776F1"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Investicija ima pozitivne </w:t>
      </w:r>
      <w:proofErr w:type="spellStart"/>
      <w:r w:rsidRPr="007D0B2A">
        <w:rPr>
          <w:rFonts w:asciiTheme="majorHAnsi" w:hAnsiTheme="majorHAnsi" w:cstheme="majorHAnsi"/>
          <w:sz w:val="22"/>
          <w:szCs w:val="22"/>
        </w:rPr>
        <w:t>okoljske</w:t>
      </w:r>
      <w:proofErr w:type="spellEnd"/>
      <w:r w:rsidRPr="007D0B2A">
        <w:rPr>
          <w:rFonts w:asciiTheme="majorHAnsi" w:hAnsiTheme="majorHAnsi" w:cstheme="majorHAnsi"/>
          <w:sz w:val="22"/>
          <w:szCs w:val="22"/>
        </w:rPr>
        <w:t xml:space="preserve"> učinke: zmanjšanje emisij toplogrednih plinov (–10,67 t CO</w:t>
      </w:r>
      <w:r w:rsidRPr="007D0B2A">
        <w:rPr>
          <w:rFonts w:ascii="Cambria Math" w:hAnsi="Cambria Math" w:cs="Cambria Math"/>
          <w:sz w:val="22"/>
          <w:szCs w:val="22"/>
        </w:rPr>
        <w:t>₂</w:t>
      </w:r>
      <w:r w:rsidRPr="007D0B2A">
        <w:rPr>
          <w:rFonts w:asciiTheme="majorHAnsi" w:hAnsiTheme="majorHAnsi" w:cstheme="majorHAnsi"/>
          <w:sz w:val="22"/>
          <w:szCs w:val="22"/>
        </w:rPr>
        <w:t>/leto), zmanj</w:t>
      </w:r>
      <w:r w:rsidRPr="007D0B2A">
        <w:rPr>
          <w:rFonts w:ascii="Arial" w:hAnsi="Arial" w:cs="Arial"/>
          <w:sz w:val="22"/>
          <w:szCs w:val="22"/>
        </w:rPr>
        <w:t>š</w:t>
      </w:r>
      <w:r w:rsidRPr="007D0B2A">
        <w:rPr>
          <w:rFonts w:asciiTheme="majorHAnsi" w:hAnsiTheme="majorHAnsi" w:cstheme="majorHAnsi"/>
          <w:sz w:val="22"/>
          <w:szCs w:val="22"/>
        </w:rPr>
        <w:t>anje hrupa, izbolj</w:t>
      </w:r>
      <w:r w:rsidRPr="007D0B2A">
        <w:rPr>
          <w:rFonts w:ascii="Arial" w:hAnsi="Arial" w:cs="Arial"/>
          <w:sz w:val="22"/>
          <w:szCs w:val="22"/>
        </w:rPr>
        <w:t>š</w:t>
      </w:r>
      <w:r w:rsidRPr="007D0B2A">
        <w:rPr>
          <w:rFonts w:asciiTheme="majorHAnsi" w:hAnsiTheme="majorHAnsi" w:cstheme="majorHAnsi"/>
          <w:sz w:val="22"/>
          <w:szCs w:val="22"/>
        </w:rPr>
        <w:t>anje kakovosti zraka in ve</w:t>
      </w:r>
      <w:r w:rsidRPr="007D0B2A">
        <w:rPr>
          <w:rFonts w:ascii="Arial" w:hAnsi="Arial" w:cs="Arial"/>
          <w:sz w:val="22"/>
          <w:szCs w:val="22"/>
        </w:rPr>
        <w:t>č</w:t>
      </w:r>
      <w:r w:rsidRPr="007D0B2A">
        <w:rPr>
          <w:rFonts w:asciiTheme="majorHAnsi" w:hAnsiTheme="majorHAnsi" w:cstheme="majorHAnsi"/>
          <w:sz w:val="22"/>
          <w:szCs w:val="22"/>
        </w:rPr>
        <w:t>jo odpornost na podnebne spremembe. Posegi so skladni s cilji varstva narave, saj se izvajajo v urbanem obmo</w:t>
      </w:r>
      <w:r w:rsidRPr="007D0B2A">
        <w:rPr>
          <w:rFonts w:ascii="Arial" w:hAnsi="Arial" w:cs="Arial"/>
          <w:sz w:val="22"/>
          <w:szCs w:val="22"/>
        </w:rPr>
        <w:t>č</w:t>
      </w:r>
      <w:r w:rsidRPr="007D0B2A">
        <w:rPr>
          <w:rFonts w:asciiTheme="majorHAnsi" w:hAnsiTheme="majorHAnsi" w:cstheme="majorHAnsi"/>
          <w:sz w:val="22"/>
          <w:szCs w:val="22"/>
        </w:rPr>
        <w:t>ju in ne povzro</w:t>
      </w:r>
      <w:r w:rsidRPr="007D0B2A">
        <w:rPr>
          <w:rFonts w:ascii="Arial" w:hAnsi="Arial" w:cs="Arial"/>
          <w:sz w:val="22"/>
          <w:szCs w:val="22"/>
        </w:rPr>
        <w:t>č</w:t>
      </w:r>
      <w:r w:rsidRPr="007D0B2A">
        <w:rPr>
          <w:rFonts w:asciiTheme="majorHAnsi" w:hAnsiTheme="majorHAnsi" w:cstheme="majorHAnsi"/>
          <w:sz w:val="22"/>
          <w:szCs w:val="22"/>
        </w:rPr>
        <w:t>ajo dodatnih negativnih vplivov.</w:t>
      </w:r>
    </w:p>
    <w:p w14:paraId="40FA3D3A" w14:textId="7D24DC61"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Projekt ne predvideva trajnega povečanja zaposlenih v občinski upravi. Posredni učinki se bodo kazali v večji gospodarski aktivnosti ter priložnostih v turizmu, gostinstvu in storitvah.</w:t>
      </w:r>
    </w:p>
    <w:p w14:paraId="5B0BA346" w14:textId="6BB45FA0"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Izvedba projekta bo potekala med 2024 in 2029. Pripravljalna dokumentacija in prijava na razpise sta predvideni v letih 2024–2025, gradbena dela v obdobju 2026–</w:t>
      </w:r>
      <w:r w:rsidR="00CE6BC3">
        <w:rPr>
          <w:rFonts w:asciiTheme="majorHAnsi" w:hAnsiTheme="majorHAnsi" w:cstheme="majorHAnsi"/>
          <w:sz w:val="22"/>
          <w:szCs w:val="22"/>
        </w:rPr>
        <w:t>2029</w:t>
      </w:r>
      <w:r w:rsidRPr="007D0B2A">
        <w:rPr>
          <w:rFonts w:asciiTheme="majorHAnsi" w:hAnsiTheme="majorHAnsi" w:cstheme="majorHAnsi"/>
          <w:sz w:val="22"/>
          <w:szCs w:val="22"/>
        </w:rPr>
        <w:t>, zaključek in predaja namenu pa v prvi polovici leta 2029.</w:t>
      </w:r>
    </w:p>
    <w:p w14:paraId="6883A006" w14:textId="5EA195C6"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Finančna konstrukcija vključuje kombinacijo nepovratnih sredstev EU in države ter lastnih sredstev občine. </w:t>
      </w:r>
    </w:p>
    <w:p w14:paraId="1C9F0017" w14:textId="7BFCCCF3"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Finančni kazalniki so negativni, kar je pričakovano pri javnih netržnih projektih. Ekonomski kazalniki pa potrjujejo upravičenost: ENPV = </w:t>
      </w:r>
      <w:r w:rsidR="00566643">
        <w:rPr>
          <w:rFonts w:asciiTheme="majorHAnsi" w:hAnsiTheme="majorHAnsi" w:cstheme="majorHAnsi"/>
          <w:sz w:val="22"/>
          <w:szCs w:val="22"/>
        </w:rPr>
        <w:t>3,29</w:t>
      </w:r>
      <w:r w:rsidRPr="007D0B2A">
        <w:rPr>
          <w:rFonts w:asciiTheme="majorHAnsi" w:hAnsiTheme="majorHAnsi" w:cstheme="majorHAnsi"/>
          <w:sz w:val="22"/>
          <w:szCs w:val="22"/>
        </w:rPr>
        <w:t xml:space="preserve"> mio EUR, ERR = 1</w:t>
      </w:r>
      <w:r w:rsidR="00566643">
        <w:rPr>
          <w:rFonts w:asciiTheme="majorHAnsi" w:hAnsiTheme="majorHAnsi" w:cstheme="majorHAnsi"/>
          <w:sz w:val="22"/>
          <w:szCs w:val="22"/>
        </w:rPr>
        <w:t>3,58</w:t>
      </w:r>
      <w:r w:rsidRPr="007D0B2A">
        <w:rPr>
          <w:rFonts w:asciiTheme="majorHAnsi" w:hAnsiTheme="majorHAnsi" w:cstheme="majorHAnsi"/>
          <w:sz w:val="22"/>
          <w:szCs w:val="22"/>
        </w:rPr>
        <w:t xml:space="preserve"> %, B/C = 2,</w:t>
      </w:r>
      <w:r w:rsidR="00566643">
        <w:rPr>
          <w:rFonts w:asciiTheme="majorHAnsi" w:hAnsiTheme="majorHAnsi" w:cstheme="majorHAnsi"/>
          <w:sz w:val="22"/>
          <w:szCs w:val="22"/>
        </w:rPr>
        <w:t>02</w:t>
      </w:r>
      <w:r w:rsidRPr="007D0B2A">
        <w:rPr>
          <w:rFonts w:asciiTheme="majorHAnsi" w:hAnsiTheme="majorHAnsi" w:cstheme="majorHAnsi"/>
          <w:sz w:val="22"/>
          <w:szCs w:val="22"/>
        </w:rPr>
        <w:t>. Projekt prinaša pomembne družbene koristi, kot so prihranek časa, večja varnost, zmanjšanje nesreč, zdravstvene koristi zaradi aktivne mobilnosti in zmanjšanje emisij.</w:t>
      </w:r>
    </w:p>
    <w:p w14:paraId="68009A7B" w14:textId="029D9267" w:rsidR="007D0B2A" w:rsidRPr="007D0B2A" w:rsidRDefault="007D0B2A" w:rsidP="007D0B2A">
      <w:pPr>
        <w:spacing w:after="120" w:line="276" w:lineRule="auto"/>
        <w:jc w:val="both"/>
        <w:rPr>
          <w:rFonts w:asciiTheme="majorHAnsi" w:hAnsiTheme="majorHAnsi" w:cstheme="majorHAnsi"/>
          <w:sz w:val="22"/>
          <w:szCs w:val="22"/>
        </w:rPr>
      </w:pPr>
      <w:r w:rsidRPr="007D0B2A">
        <w:rPr>
          <w:rFonts w:asciiTheme="majorHAnsi" w:hAnsiTheme="majorHAnsi" w:cstheme="majorHAnsi"/>
          <w:sz w:val="22"/>
          <w:szCs w:val="22"/>
        </w:rPr>
        <w:t xml:space="preserve">Projekt Celovita ureditev centra Ig – ukrepi trajnostne mobilnosti je ekonomsko upravičen, trajnostno naravnan, </w:t>
      </w:r>
      <w:proofErr w:type="spellStart"/>
      <w:r w:rsidRPr="007D0B2A">
        <w:rPr>
          <w:rFonts w:asciiTheme="majorHAnsi" w:hAnsiTheme="majorHAnsi" w:cstheme="majorHAnsi"/>
          <w:sz w:val="22"/>
          <w:szCs w:val="22"/>
        </w:rPr>
        <w:t>okoljsko</w:t>
      </w:r>
      <w:proofErr w:type="spellEnd"/>
      <w:r w:rsidRPr="007D0B2A">
        <w:rPr>
          <w:rFonts w:asciiTheme="majorHAnsi" w:hAnsiTheme="majorHAnsi" w:cstheme="majorHAnsi"/>
          <w:sz w:val="22"/>
          <w:szCs w:val="22"/>
        </w:rPr>
        <w:t xml:space="preserve"> sprejemljiv in strateško skladen s cilji občine, države ter Evropske unije. </w:t>
      </w:r>
    </w:p>
    <w:p w14:paraId="0DAA0067" w14:textId="77777777" w:rsidR="00CA546F" w:rsidRPr="00F11127" w:rsidRDefault="00CA546F" w:rsidP="00BD1D20">
      <w:pPr>
        <w:spacing w:after="120" w:line="276" w:lineRule="auto"/>
        <w:jc w:val="both"/>
        <w:rPr>
          <w:rFonts w:asciiTheme="majorHAnsi" w:hAnsiTheme="majorHAnsi" w:cstheme="majorHAnsi"/>
          <w:sz w:val="22"/>
          <w:szCs w:val="22"/>
        </w:rPr>
      </w:pPr>
    </w:p>
    <w:sectPr w:rsidR="00CA546F" w:rsidRPr="00F11127" w:rsidSect="00480057">
      <w:headerReference w:type="default" r:id="rId110"/>
      <w:headerReference w:type="first" r:id="rId11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231E63" w14:textId="77777777" w:rsidR="00B649D1" w:rsidRDefault="00B649D1" w:rsidP="00F646BC">
      <w:r>
        <w:separator/>
      </w:r>
    </w:p>
  </w:endnote>
  <w:endnote w:type="continuationSeparator" w:id="0">
    <w:p w14:paraId="63DC4052" w14:textId="77777777" w:rsidR="00B649D1" w:rsidRDefault="00B649D1" w:rsidP="00F646BC">
      <w:r>
        <w:continuationSeparator/>
      </w:r>
    </w:p>
  </w:endnote>
  <w:endnote w:type="continuationNotice" w:id="1">
    <w:p w14:paraId="76AEAF38" w14:textId="77777777" w:rsidR="00B649D1" w:rsidRDefault="00B649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alNarrow">
    <w:altName w:val="Klee One"/>
    <w:panose1 w:val="00000000000000000000"/>
    <w:charset w:val="80"/>
    <w:family w:val="auto"/>
    <w:notTrueType/>
    <w:pitch w:val="default"/>
    <w:sig w:usb0="00000005" w:usb1="08070000" w:usb2="00000010" w:usb3="00000000" w:csb0="00020002" w:csb1="00000000"/>
  </w:font>
  <w:font w:name="Arial Unicode MS">
    <w:altName w:val="Yu Gothic"/>
    <w:panose1 w:val="020B0604020202020204"/>
    <w:charset w:val="80"/>
    <w:family w:val="swiss"/>
    <w:pitch w:val="variable"/>
    <w:sig w:usb0="F7FFAEFF" w:usb1="F9DFFFFF" w:usb2="0000007F" w:usb3="00000000" w:csb0="003F01FF" w:csb1="00000000"/>
  </w:font>
  <w:font w:name="Tahoma">
    <w:panose1 w:val="020B0604030504040204"/>
    <w:charset w:val="EE"/>
    <w:family w:val="swiss"/>
    <w:pitch w:val="variable"/>
    <w:sig w:usb0="E1002EFF" w:usb1="C000605B" w:usb2="00000029" w:usb3="00000000" w:csb0="000101FF" w:csb1="00000000"/>
  </w:font>
  <w:font w:name="FFScalaSans">
    <w:altName w:val="Calibri"/>
    <w:panose1 w:val="00000000000000000000"/>
    <w:charset w:val="00"/>
    <w:family w:val="modern"/>
    <w:notTrueType/>
    <w:pitch w:val="variable"/>
    <w:sig w:usb0="00000001" w:usb1="00000000" w:usb2="00000000" w:usb3="00000000" w:csb0="00000003" w:csb1="00000000"/>
  </w:font>
  <w:font w:name="Segoe UI">
    <w:panose1 w:val="020B0502040204020203"/>
    <w:charset w:val="EE"/>
    <w:family w:val="swiss"/>
    <w:pitch w:val="variable"/>
    <w:sig w:usb0="E4002EFF" w:usb1="C000E47F"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484"/>
      <w:gridCol w:w="1871"/>
    </w:tblGrid>
    <w:sdt>
      <w:sdtPr>
        <w:rPr>
          <w:rFonts w:ascii="Arial" w:hAnsi="Arial"/>
          <w:sz w:val="20"/>
          <w:szCs w:val="20"/>
        </w:rPr>
        <w:id w:val="415754248"/>
        <w:docPartObj>
          <w:docPartGallery w:val="Page Numbers (Bottom of Page)"/>
          <w:docPartUnique/>
        </w:docPartObj>
      </w:sdtPr>
      <w:sdtEndPr>
        <w:rPr>
          <w:rFonts w:ascii="Times New Roman" w:hAnsi="Times New Roman"/>
          <w:sz w:val="24"/>
          <w:szCs w:val="24"/>
        </w:rPr>
      </w:sdtEndPr>
      <w:sdtContent>
        <w:tr w:rsidR="005972E8" w14:paraId="1AE24E6A" w14:textId="77777777" w:rsidTr="006B1969">
          <w:trPr>
            <w:trHeight w:val="727"/>
          </w:trPr>
          <w:tc>
            <w:tcPr>
              <w:tcW w:w="4000" w:type="pct"/>
              <w:tcBorders>
                <w:right w:val="triple" w:sz="4" w:space="0" w:color="4F81BD"/>
              </w:tcBorders>
            </w:tcPr>
            <w:p w14:paraId="0CD42185" w14:textId="77777777" w:rsidR="005972E8" w:rsidRPr="006B1969" w:rsidRDefault="005972E8">
              <w:pPr>
                <w:tabs>
                  <w:tab w:val="left" w:pos="620"/>
                  <w:tab w:val="center" w:pos="4320"/>
                </w:tabs>
                <w:jc w:val="right"/>
                <w:rPr>
                  <w:rFonts w:ascii="Arial" w:hAnsi="Arial"/>
                  <w:sz w:val="20"/>
                  <w:szCs w:val="20"/>
                </w:rPr>
              </w:pPr>
            </w:p>
          </w:tc>
          <w:tc>
            <w:tcPr>
              <w:tcW w:w="1000" w:type="pct"/>
              <w:tcBorders>
                <w:left w:val="triple" w:sz="4" w:space="0" w:color="4F81BD"/>
              </w:tcBorders>
            </w:tcPr>
            <w:p w14:paraId="4116986C" w14:textId="77777777" w:rsidR="005972E8" w:rsidRPr="006B1969" w:rsidRDefault="005972E8">
              <w:pPr>
                <w:tabs>
                  <w:tab w:val="left" w:pos="1490"/>
                </w:tabs>
                <w:rPr>
                  <w:rFonts w:ascii="Arial" w:hAnsi="Arial"/>
                  <w:sz w:val="28"/>
                  <w:szCs w:val="28"/>
                </w:rPr>
              </w:pPr>
              <w:r>
                <w:fldChar w:fldCharType="begin"/>
              </w:r>
              <w:r>
                <w:instrText xml:space="preserve"> PAGE    \* MERGEFORMAT </w:instrText>
              </w:r>
              <w:r>
                <w:fldChar w:fldCharType="separate"/>
              </w:r>
              <w:r>
                <w:rPr>
                  <w:noProof/>
                </w:rPr>
                <w:t>4</w:t>
              </w:r>
              <w:r>
                <w:rPr>
                  <w:noProof/>
                </w:rPr>
                <w:t>3</w:t>
              </w:r>
              <w:r>
                <w:rPr>
                  <w:noProof/>
                </w:rPr>
                <w:fldChar w:fldCharType="end"/>
              </w:r>
            </w:p>
          </w:tc>
        </w:tr>
      </w:sdtContent>
    </w:sdt>
  </w:tbl>
  <w:p w14:paraId="76E6F08D" w14:textId="77777777" w:rsidR="005972E8" w:rsidRDefault="005972E8" w:rsidP="004768C7">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11430"/>
      <w:gridCol w:w="2857"/>
    </w:tblGrid>
    <w:sdt>
      <w:sdtPr>
        <w:rPr>
          <w:rFonts w:ascii="Arial" w:hAnsi="Arial"/>
          <w:sz w:val="20"/>
          <w:szCs w:val="20"/>
        </w:rPr>
        <w:id w:val="415754250"/>
        <w:docPartObj>
          <w:docPartGallery w:val="Page Numbers (Bottom of Page)"/>
          <w:docPartUnique/>
        </w:docPartObj>
      </w:sdtPr>
      <w:sdtEndPr>
        <w:rPr>
          <w:rFonts w:ascii="Times New Roman" w:hAnsi="Times New Roman"/>
          <w:sz w:val="24"/>
          <w:szCs w:val="24"/>
        </w:rPr>
      </w:sdtEndPr>
      <w:sdtContent>
        <w:tr w:rsidR="000F4BA0" w14:paraId="0FA61BDE" w14:textId="77777777" w:rsidTr="008B6353">
          <w:trPr>
            <w:trHeight w:val="727"/>
          </w:trPr>
          <w:tc>
            <w:tcPr>
              <w:tcW w:w="4000" w:type="pct"/>
              <w:tcBorders>
                <w:right w:val="triple" w:sz="4" w:space="0" w:color="4F81BD"/>
              </w:tcBorders>
            </w:tcPr>
            <w:p w14:paraId="1E2B8483" w14:textId="38D70B75" w:rsidR="000F4BA0" w:rsidRPr="008B6353" w:rsidRDefault="000F4BA0" w:rsidP="00553848">
              <w:pPr>
                <w:tabs>
                  <w:tab w:val="left" w:pos="620"/>
                  <w:tab w:val="center" w:pos="4320"/>
                </w:tabs>
                <w:jc w:val="right"/>
                <w:rPr>
                  <w:rFonts w:ascii="Arial" w:hAnsi="Arial"/>
                  <w:sz w:val="20"/>
                  <w:szCs w:val="20"/>
                </w:rPr>
              </w:pPr>
            </w:p>
          </w:tc>
          <w:tc>
            <w:tcPr>
              <w:tcW w:w="1000" w:type="pct"/>
              <w:tcBorders>
                <w:left w:val="triple" w:sz="4" w:space="0" w:color="4F81BD"/>
              </w:tcBorders>
            </w:tcPr>
            <w:p w14:paraId="06874D1E" w14:textId="4BE8996B" w:rsidR="000F4BA0" w:rsidRPr="008B6353" w:rsidRDefault="000F4BA0" w:rsidP="00553848">
              <w:pPr>
                <w:tabs>
                  <w:tab w:val="left" w:pos="1490"/>
                </w:tabs>
                <w:rPr>
                  <w:rFonts w:ascii="Arial" w:hAnsi="Arial"/>
                  <w:sz w:val="28"/>
                  <w:szCs w:val="28"/>
                </w:rPr>
              </w:pPr>
              <w:r>
                <w:fldChar w:fldCharType="begin"/>
              </w:r>
              <w:r>
                <w:instrText xml:space="preserve"> PAGE    \* MERGEFORMAT </w:instrText>
              </w:r>
              <w:r>
                <w:fldChar w:fldCharType="separate"/>
              </w:r>
              <w:r w:rsidR="0015786B">
                <w:rPr>
                  <w:noProof/>
                </w:rPr>
                <w:t>6</w:t>
              </w:r>
              <w:r>
                <w:rPr>
                  <w:noProof/>
                </w:rPr>
                <w:fldChar w:fldCharType="end"/>
              </w:r>
            </w:p>
          </w:tc>
        </w:tr>
      </w:sdtContent>
    </w:sdt>
  </w:tbl>
  <w:p w14:paraId="7287CE51" w14:textId="77777777" w:rsidR="000F4BA0" w:rsidRDefault="000F4BA0">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97E3D5" w14:textId="77777777" w:rsidR="00B649D1" w:rsidRDefault="00B649D1" w:rsidP="00F646BC">
      <w:r>
        <w:separator/>
      </w:r>
    </w:p>
  </w:footnote>
  <w:footnote w:type="continuationSeparator" w:id="0">
    <w:p w14:paraId="69024975" w14:textId="77777777" w:rsidR="00B649D1" w:rsidRDefault="00B649D1" w:rsidP="00F646BC">
      <w:r>
        <w:continuationSeparator/>
      </w:r>
    </w:p>
  </w:footnote>
  <w:footnote w:type="continuationNotice" w:id="1">
    <w:p w14:paraId="15B29ADA" w14:textId="77777777" w:rsidR="00B649D1" w:rsidRDefault="00B649D1"/>
  </w:footnote>
  <w:footnote w:id="2">
    <w:p w14:paraId="536F2876" w14:textId="5AC70CA3" w:rsidR="009A707B" w:rsidRDefault="009A707B" w:rsidP="009A707B">
      <w:pPr>
        <w:pStyle w:val="Sprotnaopomba-besedilo"/>
      </w:pPr>
      <w:r>
        <w:rPr>
          <w:rStyle w:val="Sprotnaopomba-sklic"/>
        </w:rPr>
        <w:footnoteRef/>
      </w:r>
      <w:r>
        <w:t xml:space="preserve"> Merjeno s prikazovalnikom hitrosti na lokaciji </w:t>
      </w:r>
      <w:r w:rsidR="002107C6">
        <w:t>ob Govekarjevi cesti pred občinsko stavbo</w:t>
      </w:r>
      <w:r>
        <w:t>.</w:t>
      </w:r>
    </w:p>
  </w:footnote>
  <w:footnote w:id="3">
    <w:p w14:paraId="6A7008B0" w14:textId="0A482424" w:rsidR="009A707B" w:rsidRDefault="009A707B" w:rsidP="009A707B">
      <w:pPr>
        <w:pStyle w:val="Sprotnaopomba-besedilo"/>
      </w:pPr>
      <w:r>
        <w:rPr>
          <w:rStyle w:val="Sprotnaopomba-sklic"/>
        </w:rPr>
        <w:footnoteRef/>
      </w:r>
      <w:r>
        <w:t xml:space="preserve"> Merjeno s prikazovalnikom hitrosti na lokaciji </w:t>
      </w:r>
      <w:r w:rsidR="002107C6">
        <w:t>ob Govekarjevi cesti v bližini parkirišča pri pokopališču.</w:t>
      </w:r>
    </w:p>
  </w:footnote>
  <w:footnote w:id="4">
    <w:p w14:paraId="1D022B91" w14:textId="77777777" w:rsidR="000F4BA0" w:rsidRPr="000E29C4" w:rsidRDefault="000F4BA0" w:rsidP="000E29C4">
      <w:pPr>
        <w:pStyle w:val="Sprotnaopomba-besedilo"/>
        <w:jc w:val="both"/>
        <w:rPr>
          <w:rFonts w:eastAsia="Arial Unicode MS" w:cs="Arial"/>
          <w:sz w:val="16"/>
          <w:szCs w:val="16"/>
        </w:rPr>
      </w:pPr>
      <w:r w:rsidRPr="000E29C4">
        <w:rPr>
          <w:rStyle w:val="Sprotnaopomba-sklic"/>
          <w:rFonts w:eastAsia="Arial Unicode MS" w:cs="Arial"/>
          <w:sz w:val="16"/>
          <w:szCs w:val="16"/>
        </w:rPr>
        <w:footnoteRef/>
      </w:r>
      <w:r w:rsidRPr="000E29C4">
        <w:rPr>
          <w:rFonts w:eastAsia="Arial Unicode MS" w:cs="Arial"/>
          <w:sz w:val="16"/>
          <w:szCs w:val="16"/>
        </w:rPr>
        <w:t xml:space="preserve"> Ekonomsko obdobje projekta je določeno na podlagi Delegirane Uredbe Komisije (EU) št. 480/2014 z dne 3. marca 2014 o dopolnitvi Uredbe (EU) št. 1303/2013 Evropskega parlamenta in Sveta o skupnih določbah o Evropskem skladu za regionalni razvoj, Evropskem socialnem skladu, Kohezijskem skladu, Evropskem kmetijskem skladu za razvoj podeželja in Evropskem skladu</w:t>
      </w:r>
      <w:r>
        <w:rPr>
          <w:rFonts w:ascii="Arial Unicode MS" w:eastAsia="Arial Unicode MS" w:hAnsi="Arial Unicode MS" w:cs="Arial Unicode MS"/>
          <w:sz w:val="16"/>
          <w:szCs w:val="16"/>
        </w:rPr>
        <w:t xml:space="preserve"> Z</w:t>
      </w:r>
      <w:r w:rsidRPr="000E29C4">
        <w:rPr>
          <w:rFonts w:eastAsia="Arial Unicode MS" w:cs="Arial"/>
          <w:sz w:val="16"/>
          <w:szCs w:val="16"/>
        </w:rPr>
        <w:t xml:space="preserve">a pomorstvo in ribištvo ter o splošnih določbah o Evropskem skladu za regionalni razvoj, Evropskem socialnem skladu, Kohezijskem skladu in Evropskem skladu za pomorstvo in ribištvo. </w:t>
      </w:r>
    </w:p>
  </w:footnote>
  <w:footnote w:id="5">
    <w:p w14:paraId="774E0D86" w14:textId="77777777" w:rsidR="000F4BA0" w:rsidRPr="004E415E" w:rsidRDefault="000F4BA0" w:rsidP="00F55912">
      <w:pPr>
        <w:pStyle w:val="Sprotnaopomba-besedilo"/>
        <w:jc w:val="both"/>
        <w:rPr>
          <w:rFonts w:eastAsia="Arial Unicode MS" w:cs="Arial"/>
          <w:sz w:val="18"/>
          <w:szCs w:val="18"/>
        </w:rPr>
      </w:pPr>
      <w:r w:rsidRPr="004E415E">
        <w:rPr>
          <w:rStyle w:val="Sprotnaopomba-sklic"/>
          <w:rFonts w:eastAsia="Arial Unicode MS" w:cs="Arial"/>
          <w:sz w:val="18"/>
          <w:szCs w:val="18"/>
        </w:rPr>
        <w:footnoteRef/>
      </w:r>
      <w:r w:rsidRPr="004E415E">
        <w:rPr>
          <w:rFonts w:eastAsia="Arial Unicode MS" w:cs="Arial"/>
          <w:sz w:val="18"/>
          <w:szCs w:val="18"/>
        </w:rPr>
        <w:t xml:space="preserve"> Diskontna stopnja je določena v skladu z 1. odstavkom  8. členom Uredbe o enotni metodologiji za pripravo in obravnavo investicijske dokumentacije na področju javnih financ (Uradni list RS, št. 60/06, 54/10 in 27/16).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F24CA" w14:textId="77777777" w:rsidR="006945A7" w:rsidRPr="00755E7C" w:rsidRDefault="006945A7" w:rsidP="00755E7C">
    <w:pPr>
      <w:pStyle w:val="Glava"/>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2FA19" w14:textId="77777777" w:rsidR="000F4BA0" w:rsidRPr="00C02AE0" w:rsidRDefault="000F4BA0" w:rsidP="00C02AE0">
    <w:pPr>
      <w:pStyle w:val="Glava"/>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13B6C" w14:textId="77777777" w:rsidR="000F4BA0" w:rsidRPr="00C02AE0" w:rsidRDefault="000F4BA0" w:rsidP="00C02AE0">
    <w:pPr>
      <w:pStyle w:val="Glava"/>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210DC" w14:textId="77777777" w:rsidR="000F4BA0" w:rsidRPr="00C02AE0" w:rsidRDefault="000F4BA0" w:rsidP="00C02AE0">
    <w:pPr>
      <w:pStyle w:val="Glava"/>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357BF" w14:textId="77777777" w:rsidR="000F4BA0" w:rsidRPr="00C02AE0" w:rsidRDefault="000F4BA0" w:rsidP="00C02AE0">
    <w:pPr>
      <w:pStyle w:val="Glava"/>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A9E0C8" w14:textId="77777777" w:rsidR="000F4BA0" w:rsidRPr="00233DD9" w:rsidRDefault="000F4BA0" w:rsidP="00233DD9">
    <w:pPr>
      <w:pStyle w:val="Glava"/>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06E6E" w14:textId="77777777" w:rsidR="000F4BA0" w:rsidRPr="00C02AE0" w:rsidRDefault="000F4BA0" w:rsidP="00C02AE0">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D10E6" w14:textId="77777777" w:rsidR="006945A7" w:rsidRPr="00755E7C" w:rsidRDefault="006945A7" w:rsidP="00755E7C">
    <w:pPr>
      <w:pStyle w:val="Glava"/>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A3AA8" w14:textId="77777777" w:rsidR="000F4BA0" w:rsidRPr="00930979" w:rsidRDefault="000F4BA0" w:rsidP="00930979">
    <w:pPr>
      <w:pStyle w:val="Glava"/>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95708" w14:textId="77777777" w:rsidR="000F4BA0" w:rsidRPr="00C02AE0" w:rsidRDefault="000F4BA0" w:rsidP="00C02AE0">
    <w:pPr>
      <w:pStyle w:val="Glava"/>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94EF0" w14:textId="77777777" w:rsidR="000F4BA0" w:rsidRPr="0029624D" w:rsidRDefault="000F4BA0" w:rsidP="0029624D">
    <w:pPr>
      <w:pStyle w:val="Glava"/>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2A8E1" w14:textId="77777777" w:rsidR="000F4BA0" w:rsidRPr="00916434" w:rsidRDefault="000F4BA0" w:rsidP="00916434">
    <w:pPr>
      <w:pStyle w:val="Glava"/>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4C981" w14:textId="77777777" w:rsidR="000F4BA0" w:rsidRPr="00C02AE0" w:rsidRDefault="000F4BA0" w:rsidP="00C02AE0">
    <w:pPr>
      <w:pStyle w:val="Glava"/>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CFAFC" w14:textId="77777777" w:rsidR="000F4BA0" w:rsidRPr="0096483C" w:rsidRDefault="000F4BA0" w:rsidP="0096483C">
    <w:pPr>
      <w:pStyle w:val="Glava"/>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C4020" w14:textId="77777777" w:rsidR="000F4BA0" w:rsidRPr="00916434" w:rsidRDefault="000F4BA0" w:rsidP="00916434">
    <w:pPr>
      <w:pStyle w:val="Glav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8FE4C70E"/>
    <w:lvl w:ilvl="0">
      <w:start w:val="1"/>
      <w:numFmt w:val="bullet"/>
      <w:pStyle w:val="Oznaenseznam"/>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0" w:firstLine="0"/>
      </w:pPr>
      <w:rPr>
        <w:rFonts w:eastAsia="Calibri"/>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multilevel"/>
    <w:tmpl w:val="00000003"/>
    <w:name w:val="WW8Num2"/>
    <w:lvl w:ilvl="0">
      <w:start w:val="1"/>
      <w:numFmt w:val="none"/>
      <w:suff w:val="nothing"/>
      <w:lvlText w:val=""/>
      <w:lvlJc w:val="left"/>
      <w:pPr>
        <w:tabs>
          <w:tab w:val="num" w:pos="0"/>
        </w:tabs>
        <w:ind w:left="0" w:firstLine="0"/>
      </w:pPr>
      <w:rPr>
        <w:rFonts w:eastAsia="SimSun" w:cs="Arial"/>
        <w:b/>
        <w:bCs/>
        <w:color w:val="FF3333"/>
        <w:kern w:val="1"/>
        <w:sz w:val="22"/>
        <w:szCs w:val="24"/>
        <w:lang w:val="sl-SI" w:eastAsia="hi-IN" w:bidi="hi-IN"/>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3" w15:restartNumberingAfterBreak="0">
    <w:nsid w:val="00000005"/>
    <w:multiLevelType w:val="multilevel"/>
    <w:tmpl w:val="00000005"/>
    <w:name w:val="WW8Num5"/>
    <w:lvl w:ilvl="0">
      <w:start w:val="1"/>
      <w:numFmt w:val="bullet"/>
      <w:pStyle w:val="natevanjevrstineoznake"/>
      <w:lvlText w:val=""/>
      <w:lvlJc w:val="left"/>
      <w:pPr>
        <w:tabs>
          <w:tab w:val="num" w:pos="1647"/>
        </w:tabs>
        <w:ind w:left="0" w:firstLine="0"/>
      </w:pPr>
      <w:rPr>
        <w:rFonts w:ascii="Symbol" w:hAnsi="Symbol"/>
      </w:r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15:restartNumberingAfterBreak="0">
    <w:nsid w:val="0000008A"/>
    <w:multiLevelType w:val="hybridMultilevel"/>
    <w:tmpl w:val="634C574C"/>
    <w:lvl w:ilvl="0" w:tplc="FFFFFFFF">
      <w:start w:val="1"/>
      <w:numFmt w:val="decimal"/>
      <w:lvlText w:val="13.%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771162"/>
    <w:multiLevelType w:val="multilevel"/>
    <w:tmpl w:val="042C5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0C36329"/>
    <w:multiLevelType w:val="hybridMultilevel"/>
    <w:tmpl w:val="D13A445E"/>
    <w:lvl w:ilvl="0" w:tplc="C426789C">
      <w:numFmt w:val="bullet"/>
      <w:lvlText w:val="•"/>
      <w:lvlJc w:val="left"/>
      <w:pPr>
        <w:ind w:left="1065" w:hanging="705"/>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027270C8"/>
    <w:multiLevelType w:val="multilevel"/>
    <w:tmpl w:val="EF5A0962"/>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 w15:restartNumberingAfterBreak="0">
    <w:nsid w:val="02A93511"/>
    <w:multiLevelType w:val="multilevel"/>
    <w:tmpl w:val="02CCA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3382DA5"/>
    <w:multiLevelType w:val="hybridMultilevel"/>
    <w:tmpl w:val="AEFEBFF6"/>
    <w:lvl w:ilvl="0" w:tplc="922ABF18">
      <w:start w:val="1"/>
      <w:numFmt w:val="bullet"/>
      <w:lvlText w:val=""/>
      <w:lvlJc w:val="left"/>
      <w:pPr>
        <w:ind w:left="757" w:hanging="360"/>
      </w:pPr>
      <w:rPr>
        <w:rFonts w:ascii="Symbol" w:hAnsi="Symbol" w:hint="default"/>
        <w:color w:val="auto"/>
      </w:rPr>
    </w:lvl>
    <w:lvl w:ilvl="1" w:tplc="04240003">
      <w:start w:val="1"/>
      <w:numFmt w:val="bullet"/>
      <w:lvlText w:val="o"/>
      <w:lvlJc w:val="left"/>
      <w:pPr>
        <w:ind w:left="3508" w:hanging="360"/>
      </w:pPr>
      <w:rPr>
        <w:rFonts w:ascii="Courier New" w:hAnsi="Courier New" w:hint="default"/>
      </w:rPr>
    </w:lvl>
    <w:lvl w:ilvl="2" w:tplc="04240005" w:tentative="1">
      <w:start w:val="1"/>
      <w:numFmt w:val="bullet"/>
      <w:lvlText w:val=""/>
      <w:lvlJc w:val="left"/>
      <w:pPr>
        <w:ind w:left="4228" w:hanging="360"/>
      </w:pPr>
      <w:rPr>
        <w:rFonts w:ascii="Wingdings" w:hAnsi="Wingdings" w:hint="default"/>
      </w:rPr>
    </w:lvl>
    <w:lvl w:ilvl="3" w:tplc="04240001" w:tentative="1">
      <w:start w:val="1"/>
      <w:numFmt w:val="bullet"/>
      <w:lvlText w:val=""/>
      <w:lvlJc w:val="left"/>
      <w:pPr>
        <w:ind w:left="4948" w:hanging="360"/>
      </w:pPr>
      <w:rPr>
        <w:rFonts w:ascii="Symbol" w:hAnsi="Symbol" w:hint="default"/>
      </w:rPr>
    </w:lvl>
    <w:lvl w:ilvl="4" w:tplc="04240003" w:tentative="1">
      <w:start w:val="1"/>
      <w:numFmt w:val="bullet"/>
      <w:lvlText w:val="o"/>
      <w:lvlJc w:val="left"/>
      <w:pPr>
        <w:ind w:left="5668" w:hanging="360"/>
      </w:pPr>
      <w:rPr>
        <w:rFonts w:ascii="Courier New" w:hAnsi="Courier New" w:hint="default"/>
      </w:rPr>
    </w:lvl>
    <w:lvl w:ilvl="5" w:tplc="04240005" w:tentative="1">
      <w:start w:val="1"/>
      <w:numFmt w:val="bullet"/>
      <w:lvlText w:val=""/>
      <w:lvlJc w:val="left"/>
      <w:pPr>
        <w:ind w:left="6388" w:hanging="360"/>
      </w:pPr>
      <w:rPr>
        <w:rFonts w:ascii="Wingdings" w:hAnsi="Wingdings" w:hint="default"/>
      </w:rPr>
    </w:lvl>
    <w:lvl w:ilvl="6" w:tplc="04240001" w:tentative="1">
      <w:start w:val="1"/>
      <w:numFmt w:val="bullet"/>
      <w:lvlText w:val=""/>
      <w:lvlJc w:val="left"/>
      <w:pPr>
        <w:ind w:left="7108" w:hanging="360"/>
      </w:pPr>
      <w:rPr>
        <w:rFonts w:ascii="Symbol" w:hAnsi="Symbol" w:hint="default"/>
      </w:rPr>
    </w:lvl>
    <w:lvl w:ilvl="7" w:tplc="04240003" w:tentative="1">
      <w:start w:val="1"/>
      <w:numFmt w:val="bullet"/>
      <w:lvlText w:val="o"/>
      <w:lvlJc w:val="left"/>
      <w:pPr>
        <w:ind w:left="7828" w:hanging="360"/>
      </w:pPr>
      <w:rPr>
        <w:rFonts w:ascii="Courier New" w:hAnsi="Courier New" w:hint="default"/>
      </w:rPr>
    </w:lvl>
    <w:lvl w:ilvl="8" w:tplc="04240005" w:tentative="1">
      <w:start w:val="1"/>
      <w:numFmt w:val="bullet"/>
      <w:lvlText w:val=""/>
      <w:lvlJc w:val="left"/>
      <w:pPr>
        <w:ind w:left="8548" w:hanging="360"/>
      </w:pPr>
      <w:rPr>
        <w:rFonts w:ascii="Wingdings" w:hAnsi="Wingdings" w:hint="default"/>
      </w:rPr>
    </w:lvl>
  </w:abstractNum>
  <w:abstractNum w:abstractNumId="10" w15:restartNumberingAfterBreak="0">
    <w:nsid w:val="034400C9"/>
    <w:multiLevelType w:val="multilevel"/>
    <w:tmpl w:val="9AF67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9A63AA"/>
    <w:multiLevelType w:val="hybridMultilevel"/>
    <w:tmpl w:val="91F4D79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03D23B6F"/>
    <w:multiLevelType w:val="multilevel"/>
    <w:tmpl w:val="C02AB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020239"/>
    <w:multiLevelType w:val="multilevel"/>
    <w:tmpl w:val="77822E1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b w:val="0"/>
        <w:bCs/>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04B54ACA"/>
    <w:multiLevelType w:val="multilevel"/>
    <w:tmpl w:val="C41E2530"/>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054021CD"/>
    <w:multiLevelType w:val="hybridMultilevel"/>
    <w:tmpl w:val="E3E4611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056241D5"/>
    <w:multiLevelType w:val="hybridMultilevel"/>
    <w:tmpl w:val="A20C24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06AB0835"/>
    <w:multiLevelType w:val="multilevel"/>
    <w:tmpl w:val="13ECA94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6AE5FDE"/>
    <w:multiLevelType w:val="hybridMultilevel"/>
    <w:tmpl w:val="3F5897C6"/>
    <w:lvl w:ilvl="0" w:tplc="2000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08BF2EE2"/>
    <w:multiLevelType w:val="multilevel"/>
    <w:tmpl w:val="BEA2F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95E1DA0"/>
    <w:multiLevelType w:val="hybridMultilevel"/>
    <w:tmpl w:val="6E92357C"/>
    <w:lvl w:ilvl="0" w:tplc="E2AA56D8">
      <w:start w:val="3"/>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A3B25F7"/>
    <w:multiLevelType w:val="multilevel"/>
    <w:tmpl w:val="190C3A5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0A494408"/>
    <w:multiLevelType w:val="multilevel"/>
    <w:tmpl w:val="3E04B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A726CDE"/>
    <w:multiLevelType w:val="multilevel"/>
    <w:tmpl w:val="8DDE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BBB245D"/>
    <w:multiLevelType w:val="multilevel"/>
    <w:tmpl w:val="5C8A72F6"/>
    <w:lvl w:ilvl="0">
      <w:start w:val="1"/>
      <w:numFmt w:val="bullet"/>
      <w:pStyle w:val="Navaden-zamik"/>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0CE259BE"/>
    <w:multiLevelType w:val="multilevel"/>
    <w:tmpl w:val="262A5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E50517E"/>
    <w:multiLevelType w:val="multilevel"/>
    <w:tmpl w:val="A84E6968"/>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E742883"/>
    <w:multiLevelType w:val="hybridMultilevel"/>
    <w:tmpl w:val="D78248A8"/>
    <w:lvl w:ilvl="0" w:tplc="04240001">
      <w:start w:val="1"/>
      <w:numFmt w:val="bullet"/>
      <w:lvlText w:val=""/>
      <w:lvlJc w:val="left"/>
      <w:pPr>
        <w:ind w:left="786" w:hanging="360"/>
      </w:pPr>
      <w:rPr>
        <w:rFonts w:ascii="Symbol" w:hAnsi="Symbol"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28" w15:restartNumberingAfterBreak="0">
    <w:nsid w:val="0EDC38D4"/>
    <w:multiLevelType w:val="multilevel"/>
    <w:tmpl w:val="7090CB36"/>
    <w:lvl w:ilvl="0">
      <w:start w:val="1"/>
      <w:numFmt w:val="decimal"/>
      <w:lvlText w:val="%1."/>
      <w:lvlJc w:val="left"/>
      <w:pPr>
        <w:tabs>
          <w:tab w:val="num" w:pos="786"/>
        </w:tabs>
        <w:ind w:left="786" w:hanging="360"/>
      </w:pPr>
      <w:rPr>
        <w:b/>
      </w:rPr>
    </w:lvl>
    <w:lvl w:ilvl="1">
      <w:start w:val="1"/>
      <w:numFmt w:val="bullet"/>
      <w:lvlText w:val="o"/>
      <w:lvlJc w:val="left"/>
      <w:pPr>
        <w:tabs>
          <w:tab w:val="num" w:pos="1506"/>
        </w:tabs>
        <w:ind w:left="1506" w:hanging="360"/>
      </w:pPr>
      <w:rPr>
        <w:rFonts w:ascii="Courier New" w:hAnsi="Courier New" w:hint="default"/>
        <w:sz w:val="20"/>
      </w:r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29" w15:restartNumberingAfterBreak="0">
    <w:nsid w:val="0F2662C0"/>
    <w:multiLevelType w:val="hybridMultilevel"/>
    <w:tmpl w:val="78F6FF36"/>
    <w:lvl w:ilvl="0" w:tplc="FFFFFFFF">
      <w:start w:val="1"/>
      <w:numFmt w:val="decimal"/>
      <w:lvlText w:val="13.%1."/>
      <w:lvlJc w:val="left"/>
    </w:lvl>
    <w:lvl w:ilvl="1" w:tplc="0424000B">
      <w:start w:val="1"/>
      <w:numFmt w:val="bullet"/>
      <w:lvlText w:val=""/>
      <w:lvlJc w:val="left"/>
      <w:rPr>
        <w:rFonts w:ascii="Wingdings" w:hAnsi="Wingdings" w:hint="default"/>
      </w:rPr>
    </w:lvl>
    <w:lvl w:ilvl="2" w:tplc="62FE0C66">
      <w:start w:val="7"/>
      <w:numFmt w:val="bullet"/>
      <w:lvlText w:val="-"/>
      <w:lvlJc w:val="left"/>
      <w:rPr>
        <w:rFonts w:ascii="Times New Roman" w:eastAsia="Times New Roman" w:hAnsi="Times New Roman" w:cs="Times New Roman" w:hint="default"/>
      </w:rPr>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0" w15:restartNumberingAfterBreak="0">
    <w:nsid w:val="101640B9"/>
    <w:multiLevelType w:val="multilevel"/>
    <w:tmpl w:val="76588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16453C5"/>
    <w:multiLevelType w:val="multilevel"/>
    <w:tmpl w:val="E75A0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CE35DA"/>
    <w:multiLevelType w:val="hybridMultilevel"/>
    <w:tmpl w:val="315029B4"/>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33" w15:restartNumberingAfterBreak="0">
    <w:nsid w:val="12AB5612"/>
    <w:multiLevelType w:val="hybridMultilevel"/>
    <w:tmpl w:val="10FC193E"/>
    <w:lvl w:ilvl="0" w:tplc="EB70BEFE">
      <w:numFmt w:val="bullet"/>
      <w:lvlText w:val="-"/>
      <w:lvlJc w:val="left"/>
      <w:pPr>
        <w:tabs>
          <w:tab w:val="num" w:pos="360"/>
        </w:tabs>
        <w:ind w:left="360" w:hanging="360"/>
      </w:pPr>
      <w:rPr>
        <w:rFonts w:ascii="Arial" w:eastAsia="Times New Roman" w:hAnsi="Arial" w:cs="Arial" w:hint="default"/>
      </w:rPr>
    </w:lvl>
    <w:lvl w:ilvl="1" w:tplc="04240003">
      <w:start w:val="1"/>
      <w:numFmt w:val="bullet"/>
      <w:lvlText w:val="o"/>
      <w:lvlJc w:val="left"/>
      <w:pPr>
        <w:tabs>
          <w:tab w:val="num" w:pos="1080"/>
        </w:tabs>
        <w:ind w:left="1080" w:hanging="360"/>
      </w:pPr>
      <w:rPr>
        <w:rFonts w:ascii="Courier New" w:hAnsi="Courier New" w:cs="Courier New" w:hint="default"/>
      </w:rPr>
    </w:lvl>
    <w:lvl w:ilvl="2" w:tplc="AFE6939E">
      <w:numFmt w:val="bullet"/>
      <w:lvlText w:val="•"/>
      <w:lvlJc w:val="left"/>
      <w:pPr>
        <w:ind w:left="1800" w:hanging="360"/>
      </w:pPr>
      <w:rPr>
        <w:rFonts w:ascii="Arial" w:eastAsia="Times New Roman" w:hAnsi="Arial" w:cs="Arial"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13F54CFB"/>
    <w:multiLevelType w:val="multilevel"/>
    <w:tmpl w:val="DC2E8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4826D34"/>
    <w:multiLevelType w:val="multilevel"/>
    <w:tmpl w:val="859A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4983280"/>
    <w:multiLevelType w:val="multilevel"/>
    <w:tmpl w:val="0B122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4FB0BE9"/>
    <w:multiLevelType w:val="multilevel"/>
    <w:tmpl w:val="338CF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51159DB"/>
    <w:multiLevelType w:val="multilevel"/>
    <w:tmpl w:val="DE4CC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5D8226B"/>
    <w:multiLevelType w:val="multilevel"/>
    <w:tmpl w:val="3BB89506"/>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0" w15:restartNumberingAfterBreak="0">
    <w:nsid w:val="15EE0258"/>
    <w:multiLevelType w:val="multilevel"/>
    <w:tmpl w:val="4A88C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68A5824"/>
    <w:multiLevelType w:val="multilevel"/>
    <w:tmpl w:val="4AB21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6CE1636"/>
    <w:multiLevelType w:val="multilevel"/>
    <w:tmpl w:val="82407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6D06CB4"/>
    <w:multiLevelType w:val="hybridMultilevel"/>
    <w:tmpl w:val="1714A874"/>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44" w15:restartNumberingAfterBreak="0">
    <w:nsid w:val="19DA0559"/>
    <w:multiLevelType w:val="multilevel"/>
    <w:tmpl w:val="92762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9E76432"/>
    <w:multiLevelType w:val="multilevel"/>
    <w:tmpl w:val="1DB2B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9F629BB"/>
    <w:multiLevelType w:val="hybridMultilevel"/>
    <w:tmpl w:val="2828E04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7" w15:restartNumberingAfterBreak="0">
    <w:nsid w:val="1B80359F"/>
    <w:multiLevelType w:val="hybridMultilevel"/>
    <w:tmpl w:val="A4388B7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8" w15:restartNumberingAfterBreak="0">
    <w:nsid w:val="1BA94F82"/>
    <w:multiLevelType w:val="multilevel"/>
    <w:tmpl w:val="0ED8C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C274868"/>
    <w:multiLevelType w:val="hybridMultilevel"/>
    <w:tmpl w:val="EBE66F18"/>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0" w15:restartNumberingAfterBreak="0">
    <w:nsid w:val="1D101502"/>
    <w:multiLevelType w:val="multilevel"/>
    <w:tmpl w:val="64F81B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1F3575E7"/>
    <w:multiLevelType w:val="multilevel"/>
    <w:tmpl w:val="F0324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FA239B4"/>
    <w:multiLevelType w:val="multilevel"/>
    <w:tmpl w:val="E188DE1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53" w15:restartNumberingAfterBreak="0">
    <w:nsid w:val="1FC91F46"/>
    <w:multiLevelType w:val="hybridMultilevel"/>
    <w:tmpl w:val="8E608A32"/>
    <w:lvl w:ilvl="0" w:tplc="20C8F9B0">
      <w:numFmt w:val="bullet"/>
      <w:lvlText w:val="-"/>
      <w:lvlJc w:val="left"/>
      <w:pPr>
        <w:ind w:left="720" w:hanging="360"/>
      </w:pPr>
      <w:rPr>
        <w:rFonts w:ascii="Arial" w:eastAsia="MS Mincho"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4" w15:restartNumberingAfterBreak="0">
    <w:nsid w:val="203A79C1"/>
    <w:multiLevelType w:val="multilevel"/>
    <w:tmpl w:val="8DA68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0B45C6E"/>
    <w:multiLevelType w:val="hybridMultilevel"/>
    <w:tmpl w:val="7062D0A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6" w15:restartNumberingAfterBreak="0">
    <w:nsid w:val="21057E4C"/>
    <w:multiLevelType w:val="hybridMultilevel"/>
    <w:tmpl w:val="19E823F8"/>
    <w:lvl w:ilvl="0" w:tplc="FFFFFFFF">
      <w:start w:val="1"/>
      <w:numFmt w:val="decimal"/>
      <w:lvlText w:val="13.%1."/>
      <w:lvlJc w:val="left"/>
    </w:lvl>
    <w:lvl w:ilvl="1" w:tplc="04240001">
      <w:start w:val="1"/>
      <w:numFmt w:val="bullet"/>
      <w:lvlText w:val=""/>
      <w:lvlJc w:val="left"/>
      <w:rPr>
        <w:rFonts w:ascii="Symbol" w:hAnsi="Symbol" w:hint="default"/>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7" w15:restartNumberingAfterBreak="0">
    <w:nsid w:val="213D699E"/>
    <w:multiLevelType w:val="multilevel"/>
    <w:tmpl w:val="7090CB36"/>
    <w:lvl w:ilvl="0">
      <w:start w:val="1"/>
      <w:numFmt w:val="decimal"/>
      <w:lvlText w:val="%1."/>
      <w:lvlJc w:val="left"/>
      <w:pPr>
        <w:tabs>
          <w:tab w:val="num" w:pos="786"/>
        </w:tabs>
        <w:ind w:left="786" w:hanging="360"/>
      </w:pPr>
      <w:rPr>
        <w:b/>
      </w:rPr>
    </w:lvl>
    <w:lvl w:ilvl="1">
      <w:start w:val="1"/>
      <w:numFmt w:val="bullet"/>
      <w:lvlText w:val="o"/>
      <w:lvlJc w:val="left"/>
      <w:pPr>
        <w:tabs>
          <w:tab w:val="num" w:pos="1506"/>
        </w:tabs>
        <w:ind w:left="1506" w:hanging="360"/>
      </w:pPr>
      <w:rPr>
        <w:rFonts w:ascii="Courier New" w:hAnsi="Courier New" w:hint="default"/>
        <w:sz w:val="20"/>
      </w:r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58" w15:restartNumberingAfterBreak="0">
    <w:nsid w:val="219D43BB"/>
    <w:multiLevelType w:val="multilevel"/>
    <w:tmpl w:val="338E36F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21EE5A20"/>
    <w:multiLevelType w:val="multilevel"/>
    <w:tmpl w:val="96C69E84"/>
    <w:styleLink w:val="WWNum31"/>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0" w15:restartNumberingAfterBreak="0">
    <w:nsid w:val="224B4B5F"/>
    <w:multiLevelType w:val="multilevel"/>
    <w:tmpl w:val="A0742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2FF3BB0"/>
    <w:multiLevelType w:val="multilevel"/>
    <w:tmpl w:val="3D043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3E71335"/>
    <w:multiLevelType w:val="multilevel"/>
    <w:tmpl w:val="FB208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430717D"/>
    <w:multiLevelType w:val="hybridMultilevel"/>
    <w:tmpl w:val="86D63CA2"/>
    <w:lvl w:ilvl="0" w:tplc="9444682E">
      <w:numFmt w:val="bullet"/>
      <w:pStyle w:val="SeznamIP2"/>
      <w:lvlText w:val="-"/>
      <w:lvlJc w:val="left"/>
      <w:pPr>
        <w:ind w:left="1117" w:hanging="360"/>
      </w:pPr>
      <w:rPr>
        <w:rFonts w:ascii="Calibri" w:eastAsia="Times New Roman" w:hAnsi="Calibri" w:hint="default"/>
      </w:rPr>
    </w:lvl>
    <w:lvl w:ilvl="1" w:tplc="04240003" w:tentative="1">
      <w:start w:val="1"/>
      <w:numFmt w:val="bullet"/>
      <w:lvlText w:val="o"/>
      <w:lvlJc w:val="left"/>
      <w:pPr>
        <w:ind w:left="1837" w:hanging="360"/>
      </w:pPr>
      <w:rPr>
        <w:rFonts w:ascii="Courier New" w:hAnsi="Courier New" w:hint="default"/>
      </w:rPr>
    </w:lvl>
    <w:lvl w:ilvl="2" w:tplc="04240005" w:tentative="1">
      <w:start w:val="1"/>
      <w:numFmt w:val="bullet"/>
      <w:lvlText w:val=""/>
      <w:lvlJc w:val="left"/>
      <w:pPr>
        <w:ind w:left="2557" w:hanging="360"/>
      </w:pPr>
      <w:rPr>
        <w:rFonts w:ascii="Wingdings" w:hAnsi="Wingdings" w:hint="default"/>
      </w:rPr>
    </w:lvl>
    <w:lvl w:ilvl="3" w:tplc="04240001" w:tentative="1">
      <w:start w:val="1"/>
      <w:numFmt w:val="bullet"/>
      <w:lvlText w:val=""/>
      <w:lvlJc w:val="left"/>
      <w:pPr>
        <w:ind w:left="3277" w:hanging="360"/>
      </w:pPr>
      <w:rPr>
        <w:rFonts w:ascii="Symbol" w:hAnsi="Symbol" w:hint="default"/>
      </w:rPr>
    </w:lvl>
    <w:lvl w:ilvl="4" w:tplc="04240003" w:tentative="1">
      <w:start w:val="1"/>
      <w:numFmt w:val="bullet"/>
      <w:lvlText w:val="o"/>
      <w:lvlJc w:val="left"/>
      <w:pPr>
        <w:ind w:left="3997" w:hanging="360"/>
      </w:pPr>
      <w:rPr>
        <w:rFonts w:ascii="Courier New" w:hAnsi="Courier New" w:hint="default"/>
      </w:rPr>
    </w:lvl>
    <w:lvl w:ilvl="5" w:tplc="04240005" w:tentative="1">
      <w:start w:val="1"/>
      <w:numFmt w:val="bullet"/>
      <w:lvlText w:val=""/>
      <w:lvlJc w:val="left"/>
      <w:pPr>
        <w:ind w:left="4717" w:hanging="360"/>
      </w:pPr>
      <w:rPr>
        <w:rFonts w:ascii="Wingdings" w:hAnsi="Wingdings" w:hint="default"/>
      </w:rPr>
    </w:lvl>
    <w:lvl w:ilvl="6" w:tplc="04240001" w:tentative="1">
      <w:start w:val="1"/>
      <w:numFmt w:val="bullet"/>
      <w:lvlText w:val=""/>
      <w:lvlJc w:val="left"/>
      <w:pPr>
        <w:ind w:left="5437" w:hanging="360"/>
      </w:pPr>
      <w:rPr>
        <w:rFonts w:ascii="Symbol" w:hAnsi="Symbol" w:hint="default"/>
      </w:rPr>
    </w:lvl>
    <w:lvl w:ilvl="7" w:tplc="04240003" w:tentative="1">
      <w:start w:val="1"/>
      <w:numFmt w:val="bullet"/>
      <w:lvlText w:val="o"/>
      <w:lvlJc w:val="left"/>
      <w:pPr>
        <w:ind w:left="6157" w:hanging="360"/>
      </w:pPr>
      <w:rPr>
        <w:rFonts w:ascii="Courier New" w:hAnsi="Courier New" w:hint="default"/>
      </w:rPr>
    </w:lvl>
    <w:lvl w:ilvl="8" w:tplc="04240005" w:tentative="1">
      <w:start w:val="1"/>
      <w:numFmt w:val="bullet"/>
      <w:lvlText w:val=""/>
      <w:lvlJc w:val="left"/>
      <w:pPr>
        <w:ind w:left="6877" w:hanging="360"/>
      </w:pPr>
      <w:rPr>
        <w:rFonts w:ascii="Wingdings" w:hAnsi="Wingdings" w:hint="default"/>
      </w:rPr>
    </w:lvl>
  </w:abstractNum>
  <w:abstractNum w:abstractNumId="64" w15:restartNumberingAfterBreak="0">
    <w:nsid w:val="24963C29"/>
    <w:multiLevelType w:val="multilevel"/>
    <w:tmpl w:val="874C18C8"/>
    <w:lvl w:ilvl="0">
      <w:start w:val="1"/>
      <w:numFmt w:val="decimal"/>
      <w:pStyle w:val="vrsticnaoznaka"/>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26070BC9"/>
    <w:multiLevelType w:val="multilevel"/>
    <w:tmpl w:val="B34E3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60A7BDF"/>
    <w:multiLevelType w:val="hybridMultilevel"/>
    <w:tmpl w:val="D11E1B5C"/>
    <w:lvl w:ilvl="0" w:tplc="2000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7" w15:restartNumberingAfterBreak="0">
    <w:nsid w:val="26607BD5"/>
    <w:multiLevelType w:val="multilevel"/>
    <w:tmpl w:val="E08CE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6CC174C"/>
    <w:multiLevelType w:val="multilevel"/>
    <w:tmpl w:val="EF0E7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7B578A0"/>
    <w:multiLevelType w:val="hybridMultilevel"/>
    <w:tmpl w:val="4566F0A6"/>
    <w:lvl w:ilvl="0" w:tplc="0F9AD5D8">
      <w:start w:val="1"/>
      <w:numFmt w:val="decimal"/>
      <w:lvlText w:val="%1."/>
      <w:lvlJc w:val="left"/>
      <w:pPr>
        <w:ind w:left="720" w:hanging="360"/>
      </w:pPr>
      <w:rPr>
        <w:rFonts w:hint="eastAsia"/>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0" w15:restartNumberingAfterBreak="0">
    <w:nsid w:val="281A1AB8"/>
    <w:multiLevelType w:val="hybridMultilevel"/>
    <w:tmpl w:val="688633A4"/>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71" w15:restartNumberingAfterBreak="0">
    <w:nsid w:val="28627556"/>
    <w:multiLevelType w:val="multilevel"/>
    <w:tmpl w:val="EDE8768A"/>
    <w:lvl w:ilvl="0">
      <w:start w:val="1"/>
      <w:numFmt w:val="decimal"/>
      <w:pStyle w:val="DIIPNASLOV1"/>
      <w:lvlText w:val="%1."/>
      <w:lvlJc w:val="left"/>
      <w:pPr>
        <w:ind w:left="360" w:hanging="360"/>
      </w:pPr>
    </w:lvl>
    <w:lvl w:ilvl="1">
      <w:start w:val="1"/>
      <w:numFmt w:val="decimal"/>
      <w:pStyle w:val="DIIPNASLOV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2928177C"/>
    <w:multiLevelType w:val="hybridMultilevel"/>
    <w:tmpl w:val="31F4EB7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3" w15:restartNumberingAfterBreak="0">
    <w:nsid w:val="2AFE0140"/>
    <w:multiLevelType w:val="hybridMultilevel"/>
    <w:tmpl w:val="3E40AEC8"/>
    <w:lvl w:ilvl="0" w:tplc="E2AA56D8">
      <w:start w:val="3"/>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2B3712EB"/>
    <w:multiLevelType w:val="multilevel"/>
    <w:tmpl w:val="0F8272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BC0242E"/>
    <w:multiLevelType w:val="multilevel"/>
    <w:tmpl w:val="4C6E7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C7A0115"/>
    <w:multiLevelType w:val="hybridMultilevel"/>
    <w:tmpl w:val="3FC6F03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7" w15:restartNumberingAfterBreak="0">
    <w:nsid w:val="2D3B6773"/>
    <w:multiLevelType w:val="hybridMultilevel"/>
    <w:tmpl w:val="02086F4C"/>
    <w:lvl w:ilvl="0" w:tplc="04240001">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rPr>
        <w:rFonts w:hint="default"/>
        <w:bCs w:val="0"/>
        <w:i w:val="0"/>
        <w:iCs w:val="0"/>
        <w:caps w:val="0"/>
        <w:smallCaps w:val="0"/>
        <w:strike w:val="0"/>
        <w:dstrike w:val="0"/>
        <w:outline w:val="0"/>
        <w:shadow w:val="0"/>
        <w:emboss w:val="0"/>
        <w:imprint w:val="0"/>
        <w:snapToGrid w:val="0"/>
        <w:vanish w:val="0"/>
        <w:spacing w:val="0"/>
        <w:kern w:val="0"/>
        <w:position w:val="0"/>
        <w:u w:val="none"/>
        <w:vertAlign w:val="baseline"/>
        <w:em w:val="none"/>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2D7D482D"/>
    <w:multiLevelType w:val="multilevel"/>
    <w:tmpl w:val="3678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DA84DB4"/>
    <w:multiLevelType w:val="hybridMultilevel"/>
    <w:tmpl w:val="60087EB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0" w15:restartNumberingAfterBreak="0">
    <w:nsid w:val="2E8018A5"/>
    <w:multiLevelType w:val="multilevel"/>
    <w:tmpl w:val="2F78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EDF6FED"/>
    <w:multiLevelType w:val="multilevel"/>
    <w:tmpl w:val="5B8EDA90"/>
    <w:styleLink w:val="WWNum3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2" w15:restartNumberingAfterBreak="0">
    <w:nsid w:val="301B28A2"/>
    <w:multiLevelType w:val="multilevel"/>
    <w:tmpl w:val="FC388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04C1607"/>
    <w:multiLevelType w:val="multilevel"/>
    <w:tmpl w:val="66CA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299647F"/>
    <w:multiLevelType w:val="multilevel"/>
    <w:tmpl w:val="6D084006"/>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5" w15:restartNumberingAfterBreak="0">
    <w:nsid w:val="32CD2666"/>
    <w:multiLevelType w:val="hybridMultilevel"/>
    <w:tmpl w:val="AEAEFBC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6" w15:restartNumberingAfterBreak="0">
    <w:nsid w:val="346B38F9"/>
    <w:multiLevelType w:val="hybridMultilevel"/>
    <w:tmpl w:val="6C266BA2"/>
    <w:lvl w:ilvl="0" w:tplc="6F6CF5C0">
      <w:start w:val="1"/>
      <w:numFmt w:val="decimal"/>
      <w:lvlText w:val="%1."/>
      <w:lvlJc w:val="left"/>
      <w:pPr>
        <w:ind w:left="720" w:hanging="360"/>
      </w:pPr>
      <w:rPr>
        <w:rFonts w:ascii="Arial" w:hAnsi="Arial" w:cs="Arial" w:hint="default"/>
        <w:color w:val="000000"/>
        <w:sz w:val="2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87" w15:restartNumberingAfterBreak="0">
    <w:nsid w:val="34847CE3"/>
    <w:multiLevelType w:val="hybridMultilevel"/>
    <w:tmpl w:val="D1842C8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8" w15:restartNumberingAfterBreak="0">
    <w:nsid w:val="353E5733"/>
    <w:multiLevelType w:val="multilevel"/>
    <w:tmpl w:val="25C41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5715B31"/>
    <w:multiLevelType w:val="multilevel"/>
    <w:tmpl w:val="7188D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59134E0"/>
    <w:multiLevelType w:val="hybridMultilevel"/>
    <w:tmpl w:val="776CD4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1" w15:restartNumberingAfterBreak="0">
    <w:nsid w:val="359F5202"/>
    <w:multiLevelType w:val="multilevel"/>
    <w:tmpl w:val="DF323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5DE4FBC"/>
    <w:multiLevelType w:val="multilevel"/>
    <w:tmpl w:val="5E705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6326214"/>
    <w:multiLevelType w:val="hybridMultilevel"/>
    <w:tmpl w:val="B08A31F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36510B15"/>
    <w:multiLevelType w:val="hybridMultilevel"/>
    <w:tmpl w:val="92D8D2F0"/>
    <w:lvl w:ilvl="0" w:tplc="04240001">
      <w:start w:val="1"/>
      <w:numFmt w:val="bullet"/>
      <w:lvlText w:val=""/>
      <w:lvlJc w:val="left"/>
      <w:pPr>
        <w:ind w:left="720" w:hanging="360"/>
      </w:pPr>
      <w:rPr>
        <w:rFonts w:ascii="Symbol" w:hAnsi="Symbol" w:hint="default"/>
      </w:rPr>
    </w:lvl>
    <w:lvl w:ilvl="1" w:tplc="C0527B90">
      <w:numFmt w:val="bullet"/>
      <w:lvlText w:val="-"/>
      <w:lvlJc w:val="left"/>
      <w:pPr>
        <w:ind w:left="1440" w:hanging="360"/>
      </w:pPr>
      <w:rPr>
        <w:rFonts w:ascii="Arial" w:eastAsiaTheme="minorHAnsi" w:hAnsi="Arial" w:cs="Arial" w:hint="default"/>
      </w:rPr>
    </w:lvl>
    <w:lvl w:ilvl="2" w:tplc="DB5CEF92">
      <w:numFmt w:val="bullet"/>
      <w:lvlText w:val="−"/>
      <w:lvlJc w:val="left"/>
      <w:pPr>
        <w:ind w:left="2160" w:hanging="360"/>
      </w:pPr>
      <w:rPr>
        <w:rFonts w:ascii="Arial" w:eastAsia="ArialNarrow" w:hAnsi="Arial" w:cs="Arial"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5" w15:restartNumberingAfterBreak="0">
    <w:nsid w:val="371B47DA"/>
    <w:multiLevelType w:val="multilevel"/>
    <w:tmpl w:val="91AA9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76C751B"/>
    <w:multiLevelType w:val="hybridMultilevel"/>
    <w:tmpl w:val="ACC6D1DA"/>
    <w:lvl w:ilvl="0" w:tplc="04240001">
      <w:start w:val="1"/>
      <w:numFmt w:val="bullet"/>
      <w:lvlText w:val=""/>
      <w:lvlJc w:val="left"/>
      <w:pPr>
        <w:ind w:left="786" w:hanging="360"/>
      </w:pPr>
      <w:rPr>
        <w:rFonts w:ascii="Symbol" w:hAnsi="Symbol"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97" w15:restartNumberingAfterBreak="0">
    <w:nsid w:val="381D72A8"/>
    <w:multiLevelType w:val="multilevel"/>
    <w:tmpl w:val="E970F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83344E5"/>
    <w:multiLevelType w:val="hybridMultilevel"/>
    <w:tmpl w:val="40928EE4"/>
    <w:lvl w:ilvl="0" w:tplc="04240001">
      <w:start w:val="1"/>
      <w:numFmt w:val="bullet"/>
      <w:lvlText w:val=""/>
      <w:lvlJc w:val="left"/>
      <w:pPr>
        <w:ind w:left="1287" w:hanging="360"/>
      </w:pPr>
      <w:rPr>
        <w:rFonts w:ascii="Symbol" w:hAnsi="Symbol" w:hint="default"/>
      </w:rPr>
    </w:lvl>
    <w:lvl w:ilvl="1" w:tplc="04240003" w:tentative="1">
      <w:start w:val="1"/>
      <w:numFmt w:val="bullet"/>
      <w:lvlText w:val="o"/>
      <w:lvlJc w:val="left"/>
      <w:pPr>
        <w:ind w:left="2007" w:hanging="360"/>
      </w:pPr>
      <w:rPr>
        <w:rFonts w:ascii="Courier New" w:hAnsi="Courier New" w:cs="Courier New" w:hint="default"/>
      </w:rPr>
    </w:lvl>
    <w:lvl w:ilvl="2" w:tplc="04240005" w:tentative="1">
      <w:start w:val="1"/>
      <w:numFmt w:val="bullet"/>
      <w:lvlText w:val=""/>
      <w:lvlJc w:val="left"/>
      <w:pPr>
        <w:ind w:left="2727" w:hanging="360"/>
      </w:pPr>
      <w:rPr>
        <w:rFonts w:ascii="Wingdings" w:hAnsi="Wingdings" w:hint="default"/>
      </w:rPr>
    </w:lvl>
    <w:lvl w:ilvl="3" w:tplc="04240001" w:tentative="1">
      <w:start w:val="1"/>
      <w:numFmt w:val="bullet"/>
      <w:lvlText w:val=""/>
      <w:lvlJc w:val="left"/>
      <w:pPr>
        <w:ind w:left="3447" w:hanging="360"/>
      </w:pPr>
      <w:rPr>
        <w:rFonts w:ascii="Symbol" w:hAnsi="Symbol" w:hint="default"/>
      </w:rPr>
    </w:lvl>
    <w:lvl w:ilvl="4" w:tplc="04240003" w:tentative="1">
      <w:start w:val="1"/>
      <w:numFmt w:val="bullet"/>
      <w:lvlText w:val="o"/>
      <w:lvlJc w:val="left"/>
      <w:pPr>
        <w:ind w:left="4167" w:hanging="360"/>
      </w:pPr>
      <w:rPr>
        <w:rFonts w:ascii="Courier New" w:hAnsi="Courier New" w:cs="Courier New" w:hint="default"/>
      </w:rPr>
    </w:lvl>
    <w:lvl w:ilvl="5" w:tplc="04240005" w:tentative="1">
      <w:start w:val="1"/>
      <w:numFmt w:val="bullet"/>
      <w:lvlText w:val=""/>
      <w:lvlJc w:val="left"/>
      <w:pPr>
        <w:ind w:left="4887" w:hanging="360"/>
      </w:pPr>
      <w:rPr>
        <w:rFonts w:ascii="Wingdings" w:hAnsi="Wingdings" w:hint="default"/>
      </w:rPr>
    </w:lvl>
    <w:lvl w:ilvl="6" w:tplc="04240001" w:tentative="1">
      <w:start w:val="1"/>
      <w:numFmt w:val="bullet"/>
      <w:lvlText w:val=""/>
      <w:lvlJc w:val="left"/>
      <w:pPr>
        <w:ind w:left="5607" w:hanging="360"/>
      </w:pPr>
      <w:rPr>
        <w:rFonts w:ascii="Symbol" w:hAnsi="Symbol" w:hint="default"/>
      </w:rPr>
    </w:lvl>
    <w:lvl w:ilvl="7" w:tplc="04240003" w:tentative="1">
      <w:start w:val="1"/>
      <w:numFmt w:val="bullet"/>
      <w:lvlText w:val="o"/>
      <w:lvlJc w:val="left"/>
      <w:pPr>
        <w:ind w:left="6327" w:hanging="360"/>
      </w:pPr>
      <w:rPr>
        <w:rFonts w:ascii="Courier New" w:hAnsi="Courier New" w:cs="Courier New" w:hint="default"/>
      </w:rPr>
    </w:lvl>
    <w:lvl w:ilvl="8" w:tplc="04240005" w:tentative="1">
      <w:start w:val="1"/>
      <w:numFmt w:val="bullet"/>
      <w:lvlText w:val=""/>
      <w:lvlJc w:val="left"/>
      <w:pPr>
        <w:ind w:left="7047" w:hanging="360"/>
      </w:pPr>
      <w:rPr>
        <w:rFonts w:ascii="Wingdings" w:hAnsi="Wingdings" w:hint="default"/>
      </w:rPr>
    </w:lvl>
  </w:abstractNum>
  <w:abstractNum w:abstractNumId="99" w15:restartNumberingAfterBreak="0">
    <w:nsid w:val="39150C98"/>
    <w:multiLevelType w:val="multilevel"/>
    <w:tmpl w:val="ADA03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97C1C4F"/>
    <w:multiLevelType w:val="hybridMultilevel"/>
    <w:tmpl w:val="6226D0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1" w15:restartNumberingAfterBreak="0">
    <w:nsid w:val="398859E4"/>
    <w:multiLevelType w:val="hybridMultilevel"/>
    <w:tmpl w:val="03065610"/>
    <w:lvl w:ilvl="0" w:tplc="B44A029C">
      <w:start w:val="1"/>
      <w:numFmt w:val="bullet"/>
      <w:lvlText w:val=""/>
      <w:lvlJc w:val="left"/>
      <w:pPr>
        <w:tabs>
          <w:tab w:val="num" w:pos="927"/>
        </w:tabs>
        <w:ind w:left="927" w:hanging="360"/>
      </w:pPr>
      <w:rPr>
        <w:rFonts w:ascii="Symbol" w:hAnsi="Symbol" w:hint="default"/>
      </w:rPr>
    </w:lvl>
    <w:lvl w:ilvl="1" w:tplc="03682020">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3A255917"/>
    <w:multiLevelType w:val="hybridMultilevel"/>
    <w:tmpl w:val="3DEA93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3" w15:restartNumberingAfterBreak="0">
    <w:nsid w:val="3A3D6E2F"/>
    <w:multiLevelType w:val="hybridMultilevel"/>
    <w:tmpl w:val="97E245D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4" w15:restartNumberingAfterBreak="0">
    <w:nsid w:val="3A771543"/>
    <w:multiLevelType w:val="multilevel"/>
    <w:tmpl w:val="B22CF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B0D22BD"/>
    <w:multiLevelType w:val="hybridMultilevel"/>
    <w:tmpl w:val="AB7649AC"/>
    <w:lvl w:ilvl="0" w:tplc="04240001">
      <w:start w:val="1"/>
      <w:numFmt w:val="bullet"/>
      <w:lvlText w:val=""/>
      <w:lvlJc w:val="left"/>
      <w:pPr>
        <w:ind w:left="360" w:hanging="360"/>
      </w:pPr>
      <w:rPr>
        <w:rFonts w:ascii="Symbol" w:hAnsi="Symbo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06" w15:restartNumberingAfterBreak="0">
    <w:nsid w:val="3B980774"/>
    <w:multiLevelType w:val="hybridMultilevel"/>
    <w:tmpl w:val="49B8645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7" w15:restartNumberingAfterBreak="0">
    <w:nsid w:val="3BBA0553"/>
    <w:multiLevelType w:val="multilevel"/>
    <w:tmpl w:val="F9D61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C3203E8"/>
    <w:multiLevelType w:val="hybridMultilevel"/>
    <w:tmpl w:val="10A635A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9" w15:restartNumberingAfterBreak="0">
    <w:nsid w:val="3CBB1028"/>
    <w:multiLevelType w:val="hybridMultilevel"/>
    <w:tmpl w:val="8632A334"/>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10" w15:restartNumberingAfterBreak="0">
    <w:nsid w:val="3CD27401"/>
    <w:multiLevelType w:val="multilevel"/>
    <w:tmpl w:val="4E4890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3CDC714E"/>
    <w:multiLevelType w:val="multilevel"/>
    <w:tmpl w:val="1F0A18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 w15:restartNumberingAfterBreak="0">
    <w:nsid w:val="3D8443F1"/>
    <w:multiLevelType w:val="multilevel"/>
    <w:tmpl w:val="844A9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EEF1C28"/>
    <w:multiLevelType w:val="multilevel"/>
    <w:tmpl w:val="C2BAD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F23586C"/>
    <w:multiLevelType w:val="multilevel"/>
    <w:tmpl w:val="D2B274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F3507FC"/>
    <w:multiLevelType w:val="hybridMultilevel"/>
    <w:tmpl w:val="1CAAF8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6" w15:restartNumberingAfterBreak="0">
    <w:nsid w:val="3FC0783A"/>
    <w:multiLevelType w:val="multilevel"/>
    <w:tmpl w:val="418A9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FC52207"/>
    <w:multiLevelType w:val="multilevel"/>
    <w:tmpl w:val="4AB46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FE855EE"/>
    <w:multiLevelType w:val="hybridMultilevel"/>
    <w:tmpl w:val="97ECE0B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9" w15:restartNumberingAfterBreak="0">
    <w:nsid w:val="401F25C9"/>
    <w:multiLevelType w:val="multilevel"/>
    <w:tmpl w:val="B6265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0455404"/>
    <w:multiLevelType w:val="multilevel"/>
    <w:tmpl w:val="EB4EB782"/>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1" w15:restartNumberingAfterBreak="0">
    <w:nsid w:val="404B420F"/>
    <w:multiLevelType w:val="hybridMultilevel"/>
    <w:tmpl w:val="E00A7FE2"/>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22" w15:restartNumberingAfterBreak="0">
    <w:nsid w:val="40885BC0"/>
    <w:multiLevelType w:val="hybridMultilevel"/>
    <w:tmpl w:val="1AFA681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3" w15:restartNumberingAfterBreak="0">
    <w:nsid w:val="411E541D"/>
    <w:multiLevelType w:val="hybridMultilevel"/>
    <w:tmpl w:val="461050C4"/>
    <w:lvl w:ilvl="0" w:tplc="3BE2AC44">
      <w:numFmt w:val="bullet"/>
      <w:lvlText w:val=""/>
      <w:lvlJc w:val="left"/>
      <w:pPr>
        <w:ind w:left="720" w:hanging="360"/>
      </w:pPr>
      <w:rPr>
        <w:rFonts w:ascii="Symbol" w:eastAsiaTheme="minorHAnsi"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4" w15:restartNumberingAfterBreak="0">
    <w:nsid w:val="412155BD"/>
    <w:multiLevelType w:val="hybridMultilevel"/>
    <w:tmpl w:val="F5CA05D4"/>
    <w:lvl w:ilvl="0" w:tplc="3D9855C2">
      <w:start w:val="1"/>
      <w:numFmt w:val="bullet"/>
      <w:lvlText w:val="Ö"/>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5" w15:restartNumberingAfterBreak="0">
    <w:nsid w:val="424F12F8"/>
    <w:multiLevelType w:val="hybridMultilevel"/>
    <w:tmpl w:val="CEDC52D4"/>
    <w:lvl w:ilvl="0" w:tplc="0424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6" w15:restartNumberingAfterBreak="0">
    <w:nsid w:val="432070B3"/>
    <w:multiLevelType w:val="multilevel"/>
    <w:tmpl w:val="A3EC0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3525552"/>
    <w:multiLevelType w:val="multilevel"/>
    <w:tmpl w:val="EA5C7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3D90F77"/>
    <w:multiLevelType w:val="multilevel"/>
    <w:tmpl w:val="FA764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440018C"/>
    <w:multiLevelType w:val="multilevel"/>
    <w:tmpl w:val="183C31D0"/>
    <w:styleLink w:val="WWNum1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0" w15:restartNumberingAfterBreak="0">
    <w:nsid w:val="444545F1"/>
    <w:multiLevelType w:val="hybridMultilevel"/>
    <w:tmpl w:val="4BFA4296"/>
    <w:lvl w:ilvl="0" w:tplc="04240001">
      <w:start w:val="1"/>
      <w:numFmt w:val="bullet"/>
      <w:lvlText w:val=""/>
      <w:lvlJc w:val="left"/>
      <w:pPr>
        <w:ind w:left="1776" w:hanging="360"/>
      </w:pPr>
      <w:rPr>
        <w:rFonts w:ascii="Symbol" w:hAnsi="Symbol" w:hint="default"/>
      </w:rPr>
    </w:lvl>
    <w:lvl w:ilvl="1" w:tplc="04240003" w:tentative="1">
      <w:start w:val="1"/>
      <w:numFmt w:val="bullet"/>
      <w:lvlText w:val="o"/>
      <w:lvlJc w:val="left"/>
      <w:pPr>
        <w:ind w:left="2496" w:hanging="360"/>
      </w:pPr>
      <w:rPr>
        <w:rFonts w:ascii="Courier New" w:hAnsi="Courier New" w:cs="Courier New" w:hint="default"/>
      </w:rPr>
    </w:lvl>
    <w:lvl w:ilvl="2" w:tplc="04240005" w:tentative="1">
      <w:start w:val="1"/>
      <w:numFmt w:val="bullet"/>
      <w:lvlText w:val=""/>
      <w:lvlJc w:val="left"/>
      <w:pPr>
        <w:ind w:left="3216" w:hanging="360"/>
      </w:pPr>
      <w:rPr>
        <w:rFonts w:ascii="Wingdings" w:hAnsi="Wingdings" w:hint="default"/>
      </w:rPr>
    </w:lvl>
    <w:lvl w:ilvl="3" w:tplc="04240001" w:tentative="1">
      <w:start w:val="1"/>
      <w:numFmt w:val="bullet"/>
      <w:lvlText w:val=""/>
      <w:lvlJc w:val="left"/>
      <w:pPr>
        <w:ind w:left="3936" w:hanging="360"/>
      </w:pPr>
      <w:rPr>
        <w:rFonts w:ascii="Symbol" w:hAnsi="Symbol" w:hint="default"/>
      </w:rPr>
    </w:lvl>
    <w:lvl w:ilvl="4" w:tplc="04240003" w:tentative="1">
      <w:start w:val="1"/>
      <w:numFmt w:val="bullet"/>
      <w:lvlText w:val="o"/>
      <w:lvlJc w:val="left"/>
      <w:pPr>
        <w:ind w:left="4656" w:hanging="360"/>
      </w:pPr>
      <w:rPr>
        <w:rFonts w:ascii="Courier New" w:hAnsi="Courier New" w:cs="Courier New" w:hint="default"/>
      </w:rPr>
    </w:lvl>
    <w:lvl w:ilvl="5" w:tplc="04240005" w:tentative="1">
      <w:start w:val="1"/>
      <w:numFmt w:val="bullet"/>
      <w:lvlText w:val=""/>
      <w:lvlJc w:val="left"/>
      <w:pPr>
        <w:ind w:left="5376" w:hanging="360"/>
      </w:pPr>
      <w:rPr>
        <w:rFonts w:ascii="Wingdings" w:hAnsi="Wingdings" w:hint="default"/>
      </w:rPr>
    </w:lvl>
    <w:lvl w:ilvl="6" w:tplc="04240001" w:tentative="1">
      <w:start w:val="1"/>
      <w:numFmt w:val="bullet"/>
      <w:lvlText w:val=""/>
      <w:lvlJc w:val="left"/>
      <w:pPr>
        <w:ind w:left="6096" w:hanging="360"/>
      </w:pPr>
      <w:rPr>
        <w:rFonts w:ascii="Symbol" w:hAnsi="Symbol" w:hint="default"/>
      </w:rPr>
    </w:lvl>
    <w:lvl w:ilvl="7" w:tplc="04240003" w:tentative="1">
      <w:start w:val="1"/>
      <w:numFmt w:val="bullet"/>
      <w:lvlText w:val="o"/>
      <w:lvlJc w:val="left"/>
      <w:pPr>
        <w:ind w:left="6816" w:hanging="360"/>
      </w:pPr>
      <w:rPr>
        <w:rFonts w:ascii="Courier New" w:hAnsi="Courier New" w:cs="Courier New" w:hint="default"/>
      </w:rPr>
    </w:lvl>
    <w:lvl w:ilvl="8" w:tplc="04240005" w:tentative="1">
      <w:start w:val="1"/>
      <w:numFmt w:val="bullet"/>
      <w:lvlText w:val=""/>
      <w:lvlJc w:val="left"/>
      <w:pPr>
        <w:ind w:left="7536" w:hanging="360"/>
      </w:pPr>
      <w:rPr>
        <w:rFonts w:ascii="Wingdings" w:hAnsi="Wingdings" w:hint="default"/>
      </w:rPr>
    </w:lvl>
  </w:abstractNum>
  <w:abstractNum w:abstractNumId="131" w15:restartNumberingAfterBreak="0">
    <w:nsid w:val="44635C7A"/>
    <w:multiLevelType w:val="multilevel"/>
    <w:tmpl w:val="17546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766590C"/>
    <w:multiLevelType w:val="hybridMultilevel"/>
    <w:tmpl w:val="ECB45E2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3" w15:restartNumberingAfterBreak="0">
    <w:nsid w:val="498D69B4"/>
    <w:multiLevelType w:val="multilevel"/>
    <w:tmpl w:val="D8A6F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99C35AD"/>
    <w:multiLevelType w:val="multilevel"/>
    <w:tmpl w:val="B6289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A4A386F"/>
    <w:multiLevelType w:val="multilevel"/>
    <w:tmpl w:val="8C065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AA55F94"/>
    <w:multiLevelType w:val="hybridMultilevel"/>
    <w:tmpl w:val="01DA653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7" w15:restartNumberingAfterBreak="0">
    <w:nsid w:val="4B0424F9"/>
    <w:multiLevelType w:val="multilevel"/>
    <w:tmpl w:val="16306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BA77977"/>
    <w:multiLevelType w:val="hybridMultilevel"/>
    <w:tmpl w:val="137CEEE8"/>
    <w:lvl w:ilvl="0" w:tplc="04240001">
      <w:start w:val="1"/>
      <w:numFmt w:val="bullet"/>
      <w:lvlText w:val=""/>
      <w:lvlJc w:val="left"/>
      <w:pPr>
        <w:ind w:left="786" w:hanging="360"/>
      </w:pPr>
      <w:rPr>
        <w:rFonts w:ascii="Symbol" w:hAnsi="Symbol" w:hint="default"/>
      </w:rPr>
    </w:lvl>
    <w:lvl w:ilvl="1" w:tplc="04240003" w:tentative="1">
      <w:start w:val="1"/>
      <w:numFmt w:val="bullet"/>
      <w:lvlText w:val="o"/>
      <w:lvlJc w:val="left"/>
      <w:pPr>
        <w:ind w:left="1506" w:hanging="360"/>
      </w:pPr>
      <w:rPr>
        <w:rFonts w:ascii="Courier New" w:hAnsi="Courier New" w:cs="Courier New" w:hint="default"/>
      </w:rPr>
    </w:lvl>
    <w:lvl w:ilvl="2" w:tplc="04240005" w:tentative="1">
      <w:start w:val="1"/>
      <w:numFmt w:val="bullet"/>
      <w:lvlText w:val=""/>
      <w:lvlJc w:val="left"/>
      <w:pPr>
        <w:ind w:left="2226" w:hanging="360"/>
      </w:pPr>
      <w:rPr>
        <w:rFonts w:ascii="Wingdings" w:hAnsi="Wingdings" w:hint="default"/>
      </w:rPr>
    </w:lvl>
    <w:lvl w:ilvl="3" w:tplc="04240001" w:tentative="1">
      <w:start w:val="1"/>
      <w:numFmt w:val="bullet"/>
      <w:lvlText w:val=""/>
      <w:lvlJc w:val="left"/>
      <w:pPr>
        <w:ind w:left="2946" w:hanging="360"/>
      </w:pPr>
      <w:rPr>
        <w:rFonts w:ascii="Symbol" w:hAnsi="Symbol" w:hint="default"/>
      </w:rPr>
    </w:lvl>
    <w:lvl w:ilvl="4" w:tplc="04240003" w:tentative="1">
      <w:start w:val="1"/>
      <w:numFmt w:val="bullet"/>
      <w:lvlText w:val="o"/>
      <w:lvlJc w:val="left"/>
      <w:pPr>
        <w:ind w:left="3666" w:hanging="360"/>
      </w:pPr>
      <w:rPr>
        <w:rFonts w:ascii="Courier New" w:hAnsi="Courier New" w:cs="Courier New" w:hint="default"/>
      </w:rPr>
    </w:lvl>
    <w:lvl w:ilvl="5" w:tplc="04240005" w:tentative="1">
      <w:start w:val="1"/>
      <w:numFmt w:val="bullet"/>
      <w:lvlText w:val=""/>
      <w:lvlJc w:val="left"/>
      <w:pPr>
        <w:ind w:left="4386" w:hanging="360"/>
      </w:pPr>
      <w:rPr>
        <w:rFonts w:ascii="Wingdings" w:hAnsi="Wingdings" w:hint="default"/>
      </w:rPr>
    </w:lvl>
    <w:lvl w:ilvl="6" w:tplc="04240001" w:tentative="1">
      <w:start w:val="1"/>
      <w:numFmt w:val="bullet"/>
      <w:lvlText w:val=""/>
      <w:lvlJc w:val="left"/>
      <w:pPr>
        <w:ind w:left="5106" w:hanging="360"/>
      </w:pPr>
      <w:rPr>
        <w:rFonts w:ascii="Symbol" w:hAnsi="Symbol" w:hint="default"/>
      </w:rPr>
    </w:lvl>
    <w:lvl w:ilvl="7" w:tplc="04240003" w:tentative="1">
      <w:start w:val="1"/>
      <w:numFmt w:val="bullet"/>
      <w:lvlText w:val="o"/>
      <w:lvlJc w:val="left"/>
      <w:pPr>
        <w:ind w:left="5826" w:hanging="360"/>
      </w:pPr>
      <w:rPr>
        <w:rFonts w:ascii="Courier New" w:hAnsi="Courier New" w:cs="Courier New" w:hint="default"/>
      </w:rPr>
    </w:lvl>
    <w:lvl w:ilvl="8" w:tplc="04240005" w:tentative="1">
      <w:start w:val="1"/>
      <w:numFmt w:val="bullet"/>
      <w:lvlText w:val=""/>
      <w:lvlJc w:val="left"/>
      <w:pPr>
        <w:ind w:left="6546" w:hanging="360"/>
      </w:pPr>
      <w:rPr>
        <w:rFonts w:ascii="Wingdings" w:hAnsi="Wingdings" w:hint="default"/>
      </w:rPr>
    </w:lvl>
  </w:abstractNum>
  <w:abstractNum w:abstractNumId="139" w15:restartNumberingAfterBreak="0">
    <w:nsid w:val="4C5E69A6"/>
    <w:multiLevelType w:val="multilevel"/>
    <w:tmpl w:val="C6A42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CA461E4"/>
    <w:multiLevelType w:val="hybridMultilevel"/>
    <w:tmpl w:val="729C6942"/>
    <w:lvl w:ilvl="0" w:tplc="04240005">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1" w15:restartNumberingAfterBreak="0">
    <w:nsid w:val="4CB053BA"/>
    <w:multiLevelType w:val="multilevel"/>
    <w:tmpl w:val="A0B83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D9F0E13"/>
    <w:multiLevelType w:val="multilevel"/>
    <w:tmpl w:val="30B29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ED57C1E"/>
    <w:multiLevelType w:val="multilevel"/>
    <w:tmpl w:val="A46E9A3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15:restartNumberingAfterBreak="0">
    <w:nsid w:val="50DD6236"/>
    <w:multiLevelType w:val="multilevel"/>
    <w:tmpl w:val="1C12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5125493F"/>
    <w:multiLevelType w:val="hybridMultilevel"/>
    <w:tmpl w:val="886ABAE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6" w15:restartNumberingAfterBreak="0">
    <w:nsid w:val="51EA458C"/>
    <w:multiLevelType w:val="multilevel"/>
    <w:tmpl w:val="B546F504"/>
    <w:styleLink w:val="WWNum37"/>
    <w:lvl w:ilvl="0">
      <w:numFmt w:val="bullet"/>
      <w:lvlText w:val="-"/>
      <w:lvlJc w:val="left"/>
      <w:pPr>
        <w:ind w:left="360" w:hanging="360"/>
      </w:pPr>
      <w:rPr>
        <w:rFonts w:ascii="Times New Roman" w:eastAsia="Times New Roman" w:hAnsi="Times New Roman" w:cs="Times New Roman"/>
      </w:rPr>
    </w:lvl>
    <w:lvl w:ilvl="1">
      <w:numFmt w:val="bullet"/>
      <w:lvlText w:val="o"/>
      <w:lvlJc w:val="left"/>
      <w:pPr>
        <w:ind w:left="1156" w:hanging="360"/>
      </w:pPr>
      <w:rPr>
        <w:rFonts w:ascii="Courier New" w:hAnsi="Courier New"/>
      </w:rPr>
    </w:lvl>
    <w:lvl w:ilvl="2">
      <w:numFmt w:val="bullet"/>
      <w:lvlText w:val=""/>
      <w:lvlJc w:val="left"/>
      <w:pPr>
        <w:ind w:left="1876" w:hanging="360"/>
      </w:pPr>
      <w:rPr>
        <w:rFonts w:ascii="Wingdings" w:hAnsi="Wingdings"/>
      </w:rPr>
    </w:lvl>
    <w:lvl w:ilvl="3">
      <w:numFmt w:val="bullet"/>
      <w:lvlText w:val=""/>
      <w:lvlJc w:val="left"/>
      <w:pPr>
        <w:ind w:left="2596" w:hanging="360"/>
      </w:pPr>
      <w:rPr>
        <w:rFonts w:ascii="Symbol" w:hAnsi="Symbol"/>
      </w:rPr>
    </w:lvl>
    <w:lvl w:ilvl="4">
      <w:numFmt w:val="bullet"/>
      <w:lvlText w:val="o"/>
      <w:lvlJc w:val="left"/>
      <w:pPr>
        <w:ind w:left="3316" w:hanging="360"/>
      </w:pPr>
      <w:rPr>
        <w:rFonts w:ascii="Courier New" w:hAnsi="Courier New"/>
      </w:rPr>
    </w:lvl>
    <w:lvl w:ilvl="5">
      <w:numFmt w:val="bullet"/>
      <w:lvlText w:val=""/>
      <w:lvlJc w:val="left"/>
      <w:pPr>
        <w:ind w:left="4036" w:hanging="360"/>
      </w:pPr>
      <w:rPr>
        <w:rFonts w:ascii="Wingdings" w:hAnsi="Wingdings"/>
      </w:rPr>
    </w:lvl>
    <w:lvl w:ilvl="6">
      <w:numFmt w:val="bullet"/>
      <w:lvlText w:val=""/>
      <w:lvlJc w:val="left"/>
      <w:pPr>
        <w:ind w:left="4756" w:hanging="360"/>
      </w:pPr>
      <w:rPr>
        <w:rFonts w:ascii="Symbol" w:hAnsi="Symbol"/>
      </w:rPr>
    </w:lvl>
    <w:lvl w:ilvl="7">
      <w:numFmt w:val="bullet"/>
      <w:lvlText w:val="o"/>
      <w:lvlJc w:val="left"/>
      <w:pPr>
        <w:ind w:left="5476" w:hanging="360"/>
      </w:pPr>
      <w:rPr>
        <w:rFonts w:ascii="Courier New" w:hAnsi="Courier New"/>
      </w:rPr>
    </w:lvl>
    <w:lvl w:ilvl="8">
      <w:numFmt w:val="bullet"/>
      <w:lvlText w:val=""/>
      <w:lvlJc w:val="left"/>
      <w:pPr>
        <w:ind w:left="6196" w:hanging="360"/>
      </w:pPr>
      <w:rPr>
        <w:rFonts w:ascii="Wingdings" w:hAnsi="Wingdings"/>
      </w:rPr>
    </w:lvl>
  </w:abstractNum>
  <w:abstractNum w:abstractNumId="147" w15:restartNumberingAfterBreak="0">
    <w:nsid w:val="51F2728B"/>
    <w:multiLevelType w:val="hybridMultilevel"/>
    <w:tmpl w:val="3690BCD8"/>
    <w:lvl w:ilvl="0" w:tplc="04240001">
      <w:start w:val="1"/>
      <w:numFmt w:val="bullet"/>
      <w:lvlText w:val=""/>
      <w:lvlJc w:val="left"/>
      <w:pPr>
        <w:ind w:left="360" w:hanging="360"/>
      </w:pPr>
      <w:rPr>
        <w:rFonts w:ascii="Symbol" w:hAnsi="Symbol" w:hint="default"/>
      </w:rPr>
    </w:lvl>
    <w:lvl w:ilvl="1" w:tplc="04240001">
      <w:start w:val="1"/>
      <w:numFmt w:val="bullet"/>
      <w:lvlText w:val=""/>
      <w:lvlJc w:val="left"/>
      <w:pPr>
        <w:ind w:left="1080" w:hanging="360"/>
      </w:pPr>
      <w:rPr>
        <w:rFonts w:ascii="Symbol" w:hAnsi="Symbol"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48" w15:restartNumberingAfterBreak="0">
    <w:nsid w:val="52392B0C"/>
    <w:multiLevelType w:val="multilevel"/>
    <w:tmpl w:val="4C06E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23A4CC8"/>
    <w:multiLevelType w:val="multilevel"/>
    <w:tmpl w:val="D7BAA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2751471"/>
    <w:multiLevelType w:val="multilevel"/>
    <w:tmpl w:val="DC6CC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2915DE4"/>
    <w:multiLevelType w:val="multilevel"/>
    <w:tmpl w:val="8334F5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531508EE"/>
    <w:multiLevelType w:val="hybridMultilevel"/>
    <w:tmpl w:val="7A3E1E7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3" w15:restartNumberingAfterBreak="0">
    <w:nsid w:val="53924926"/>
    <w:multiLevelType w:val="multilevel"/>
    <w:tmpl w:val="0EFEA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4B573B3"/>
    <w:multiLevelType w:val="multilevel"/>
    <w:tmpl w:val="4C56FCE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5.5.%3"/>
      <w:lvlJc w:val="left"/>
      <w:pPr>
        <w:tabs>
          <w:tab w:val="num" w:pos="720"/>
        </w:tabs>
        <w:ind w:left="720" w:hanging="720"/>
      </w:pPr>
      <w:rPr>
        <w:rFonts w:hint="default"/>
      </w:rPr>
    </w:lvl>
    <w:lvl w:ilvl="3">
      <w:start w:val="1"/>
      <w:numFmt w:val="decimal"/>
      <w:pStyle w:val="Slog9"/>
      <w:lvlText w:val="5.5.2.%4"/>
      <w:lvlJc w:val="left"/>
      <w:pPr>
        <w:tabs>
          <w:tab w:val="num" w:pos="284"/>
        </w:tabs>
        <w:ind w:left="284" w:hanging="284"/>
      </w:pPr>
      <w:rPr>
        <w:rFonts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5.2.%4.%5"/>
      <w:lvlJc w:val="left"/>
      <w:pPr>
        <w:tabs>
          <w:tab w:val="num" w:pos="4968"/>
        </w:tabs>
        <w:ind w:left="496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5" w15:restartNumberingAfterBreak="0">
    <w:nsid w:val="5535299A"/>
    <w:multiLevelType w:val="hybridMultilevel"/>
    <w:tmpl w:val="5FACC45C"/>
    <w:lvl w:ilvl="0" w:tplc="2000000D">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6" w15:restartNumberingAfterBreak="0">
    <w:nsid w:val="554739A5"/>
    <w:multiLevelType w:val="hybridMultilevel"/>
    <w:tmpl w:val="CEA2C9C0"/>
    <w:lvl w:ilvl="0" w:tplc="EB70BEFE">
      <w:numFmt w:val="bullet"/>
      <w:lvlText w:val="-"/>
      <w:lvlJc w:val="left"/>
      <w:pPr>
        <w:ind w:left="1065" w:hanging="705"/>
      </w:pPr>
      <w:rPr>
        <w:rFonts w:ascii="Arial" w:eastAsia="Times New Roman" w:hAnsi="Arial" w:cs="Aria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7" w15:restartNumberingAfterBreak="0">
    <w:nsid w:val="55D47BA3"/>
    <w:multiLevelType w:val="multilevel"/>
    <w:tmpl w:val="D0E8F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6AA080D"/>
    <w:multiLevelType w:val="hybridMultilevel"/>
    <w:tmpl w:val="1D0001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9" w15:restartNumberingAfterBreak="0">
    <w:nsid w:val="56EC755E"/>
    <w:multiLevelType w:val="hybridMultilevel"/>
    <w:tmpl w:val="BC34D0AE"/>
    <w:lvl w:ilvl="0" w:tplc="04240005">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0" w15:restartNumberingAfterBreak="0">
    <w:nsid w:val="573301FE"/>
    <w:multiLevelType w:val="hybridMultilevel"/>
    <w:tmpl w:val="3ACC1D1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1" w15:restartNumberingAfterBreak="0">
    <w:nsid w:val="57D727C9"/>
    <w:multiLevelType w:val="multilevel"/>
    <w:tmpl w:val="FFAA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8910378"/>
    <w:multiLevelType w:val="multilevel"/>
    <w:tmpl w:val="8B1E7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AB63B34"/>
    <w:multiLevelType w:val="hybridMultilevel"/>
    <w:tmpl w:val="840AF946"/>
    <w:lvl w:ilvl="0" w:tplc="04240001">
      <w:start w:val="1"/>
      <w:numFmt w:val="bullet"/>
      <w:lvlText w:val=""/>
      <w:lvlJc w:val="left"/>
      <w:pPr>
        <w:ind w:left="1776" w:hanging="360"/>
      </w:pPr>
      <w:rPr>
        <w:rFonts w:ascii="Symbol" w:hAnsi="Symbol" w:hint="default"/>
      </w:rPr>
    </w:lvl>
    <w:lvl w:ilvl="1" w:tplc="04240003" w:tentative="1">
      <w:start w:val="1"/>
      <w:numFmt w:val="bullet"/>
      <w:lvlText w:val="o"/>
      <w:lvlJc w:val="left"/>
      <w:pPr>
        <w:ind w:left="2496" w:hanging="360"/>
      </w:pPr>
      <w:rPr>
        <w:rFonts w:ascii="Courier New" w:hAnsi="Courier New" w:cs="Courier New" w:hint="default"/>
      </w:rPr>
    </w:lvl>
    <w:lvl w:ilvl="2" w:tplc="04240005" w:tentative="1">
      <w:start w:val="1"/>
      <w:numFmt w:val="bullet"/>
      <w:lvlText w:val=""/>
      <w:lvlJc w:val="left"/>
      <w:pPr>
        <w:ind w:left="3216" w:hanging="360"/>
      </w:pPr>
      <w:rPr>
        <w:rFonts w:ascii="Wingdings" w:hAnsi="Wingdings" w:hint="default"/>
      </w:rPr>
    </w:lvl>
    <w:lvl w:ilvl="3" w:tplc="04240001" w:tentative="1">
      <w:start w:val="1"/>
      <w:numFmt w:val="bullet"/>
      <w:lvlText w:val=""/>
      <w:lvlJc w:val="left"/>
      <w:pPr>
        <w:ind w:left="3936" w:hanging="360"/>
      </w:pPr>
      <w:rPr>
        <w:rFonts w:ascii="Symbol" w:hAnsi="Symbol" w:hint="default"/>
      </w:rPr>
    </w:lvl>
    <w:lvl w:ilvl="4" w:tplc="04240003" w:tentative="1">
      <w:start w:val="1"/>
      <w:numFmt w:val="bullet"/>
      <w:lvlText w:val="o"/>
      <w:lvlJc w:val="left"/>
      <w:pPr>
        <w:ind w:left="4656" w:hanging="360"/>
      </w:pPr>
      <w:rPr>
        <w:rFonts w:ascii="Courier New" w:hAnsi="Courier New" w:cs="Courier New" w:hint="default"/>
      </w:rPr>
    </w:lvl>
    <w:lvl w:ilvl="5" w:tplc="04240005" w:tentative="1">
      <w:start w:val="1"/>
      <w:numFmt w:val="bullet"/>
      <w:lvlText w:val=""/>
      <w:lvlJc w:val="left"/>
      <w:pPr>
        <w:ind w:left="5376" w:hanging="360"/>
      </w:pPr>
      <w:rPr>
        <w:rFonts w:ascii="Wingdings" w:hAnsi="Wingdings" w:hint="default"/>
      </w:rPr>
    </w:lvl>
    <w:lvl w:ilvl="6" w:tplc="04240001" w:tentative="1">
      <w:start w:val="1"/>
      <w:numFmt w:val="bullet"/>
      <w:lvlText w:val=""/>
      <w:lvlJc w:val="left"/>
      <w:pPr>
        <w:ind w:left="6096" w:hanging="360"/>
      </w:pPr>
      <w:rPr>
        <w:rFonts w:ascii="Symbol" w:hAnsi="Symbol" w:hint="default"/>
      </w:rPr>
    </w:lvl>
    <w:lvl w:ilvl="7" w:tplc="04240003" w:tentative="1">
      <w:start w:val="1"/>
      <w:numFmt w:val="bullet"/>
      <w:lvlText w:val="o"/>
      <w:lvlJc w:val="left"/>
      <w:pPr>
        <w:ind w:left="6816" w:hanging="360"/>
      </w:pPr>
      <w:rPr>
        <w:rFonts w:ascii="Courier New" w:hAnsi="Courier New" w:cs="Courier New" w:hint="default"/>
      </w:rPr>
    </w:lvl>
    <w:lvl w:ilvl="8" w:tplc="04240005" w:tentative="1">
      <w:start w:val="1"/>
      <w:numFmt w:val="bullet"/>
      <w:lvlText w:val=""/>
      <w:lvlJc w:val="left"/>
      <w:pPr>
        <w:ind w:left="7536" w:hanging="360"/>
      </w:pPr>
      <w:rPr>
        <w:rFonts w:ascii="Wingdings" w:hAnsi="Wingdings" w:hint="default"/>
      </w:rPr>
    </w:lvl>
  </w:abstractNum>
  <w:abstractNum w:abstractNumId="164" w15:restartNumberingAfterBreak="0">
    <w:nsid w:val="5BDA0019"/>
    <w:multiLevelType w:val="hybridMultilevel"/>
    <w:tmpl w:val="CA940490"/>
    <w:lvl w:ilvl="0" w:tplc="FFFFFFFF">
      <w:start w:val="1"/>
      <w:numFmt w:val="decimal"/>
      <w:lvlText w:val="13.%1."/>
      <w:lvlJc w:val="left"/>
    </w:lvl>
    <w:lvl w:ilvl="1" w:tplc="0424000B">
      <w:start w:val="1"/>
      <w:numFmt w:val="bullet"/>
      <w:lvlText w:val=""/>
      <w:lvlJc w:val="left"/>
      <w:rPr>
        <w:rFonts w:ascii="Wingdings" w:hAnsi="Wingdings" w:hint="default"/>
      </w:rPr>
    </w:lvl>
    <w:lvl w:ilvl="2" w:tplc="04240001">
      <w:start w:val="1"/>
      <w:numFmt w:val="bullet"/>
      <w:lvlText w:val=""/>
      <w:lvlJc w:val="left"/>
      <w:rPr>
        <w:rFonts w:ascii="Symbol" w:hAnsi="Symbol" w:hint="default"/>
      </w:rPr>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5" w15:restartNumberingAfterBreak="0">
    <w:nsid w:val="5C834F44"/>
    <w:multiLevelType w:val="hybridMultilevel"/>
    <w:tmpl w:val="2F64908E"/>
    <w:lvl w:ilvl="0" w:tplc="2000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6" w15:restartNumberingAfterBreak="0">
    <w:nsid w:val="5CAD1ADC"/>
    <w:multiLevelType w:val="hybridMultilevel"/>
    <w:tmpl w:val="4A2E1B62"/>
    <w:lvl w:ilvl="0" w:tplc="04240001">
      <w:start w:val="1"/>
      <w:numFmt w:val="bullet"/>
      <w:lvlText w:val=""/>
      <w:lvlJc w:val="left"/>
      <w:pPr>
        <w:ind w:left="720" w:hanging="360"/>
      </w:pPr>
      <w:rPr>
        <w:rFonts w:ascii="Symbol" w:hAnsi="Symbol" w:hint="default"/>
      </w:rPr>
    </w:lvl>
    <w:lvl w:ilvl="1" w:tplc="F1726C52">
      <w:numFmt w:val="bullet"/>
      <w:lvlText w:val="-"/>
      <w:lvlJc w:val="left"/>
      <w:pPr>
        <w:ind w:left="1440" w:hanging="360"/>
      </w:pPr>
      <w:rPr>
        <w:rFonts w:ascii="Arial" w:eastAsia="MS Mincho" w:hAnsi="Arial" w:cs="Arial"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7" w15:restartNumberingAfterBreak="0">
    <w:nsid w:val="5D293178"/>
    <w:multiLevelType w:val="hybridMultilevel"/>
    <w:tmpl w:val="2C16ADA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8" w15:restartNumberingAfterBreak="0">
    <w:nsid w:val="5DA25782"/>
    <w:multiLevelType w:val="multilevel"/>
    <w:tmpl w:val="DDE2B420"/>
    <w:lvl w:ilvl="0">
      <w:start w:val="1"/>
      <w:numFmt w:val="decimal"/>
      <w:lvlText w:val="%1."/>
      <w:lvlJc w:val="left"/>
      <w:pPr>
        <w:tabs>
          <w:tab w:val="num" w:pos="720"/>
        </w:tabs>
        <w:ind w:left="720" w:hanging="360"/>
      </w:pPr>
      <w:rPr>
        <w:b/>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E4A0ABD"/>
    <w:multiLevelType w:val="multilevel"/>
    <w:tmpl w:val="5FA81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0" w15:restartNumberingAfterBreak="0">
    <w:nsid w:val="5E907AEE"/>
    <w:multiLevelType w:val="hybridMultilevel"/>
    <w:tmpl w:val="85C07DF0"/>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71" w15:restartNumberingAfterBreak="0">
    <w:nsid w:val="5F74276A"/>
    <w:multiLevelType w:val="hybridMultilevel"/>
    <w:tmpl w:val="815C2DB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2" w15:restartNumberingAfterBreak="0">
    <w:nsid w:val="5F895799"/>
    <w:multiLevelType w:val="multilevel"/>
    <w:tmpl w:val="9DC079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15:restartNumberingAfterBreak="0">
    <w:nsid w:val="603939D3"/>
    <w:multiLevelType w:val="multilevel"/>
    <w:tmpl w:val="2AD82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06C54D1"/>
    <w:multiLevelType w:val="hybridMultilevel"/>
    <w:tmpl w:val="CCAED1C0"/>
    <w:lvl w:ilvl="0" w:tplc="B086B812">
      <w:start w:val="5"/>
      <w:numFmt w:val="bullet"/>
      <w:lvlText w:val="-"/>
      <w:lvlJc w:val="left"/>
      <w:pPr>
        <w:ind w:left="720" w:hanging="360"/>
      </w:pPr>
      <w:rPr>
        <w:rFonts w:ascii="Arial" w:eastAsia="Times New Roman" w:hAnsi="Arial" w:hint="default"/>
      </w:rPr>
    </w:lvl>
    <w:lvl w:ilvl="1" w:tplc="3900374E">
      <w:start w:val="1"/>
      <w:numFmt w:val="bullet"/>
      <w:lvlText w:val="o"/>
      <w:lvlJc w:val="left"/>
      <w:pPr>
        <w:ind w:left="1440" w:hanging="360"/>
      </w:pPr>
      <w:rPr>
        <w:rFonts w:ascii="Courier New" w:hAnsi="Courier New" w:hint="default"/>
      </w:rPr>
    </w:lvl>
    <w:lvl w:ilvl="2" w:tplc="3EA0F24E" w:tentative="1">
      <w:start w:val="1"/>
      <w:numFmt w:val="bullet"/>
      <w:lvlText w:val=""/>
      <w:lvlJc w:val="left"/>
      <w:pPr>
        <w:ind w:left="2160" w:hanging="360"/>
      </w:pPr>
      <w:rPr>
        <w:rFonts w:ascii="Wingdings" w:hAnsi="Wingdings" w:hint="default"/>
      </w:rPr>
    </w:lvl>
    <w:lvl w:ilvl="3" w:tplc="372C045E" w:tentative="1">
      <w:start w:val="1"/>
      <w:numFmt w:val="bullet"/>
      <w:lvlText w:val=""/>
      <w:lvlJc w:val="left"/>
      <w:pPr>
        <w:ind w:left="2880" w:hanging="360"/>
      </w:pPr>
      <w:rPr>
        <w:rFonts w:ascii="Symbol" w:hAnsi="Symbol" w:hint="default"/>
      </w:rPr>
    </w:lvl>
    <w:lvl w:ilvl="4" w:tplc="08748AAE" w:tentative="1">
      <w:start w:val="1"/>
      <w:numFmt w:val="bullet"/>
      <w:lvlText w:val="o"/>
      <w:lvlJc w:val="left"/>
      <w:pPr>
        <w:ind w:left="3600" w:hanging="360"/>
      </w:pPr>
      <w:rPr>
        <w:rFonts w:ascii="Courier New" w:hAnsi="Courier New" w:hint="default"/>
      </w:rPr>
    </w:lvl>
    <w:lvl w:ilvl="5" w:tplc="D33402F6" w:tentative="1">
      <w:start w:val="1"/>
      <w:numFmt w:val="bullet"/>
      <w:lvlText w:val=""/>
      <w:lvlJc w:val="left"/>
      <w:pPr>
        <w:ind w:left="4320" w:hanging="360"/>
      </w:pPr>
      <w:rPr>
        <w:rFonts w:ascii="Wingdings" w:hAnsi="Wingdings" w:hint="default"/>
      </w:rPr>
    </w:lvl>
    <w:lvl w:ilvl="6" w:tplc="142411B4" w:tentative="1">
      <w:start w:val="1"/>
      <w:numFmt w:val="bullet"/>
      <w:lvlText w:val=""/>
      <w:lvlJc w:val="left"/>
      <w:pPr>
        <w:ind w:left="5040" w:hanging="360"/>
      </w:pPr>
      <w:rPr>
        <w:rFonts w:ascii="Symbol" w:hAnsi="Symbol" w:hint="default"/>
      </w:rPr>
    </w:lvl>
    <w:lvl w:ilvl="7" w:tplc="79146DB8" w:tentative="1">
      <w:start w:val="1"/>
      <w:numFmt w:val="bullet"/>
      <w:lvlText w:val="o"/>
      <w:lvlJc w:val="left"/>
      <w:pPr>
        <w:ind w:left="5760" w:hanging="360"/>
      </w:pPr>
      <w:rPr>
        <w:rFonts w:ascii="Courier New" w:hAnsi="Courier New" w:hint="default"/>
      </w:rPr>
    </w:lvl>
    <w:lvl w:ilvl="8" w:tplc="AE2659C4" w:tentative="1">
      <w:start w:val="1"/>
      <w:numFmt w:val="bullet"/>
      <w:lvlText w:val=""/>
      <w:lvlJc w:val="left"/>
      <w:pPr>
        <w:ind w:left="6480" w:hanging="360"/>
      </w:pPr>
      <w:rPr>
        <w:rFonts w:ascii="Wingdings" w:hAnsi="Wingdings" w:hint="default"/>
      </w:rPr>
    </w:lvl>
  </w:abstractNum>
  <w:abstractNum w:abstractNumId="175" w15:restartNumberingAfterBreak="0">
    <w:nsid w:val="616E0004"/>
    <w:multiLevelType w:val="multilevel"/>
    <w:tmpl w:val="74CE9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622E43B8"/>
    <w:multiLevelType w:val="multilevel"/>
    <w:tmpl w:val="6D061C10"/>
    <w:lvl w:ilvl="0">
      <w:start w:val="1"/>
      <w:numFmt w:val="bullet"/>
      <w:pStyle w:val="Naslov2PodPoglavjePoglavje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7" w15:restartNumberingAfterBreak="0">
    <w:nsid w:val="62B57AB2"/>
    <w:multiLevelType w:val="hybridMultilevel"/>
    <w:tmpl w:val="8154194E"/>
    <w:lvl w:ilvl="0" w:tplc="04240001">
      <w:start w:val="1"/>
      <w:numFmt w:val="bullet"/>
      <w:lvlText w:val=""/>
      <w:lvlJc w:val="left"/>
      <w:pPr>
        <w:tabs>
          <w:tab w:val="num" w:pos="360"/>
        </w:tabs>
        <w:ind w:left="360" w:hanging="360"/>
      </w:pPr>
      <w:rPr>
        <w:rFonts w:ascii="Symbol" w:hAnsi="Symbol" w:hint="default"/>
      </w:rPr>
    </w:lvl>
    <w:lvl w:ilvl="1" w:tplc="04240003">
      <w:start w:val="1"/>
      <w:numFmt w:val="bullet"/>
      <w:lvlText w:val="o"/>
      <w:lvlJc w:val="left"/>
      <w:pPr>
        <w:tabs>
          <w:tab w:val="num" w:pos="1080"/>
        </w:tabs>
        <w:ind w:left="1080" w:hanging="360"/>
      </w:pPr>
      <w:rPr>
        <w:rFonts w:ascii="Courier New" w:hAnsi="Courier New" w:cs="Courier New" w:hint="default"/>
      </w:rPr>
    </w:lvl>
    <w:lvl w:ilvl="2" w:tplc="AFE6939E">
      <w:numFmt w:val="bullet"/>
      <w:lvlText w:val="•"/>
      <w:lvlJc w:val="left"/>
      <w:pPr>
        <w:ind w:left="1800" w:hanging="360"/>
      </w:pPr>
      <w:rPr>
        <w:rFonts w:ascii="Arial" w:eastAsia="Times New Roman" w:hAnsi="Arial" w:cs="Arial" w:hint="default"/>
      </w:rPr>
    </w:lvl>
    <w:lvl w:ilvl="3" w:tplc="04240001" w:tentative="1">
      <w:start w:val="1"/>
      <w:numFmt w:val="bullet"/>
      <w:lvlText w:val=""/>
      <w:lvlJc w:val="left"/>
      <w:pPr>
        <w:tabs>
          <w:tab w:val="num" w:pos="2520"/>
        </w:tabs>
        <w:ind w:left="2520" w:hanging="360"/>
      </w:pPr>
      <w:rPr>
        <w:rFonts w:ascii="Symbol" w:hAnsi="Symbol" w:hint="default"/>
      </w:rPr>
    </w:lvl>
    <w:lvl w:ilvl="4" w:tplc="04240003" w:tentative="1">
      <w:start w:val="1"/>
      <w:numFmt w:val="bullet"/>
      <w:lvlText w:val="o"/>
      <w:lvlJc w:val="left"/>
      <w:pPr>
        <w:tabs>
          <w:tab w:val="num" w:pos="3240"/>
        </w:tabs>
        <w:ind w:left="3240" w:hanging="360"/>
      </w:pPr>
      <w:rPr>
        <w:rFonts w:ascii="Courier New" w:hAnsi="Courier New" w:cs="Courier New" w:hint="default"/>
      </w:rPr>
    </w:lvl>
    <w:lvl w:ilvl="5" w:tplc="04240005" w:tentative="1">
      <w:start w:val="1"/>
      <w:numFmt w:val="bullet"/>
      <w:lvlText w:val=""/>
      <w:lvlJc w:val="left"/>
      <w:pPr>
        <w:tabs>
          <w:tab w:val="num" w:pos="3960"/>
        </w:tabs>
        <w:ind w:left="3960" w:hanging="360"/>
      </w:pPr>
      <w:rPr>
        <w:rFonts w:ascii="Wingdings" w:hAnsi="Wingdings" w:hint="default"/>
      </w:rPr>
    </w:lvl>
    <w:lvl w:ilvl="6" w:tplc="04240001" w:tentative="1">
      <w:start w:val="1"/>
      <w:numFmt w:val="bullet"/>
      <w:lvlText w:val=""/>
      <w:lvlJc w:val="left"/>
      <w:pPr>
        <w:tabs>
          <w:tab w:val="num" w:pos="4680"/>
        </w:tabs>
        <w:ind w:left="4680" w:hanging="360"/>
      </w:pPr>
      <w:rPr>
        <w:rFonts w:ascii="Symbol" w:hAnsi="Symbol" w:hint="default"/>
      </w:rPr>
    </w:lvl>
    <w:lvl w:ilvl="7" w:tplc="04240003" w:tentative="1">
      <w:start w:val="1"/>
      <w:numFmt w:val="bullet"/>
      <w:lvlText w:val="o"/>
      <w:lvlJc w:val="left"/>
      <w:pPr>
        <w:tabs>
          <w:tab w:val="num" w:pos="5400"/>
        </w:tabs>
        <w:ind w:left="5400" w:hanging="360"/>
      </w:pPr>
      <w:rPr>
        <w:rFonts w:ascii="Courier New" w:hAnsi="Courier New" w:cs="Courier New" w:hint="default"/>
      </w:rPr>
    </w:lvl>
    <w:lvl w:ilvl="8" w:tplc="04240005" w:tentative="1">
      <w:start w:val="1"/>
      <w:numFmt w:val="bullet"/>
      <w:lvlText w:val=""/>
      <w:lvlJc w:val="left"/>
      <w:pPr>
        <w:tabs>
          <w:tab w:val="num" w:pos="6120"/>
        </w:tabs>
        <w:ind w:left="6120" w:hanging="360"/>
      </w:pPr>
      <w:rPr>
        <w:rFonts w:ascii="Wingdings" w:hAnsi="Wingdings" w:hint="default"/>
      </w:rPr>
    </w:lvl>
  </w:abstractNum>
  <w:abstractNum w:abstractNumId="178" w15:restartNumberingAfterBreak="0">
    <w:nsid w:val="63EA472E"/>
    <w:multiLevelType w:val="hybridMultilevel"/>
    <w:tmpl w:val="E24C2EF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9" w15:restartNumberingAfterBreak="0">
    <w:nsid w:val="63FE4642"/>
    <w:multiLevelType w:val="multilevel"/>
    <w:tmpl w:val="3C24B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7241BCE"/>
    <w:multiLevelType w:val="hybridMultilevel"/>
    <w:tmpl w:val="4F16994A"/>
    <w:lvl w:ilvl="0" w:tplc="E2AA56D8">
      <w:start w:val="3"/>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673A7677"/>
    <w:multiLevelType w:val="multilevel"/>
    <w:tmpl w:val="F0D822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676D1852"/>
    <w:multiLevelType w:val="multilevel"/>
    <w:tmpl w:val="61160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8AC4BC6"/>
    <w:multiLevelType w:val="hybridMultilevel"/>
    <w:tmpl w:val="B08A31F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4" w15:restartNumberingAfterBreak="0">
    <w:nsid w:val="69482A14"/>
    <w:multiLevelType w:val="singleLevel"/>
    <w:tmpl w:val="CAA6C7D2"/>
    <w:lvl w:ilvl="0">
      <w:numFmt w:val="bullet"/>
      <w:pStyle w:val="nastevanje3"/>
      <w:lvlText w:val="-"/>
      <w:lvlJc w:val="left"/>
      <w:pPr>
        <w:tabs>
          <w:tab w:val="num" w:pos="360"/>
        </w:tabs>
        <w:ind w:left="360" w:hanging="360"/>
      </w:pPr>
      <w:rPr>
        <w:rFonts w:hint="default"/>
      </w:rPr>
    </w:lvl>
  </w:abstractNum>
  <w:abstractNum w:abstractNumId="185" w15:restartNumberingAfterBreak="0">
    <w:nsid w:val="6AB43F95"/>
    <w:multiLevelType w:val="multilevel"/>
    <w:tmpl w:val="F108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B2C4233"/>
    <w:multiLevelType w:val="hybridMultilevel"/>
    <w:tmpl w:val="9B54936E"/>
    <w:lvl w:ilvl="0" w:tplc="04240001">
      <w:start w:val="1"/>
      <w:numFmt w:val="bullet"/>
      <w:lvlText w:val=""/>
      <w:lvlJc w:val="left"/>
      <w:pPr>
        <w:ind w:left="1776" w:hanging="360"/>
      </w:pPr>
      <w:rPr>
        <w:rFonts w:ascii="Symbol" w:hAnsi="Symbol" w:hint="default"/>
      </w:rPr>
    </w:lvl>
    <w:lvl w:ilvl="1" w:tplc="04240003" w:tentative="1">
      <w:start w:val="1"/>
      <w:numFmt w:val="bullet"/>
      <w:lvlText w:val="o"/>
      <w:lvlJc w:val="left"/>
      <w:pPr>
        <w:ind w:left="2496" w:hanging="360"/>
      </w:pPr>
      <w:rPr>
        <w:rFonts w:ascii="Courier New" w:hAnsi="Courier New" w:cs="Courier New" w:hint="default"/>
      </w:rPr>
    </w:lvl>
    <w:lvl w:ilvl="2" w:tplc="04240005" w:tentative="1">
      <w:start w:val="1"/>
      <w:numFmt w:val="bullet"/>
      <w:lvlText w:val=""/>
      <w:lvlJc w:val="left"/>
      <w:pPr>
        <w:ind w:left="3216" w:hanging="360"/>
      </w:pPr>
      <w:rPr>
        <w:rFonts w:ascii="Wingdings" w:hAnsi="Wingdings" w:hint="default"/>
      </w:rPr>
    </w:lvl>
    <w:lvl w:ilvl="3" w:tplc="04240001" w:tentative="1">
      <w:start w:val="1"/>
      <w:numFmt w:val="bullet"/>
      <w:lvlText w:val=""/>
      <w:lvlJc w:val="left"/>
      <w:pPr>
        <w:ind w:left="3936" w:hanging="360"/>
      </w:pPr>
      <w:rPr>
        <w:rFonts w:ascii="Symbol" w:hAnsi="Symbol" w:hint="default"/>
      </w:rPr>
    </w:lvl>
    <w:lvl w:ilvl="4" w:tplc="04240003" w:tentative="1">
      <w:start w:val="1"/>
      <w:numFmt w:val="bullet"/>
      <w:lvlText w:val="o"/>
      <w:lvlJc w:val="left"/>
      <w:pPr>
        <w:ind w:left="4656" w:hanging="360"/>
      </w:pPr>
      <w:rPr>
        <w:rFonts w:ascii="Courier New" w:hAnsi="Courier New" w:cs="Courier New" w:hint="default"/>
      </w:rPr>
    </w:lvl>
    <w:lvl w:ilvl="5" w:tplc="04240005" w:tentative="1">
      <w:start w:val="1"/>
      <w:numFmt w:val="bullet"/>
      <w:lvlText w:val=""/>
      <w:lvlJc w:val="left"/>
      <w:pPr>
        <w:ind w:left="5376" w:hanging="360"/>
      </w:pPr>
      <w:rPr>
        <w:rFonts w:ascii="Wingdings" w:hAnsi="Wingdings" w:hint="default"/>
      </w:rPr>
    </w:lvl>
    <w:lvl w:ilvl="6" w:tplc="04240001" w:tentative="1">
      <w:start w:val="1"/>
      <w:numFmt w:val="bullet"/>
      <w:lvlText w:val=""/>
      <w:lvlJc w:val="left"/>
      <w:pPr>
        <w:ind w:left="6096" w:hanging="360"/>
      </w:pPr>
      <w:rPr>
        <w:rFonts w:ascii="Symbol" w:hAnsi="Symbol" w:hint="default"/>
      </w:rPr>
    </w:lvl>
    <w:lvl w:ilvl="7" w:tplc="04240003" w:tentative="1">
      <w:start w:val="1"/>
      <w:numFmt w:val="bullet"/>
      <w:lvlText w:val="o"/>
      <w:lvlJc w:val="left"/>
      <w:pPr>
        <w:ind w:left="6816" w:hanging="360"/>
      </w:pPr>
      <w:rPr>
        <w:rFonts w:ascii="Courier New" w:hAnsi="Courier New" w:cs="Courier New" w:hint="default"/>
      </w:rPr>
    </w:lvl>
    <w:lvl w:ilvl="8" w:tplc="04240005" w:tentative="1">
      <w:start w:val="1"/>
      <w:numFmt w:val="bullet"/>
      <w:lvlText w:val=""/>
      <w:lvlJc w:val="left"/>
      <w:pPr>
        <w:ind w:left="7536" w:hanging="360"/>
      </w:pPr>
      <w:rPr>
        <w:rFonts w:ascii="Wingdings" w:hAnsi="Wingdings" w:hint="default"/>
      </w:rPr>
    </w:lvl>
  </w:abstractNum>
  <w:abstractNum w:abstractNumId="187" w15:restartNumberingAfterBreak="0">
    <w:nsid w:val="6BC111E0"/>
    <w:multiLevelType w:val="hybridMultilevel"/>
    <w:tmpl w:val="FB881A2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8" w15:restartNumberingAfterBreak="0">
    <w:nsid w:val="6CC4754D"/>
    <w:multiLevelType w:val="multilevel"/>
    <w:tmpl w:val="A9D265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15:restartNumberingAfterBreak="0">
    <w:nsid w:val="6DA811B8"/>
    <w:multiLevelType w:val="hybridMultilevel"/>
    <w:tmpl w:val="F25C66CA"/>
    <w:lvl w:ilvl="0" w:tplc="2000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0" w15:restartNumberingAfterBreak="0">
    <w:nsid w:val="6F5145EF"/>
    <w:multiLevelType w:val="multilevel"/>
    <w:tmpl w:val="4678EC1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1" w15:restartNumberingAfterBreak="0">
    <w:nsid w:val="70292356"/>
    <w:multiLevelType w:val="multilevel"/>
    <w:tmpl w:val="96B2A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70A070DF"/>
    <w:multiLevelType w:val="hybridMultilevel"/>
    <w:tmpl w:val="DB20E7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3" w15:restartNumberingAfterBreak="0">
    <w:nsid w:val="720A3F54"/>
    <w:multiLevelType w:val="multilevel"/>
    <w:tmpl w:val="8B6EA6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72BF4A7F"/>
    <w:multiLevelType w:val="multilevel"/>
    <w:tmpl w:val="4202A25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5" w15:restartNumberingAfterBreak="0">
    <w:nsid w:val="734A33F4"/>
    <w:multiLevelType w:val="hybridMultilevel"/>
    <w:tmpl w:val="B5B4463C"/>
    <w:lvl w:ilvl="0" w:tplc="04240001">
      <w:start w:val="1"/>
      <w:numFmt w:val="bullet"/>
      <w:lvlText w:val=""/>
      <w:lvlJc w:val="left"/>
      <w:pPr>
        <w:ind w:left="1428" w:hanging="360"/>
      </w:pPr>
      <w:rPr>
        <w:rFonts w:ascii="Symbol" w:hAnsi="Symbol" w:hint="default"/>
      </w:rPr>
    </w:lvl>
    <w:lvl w:ilvl="1" w:tplc="04240003" w:tentative="1">
      <w:start w:val="1"/>
      <w:numFmt w:val="bullet"/>
      <w:lvlText w:val="o"/>
      <w:lvlJc w:val="left"/>
      <w:pPr>
        <w:ind w:left="2148" w:hanging="360"/>
      </w:pPr>
      <w:rPr>
        <w:rFonts w:ascii="Courier New" w:hAnsi="Courier New" w:cs="Courier New" w:hint="default"/>
      </w:rPr>
    </w:lvl>
    <w:lvl w:ilvl="2" w:tplc="04240005" w:tentative="1">
      <w:start w:val="1"/>
      <w:numFmt w:val="bullet"/>
      <w:lvlText w:val=""/>
      <w:lvlJc w:val="left"/>
      <w:pPr>
        <w:ind w:left="2868" w:hanging="360"/>
      </w:pPr>
      <w:rPr>
        <w:rFonts w:ascii="Wingdings" w:hAnsi="Wingdings" w:hint="default"/>
      </w:rPr>
    </w:lvl>
    <w:lvl w:ilvl="3" w:tplc="04240001" w:tentative="1">
      <w:start w:val="1"/>
      <w:numFmt w:val="bullet"/>
      <w:lvlText w:val=""/>
      <w:lvlJc w:val="left"/>
      <w:pPr>
        <w:ind w:left="3588" w:hanging="360"/>
      </w:pPr>
      <w:rPr>
        <w:rFonts w:ascii="Symbol" w:hAnsi="Symbol" w:hint="default"/>
      </w:rPr>
    </w:lvl>
    <w:lvl w:ilvl="4" w:tplc="04240003" w:tentative="1">
      <w:start w:val="1"/>
      <w:numFmt w:val="bullet"/>
      <w:lvlText w:val="o"/>
      <w:lvlJc w:val="left"/>
      <w:pPr>
        <w:ind w:left="4308" w:hanging="360"/>
      </w:pPr>
      <w:rPr>
        <w:rFonts w:ascii="Courier New" w:hAnsi="Courier New" w:cs="Courier New" w:hint="default"/>
      </w:rPr>
    </w:lvl>
    <w:lvl w:ilvl="5" w:tplc="04240005" w:tentative="1">
      <w:start w:val="1"/>
      <w:numFmt w:val="bullet"/>
      <w:lvlText w:val=""/>
      <w:lvlJc w:val="left"/>
      <w:pPr>
        <w:ind w:left="5028" w:hanging="360"/>
      </w:pPr>
      <w:rPr>
        <w:rFonts w:ascii="Wingdings" w:hAnsi="Wingdings" w:hint="default"/>
      </w:rPr>
    </w:lvl>
    <w:lvl w:ilvl="6" w:tplc="04240001" w:tentative="1">
      <w:start w:val="1"/>
      <w:numFmt w:val="bullet"/>
      <w:lvlText w:val=""/>
      <w:lvlJc w:val="left"/>
      <w:pPr>
        <w:ind w:left="5748" w:hanging="360"/>
      </w:pPr>
      <w:rPr>
        <w:rFonts w:ascii="Symbol" w:hAnsi="Symbol" w:hint="default"/>
      </w:rPr>
    </w:lvl>
    <w:lvl w:ilvl="7" w:tplc="04240003" w:tentative="1">
      <w:start w:val="1"/>
      <w:numFmt w:val="bullet"/>
      <w:lvlText w:val="o"/>
      <w:lvlJc w:val="left"/>
      <w:pPr>
        <w:ind w:left="6468" w:hanging="360"/>
      </w:pPr>
      <w:rPr>
        <w:rFonts w:ascii="Courier New" w:hAnsi="Courier New" w:cs="Courier New" w:hint="default"/>
      </w:rPr>
    </w:lvl>
    <w:lvl w:ilvl="8" w:tplc="04240005" w:tentative="1">
      <w:start w:val="1"/>
      <w:numFmt w:val="bullet"/>
      <w:lvlText w:val=""/>
      <w:lvlJc w:val="left"/>
      <w:pPr>
        <w:ind w:left="7188" w:hanging="360"/>
      </w:pPr>
      <w:rPr>
        <w:rFonts w:ascii="Wingdings" w:hAnsi="Wingdings" w:hint="default"/>
      </w:rPr>
    </w:lvl>
  </w:abstractNum>
  <w:abstractNum w:abstractNumId="196" w15:restartNumberingAfterBreak="0">
    <w:nsid w:val="73E30FF9"/>
    <w:multiLevelType w:val="multilevel"/>
    <w:tmpl w:val="FAB23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5C85A08"/>
    <w:multiLevelType w:val="multilevel"/>
    <w:tmpl w:val="43825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76097DFC"/>
    <w:multiLevelType w:val="multilevel"/>
    <w:tmpl w:val="E0FE2A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9" w15:restartNumberingAfterBreak="0">
    <w:nsid w:val="79B97BAE"/>
    <w:multiLevelType w:val="multilevel"/>
    <w:tmpl w:val="2EDAE202"/>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0" w15:restartNumberingAfterBreak="0">
    <w:nsid w:val="79C1320D"/>
    <w:multiLevelType w:val="hybridMultilevel"/>
    <w:tmpl w:val="9E06C27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1" w15:restartNumberingAfterBreak="0">
    <w:nsid w:val="79C2648C"/>
    <w:multiLevelType w:val="multilevel"/>
    <w:tmpl w:val="1F36A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A404586"/>
    <w:multiLevelType w:val="hybridMultilevel"/>
    <w:tmpl w:val="C2DAB918"/>
    <w:lvl w:ilvl="0" w:tplc="C8F26B18">
      <w:start w:val="15"/>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3" w15:restartNumberingAfterBreak="0">
    <w:nsid w:val="7A8D549E"/>
    <w:multiLevelType w:val="hybridMultilevel"/>
    <w:tmpl w:val="E00002A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4" w15:restartNumberingAfterBreak="0">
    <w:nsid w:val="7A8E6B24"/>
    <w:multiLevelType w:val="multilevel"/>
    <w:tmpl w:val="4A7A7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AAB40A2"/>
    <w:multiLevelType w:val="multilevel"/>
    <w:tmpl w:val="6A8E2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7B9426C0"/>
    <w:multiLevelType w:val="multilevel"/>
    <w:tmpl w:val="C0DC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BFB3033"/>
    <w:multiLevelType w:val="multilevel"/>
    <w:tmpl w:val="AC26B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C6D400E"/>
    <w:multiLevelType w:val="multilevel"/>
    <w:tmpl w:val="3E48A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C8B27B5"/>
    <w:multiLevelType w:val="multilevel"/>
    <w:tmpl w:val="0F94F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D950A64"/>
    <w:multiLevelType w:val="hybridMultilevel"/>
    <w:tmpl w:val="8E18DC0E"/>
    <w:lvl w:ilvl="0" w:tplc="04240001">
      <w:start w:val="1"/>
      <w:numFmt w:val="bullet"/>
      <w:lvlText w:val=""/>
      <w:lvlJc w:val="left"/>
      <w:pPr>
        <w:tabs>
          <w:tab w:val="num" w:pos="927"/>
        </w:tabs>
        <w:ind w:left="927" w:hanging="360"/>
      </w:pPr>
      <w:rPr>
        <w:rFonts w:ascii="Symbol" w:hAnsi="Symbol" w:hint="default"/>
      </w:rPr>
    </w:lvl>
    <w:lvl w:ilvl="1" w:tplc="03682020">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1" w15:restartNumberingAfterBreak="0">
    <w:nsid w:val="7DC825DD"/>
    <w:multiLevelType w:val="multilevel"/>
    <w:tmpl w:val="85ACB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E500960"/>
    <w:multiLevelType w:val="multilevel"/>
    <w:tmpl w:val="9054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E9141B5"/>
    <w:multiLevelType w:val="multilevel"/>
    <w:tmpl w:val="10284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EA711E7"/>
    <w:multiLevelType w:val="multilevel"/>
    <w:tmpl w:val="015EED5A"/>
    <w:lvl w:ilvl="0">
      <w:start w:val="1"/>
      <w:numFmt w:val="bullet"/>
      <w:lvlText w:val="⮚"/>
      <w:lvlJc w:val="left"/>
      <w:pPr>
        <w:ind w:left="720" w:hanging="360"/>
      </w:pPr>
      <w:rPr>
        <w:rFonts w:ascii="Noto Sans Symbols" w:eastAsia="Noto Sans Symbols" w:hAnsi="Noto Sans Symbols" w:cs="Noto Sans Symbols"/>
        <w:color w:val="000000"/>
        <w:sz w:val="16"/>
        <w:szCs w:val="16"/>
      </w:rPr>
    </w:lvl>
    <w:lvl w:ilvl="1">
      <w:start w:val="1"/>
      <w:numFmt w:val="bullet"/>
      <w:lvlText w:val="-"/>
      <w:lvlJc w:val="left"/>
      <w:pPr>
        <w:ind w:left="1440" w:hanging="360"/>
      </w:pPr>
      <w:rPr>
        <w:color w:val="506428"/>
        <w:sz w:val="18"/>
        <w:szCs w:val="18"/>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7EC05B38"/>
    <w:multiLevelType w:val="multilevel"/>
    <w:tmpl w:val="97122B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6" w15:restartNumberingAfterBreak="0">
    <w:nsid w:val="7F1E02D1"/>
    <w:multiLevelType w:val="multilevel"/>
    <w:tmpl w:val="6AA4A6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7FBD57D2"/>
    <w:multiLevelType w:val="multilevel"/>
    <w:tmpl w:val="C5E2E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FE847C0"/>
    <w:multiLevelType w:val="hybridMultilevel"/>
    <w:tmpl w:val="8670F19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16cid:durableId="637036346">
    <w:abstractNumId w:val="21"/>
  </w:num>
  <w:num w:numId="2" w16cid:durableId="997463627">
    <w:abstractNumId w:val="21"/>
  </w:num>
  <w:num w:numId="3" w16cid:durableId="19765226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76305485">
    <w:abstractNumId w:val="63"/>
  </w:num>
  <w:num w:numId="5" w16cid:durableId="602424696">
    <w:abstractNumId w:val="0"/>
  </w:num>
  <w:num w:numId="6" w16cid:durableId="702051917">
    <w:abstractNumId w:val="193"/>
  </w:num>
  <w:num w:numId="7" w16cid:durableId="1473478299">
    <w:abstractNumId w:val="81"/>
  </w:num>
  <w:num w:numId="8" w16cid:durableId="286159169">
    <w:abstractNumId w:val="59"/>
  </w:num>
  <w:num w:numId="9" w16cid:durableId="361589749">
    <w:abstractNumId w:val="146"/>
  </w:num>
  <w:num w:numId="10" w16cid:durableId="2002268635">
    <w:abstractNumId w:val="84"/>
  </w:num>
  <w:num w:numId="11" w16cid:durableId="1643803071">
    <w:abstractNumId w:val="129"/>
  </w:num>
  <w:num w:numId="12" w16cid:durableId="1503666227">
    <w:abstractNumId w:val="120"/>
  </w:num>
  <w:num w:numId="13" w16cid:durableId="613709252">
    <w:abstractNumId w:val="33"/>
  </w:num>
  <w:num w:numId="14" w16cid:durableId="198419290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19041799">
    <w:abstractNumId w:val="73"/>
  </w:num>
  <w:num w:numId="16" w16cid:durableId="2145584036">
    <w:abstractNumId w:val="20"/>
  </w:num>
  <w:num w:numId="17" w16cid:durableId="1143082041">
    <w:abstractNumId w:val="180"/>
  </w:num>
  <w:num w:numId="18" w16cid:durableId="2060548555">
    <w:abstractNumId w:val="69"/>
  </w:num>
  <w:num w:numId="19" w16cid:durableId="1479147751">
    <w:abstractNumId w:val="4"/>
  </w:num>
  <w:num w:numId="20" w16cid:durableId="418331955">
    <w:abstractNumId w:val="29"/>
  </w:num>
  <w:num w:numId="21" w16cid:durableId="354232635">
    <w:abstractNumId w:val="71"/>
  </w:num>
  <w:num w:numId="22" w16cid:durableId="46686741">
    <w:abstractNumId w:val="214"/>
  </w:num>
  <w:num w:numId="23" w16cid:durableId="622999508">
    <w:abstractNumId w:val="158"/>
  </w:num>
  <w:num w:numId="24" w16cid:durableId="2004354054">
    <w:abstractNumId w:val="77"/>
  </w:num>
  <w:num w:numId="25" w16cid:durableId="1485008657">
    <w:abstractNumId w:val="200"/>
  </w:num>
  <w:num w:numId="26" w16cid:durableId="1503397930">
    <w:abstractNumId w:val="103"/>
  </w:num>
  <w:num w:numId="27" w16cid:durableId="2052729407">
    <w:abstractNumId w:val="101"/>
  </w:num>
  <w:num w:numId="28" w16cid:durableId="546526138">
    <w:abstractNumId w:val="140"/>
  </w:num>
  <w:num w:numId="29" w16cid:durableId="712660107">
    <w:abstractNumId w:val="159"/>
  </w:num>
  <w:num w:numId="30" w16cid:durableId="919096286">
    <w:abstractNumId w:val="72"/>
  </w:num>
  <w:num w:numId="31" w16cid:durableId="874079029">
    <w:abstractNumId w:val="41"/>
  </w:num>
  <w:num w:numId="32" w16cid:durableId="37170236">
    <w:abstractNumId w:val="182"/>
  </w:num>
  <w:num w:numId="33" w16cid:durableId="1341925797">
    <w:abstractNumId w:val="196"/>
  </w:num>
  <w:num w:numId="34" w16cid:durableId="156382258">
    <w:abstractNumId w:val="34"/>
  </w:num>
  <w:num w:numId="35" w16cid:durableId="1818716497">
    <w:abstractNumId w:val="212"/>
  </w:num>
  <w:num w:numId="36" w16cid:durableId="788739630">
    <w:abstractNumId w:val="133"/>
  </w:num>
  <w:num w:numId="37" w16cid:durableId="474883226">
    <w:abstractNumId w:val="44"/>
  </w:num>
  <w:num w:numId="38" w16cid:durableId="869798271">
    <w:abstractNumId w:val="36"/>
  </w:num>
  <w:num w:numId="39" w16cid:durableId="459156778">
    <w:abstractNumId w:val="22"/>
  </w:num>
  <w:num w:numId="40" w16cid:durableId="441724199">
    <w:abstractNumId w:val="8"/>
  </w:num>
  <w:num w:numId="41" w16cid:durableId="1993482055">
    <w:abstractNumId w:val="51"/>
  </w:num>
  <w:num w:numId="42" w16cid:durableId="1542789191">
    <w:abstractNumId w:val="173"/>
  </w:num>
  <w:num w:numId="43" w16cid:durableId="827407554">
    <w:abstractNumId w:val="35"/>
  </w:num>
  <w:num w:numId="44" w16cid:durableId="542907070">
    <w:abstractNumId w:val="142"/>
  </w:num>
  <w:num w:numId="45" w16cid:durableId="485435870">
    <w:abstractNumId w:val="126"/>
  </w:num>
  <w:num w:numId="46" w16cid:durableId="1671828959">
    <w:abstractNumId w:val="99"/>
  </w:num>
  <w:num w:numId="47" w16cid:durableId="954139544">
    <w:abstractNumId w:val="116"/>
  </w:num>
  <w:num w:numId="48" w16cid:durableId="1849367665">
    <w:abstractNumId w:val="179"/>
  </w:num>
  <w:num w:numId="49" w16cid:durableId="1965623594">
    <w:abstractNumId w:val="139"/>
  </w:num>
  <w:num w:numId="50" w16cid:durableId="1249388245">
    <w:abstractNumId w:val="149"/>
  </w:num>
  <w:num w:numId="51" w16cid:durableId="1472332327">
    <w:abstractNumId w:val="207"/>
  </w:num>
  <w:num w:numId="52" w16cid:durableId="329411542">
    <w:abstractNumId w:val="60"/>
  </w:num>
  <w:num w:numId="53" w16cid:durableId="276328603">
    <w:abstractNumId w:val="5"/>
  </w:num>
  <w:num w:numId="54" w16cid:durableId="877471784">
    <w:abstractNumId w:val="54"/>
  </w:num>
  <w:num w:numId="55" w16cid:durableId="345250241">
    <w:abstractNumId w:val="25"/>
  </w:num>
  <w:num w:numId="56" w16cid:durableId="520583770">
    <w:abstractNumId w:val="48"/>
  </w:num>
  <w:num w:numId="57" w16cid:durableId="1932398065">
    <w:abstractNumId w:val="37"/>
  </w:num>
  <w:num w:numId="58" w16cid:durableId="537284675">
    <w:abstractNumId w:val="204"/>
  </w:num>
  <w:num w:numId="59" w16cid:durableId="1837183988">
    <w:abstractNumId w:val="151"/>
  </w:num>
  <w:num w:numId="60" w16cid:durableId="225261147">
    <w:abstractNumId w:val="135"/>
  </w:num>
  <w:num w:numId="61" w16cid:durableId="290748856">
    <w:abstractNumId w:val="45"/>
  </w:num>
  <w:num w:numId="62" w16cid:durableId="1184396134">
    <w:abstractNumId w:val="141"/>
  </w:num>
  <w:num w:numId="63" w16cid:durableId="1327051246">
    <w:abstractNumId w:val="205"/>
  </w:num>
  <w:num w:numId="64" w16cid:durableId="919096446">
    <w:abstractNumId w:val="134"/>
  </w:num>
  <w:num w:numId="65" w16cid:durableId="27948331">
    <w:abstractNumId w:val="107"/>
  </w:num>
  <w:num w:numId="66" w16cid:durableId="823160501">
    <w:abstractNumId w:val="11"/>
  </w:num>
  <w:num w:numId="67" w16cid:durableId="1696425858">
    <w:abstractNumId w:val="115"/>
  </w:num>
  <w:num w:numId="68" w16cid:durableId="1438481585">
    <w:abstractNumId w:val="46"/>
  </w:num>
  <w:num w:numId="69" w16cid:durableId="314652516">
    <w:abstractNumId w:val="53"/>
  </w:num>
  <w:num w:numId="70" w16cid:durableId="852693322">
    <w:abstractNumId w:val="96"/>
  </w:num>
  <w:num w:numId="71" w16cid:durableId="1339309299">
    <w:abstractNumId w:val="198"/>
  </w:num>
  <w:num w:numId="72" w16cid:durableId="1636060627">
    <w:abstractNumId w:val="148"/>
  </w:num>
  <w:num w:numId="73" w16cid:durableId="1241450355">
    <w:abstractNumId w:val="150"/>
  </w:num>
  <w:num w:numId="74" w16cid:durableId="1226573426">
    <w:abstractNumId w:val="76"/>
  </w:num>
  <w:num w:numId="75" w16cid:durableId="379791345">
    <w:abstractNumId w:val="98"/>
  </w:num>
  <w:num w:numId="76" w16cid:durableId="676619742">
    <w:abstractNumId w:val="136"/>
  </w:num>
  <w:num w:numId="77" w16cid:durableId="1544101250">
    <w:abstractNumId w:val="118"/>
  </w:num>
  <w:num w:numId="78" w16cid:durableId="1404254199">
    <w:abstractNumId w:val="108"/>
  </w:num>
  <w:num w:numId="79" w16cid:durableId="347681678">
    <w:abstractNumId w:val="102"/>
  </w:num>
  <w:num w:numId="80" w16cid:durableId="921840705">
    <w:abstractNumId w:val="171"/>
  </w:num>
  <w:num w:numId="81" w16cid:durableId="874849360">
    <w:abstractNumId w:val="203"/>
  </w:num>
  <w:num w:numId="82" w16cid:durableId="1278365505">
    <w:abstractNumId w:val="145"/>
  </w:num>
  <w:num w:numId="83" w16cid:durableId="1109352064">
    <w:abstractNumId w:val="90"/>
  </w:num>
  <w:num w:numId="84" w16cid:durableId="26102050">
    <w:abstractNumId w:val="138"/>
  </w:num>
  <w:num w:numId="85" w16cid:durableId="817502556">
    <w:abstractNumId w:val="49"/>
  </w:num>
  <w:num w:numId="86" w16cid:durableId="883062787">
    <w:abstractNumId w:val="87"/>
  </w:num>
  <w:num w:numId="87" w16cid:durableId="1794254450">
    <w:abstractNumId w:val="16"/>
  </w:num>
  <w:num w:numId="88" w16cid:durableId="753162268">
    <w:abstractNumId w:val="15"/>
  </w:num>
  <w:num w:numId="89" w16cid:durableId="1295334676">
    <w:abstractNumId w:val="55"/>
  </w:num>
  <w:num w:numId="90" w16cid:durableId="858547499">
    <w:abstractNumId w:val="187"/>
  </w:num>
  <w:num w:numId="91" w16cid:durableId="2037003151">
    <w:abstractNumId w:val="27"/>
  </w:num>
  <w:num w:numId="92" w16cid:durableId="2017534359">
    <w:abstractNumId w:val="100"/>
  </w:num>
  <w:num w:numId="93" w16cid:durableId="455832098">
    <w:abstractNumId w:val="156"/>
  </w:num>
  <w:num w:numId="94" w16cid:durableId="1127166562">
    <w:abstractNumId w:val="210"/>
  </w:num>
  <w:num w:numId="95" w16cid:durableId="317076281">
    <w:abstractNumId w:val="167"/>
  </w:num>
  <w:num w:numId="96" w16cid:durableId="81149549">
    <w:abstractNumId w:val="166"/>
  </w:num>
  <w:num w:numId="97" w16cid:durableId="681273813">
    <w:abstractNumId w:val="218"/>
  </w:num>
  <w:num w:numId="98" w16cid:durableId="645625591">
    <w:abstractNumId w:val="125"/>
  </w:num>
  <w:num w:numId="99" w16cid:durableId="1005597368">
    <w:abstractNumId w:val="147"/>
  </w:num>
  <w:num w:numId="100" w16cid:durableId="1861552955">
    <w:abstractNumId w:val="105"/>
  </w:num>
  <w:num w:numId="101" w16cid:durableId="845246798">
    <w:abstractNumId w:val="106"/>
  </w:num>
  <w:num w:numId="102" w16cid:durableId="529877066">
    <w:abstractNumId w:val="177"/>
  </w:num>
  <w:num w:numId="103" w16cid:durableId="1895577616">
    <w:abstractNumId w:val="56"/>
  </w:num>
  <w:num w:numId="104" w16cid:durableId="1465154181">
    <w:abstractNumId w:val="164"/>
  </w:num>
  <w:num w:numId="105" w16cid:durableId="485047038">
    <w:abstractNumId w:val="122"/>
  </w:num>
  <w:num w:numId="106" w16cid:durableId="1823693335">
    <w:abstractNumId w:val="157"/>
  </w:num>
  <w:num w:numId="107" w16cid:durableId="1227647600">
    <w:abstractNumId w:val="28"/>
  </w:num>
  <w:num w:numId="108" w16cid:durableId="1022318337">
    <w:abstractNumId w:val="185"/>
  </w:num>
  <w:num w:numId="109" w16cid:durableId="1334070187">
    <w:abstractNumId w:val="168"/>
  </w:num>
  <w:num w:numId="110" w16cid:durableId="1339579577">
    <w:abstractNumId w:val="61"/>
  </w:num>
  <w:num w:numId="111" w16cid:durableId="341855908">
    <w:abstractNumId w:val="23"/>
  </w:num>
  <w:num w:numId="112" w16cid:durableId="2000964454">
    <w:abstractNumId w:val="30"/>
  </w:num>
  <w:num w:numId="113" w16cid:durableId="9338184">
    <w:abstractNumId w:val="165"/>
  </w:num>
  <w:num w:numId="114" w16cid:durableId="1885410453">
    <w:abstractNumId w:val="66"/>
  </w:num>
  <w:num w:numId="115" w16cid:durableId="1523856169">
    <w:abstractNumId w:val="189"/>
  </w:num>
  <w:num w:numId="116" w16cid:durableId="2066835476">
    <w:abstractNumId w:val="13"/>
  </w:num>
  <w:num w:numId="117" w16cid:durableId="1805000544">
    <w:abstractNumId w:val="128"/>
  </w:num>
  <w:num w:numId="118" w16cid:durableId="2014185459">
    <w:abstractNumId w:val="97"/>
  </w:num>
  <w:num w:numId="119" w16cid:durableId="1879783127">
    <w:abstractNumId w:val="38"/>
  </w:num>
  <w:num w:numId="120" w16cid:durableId="132332082">
    <w:abstractNumId w:val="40"/>
  </w:num>
  <w:num w:numId="121" w16cid:durableId="1164128086">
    <w:abstractNumId w:val="117"/>
  </w:num>
  <w:num w:numId="122" w16cid:durableId="891622819">
    <w:abstractNumId w:val="113"/>
  </w:num>
  <w:num w:numId="123" w16cid:durableId="562175636">
    <w:abstractNumId w:val="144"/>
  </w:num>
  <w:num w:numId="124" w16cid:durableId="1017344095">
    <w:abstractNumId w:val="137"/>
  </w:num>
  <w:num w:numId="125" w16cid:durableId="588585941">
    <w:abstractNumId w:val="75"/>
  </w:num>
  <w:num w:numId="126" w16cid:durableId="642932333">
    <w:abstractNumId w:val="89"/>
  </w:num>
  <w:num w:numId="127" w16cid:durableId="599681953">
    <w:abstractNumId w:val="112"/>
  </w:num>
  <w:num w:numId="128" w16cid:durableId="366684732">
    <w:abstractNumId w:val="119"/>
  </w:num>
  <w:num w:numId="129" w16cid:durableId="86849957">
    <w:abstractNumId w:val="197"/>
  </w:num>
  <w:num w:numId="130" w16cid:durableId="378552803">
    <w:abstractNumId w:val="82"/>
  </w:num>
  <w:num w:numId="131" w16cid:durableId="1034620581">
    <w:abstractNumId w:val="174"/>
  </w:num>
  <w:num w:numId="132" w16cid:durableId="165561645">
    <w:abstractNumId w:val="31"/>
  </w:num>
  <w:num w:numId="133" w16cid:durableId="1379205536">
    <w:abstractNumId w:val="104"/>
  </w:num>
  <w:num w:numId="134" w16cid:durableId="27068357">
    <w:abstractNumId w:val="79"/>
  </w:num>
  <w:num w:numId="135" w16cid:durableId="1072432755">
    <w:abstractNumId w:val="85"/>
  </w:num>
  <w:num w:numId="136" w16cid:durableId="1065109494">
    <w:abstractNumId w:val="124"/>
  </w:num>
  <w:num w:numId="137" w16cid:durableId="2106802703">
    <w:abstractNumId w:val="88"/>
  </w:num>
  <w:num w:numId="138" w16cid:durableId="1628586118">
    <w:abstractNumId w:val="217"/>
  </w:num>
  <w:num w:numId="139" w16cid:durableId="1885363437">
    <w:abstractNumId w:val="213"/>
  </w:num>
  <w:num w:numId="140" w16cid:durableId="1346440945">
    <w:abstractNumId w:val="211"/>
  </w:num>
  <w:num w:numId="141" w16cid:durableId="1444959553">
    <w:abstractNumId w:val="62"/>
  </w:num>
  <w:num w:numId="142" w16cid:durableId="1182623334">
    <w:abstractNumId w:val="201"/>
  </w:num>
  <w:num w:numId="143" w16cid:durableId="2079159586">
    <w:abstractNumId w:val="47"/>
  </w:num>
  <w:num w:numId="144" w16cid:durableId="678315610">
    <w:abstractNumId w:val="175"/>
  </w:num>
  <w:num w:numId="145" w16cid:durableId="1362363853">
    <w:abstractNumId w:val="94"/>
  </w:num>
  <w:num w:numId="146" w16cid:durableId="1838376442">
    <w:abstractNumId w:val="12"/>
  </w:num>
  <w:num w:numId="147" w16cid:durableId="395398396">
    <w:abstractNumId w:val="206"/>
  </w:num>
  <w:num w:numId="148" w16cid:durableId="559363635">
    <w:abstractNumId w:val="91"/>
  </w:num>
  <w:num w:numId="149" w16cid:durableId="9187127">
    <w:abstractNumId w:val="83"/>
  </w:num>
  <w:num w:numId="150" w16cid:durableId="1913541746">
    <w:abstractNumId w:val="131"/>
  </w:num>
  <w:num w:numId="151" w16cid:durableId="20058535">
    <w:abstractNumId w:val="67"/>
  </w:num>
  <w:num w:numId="152" w16cid:durableId="1279678873">
    <w:abstractNumId w:val="68"/>
  </w:num>
  <w:num w:numId="153" w16cid:durableId="811752889">
    <w:abstractNumId w:val="183"/>
  </w:num>
  <w:num w:numId="154" w16cid:durableId="1357727906">
    <w:abstractNumId w:val="74"/>
  </w:num>
  <w:num w:numId="155" w16cid:durableId="630133701">
    <w:abstractNumId w:val="169"/>
  </w:num>
  <w:num w:numId="156" w16cid:durableId="993265359">
    <w:abstractNumId w:val="64"/>
  </w:num>
  <w:num w:numId="157" w16cid:durableId="1371228827">
    <w:abstractNumId w:val="215"/>
  </w:num>
  <w:num w:numId="158" w16cid:durableId="1850869292">
    <w:abstractNumId w:val="24"/>
  </w:num>
  <w:num w:numId="159" w16cid:durableId="1474757103">
    <w:abstractNumId w:val="176"/>
  </w:num>
  <w:num w:numId="160" w16cid:durableId="918441130">
    <w:abstractNumId w:val="216"/>
  </w:num>
  <w:num w:numId="161" w16cid:durableId="267931414">
    <w:abstractNumId w:val="58"/>
  </w:num>
  <w:num w:numId="162" w16cid:durableId="1097941851">
    <w:abstractNumId w:val="14"/>
  </w:num>
  <w:num w:numId="163" w16cid:durableId="1645889538">
    <w:abstractNumId w:val="199"/>
  </w:num>
  <w:num w:numId="164" w16cid:durableId="1393239388">
    <w:abstractNumId w:val="39"/>
  </w:num>
  <w:num w:numId="165" w16cid:durableId="668558817">
    <w:abstractNumId w:val="184"/>
  </w:num>
  <w:num w:numId="166" w16cid:durableId="1434788654">
    <w:abstractNumId w:val="160"/>
  </w:num>
  <w:num w:numId="167" w16cid:durableId="1825075295">
    <w:abstractNumId w:val="132"/>
  </w:num>
  <w:num w:numId="168" w16cid:durableId="1715471001">
    <w:abstractNumId w:val="154"/>
  </w:num>
  <w:num w:numId="169" w16cid:durableId="493649414">
    <w:abstractNumId w:val="188"/>
  </w:num>
  <w:num w:numId="170" w16cid:durableId="273561870">
    <w:abstractNumId w:val="114"/>
  </w:num>
  <w:num w:numId="171" w16cid:durableId="744953167">
    <w:abstractNumId w:val="7"/>
  </w:num>
  <w:num w:numId="172" w16cid:durableId="904101568">
    <w:abstractNumId w:val="110"/>
  </w:num>
  <w:num w:numId="173" w16cid:durableId="292372590">
    <w:abstractNumId w:val="194"/>
  </w:num>
  <w:num w:numId="174" w16cid:durableId="80496248">
    <w:abstractNumId w:val="181"/>
  </w:num>
  <w:num w:numId="175" w16cid:durableId="1573852433">
    <w:abstractNumId w:val="52"/>
  </w:num>
  <w:num w:numId="176" w16cid:durableId="1035697255">
    <w:abstractNumId w:val="143"/>
  </w:num>
  <w:num w:numId="177" w16cid:durableId="1614941767">
    <w:abstractNumId w:val="50"/>
  </w:num>
  <w:num w:numId="178" w16cid:durableId="495733023">
    <w:abstractNumId w:val="111"/>
  </w:num>
  <w:num w:numId="179" w16cid:durableId="1346639005">
    <w:abstractNumId w:val="190"/>
  </w:num>
  <w:num w:numId="180" w16cid:durableId="809440666">
    <w:abstractNumId w:val="17"/>
  </w:num>
  <w:num w:numId="181" w16cid:durableId="890387344">
    <w:abstractNumId w:val="78"/>
  </w:num>
  <w:num w:numId="182" w16cid:durableId="172574190">
    <w:abstractNumId w:val="95"/>
  </w:num>
  <w:num w:numId="183" w16cid:durableId="561796506">
    <w:abstractNumId w:val="191"/>
  </w:num>
  <w:num w:numId="184" w16cid:durableId="1906868177">
    <w:abstractNumId w:val="65"/>
  </w:num>
  <w:num w:numId="185" w16cid:durableId="279380980">
    <w:abstractNumId w:val="127"/>
  </w:num>
  <w:num w:numId="186" w16cid:durableId="353501608">
    <w:abstractNumId w:val="192"/>
  </w:num>
  <w:num w:numId="187" w16cid:durableId="2098554725">
    <w:abstractNumId w:val="123"/>
  </w:num>
  <w:num w:numId="188" w16cid:durableId="1637831764">
    <w:abstractNumId w:val="6"/>
  </w:num>
  <w:num w:numId="189" w16cid:durableId="1331104020">
    <w:abstractNumId w:val="9"/>
  </w:num>
  <w:num w:numId="190" w16cid:durableId="1139569579">
    <w:abstractNumId w:val="86"/>
  </w:num>
  <w:num w:numId="191" w16cid:durableId="1014261677">
    <w:abstractNumId w:val="152"/>
  </w:num>
  <w:num w:numId="192" w16cid:durableId="813526099">
    <w:abstractNumId w:val="80"/>
  </w:num>
  <w:num w:numId="193" w16cid:durableId="1084836695">
    <w:abstractNumId w:val="172"/>
  </w:num>
  <w:num w:numId="194" w16cid:durableId="1830708554">
    <w:abstractNumId w:val="26"/>
  </w:num>
  <w:num w:numId="195" w16cid:durableId="1277524815">
    <w:abstractNumId w:val="109"/>
  </w:num>
  <w:num w:numId="196" w16cid:durableId="745803349">
    <w:abstractNumId w:val="121"/>
  </w:num>
  <w:num w:numId="197" w16cid:durableId="1826431922">
    <w:abstractNumId w:val="70"/>
  </w:num>
  <w:num w:numId="198" w16cid:durableId="1543514473">
    <w:abstractNumId w:val="32"/>
  </w:num>
  <w:num w:numId="199" w16cid:durableId="912423627">
    <w:abstractNumId w:val="195"/>
  </w:num>
  <w:num w:numId="200" w16cid:durableId="634333187">
    <w:abstractNumId w:val="163"/>
  </w:num>
  <w:num w:numId="201" w16cid:durableId="312569823">
    <w:abstractNumId w:val="130"/>
  </w:num>
  <w:num w:numId="202" w16cid:durableId="976648665">
    <w:abstractNumId w:val="186"/>
  </w:num>
  <w:num w:numId="203" w16cid:durableId="1380281253">
    <w:abstractNumId w:val="43"/>
  </w:num>
  <w:num w:numId="204" w16cid:durableId="107748999">
    <w:abstractNumId w:val="170"/>
  </w:num>
  <w:num w:numId="205" w16cid:durableId="2001735495">
    <w:abstractNumId w:val="18"/>
  </w:num>
  <w:num w:numId="206" w16cid:durableId="302737820">
    <w:abstractNumId w:val="178"/>
  </w:num>
  <w:num w:numId="207" w16cid:durableId="1954240011">
    <w:abstractNumId w:val="153"/>
  </w:num>
  <w:num w:numId="208" w16cid:durableId="535461551">
    <w:abstractNumId w:val="92"/>
  </w:num>
  <w:num w:numId="209" w16cid:durableId="2095666928">
    <w:abstractNumId w:val="161"/>
  </w:num>
  <w:num w:numId="210" w16cid:durableId="447353506">
    <w:abstractNumId w:val="208"/>
  </w:num>
  <w:num w:numId="211" w16cid:durableId="1286740660">
    <w:abstractNumId w:val="209"/>
  </w:num>
  <w:num w:numId="212" w16cid:durableId="1874146690">
    <w:abstractNumId w:val="42"/>
  </w:num>
  <w:num w:numId="213" w16cid:durableId="171341777">
    <w:abstractNumId w:val="155"/>
  </w:num>
  <w:num w:numId="214" w16cid:durableId="2115902383">
    <w:abstractNumId w:val="162"/>
  </w:num>
  <w:num w:numId="215" w16cid:durableId="997997760">
    <w:abstractNumId w:val="202"/>
  </w:num>
  <w:num w:numId="216" w16cid:durableId="786655599">
    <w:abstractNumId w:val="19"/>
  </w:num>
  <w:num w:numId="217" w16cid:durableId="462432923">
    <w:abstractNumId w:val="10"/>
  </w:num>
  <w:num w:numId="218" w16cid:durableId="623540560">
    <w:abstractNumId w:val="57"/>
  </w:num>
  <w:num w:numId="219" w16cid:durableId="1583879441">
    <w:abstractNumId w:val="93"/>
  </w:num>
  <w:numIdMacAtCleanup w:val="2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51"/>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011A"/>
    <w:rsid w:val="00000766"/>
    <w:rsid w:val="00000F19"/>
    <w:rsid w:val="000014D6"/>
    <w:rsid w:val="00001539"/>
    <w:rsid w:val="00003571"/>
    <w:rsid w:val="00003585"/>
    <w:rsid w:val="0000378B"/>
    <w:rsid w:val="00003ABE"/>
    <w:rsid w:val="000059AA"/>
    <w:rsid w:val="00005E6E"/>
    <w:rsid w:val="00005EF6"/>
    <w:rsid w:val="00006A9A"/>
    <w:rsid w:val="00006CC4"/>
    <w:rsid w:val="00010105"/>
    <w:rsid w:val="0001039A"/>
    <w:rsid w:val="000107C7"/>
    <w:rsid w:val="00010CED"/>
    <w:rsid w:val="000112B4"/>
    <w:rsid w:val="000112BF"/>
    <w:rsid w:val="00011D6D"/>
    <w:rsid w:val="00011EFB"/>
    <w:rsid w:val="0001201E"/>
    <w:rsid w:val="000136B3"/>
    <w:rsid w:val="00014C97"/>
    <w:rsid w:val="00014F7B"/>
    <w:rsid w:val="00016F17"/>
    <w:rsid w:val="00017064"/>
    <w:rsid w:val="0001724F"/>
    <w:rsid w:val="000176A3"/>
    <w:rsid w:val="00024D6F"/>
    <w:rsid w:val="00027C47"/>
    <w:rsid w:val="0003022D"/>
    <w:rsid w:val="00031C6B"/>
    <w:rsid w:val="00031C9C"/>
    <w:rsid w:val="00032502"/>
    <w:rsid w:val="0003264E"/>
    <w:rsid w:val="0003342E"/>
    <w:rsid w:val="00035A22"/>
    <w:rsid w:val="00036F50"/>
    <w:rsid w:val="0003763E"/>
    <w:rsid w:val="0004113F"/>
    <w:rsid w:val="000412B9"/>
    <w:rsid w:val="00042439"/>
    <w:rsid w:val="00042BE5"/>
    <w:rsid w:val="000447E8"/>
    <w:rsid w:val="00047201"/>
    <w:rsid w:val="000508B2"/>
    <w:rsid w:val="00050C93"/>
    <w:rsid w:val="0005257E"/>
    <w:rsid w:val="00052F89"/>
    <w:rsid w:val="00054838"/>
    <w:rsid w:val="00055736"/>
    <w:rsid w:val="00055F83"/>
    <w:rsid w:val="0005643F"/>
    <w:rsid w:val="00056BE1"/>
    <w:rsid w:val="00056C33"/>
    <w:rsid w:val="00062C0D"/>
    <w:rsid w:val="0006367C"/>
    <w:rsid w:val="00063B2B"/>
    <w:rsid w:val="000655A0"/>
    <w:rsid w:val="00066B4B"/>
    <w:rsid w:val="00067581"/>
    <w:rsid w:val="00070F39"/>
    <w:rsid w:val="00070FEA"/>
    <w:rsid w:val="000710B3"/>
    <w:rsid w:val="00071187"/>
    <w:rsid w:val="00072416"/>
    <w:rsid w:val="00074175"/>
    <w:rsid w:val="000744F9"/>
    <w:rsid w:val="00074C4F"/>
    <w:rsid w:val="00080B00"/>
    <w:rsid w:val="00082011"/>
    <w:rsid w:val="00083172"/>
    <w:rsid w:val="00084067"/>
    <w:rsid w:val="00085C09"/>
    <w:rsid w:val="00087353"/>
    <w:rsid w:val="00087EBA"/>
    <w:rsid w:val="00090A05"/>
    <w:rsid w:val="00090D91"/>
    <w:rsid w:val="00091D48"/>
    <w:rsid w:val="0009284E"/>
    <w:rsid w:val="0009359A"/>
    <w:rsid w:val="00093CB9"/>
    <w:rsid w:val="00097406"/>
    <w:rsid w:val="000A161D"/>
    <w:rsid w:val="000A25C6"/>
    <w:rsid w:val="000A393E"/>
    <w:rsid w:val="000A3BC6"/>
    <w:rsid w:val="000A5CB9"/>
    <w:rsid w:val="000A7D30"/>
    <w:rsid w:val="000B1D36"/>
    <w:rsid w:val="000B2805"/>
    <w:rsid w:val="000B30F6"/>
    <w:rsid w:val="000B3738"/>
    <w:rsid w:val="000B4C12"/>
    <w:rsid w:val="000B68A3"/>
    <w:rsid w:val="000C00DD"/>
    <w:rsid w:val="000C2A25"/>
    <w:rsid w:val="000C2CF7"/>
    <w:rsid w:val="000C2E34"/>
    <w:rsid w:val="000C429D"/>
    <w:rsid w:val="000C5E8D"/>
    <w:rsid w:val="000C7CB4"/>
    <w:rsid w:val="000C7CFE"/>
    <w:rsid w:val="000D03D1"/>
    <w:rsid w:val="000D109A"/>
    <w:rsid w:val="000D2571"/>
    <w:rsid w:val="000D40DB"/>
    <w:rsid w:val="000D53EE"/>
    <w:rsid w:val="000E0573"/>
    <w:rsid w:val="000E098D"/>
    <w:rsid w:val="000E0B44"/>
    <w:rsid w:val="000E0D73"/>
    <w:rsid w:val="000E196A"/>
    <w:rsid w:val="000E23EA"/>
    <w:rsid w:val="000E29C4"/>
    <w:rsid w:val="000E4185"/>
    <w:rsid w:val="000E435F"/>
    <w:rsid w:val="000E48F2"/>
    <w:rsid w:val="000E49F2"/>
    <w:rsid w:val="000E4E76"/>
    <w:rsid w:val="000E6F1B"/>
    <w:rsid w:val="000E74FA"/>
    <w:rsid w:val="000E7DC0"/>
    <w:rsid w:val="000F0D28"/>
    <w:rsid w:val="000F0E4C"/>
    <w:rsid w:val="000F2DB8"/>
    <w:rsid w:val="000F39AE"/>
    <w:rsid w:val="000F4BA0"/>
    <w:rsid w:val="000F4F4E"/>
    <w:rsid w:val="000F79A9"/>
    <w:rsid w:val="0010041B"/>
    <w:rsid w:val="00102DA8"/>
    <w:rsid w:val="00103A8F"/>
    <w:rsid w:val="00103DD3"/>
    <w:rsid w:val="001043D5"/>
    <w:rsid w:val="0010504F"/>
    <w:rsid w:val="0010518D"/>
    <w:rsid w:val="0011118B"/>
    <w:rsid w:val="00111AC1"/>
    <w:rsid w:val="00111FDD"/>
    <w:rsid w:val="00113D61"/>
    <w:rsid w:val="001171C5"/>
    <w:rsid w:val="00117453"/>
    <w:rsid w:val="00120E04"/>
    <w:rsid w:val="00121F61"/>
    <w:rsid w:val="001220FB"/>
    <w:rsid w:val="001232D7"/>
    <w:rsid w:val="00124321"/>
    <w:rsid w:val="00126D60"/>
    <w:rsid w:val="001277E9"/>
    <w:rsid w:val="00127BCD"/>
    <w:rsid w:val="00127E55"/>
    <w:rsid w:val="0013039E"/>
    <w:rsid w:val="001303A1"/>
    <w:rsid w:val="001305D6"/>
    <w:rsid w:val="00130DF6"/>
    <w:rsid w:val="001316C3"/>
    <w:rsid w:val="001322C1"/>
    <w:rsid w:val="001323EC"/>
    <w:rsid w:val="001326EA"/>
    <w:rsid w:val="00132EFC"/>
    <w:rsid w:val="001341C7"/>
    <w:rsid w:val="00135C33"/>
    <w:rsid w:val="0013642F"/>
    <w:rsid w:val="00136C18"/>
    <w:rsid w:val="001373D3"/>
    <w:rsid w:val="00137824"/>
    <w:rsid w:val="00140BFC"/>
    <w:rsid w:val="0014183E"/>
    <w:rsid w:val="00141C26"/>
    <w:rsid w:val="00141CB4"/>
    <w:rsid w:val="00142C70"/>
    <w:rsid w:val="0014519F"/>
    <w:rsid w:val="00146863"/>
    <w:rsid w:val="001508EE"/>
    <w:rsid w:val="00151F70"/>
    <w:rsid w:val="0015332E"/>
    <w:rsid w:val="00153711"/>
    <w:rsid w:val="001546ED"/>
    <w:rsid w:val="0015505F"/>
    <w:rsid w:val="00155421"/>
    <w:rsid w:val="00155810"/>
    <w:rsid w:val="00155EB3"/>
    <w:rsid w:val="00155F23"/>
    <w:rsid w:val="0015756A"/>
    <w:rsid w:val="0015786B"/>
    <w:rsid w:val="00160851"/>
    <w:rsid w:val="00160E5D"/>
    <w:rsid w:val="00160F08"/>
    <w:rsid w:val="001620E3"/>
    <w:rsid w:val="00164512"/>
    <w:rsid w:val="00164D35"/>
    <w:rsid w:val="001650A3"/>
    <w:rsid w:val="0016615F"/>
    <w:rsid w:val="00166BFB"/>
    <w:rsid w:val="00167D5C"/>
    <w:rsid w:val="00171113"/>
    <w:rsid w:val="001716BC"/>
    <w:rsid w:val="0017174F"/>
    <w:rsid w:val="00171857"/>
    <w:rsid w:val="00172372"/>
    <w:rsid w:val="00173EAA"/>
    <w:rsid w:val="0017435C"/>
    <w:rsid w:val="00174517"/>
    <w:rsid w:val="00174663"/>
    <w:rsid w:val="00175F54"/>
    <w:rsid w:val="00176A14"/>
    <w:rsid w:val="00176B71"/>
    <w:rsid w:val="0017755B"/>
    <w:rsid w:val="0018014D"/>
    <w:rsid w:val="001814B3"/>
    <w:rsid w:val="0018175E"/>
    <w:rsid w:val="00184C8C"/>
    <w:rsid w:val="00185757"/>
    <w:rsid w:val="00186A9D"/>
    <w:rsid w:val="00186BB0"/>
    <w:rsid w:val="00187EA2"/>
    <w:rsid w:val="00191640"/>
    <w:rsid w:val="00194C2F"/>
    <w:rsid w:val="00195971"/>
    <w:rsid w:val="00197C2B"/>
    <w:rsid w:val="001A0503"/>
    <w:rsid w:val="001A18AC"/>
    <w:rsid w:val="001A1A4A"/>
    <w:rsid w:val="001A1BA8"/>
    <w:rsid w:val="001A28A0"/>
    <w:rsid w:val="001A46CC"/>
    <w:rsid w:val="001B02AA"/>
    <w:rsid w:val="001B16D6"/>
    <w:rsid w:val="001B512A"/>
    <w:rsid w:val="001B6D1D"/>
    <w:rsid w:val="001B6EB8"/>
    <w:rsid w:val="001B749A"/>
    <w:rsid w:val="001B795D"/>
    <w:rsid w:val="001B7DAE"/>
    <w:rsid w:val="001C0D32"/>
    <w:rsid w:val="001C15B2"/>
    <w:rsid w:val="001C283B"/>
    <w:rsid w:val="001C4AB2"/>
    <w:rsid w:val="001C4E5D"/>
    <w:rsid w:val="001C4E98"/>
    <w:rsid w:val="001C54CF"/>
    <w:rsid w:val="001C63A1"/>
    <w:rsid w:val="001C6CAB"/>
    <w:rsid w:val="001C7DC9"/>
    <w:rsid w:val="001D0673"/>
    <w:rsid w:val="001D15B5"/>
    <w:rsid w:val="001D1D64"/>
    <w:rsid w:val="001D207C"/>
    <w:rsid w:val="001D3E94"/>
    <w:rsid w:val="001D40C0"/>
    <w:rsid w:val="001D4D31"/>
    <w:rsid w:val="001D4FEF"/>
    <w:rsid w:val="001D6099"/>
    <w:rsid w:val="001D693E"/>
    <w:rsid w:val="001D6BA2"/>
    <w:rsid w:val="001D71C7"/>
    <w:rsid w:val="001E11FF"/>
    <w:rsid w:val="001E1B83"/>
    <w:rsid w:val="001E28D6"/>
    <w:rsid w:val="001E2946"/>
    <w:rsid w:val="001E2DDA"/>
    <w:rsid w:val="001E34F9"/>
    <w:rsid w:val="001E3968"/>
    <w:rsid w:val="001E3DF6"/>
    <w:rsid w:val="001E4D24"/>
    <w:rsid w:val="001E52BB"/>
    <w:rsid w:val="001E55D6"/>
    <w:rsid w:val="001E57E4"/>
    <w:rsid w:val="001E5BEB"/>
    <w:rsid w:val="001E6254"/>
    <w:rsid w:val="001E7EDC"/>
    <w:rsid w:val="001F09BF"/>
    <w:rsid w:val="001F0C01"/>
    <w:rsid w:val="001F0CB8"/>
    <w:rsid w:val="001F10B6"/>
    <w:rsid w:val="001F2181"/>
    <w:rsid w:val="001F2ABE"/>
    <w:rsid w:val="001F482F"/>
    <w:rsid w:val="001F51DB"/>
    <w:rsid w:val="001F5720"/>
    <w:rsid w:val="001F6B89"/>
    <w:rsid w:val="00200525"/>
    <w:rsid w:val="002006B0"/>
    <w:rsid w:val="00200BB1"/>
    <w:rsid w:val="00201753"/>
    <w:rsid w:val="002018EA"/>
    <w:rsid w:val="00203254"/>
    <w:rsid w:val="0020346A"/>
    <w:rsid w:val="00204342"/>
    <w:rsid w:val="00204586"/>
    <w:rsid w:val="0020488E"/>
    <w:rsid w:val="002078A8"/>
    <w:rsid w:val="002107C6"/>
    <w:rsid w:val="00211578"/>
    <w:rsid w:val="002129B2"/>
    <w:rsid w:val="00213B3F"/>
    <w:rsid w:val="002169F1"/>
    <w:rsid w:val="0022066A"/>
    <w:rsid w:val="0022366E"/>
    <w:rsid w:val="00223BF7"/>
    <w:rsid w:val="00225967"/>
    <w:rsid w:val="0022623E"/>
    <w:rsid w:val="00226941"/>
    <w:rsid w:val="00226AE8"/>
    <w:rsid w:val="00227AC4"/>
    <w:rsid w:val="00230A70"/>
    <w:rsid w:val="00233C02"/>
    <w:rsid w:val="00233DD9"/>
    <w:rsid w:val="0023453D"/>
    <w:rsid w:val="002369E5"/>
    <w:rsid w:val="00236D73"/>
    <w:rsid w:val="0023756B"/>
    <w:rsid w:val="00237B14"/>
    <w:rsid w:val="00240C29"/>
    <w:rsid w:val="002411B3"/>
    <w:rsid w:val="00241574"/>
    <w:rsid w:val="00242AF0"/>
    <w:rsid w:val="00242CBE"/>
    <w:rsid w:val="0024310E"/>
    <w:rsid w:val="00243289"/>
    <w:rsid w:val="002457A0"/>
    <w:rsid w:val="00250386"/>
    <w:rsid w:val="0025075F"/>
    <w:rsid w:val="002509A5"/>
    <w:rsid w:val="00250AE3"/>
    <w:rsid w:val="00250F27"/>
    <w:rsid w:val="002510F5"/>
    <w:rsid w:val="0025121B"/>
    <w:rsid w:val="0025255F"/>
    <w:rsid w:val="002528E7"/>
    <w:rsid w:val="00253FFB"/>
    <w:rsid w:val="00255284"/>
    <w:rsid w:val="002553B8"/>
    <w:rsid w:val="002555A8"/>
    <w:rsid w:val="00255C2B"/>
    <w:rsid w:val="00255C7D"/>
    <w:rsid w:val="00255CB5"/>
    <w:rsid w:val="00257006"/>
    <w:rsid w:val="00257A52"/>
    <w:rsid w:val="00257A70"/>
    <w:rsid w:val="002606EA"/>
    <w:rsid w:val="00260DA7"/>
    <w:rsid w:val="002612EF"/>
    <w:rsid w:val="00261D23"/>
    <w:rsid w:val="002646FE"/>
    <w:rsid w:val="0026473F"/>
    <w:rsid w:val="002651CF"/>
    <w:rsid w:val="002653CC"/>
    <w:rsid w:val="00265FA7"/>
    <w:rsid w:val="0026643B"/>
    <w:rsid w:val="0026710B"/>
    <w:rsid w:val="00267B10"/>
    <w:rsid w:val="00267BEC"/>
    <w:rsid w:val="00270EF0"/>
    <w:rsid w:val="00271B6B"/>
    <w:rsid w:val="0027248B"/>
    <w:rsid w:val="00272BC1"/>
    <w:rsid w:val="00272C2D"/>
    <w:rsid w:val="002739F9"/>
    <w:rsid w:val="0027407C"/>
    <w:rsid w:val="002750E5"/>
    <w:rsid w:val="00276B15"/>
    <w:rsid w:val="00277737"/>
    <w:rsid w:val="00277E46"/>
    <w:rsid w:val="0028009B"/>
    <w:rsid w:val="0028072A"/>
    <w:rsid w:val="00281A06"/>
    <w:rsid w:val="00281F11"/>
    <w:rsid w:val="002832B9"/>
    <w:rsid w:val="002845BC"/>
    <w:rsid w:val="00284B7F"/>
    <w:rsid w:val="0029046B"/>
    <w:rsid w:val="002904F5"/>
    <w:rsid w:val="00291373"/>
    <w:rsid w:val="002931B7"/>
    <w:rsid w:val="002932C1"/>
    <w:rsid w:val="0029624D"/>
    <w:rsid w:val="00296AD3"/>
    <w:rsid w:val="00297523"/>
    <w:rsid w:val="00297EAA"/>
    <w:rsid w:val="002A04C3"/>
    <w:rsid w:val="002A10ED"/>
    <w:rsid w:val="002A1443"/>
    <w:rsid w:val="002A2830"/>
    <w:rsid w:val="002A5F5F"/>
    <w:rsid w:val="002A5FC2"/>
    <w:rsid w:val="002A72CA"/>
    <w:rsid w:val="002B00FA"/>
    <w:rsid w:val="002B08F7"/>
    <w:rsid w:val="002B0B9E"/>
    <w:rsid w:val="002B1DA4"/>
    <w:rsid w:val="002B444F"/>
    <w:rsid w:val="002B5D18"/>
    <w:rsid w:val="002B5EB3"/>
    <w:rsid w:val="002B61D9"/>
    <w:rsid w:val="002B6B10"/>
    <w:rsid w:val="002B7FF3"/>
    <w:rsid w:val="002C0112"/>
    <w:rsid w:val="002C0380"/>
    <w:rsid w:val="002C04FD"/>
    <w:rsid w:val="002C2918"/>
    <w:rsid w:val="002C3DE7"/>
    <w:rsid w:val="002C426B"/>
    <w:rsid w:val="002C5D1C"/>
    <w:rsid w:val="002C7B83"/>
    <w:rsid w:val="002D08F7"/>
    <w:rsid w:val="002D1DF3"/>
    <w:rsid w:val="002D6F65"/>
    <w:rsid w:val="002D74B7"/>
    <w:rsid w:val="002D78B4"/>
    <w:rsid w:val="002D7A1C"/>
    <w:rsid w:val="002D7F57"/>
    <w:rsid w:val="002E0A48"/>
    <w:rsid w:val="002E0C49"/>
    <w:rsid w:val="002E0C81"/>
    <w:rsid w:val="002E0F13"/>
    <w:rsid w:val="002E10AB"/>
    <w:rsid w:val="002E18A8"/>
    <w:rsid w:val="002E3A0A"/>
    <w:rsid w:val="002E3E57"/>
    <w:rsid w:val="002E5575"/>
    <w:rsid w:val="002E5733"/>
    <w:rsid w:val="002E772A"/>
    <w:rsid w:val="002E7976"/>
    <w:rsid w:val="002E79AE"/>
    <w:rsid w:val="002F21C6"/>
    <w:rsid w:val="002F2348"/>
    <w:rsid w:val="002F2818"/>
    <w:rsid w:val="002F3911"/>
    <w:rsid w:val="002F3B15"/>
    <w:rsid w:val="002F4DD2"/>
    <w:rsid w:val="002F635E"/>
    <w:rsid w:val="002F6BC8"/>
    <w:rsid w:val="0030089B"/>
    <w:rsid w:val="00300E68"/>
    <w:rsid w:val="003039B4"/>
    <w:rsid w:val="00304383"/>
    <w:rsid w:val="00304B76"/>
    <w:rsid w:val="00304BD9"/>
    <w:rsid w:val="00305B75"/>
    <w:rsid w:val="003077A3"/>
    <w:rsid w:val="00307861"/>
    <w:rsid w:val="00307873"/>
    <w:rsid w:val="00307A63"/>
    <w:rsid w:val="00307FB3"/>
    <w:rsid w:val="0031002F"/>
    <w:rsid w:val="003119DB"/>
    <w:rsid w:val="00312B18"/>
    <w:rsid w:val="00314505"/>
    <w:rsid w:val="00315205"/>
    <w:rsid w:val="003163C8"/>
    <w:rsid w:val="003217D4"/>
    <w:rsid w:val="0032367F"/>
    <w:rsid w:val="0032375A"/>
    <w:rsid w:val="00324C62"/>
    <w:rsid w:val="003250D4"/>
    <w:rsid w:val="00326DBA"/>
    <w:rsid w:val="00330183"/>
    <w:rsid w:val="003304EB"/>
    <w:rsid w:val="00331252"/>
    <w:rsid w:val="00332A36"/>
    <w:rsid w:val="0033392E"/>
    <w:rsid w:val="00334632"/>
    <w:rsid w:val="00334793"/>
    <w:rsid w:val="00334E31"/>
    <w:rsid w:val="00334F68"/>
    <w:rsid w:val="00335A7C"/>
    <w:rsid w:val="003368DA"/>
    <w:rsid w:val="00337C5A"/>
    <w:rsid w:val="003406BD"/>
    <w:rsid w:val="00342684"/>
    <w:rsid w:val="0034333B"/>
    <w:rsid w:val="00343E30"/>
    <w:rsid w:val="00343EF7"/>
    <w:rsid w:val="0034494F"/>
    <w:rsid w:val="00346B98"/>
    <w:rsid w:val="003509F8"/>
    <w:rsid w:val="00350E0C"/>
    <w:rsid w:val="00350EAF"/>
    <w:rsid w:val="00351DF6"/>
    <w:rsid w:val="00353151"/>
    <w:rsid w:val="003533A5"/>
    <w:rsid w:val="003545F7"/>
    <w:rsid w:val="00354FAC"/>
    <w:rsid w:val="00354FD2"/>
    <w:rsid w:val="0035567A"/>
    <w:rsid w:val="003560B1"/>
    <w:rsid w:val="00357AC4"/>
    <w:rsid w:val="00357FA2"/>
    <w:rsid w:val="00360429"/>
    <w:rsid w:val="00361052"/>
    <w:rsid w:val="003619F9"/>
    <w:rsid w:val="00363414"/>
    <w:rsid w:val="00364550"/>
    <w:rsid w:val="0036568B"/>
    <w:rsid w:val="003669E6"/>
    <w:rsid w:val="00367A2B"/>
    <w:rsid w:val="00367CCA"/>
    <w:rsid w:val="0037091D"/>
    <w:rsid w:val="00370F30"/>
    <w:rsid w:val="00370FBD"/>
    <w:rsid w:val="00373277"/>
    <w:rsid w:val="003736E6"/>
    <w:rsid w:val="00375020"/>
    <w:rsid w:val="00376036"/>
    <w:rsid w:val="0037607E"/>
    <w:rsid w:val="003762D0"/>
    <w:rsid w:val="0037738E"/>
    <w:rsid w:val="00377B48"/>
    <w:rsid w:val="0038068F"/>
    <w:rsid w:val="00380BF2"/>
    <w:rsid w:val="003817A0"/>
    <w:rsid w:val="00382A7D"/>
    <w:rsid w:val="00382F27"/>
    <w:rsid w:val="003836D1"/>
    <w:rsid w:val="003850DD"/>
    <w:rsid w:val="00386050"/>
    <w:rsid w:val="00387991"/>
    <w:rsid w:val="003902BD"/>
    <w:rsid w:val="0039035E"/>
    <w:rsid w:val="00390C66"/>
    <w:rsid w:val="00390CBE"/>
    <w:rsid w:val="0039269A"/>
    <w:rsid w:val="00392FFC"/>
    <w:rsid w:val="003955B4"/>
    <w:rsid w:val="00397538"/>
    <w:rsid w:val="00397A23"/>
    <w:rsid w:val="00397B2E"/>
    <w:rsid w:val="003A0D69"/>
    <w:rsid w:val="003A1CAC"/>
    <w:rsid w:val="003A532D"/>
    <w:rsid w:val="003A5939"/>
    <w:rsid w:val="003A645D"/>
    <w:rsid w:val="003A7C1C"/>
    <w:rsid w:val="003B03E9"/>
    <w:rsid w:val="003B0582"/>
    <w:rsid w:val="003B05F1"/>
    <w:rsid w:val="003B0929"/>
    <w:rsid w:val="003B09A5"/>
    <w:rsid w:val="003B254A"/>
    <w:rsid w:val="003B2D37"/>
    <w:rsid w:val="003B3052"/>
    <w:rsid w:val="003B764F"/>
    <w:rsid w:val="003B79D4"/>
    <w:rsid w:val="003C075B"/>
    <w:rsid w:val="003C0C5A"/>
    <w:rsid w:val="003C3CE4"/>
    <w:rsid w:val="003C524A"/>
    <w:rsid w:val="003C6886"/>
    <w:rsid w:val="003C7DD1"/>
    <w:rsid w:val="003D1A68"/>
    <w:rsid w:val="003D20E5"/>
    <w:rsid w:val="003D275F"/>
    <w:rsid w:val="003D2F50"/>
    <w:rsid w:val="003D363B"/>
    <w:rsid w:val="003D3FC3"/>
    <w:rsid w:val="003D46B0"/>
    <w:rsid w:val="003D5258"/>
    <w:rsid w:val="003D7933"/>
    <w:rsid w:val="003D7E0B"/>
    <w:rsid w:val="003E0387"/>
    <w:rsid w:val="003E1370"/>
    <w:rsid w:val="003E1643"/>
    <w:rsid w:val="003E21F8"/>
    <w:rsid w:val="003E2BF1"/>
    <w:rsid w:val="003E2DC9"/>
    <w:rsid w:val="003E3702"/>
    <w:rsid w:val="003E485C"/>
    <w:rsid w:val="003E758A"/>
    <w:rsid w:val="003E7784"/>
    <w:rsid w:val="003F196F"/>
    <w:rsid w:val="003F4DF4"/>
    <w:rsid w:val="003F5400"/>
    <w:rsid w:val="003F5D73"/>
    <w:rsid w:val="003F5FEC"/>
    <w:rsid w:val="003F61FC"/>
    <w:rsid w:val="003F65CB"/>
    <w:rsid w:val="003F6646"/>
    <w:rsid w:val="003F7057"/>
    <w:rsid w:val="003F74A4"/>
    <w:rsid w:val="0040118D"/>
    <w:rsid w:val="00401266"/>
    <w:rsid w:val="00402BC2"/>
    <w:rsid w:val="00405A39"/>
    <w:rsid w:val="004079DB"/>
    <w:rsid w:val="004107F9"/>
    <w:rsid w:val="004123BA"/>
    <w:rsid w:val="00412C5F"/>
    <w:rsid w:val="00412F2C"/>
    <w:rsid w:val="00413A68"/>
    <w:rsid w:val="00413B57"/>
    <w:rsid w:val="00413B91"/>
    <w:rsid w:val="0041404D"/>
    <w:rsid w:val="004142D4"/>
    <w:rsid w:val="00414C22"/>
    <w:rsid w:val="0041515F"/>
    <w:rsid w:val="00416437"/>
    <w:rsid w:val="004169E8"/>
    <w:rsid w:val="004170C8"/>
    <w:rsid w:val="00417EDB"/>
    <w:rsid w:val="0042099A"/>
    <w:rsid w:val="00421286"/>
    <w:rsid w:val="00423655"/>
    <w:rsid w:val="00423C4C"/>
    <w:rsid w:val="00423EC4"/>
    <w:rsid w:val="0042432A"/>
    <w:rsid w:val="00426344"/>
    <w:rsid w:val="004270B8"/>
    <w:rsid w:val="00432734"/>
    <w:rsid w:val="00433426"/>
    <w:rsid w:val="0043445B"/>
    <w:rsid w:val="00437799"/>
    <w:rsid w:val="004403C9"/>
    <w:rsid w:val="00440B4A"/>
    <w:rsid w:val="0044190F"/>
    <w:rsid w:val="004433AF"/>
    <w:rsid w:val="00443E3D"/>
    <w:rsid w:val="00445CB1"/>
    <w:rsid w:val="00450994"/>
    <w:rsid w:val="0045281D"/>
    <w:rsid w:val="00454CDF"/>
    <w:rsid w:val="0045574D"/>
    <w:rsid w:val="00455960"/>
    <w:rsid w:val="00456876"/>
    <w:rsid w:val="00456DF5"/>
    <w:rsid w:val="004603B1"/>
    <w:rsid w:val="004607A3"/>
    <w:rsid w:val="004611AB"/>
    <w:rsid w:val="00462222"/>
    <w:rsid w:val="00463625"/>
    <w:rsid w:val="0046633C"/>
    <w:rsid w:val="00466B50"/>
    <w:rsid w:val="00466B6E"/>
    <w:rsid w:val="004677E5"/>
    <w:rsid w:val="00470348"/>
    <w:rsid w:val="00470D9E"/>
    <w:rsid w:val="004725DB"/>
    <w:rsid w:val="004736C9"/>
    <w:rsid w:val="0047373A"/>
    <w:rsid w:val="00475C54"/>
    <w:rsid w:val="00475E30"/>
    <w:rsid w:val="00476232"/>
    <w:rsid w:val="004764E2"/>
    <w:rsid w:val="004768C7"/>
    <w:rsid w:val="00476BA9"/>
    <w:rsid w:val="00477456"/>
    <w:rsid w:val="0047752C"/>
    <w:rsid w:val="00477649"/>
    <w:rsid w:val="00480057"/>
    <w:rsid w:val="00482A34"/>
    <w:rsid w:val="0048510F"/>
    <w:rsid w:val="00485D0D"/>
    <w:rsid w:val="00485ECE"/>
    <w:rsid w:val="004866AA"/>
    <w:rsid w:val="00486B8B"/>
    <w:rsid w:val="00486C61"/>
    <w:rsid w:val="004872EC"/>
    <w:rsid w:val="00490814"/>
    <w:rsid w:val="00490BC6"/>
    <w:rsid w:val="00490F67"/>
    <w:rsid w:val="00494757"/>
    <w:rsid w:val="00495CFA"/>
    <w:rsid w:val="00497DDC"/>
    <w:rsid w:val="004A0855"/>
    <w:rsid w:val="004A0FE0"/>
    <w:rsid w:val="004A12A7"/>
    <w:rsid w:val="004A2883"/>
    <w:rsid w:val="004A28F4"/>
    <w:rsid w:val="004A2AC8"/>
    <w:rsid w:val="004A2E9F"/>
    <w:rsid w:val="004A50D9"/>
    <w:rsid w:val="004A6723"/>
    <w:rsid w:val="004A682C"/>
    <w:rsid w:val="004A68E1"/>
    <w:rsid w:val="004A6E4D"/>
    <w:rsid w:val="004A6EBF"/>
    <w:rsid w:val="004B02BB"/>
    <w:rsid w:val="004B0889"/>
    <w:rsid w:val="004B1875"/>
    <w:rsid w:val="004B1A2B"/>
    <w:rsid w:val="004B3391"/>
    <w:rsid w:val="004B41CB"/>
    <w:rsid w:val="004B5A11"/>
    <w:rsid w:val="004B5DA9"/>
    <w:rsid w:val="004B5E58"/>
    <w:rsid w:val="004B6F53"/>
    <w:rsid w:val="004B78A9"/>
    <w:rsid w:val="004C0B4C"/>
    <w:rsid w:val="004C26AF"/>
    <w:rsid w:val="004C36E5"/>
    <w:rsid w:val="004C5C24"/>
    <w:rsid w:val="004C6138"/>
    <w:rsid w:val="004C6959"/>
    <w:rsid w:val="004D1778"/>
    <w:rsid w:val="004D32A0"/>
    <w:rsid w:val="004D3337"/>
    <w:rsid w:val="004D4EB8"/>
    <w:rsid w:val="004D559B"/>
    <w:rsid w:val="004D6B17"/>
    <w:rsid w:val="004E0940"/>
    <w:rsid w:val="004E11B1"/>
    <w:rsid w:val="004E1DC7"/>
    <w:rsid w:val="004E202D"/>
    <w:rsid w:val="004E2551"/>
    <w:rsid w:val="004E29D5"/>
    <w:rsid w:val="004E316B"/>
    <w:rsid w:val="004E415E"/>
    <w:rsid w:val="004E440E"/>
    <w:rsid w:val="004E57A0"/>
    <w:rsid w:val="004E7990"/>
    <w:rsid w:val="004F045B"/>
    <w:rsid w:val="004F23EB"/>
    <w:rsid w:val="004F349C"/>
    <w:rsid w:val="004F4625"/>
    <w:rsid w:val="004F50B3"/>
    <w:rsid w:val="004F54A3"/>
    <w:rsid w:val="004F594A"/>
    <w:rsid w:val="004F5C49"/>
    <w:rsid w:val="005010EC"/>
    <w:rsid w:val="00501383"/>
    <w:rsid w:val="0050163C"/>
    <w:rsid w:val="005020A0"/>
    <w:rsid w:val="005027DF"/>
    <w:rsid w:val="00504404"/>
    <w:rsid w:val="0050664A"/>
    <w:rsid w:val="00506CDC"/>
    <w:rsid w:val="00507A82"/>
    <w:rsid w:val="005101FF"/>
    <w:rsid w:val="0051033E"/>
    <w:rsid w:val="00511AE0"/>
    <w:rsid w:val="00512FD3"/>
    <w:rsid w:val="00513388"/>
    <w:rsid w:val="00514F65"/>
    <w:rsid w:val="005155A7"/>
    <w:rsid w:val="005157AE"/>
    <w:rsid w:val="00516052"/>
    <w:rsid w:val="005164ED"/>
    <w:rsid w:val="00516687"/>
    <w:rsid w:val="00520193"/>
    <w:rsid w:val="0052179A"/>
    <w:rsid w:val="00521917"/>
    <w:rsid w:val="00522386"/>
    <w:rsid w:val="00524677"/>
    <w:rsid w:val="005252D1"/>
    <w:rsid w:val="00526419"/>
    <w:rsid w:val="005304D8"/>
    <w:rsid w:val="005322E8"/>
    <w:rsid w:val="00533C55"/>
    <w:rsid w:val="00534F3F"/>
    <w:rsid w:val="0053538A"/>
    <w:rsid w:val="00535CFE"/>
    <w:rsid w:val="00535F4A"/>
    <w:rsid w:val="005367D9"/>
    <w:rsid w:val="005368F2"/>
    <w:rsid w:val="005406B2"/>
    <w:rsid w:val="00541191"/>
    <w:rsid w:val="00541A44"/>
    <w:rsid w:val="0054684D"/>
    <w:rsid w:val="0054733A"/>
    <w:rsid w:val="005473F7"/>
    <w:rsid w:val="00550644"/>
    <w:rsid w:val="00550CF1"/>
    <w:rsid w:val="0055124B"/>
    <w:rsid w:val="00552D84"/>
    <w:rsid w:val="005531E4"/>
    <w:rsid w:val="00553848"/>
    <w:rsid w:val="00554A21"/>
    <w:rsid w:val="0055556D"/>
    <w:rsid w:val="005557C3"/>
    <w:rsid w:val="00556ADA"/>
    <w:rsid w:val="00556D05"/>
    <w:rsid w:val="00557395"/>
    <w:rsid w:val="0055773C"/>
    <w:rsid w:val="00557AD8"/>
    <w:rsid w:val="00557BD9"/>
    <w:rsid w:val="00560C2E"/>
    <w:rsid w:val="00560CC4"/>
    <w:rsid w:val="00560D65"/>
    <w:rsid w:val="00561279"/>
    <w:rsid w:val="0056275C"/>
    <w:rsid w:val="00562D48"/>
    <w:rsid w:val="00562D79"/>
    <w:rsid w:val="00563DC1"/>
    <w:rsid w:val="00564DC3"/>
    <w:rsid w:val="00566643"/>
    <w:rsid w:val="00566AD6"/>
    <w:rsid w:val="00570AB0"/>
    <w:rsid w:val="00571B73"/>
    <w:rsid w:val="0057273F"/>
    <w:rsid w:val="005734E9"/>
    <w:rsid w:val="0057473B"/>
    <w:rsid w:val="005765AE"/>
    <w:rsid w:val="00577BA6"/>
    <w:rsid w:val="0058001D"/>
    <w:rsid w:val="005810AE"/>
    <w:rsid w:val="005810CD"/>
    <w:rsid w:val="005820BB"/>
    <w:rsid w:val="005842AB"/>
    <w:rsid w:val="0058619D"/>
    <w:rsid w:val="005863F7"/>
    <w:rsid w:val="00586DA2"/>
    <w:rsid w:val="0058761F"/>
    <w:rsid w:val="00592549"/>
    <w:rsid w:val="00592B3C"/>
    <w:rsid w:val="0059334B"/>
    <w:rsid w:val="00593430"/>
    <w:rsid w:val="00594F3A"/>
    <w:rsid w:val="00595210"/>
    <w:rsid w:val="00595419"/>
    <w:rsid w:val="00595481"/>
    <w:rsid w:val="005956D5"/>
    <w:rsid w:val="005972E8"/>
    <w:rsid w:val="005A1284"/>
    <w:rsid w:val="005A12B5"/>
    <w:rsid w:val="005A4AC3"/>
    <w:rsid w:val="005A4E6A"/>
    <w:rsid w:val="005A5A99"/>
    <w:rsid w:val="005A6615"/>
    <w:rsid w:val="005A6960"/>
    <w:rsid w:val="005A7C03"/>
    <w:rsid w:val="005B1BFD"/>
    <w:rsid w:val="005B26E9"/>
    <w:rsid w:val="005B30E3"/>
    <w:rsid w:val="005B3550"/>
    <w:rsid w:val="005B3F9C"/>
    <w:rsid w:val="005B4676"/>
    <w:rsid w:val="005B4E50"/>
    <w:rsid w:val="005B590F"/>
    <w:rsid w:val="005B7EAE"/>
    <w:rsid w:val="005C1DC4"/>
    <w:rsid w:val="005C20B7"/>
    <w:rsid w:val="005C210B"/>
    <w:rsid w:val="005C2760"/>
    <w:rsid w:val="005C5AD5"/>
    <w:rsid w:val="005C6F3B"/>
    <w:rsid w:val="005C72E6"/>
    <w:rsid w:val="005D0D74"/>
    <w:rsid w:val="005D0DC1"/>
    <w:rsid w:val="005D0DFD"/>
    <w:rsid w:val="005D0E0C"/>
    <w:rsid w:val="005D141D"/>
    <w:rsid w:val="005D4D73"/>
    <w:rsid w:val="005D5704"/>
    <w:rsid w:val="005D5B49"/>
    <w:rsid w:val="005E0A34"/>
    <w:rsid w:val="005E15A8"/>
    <w:rsid w:val="005E1D49"/>
    <w:rsid w:val="005E2CD5"/>
    <w:rsid w:val="005E47B2"/>
    <w:rsid w:val="005F011A"/>
    <w:rsid w:val="005F0EE3"/>
    <w:rsid w:val="005F13C0"/>
    <w:rsid w:val="005F18C8"/>
    <w:rsid w:val="005F2B18"/>
    <w:rsid w:val="005F4732"/>
    <w:rsid w:val="005F4C1A"/>
    <w:rsid w:val="005F6F4A"/>
    <w:rsid w:val="006008A5"/>
    <w:rsid w:val="006009A2"/>
    <w:rsid w:val="00600DB6"/>
    <w:rsid w:val="006038E5"/>
    <w:rsid w:val="00603EB4"/>
    <w:rsid w:val="00604453"/>
    <w:rsid w:val="00604D55"/>
    <w:rsid w:val="0060518E"/>
    <w:rsid w:val="00605BCC"/>
    <w:rsid w:val="0060652F"/>
    <w:rsid w:val="00607286"/>
    <w:rsid w:val="00607409"/>
    <w:rsid w:val="00610413"/>
    <w:rsid w:val="00610A73"/>
    <w:rsid w:val="00611641"/>
    <w:rsid w:val="0061164C"/>
    <w:rsid w:val="006142D5"/>
    <w:rsid w:val="006154DD"/>
    <w:rsid w:val="00615AE6"/>
    <w:rsid w:val="00615BF3"/>
    <w:rsid w:val="006177F6"/>
    <w:rsid w:val="00617DC4"/>
    <w:rsid w:val="006208C0"/>
    <w:rsid w:val="0062137D"/>
    <w:rsid w:val="00621562"/>
    <w:rsid w:val="006222C0"/>
    <w:rsid w:val="00622709"/>
    <w:rsid w:val="00622DA7"/>
    <w:rsid w:val="00627C4A"/>
    <w:rsid w:val="00630F5C"/>
    <w:rsid w:val="00633931"/>
    <w:rsid w:val="006371BF"/>
    <w:rsid w:val="00640F11"/>
    <w:rsid w:val="00641338"/>
    <w:rsid w:val="006430A2"/>
    <w:rsid w:val="00645946"/>
    <w:rsid w:val="00645A80"/>
    <w:rsid w:val="00647C14"/>
    <w:rsid w:val="00647D80"/>
    <w:rsid w:val="0065030F"/>
    <w:rsid w:val="00650BEF"/>
    <w:rsid w:val="00651BC2"/>
    <w:rsid w:val="00651EF1"/>
    <w:rsid w:val="00654A64"/>
    <w:rsid w:val="00654ABF"/>
    <w:rsid w:val="00655AB5"/>
    <w:rsid w:val="00655FE7"/>
    <w:rsid w:val="006563E2"/>
    <w:rsid w:val="006566A5"/>
    <w:rsid w:val="00656D5B"/>
    <w:rsid w:val="00661A49"/>
    <w:rsid w:val="00661CF6"/>
    <w:rsid w:val="00661D6F"/>
    <w:rsid w:val="006629F6"/>
    <w:rsid w:val="00662B53"/>
    <w:rsid w:val="00663C69"/>
    <w:rsid w:val="00663EF3"/>
    <w:rsid w:val="00663F69"/>
    <w:rsid w:val="00666D52"/>
    <w:rsid w:val="00670A67"/>
    <w:rsid w:val="006720A3"/>
    <w:rsid w:val="006721B8"/>
    <w:rsid w:val="0067487D"/>
    <w:rsid w:val="00674A0F"/>
    <w:rsid w:val="00676C16"/>
    <w:rsid w:val="00677F50"/>
    <w:rsid w:val="00681A2E"/>
    <w:rsid w:val="00681E08"/>
    <w:rsid w:val="00684246"/>
    <w:rsid w:val="00684C21"/>
    <w:rsid w:val="00684C7F"/>
    <w:rsid w:val="006855C4"/>
    <w:rsid w:val="0068567E"/>
    <w:rsid w:val="00685A1B"/>
    <w:rsid w:val="00685FBD"/>
    <w:rsid w:val="00686814"/>
    <w:rsid w:val="00690F37"/>
    <w:rsid w:val="00693C2F"/>
    <w:rsid w:val="00694080"/>
    <w:rsid w:val="006945A7"/>
    <w:rsid w:val="00694AE8"/>
    <w:rsid w:val="00695CCB"/>
    <w:rsid w:val="006A03A4"/>
    <w:rsid w:val="006A09DE"/>
    <w:rsid w:val="006A1C00"/>
    <w:rsid w:val="006A22D8"/>
    <w:rsid w:val="006A2AB1"/>
    <w:rsid w:val="006A3D74"/>
    <w:rsid w:val="006A491C"/>
    <w:rsid w:val="006A70FB"/>
    <w:rsid w:val="006A7697"/>
    <w:rsid w:val="006A7C59"/>
    <w:rsid w:val="006B038D"/>
    <w:rsid w:val="006B0F47"/>
    <w:rsid w:val="006B14FF"/>
    <w:rsid w:val="006B1CA3"/>
    <w:rsid w:val="006B2659"/>
    <w:rsid w:val="006B2762"/>
    <w:rsid w:val="006B2B7C"/>
    <w:rsid w:val="006B2EE2"/>
    <w:rsid w:val="006B3F58"/>
    <w:rsid w:val="006B42C9"/>
    <w:rsid w:val="006B5369"/>
    <w:rsid w:val="006B588F"/>
    <w:rsid w:val="006C03CA"/>
    <w:rsid w:val="006C2ADC"/>
    <w:rsid w:val="006C3266"/>
    <w:rsid w:val="006C39D0"/>
    <w:rsid w:val="006C431C"/>
    <w:rsid w:val="006C491C"/>
    <w:rsid w:val="006C56F1"/>
    <w:rsid w:val="006C5B67"/>
    <w:rsid w:val="006C5D79"/>
    <w:rsid w:val="006D00CF"/>
    <w:rsid w:val="006D0992"/>
    <w:rsid w:val="006D0D66"/>
    <w:rsid w:val="006D22F3"/>
    <w:rsid w:val="006D2348"/>
    <w:rsid w:val="006D34F3"/>
    <w:rsid w:val="006D37E3"/>
    <w:rsid w:val="006D4338"/>
    <w:rsid w:val="006D51C0"/>
    <w:rsid w:val="006D540A"/>
    <w:rsid w:val="006D61B5"/>
    <w:rsid w:val="006D7742"/>
    <w:rsid w:val="006E08CB"/>
    <w:rsid w:val="006E13E2"/>
    <w:rsid w:val="006E14EE"/>
    <w:rsid w:val="006E1EC0"/>
    <w:rsid w:val="006E25B1"/>
    <w:rsid w:val="006E2ACD"/>
    <w:rsid w:val="006E4989"/>
    <w:rsid w:val="006E4CF0"/>
    <w:rsid w:val="006E57DB"/>
    <w:rsid w:val="006E767E"/>
    <w:rsid w:val="006E795F"/>
    <w:rsid w:val="006F1DEB"/>
    <w:rsid w:val="006F2905"/>
    <w:rsid w:val="006F53CC"/>
    <w:rsid w:val="006F5421"/>
    <w:rsid w:val="006F5576"/>
    <w:rsid w:val="006F684E"/>
    <w:rsid w:val="007003B6"/>
    <w:rsid w:val="00701756"/>
    <w:rsid w:val="00701804"/>
    <w:rsid w:val="0070434D"/>
    <w:rsid w:val="00707702"/>
    <w:rsid w:val="0070778F"/>
    <w:rsid w:val="00707BE1"/>
    <w:rsid w:val="00707E77"/>
    <w:rsid w:val="00710587"/>
    <w:rsid w:val="00711DE5"/>
    <w:rsid w:val="00713149"/>
    <w:rsid w:val="00713679"/>
    <w:rsid w:val="00713975"/>
    <w:rsid w:val="00715A44"/>
    <w:rsid w:val="00715B9C"/>
    <w:rsid w:val="0071603B"/>
    <w:rsid w:val="007167A1"/>
    <w:rsid w:val="007174DA"/>
    <w:rsid w:val="00720EB6"/>
    <w:rsid w:val="00722063"/>
    <w:rsid w:val="0072270C"/>
    <w:rsid w:val="00722F35"/>
    <w:rsid w:val="007242B1"/>
    <w:rsid w:val="007244C1"/>
    <w:rsid w:val="007259FD"/>
    <w:rsid w:val="00725B5E"/>
    <w:rsid w:val="00726E82"/>
    <w:rsid w:val="00727EAD"/>
    <w:rsid w:val="007338DD"/>
    <w:rsid w:val="00734807"/>
    <w:rsid w:val="0073644F"/>
    <w:rsid w:val="00737CF9"/>
    <w:rsid w:val="00740007"/>
    <w:rsid w:val="007406AE"/>
    <w:rsid w:val="00742929"/>
    <w:rsid w:val="00742CB4"/>
    <w:rsid w:val="00742D9A"/>
    <w:rsid w:val="00743CE2"/>
    <w:rsid w:val="00743D8B"/>
    <w:rsid w:val="007440F3"/>
    <w:rsid w:val="0074413C"/>
    <w:rsid w:val="00744449"/>
    <w:rsid w:val="0074476A"/>
    <w:rsid w:val="00745147"/>
    <w:rsid w:val="0074551F"/>
    <w:rsid w:val="007455D8"/>
    <w:rsid w:val="00746D3D"/>
    <w:rsid w:val="00746F49"/>
    <w:rsid w:val="007474AA"/>
    <w:rsid w:val="007476E2"/>
    <w:rsid w:val="00750E86"/>
    <w:rsid w:val="00752466"/>
    <w:rsid w:val="00752A00"/>
    <w:rsid w:val="007536E5"/>
    <w:rsid w:val="007554A1"/>
    <w:rsid w:val="00756F6B"/>
    <w:rsid w:val="007574E4"/>
    <w:rsid w:val="00757B03"/>
    <w:rsid w:val="00757CAB"/>
    <w:rsid w:val="007606F8"/>
    <w:rsid w:val="00764614"/>
    <w:rsid w:val="00764B47"/>
    <w:rsid w:val="00765E78"/>
    <w:rsid w:val="0076676D"/>
    <w:rsid w:val="00770380"/>
    <w:rsid w:val="007760CA"/>
    <w:rsid w:val="00776271"/>
    <w:rsid w:val="007770EC"/>
    <w:rsid w:val="00777B8F"/>
    <w:rsid w:val="00777C82"/>
    <w:rsid w:val="00781242"/>
    <w:rsid w:val="00781BAF"/>
    <w:rsid w:val="007822CD"/>
    <w:rsid w:val="007825F7"/>
    <w:rsid w:val="00782AD9"/>
    <w:rsid w:val="00783F49"/>
    <w:rsid w:val="007859F1"/>
    <w:rsid w:val="00785AE3"/>
    <w:rsid w:val="00786E55"/>
    <w:rsid w:val="00787A82"/>
    <w:rsid w:val="007907B6"/>
    <w:rsid w:val="007908AF"/>
    <w:rsid w:val="00790B0D"/>
    <w:rsid w:val="007937B3"/>
    <w:rsid w:val="00795FE3"/>
    <w:rsid w:val="007962D5"/>
    <w:rsid w:val="00796A54"/>
    <w:rsid w:val="00797E1E"/>
    <w:rsid w:val="007A0384"/>
    <w:rsid w:val="007A3AEB"/>
    <w:rsid w:val="007A49D3"/>
    <w:rsid w:val="007A4FDE"/>
    <w:rsid w:val="007A5975"/>
    <w:rsid w:val="007A6480"/>
    <w:rsid w:val="007A706A"/>
    <w:rsid w:val="007B1605"/>
    <w:rsid w:val="007B31E4"/>
    <w:rsid w:val="007B3AB2"/>
    <w:rsid w:val="007B4FF2"/>
    <w:rsid w:val="007B5687"/>
    <w:rsid w:val="007B583A"/>
    <w:rsid w:val="007B6059"/>
    <w:rsid w:val="007B6106"/>
    <w:rsid w:val="007B6F68"/>
    <w:rsid w:val="007B73DA"/>
    <w:rsid w:val="007B7CE4"/>
    <w:rsid w:val="007C0FFE"/>
    <w:rsid w:val="007C1BA8"/>
    <w:rsid w:val="007C2BE4"/>
    <w:rsid w:val="007C3010"/>
    <w:rsid w:val="007C4AF4"/>
    <w:rsid w:val="007C5ACA"/>
    <w:rsid w:val="007C637A"/>
    <w:rsid w:val="007C69CE"/>
    <w:rsid w:val="007C74D7"/>
    <w:rsid w:val="007C78D4"/>
    <w:rsid w:val="007D05B4"/>
    <w:rsid w:val="007D0943"/>
    <w:rsid w:val="007D0B2A"/>
    <w:rsid w:val="007D14CF"/>
    <w:rsid w:val="007D297E"/>
    <w:rsid w:val="007D4042"/>
    <w:rsid w:val="007D51FC"/>
    <w:rsid w:val="007D53AA"/>
    <w:rsid w:val="007D5D5F"/>
    <w:rsid w:val="007D769D"/>
    <w:rsid w:val="007E0C44"/>
    <w:rsid w:val="007E0C74"/>
    <w:rsid w:val="007E0E31"/>
    <w:rsid w:val="007E1C39"/>
    <w:rsid w:val="007E2EA6"/>
    <w:rsid w:val="007E3045"/>
    <w:rsid w:val="007E3C10"/>
    <w:rsid w:val="007E4917"/>
    <w:rsid w:val="007E5252"/>
    <w:rsid w:val="007E532D"/>
    <w:rsid w:val="007E54D1"/>
    <w:rsid w:val="007E57C7"/>
    <w:rsid w:val="007E6413"/>
    <w:rsid w:val="007F0676"/>
    <w:rsid w:val="007F1D47"/>
    <w:rsid w:val="007F2485"/>
    <w:rsid w:val="007F3370"/>
    <w:rsid w:val="007F3889"/>
    <w:rsid w:val="007F3FEC"/>
    <w:rsid w:val="007F400F"/>
    <w:rsid w:val="007F5252"/>
    <w:rsid w:val="007F5E03"/>
    <w:rsid w:val="007F60F5"/>
    <w:rsid w:val="0080057E"/>
    <w:rsid w:val="00800D5F"/>
    <w:rsid w:val="00801D7E"/>
    <w:rsid w:val="0080313C"/>
    <w:rsid w:val="00803B86"/>
    <w:rsid w:val="0080448B"/>
    <w:rsid w:val="00804AD6"/>
    <w:rsid w:val="00807B00"/>
    <w:rsid w:val="0081057A"/>
    <w:rsid w:val="00811DAD"/>
    <w:rsid w:val="00813F7D"/>
    <w:rsid w:val="00814509"/>
    <w:rsid w:val="00816801"/>
    <w:rsid w:val="00817D57"/>
    <w:rsid w:val="008211DC"/>
    <w:rsid w:val="00821D25"/>
    <w:rsid w:val="00821E39"/>
    <w:rsid w:val="00822C29"/>
    <w:rsid w:val="00823605"/>
    <w:rsid w:val="0082361E"/>
    <w:rsid w:val="00823A93"/>
    <w:rsid w:val="00824F4F"/>
    <w:rsid w:val="008252A9"/>
    <w:rsid w:val="008262C2"/>
    <w:rsid w:val="008269C4"/>
    <w:rsid w:val="008270AB"/>
    <w:rsid w:val="00830586"/>
    <w:rsid w:val="00831086"/>
    <w:rsid w:val="00835B4A"/>
    <w:rsid w:val="008369F4"/>
    <w:rsid w:val="00836DB0"/>
    <w:rsid w:val="008371D5"/>
    <w:rsid w:val="00837C1C"/>
    <w:rsid w:val="00842012"/>
    <w:rsid w:val="00842211"/>
    <w:rsid w:val="0084246E"/>
    <w:rsid w:val="00843A92"/>
    <w:rsid w:val="00844280"/>
    <w:rsid w:val="008443E4"/>
    <w:rsid w:val="00844541"/>
    <w:rsid w:val="0084546F"/>
    <w:rsid w:val="008455B0"/>
    <w:rsid w:val="00846905"/>
    <w:rsid w:val="008471E1"/>
    <w:rsid w:val="00847E9E"/>
    <w:rsid w:val="00854183"/>
    <w:rsid w:val="00854CEF"/>
    <w:rsid w:val="008577DB"/>
    <w:rsid w:val="008609C8"/>
    <w:rsid w:val="00861B69"/>
    <w:rsid w:val="00862C98"/>
    <w:rsid w:val="00863EA2"/>
    <w:rsid w:val="00864973"/>
    <w:rsid w:val="00864E7E"/>
    <w:rsid w:val="008653A6"/>
    <w:rsid w:val="00870AA5"/>
    <w:rsid w:val="00871200"/>
    <w:rsid w:val="00872F9B"/>
    <w:rsid w:val="00873A0A"/>
    <w:rsid w:val="00875E4A"/>
    <w:rsid w:val="00876313"/>
    <w:rsid w:val="00876FCD"/>
    <w:rsid w:val="00877004"/>
    <w:rsid w:val="00877B13"/>
    <w:rsid w:val="0088026D"/>
    <w:rsid w:val="00881B62"/>
    <w:rsid w:val="00882175"/>
    <w:rsid w:val="008842D1"/>
    <w:rsid w:val="008856CF"/>
    <w:rsid w:val="00885EDF"/>
    <w:rsid w:val="00886AC7"/>
    <w:rsid w:val="0088785E"/>
    <w:rsid w:val="00887E28"/>
    <w:rsid w:val="008916EA"/>
    <w:rsid w:val="008927BD"/>
    <w:rsid w:val="008948EC"/>
    <w:rsid w:val="00895011"/>
    <w:rsid w:val="008966B8"/>
    <w:rsid w:val="008A0BA6"/>
    <w:rsid w:val="008A1D73"/>
    <w:rsid w:val="008A2197"/>
    <w:rsid w:val="008A3B10"/>
    <w:rsid w:val="008A3E38"/>
    <w:rsid w:val="008A54A2"/>
    <w:rsid w:val="008A61E3"/>
    <w:rsid w:val="008B17E9"/>
    <w:rsid w:val="008B4BCE"/>
    <w:rsid w:val="008B52C2"/>
    <w:rsid w:val="008B57A8"/>
    <w:rsid w:val="008B6353"/>
    <w:rsid w:val="008C1FBF"/>
    <w:rsid w:val="008C2E58"/>
    <w:rsid w:val="008C32E0"/>
    <w:rsid w:val="008C3E3A"/>
    <w:rsid w:val="008C7146"/>
    <w:rsid w:val="008D1C61"/>
    <w:rsid w:val="008D3E04"/>
    <w:rsid w:val="008D4718"/>
    <w:rsid w:val="008D4D6D"/>
    <w:rsid w:val="008D5454"/>
    <w:rsid w:val="008D6666"/>
    <w:rsid w:val="008E025B"/>
    <w:rsid w:val="008E2959"/>
    <w:rsid w:val="008E2E69"/>
    <w:rsid w:val="008E48CC"/>
    <w:rsid w:val="008E499C"/>
    <w:rsid w:val="008E4ACE"/>
    <w:rsid w:val="008E5240"/>
    <w:rsid w:val="008E534C"/>
    <w:rsid w:val="008E5B22"/>
    <w:rsid w:val="008E6B89"/>
    <w:rsid w:val="008E6F0A"/>
    <w:rsid w:val="008F0085"/>
    <w:rsid w:val="008F1A94"/>
    <w:rsid w:val="008F2D69"/>
    <w:rsid w:val="008F4106"/>
    <w:rsid w:val="008F4BC0"/>
    <w:rsid w:val="008F4EDA"/>
    <w:rsid w:val="008F5B3C"/>
    <w:rsid w:val="009003A1"/>
    <w:rsid w:val="009019A5"/>
    <w:rsid w:val="009026F1"/>
    <w:rsid w:val="0090584F"/>
    <w:rsid w:val="0090617C"/>
    <w:rsid w:val="0090637B"/>
    <w:rsid w:val="009063F8"/>
    <w:rsid w:val="009078D8"/>
    <w:rsid w:val="00911196"/>
    <w:rsid w:val="00913C7D"/>
    <w:rsid w:val="00913CD0"/>
    <w:rsid w:val="00914159"/>
    <w:rsid w:val="00916434"/>
    <w:rsid w:val="00916580"/>
    <w:rsid w:val="0091703A"/>
    <w:rsid w:val="00917B5C"/>
    <w:rsid w:val="0092045D"/>
    <w:rsid w:val="0092111A"/>
    <w:rsid w:val="0092167D"/>
    <w:rsid w:val="00921C99"/>
    <w:rsid w:val="00922D3A"/>
    <w:rsid w:val="00924857"/>
    <w:rsid w:val="009252DC"/>
    <w:rsid w:val="0092545F"/>
    <w:rsid w:val="009260A8"/>
    <w:rsid w:val="00926405"/>
    <w:rsid w:val="0092672E"/>
    <w:rsid w:val="00930979"/>
    <w:rsid w:val="009346A1"/>
    <w:rsid w:val="00934D66"/>
    <w:rsid w:val="00936BDB"/>
    <w:rsid w:val="009415B4"/>
    <w:rsid w:val="0094373D"/>
    <w:rsid w:val="009441DE"/>
    <w:rsid w:val="00946F54"/>
    <w:rsid w:val="00950091"/>
    <w:rsid w:val="009508C0"/>
    <w:rsid w:val="00951945"/>
    <w:rsid w:val="00953377"/>
    <w:rsid w:val="00953649"/>
    <w:rsid w:val="00953684"/>
    <w:rsid w:val="00955503"/>
    <w:rsid w:val="00963505"/>
    <w:rsid w:val="0096483C"/>
    <w:rsid w:val="00966BB5"/>
    <w:rsid w:val="00966CFF"/>
    <w:rsid w:val="00967CBB"/>
    <w:rsid w:val="00970D36"/>
    <w:rsid w:val="009714D2"/>
    <w:rsid w:val="00971B88"/>
    <w:rsid w:val="00972085"/>
    <w:rsid w:val="0097302B"/>
    <w:rsid w:val="009730F4"/>
    <w:rsid w:val="0097393F"/>
    <w:rsid w:val="009748BF"/>
    <w:rsid w:val="00975875"/>
    <w:rsid w:val="00975F90"/>
    <w:rsid w:val="009766E0"/>
    <w:rsid w:val="00977D9B"/>
    <w:rsid w:val="0098017E"/>
    <w:rsid w:val="00980D8C"/>
    <w:rsid w:val="00980E3D"/>
    <w:rsid w:val="00981132"/>
    <w:rsid w:val="00981806"/>
    <w:rsid w:val="009819D6"/>
    <w:rsid w:val="00981B3F"/>
    <w:rsid w:val="00981FBA"/>
    <w:rsid w:val="00982516"/>
    <w:rsid w:val="009840F1"/>
    <w:rsid w:val="00986DBF"/>
    <w:rsid w:val="00987434"/>
    <w:rsid w:val="00990AB7"/>
    <w:rsid w:val="00993252"/>
    <w:rsid w:val="00994725"/>
    <w:rsid w:val="00996DCD"/>
    <w:rsid w:val="00997B0B"/>
    <w:rsid w:val="00997D2D"/>
    <w:rsid w:val="00997FB5"/>
    <w:rsid w:val="009A02D5"/>
    <w:rsid w:val="009A211B"/>
    <w:rsid w:val="009A2ED6"/>
    <w:rsid w:val="009A3607"/>
    <w:rsid w:val="009A4946"/>
    <w:rsid w:val="009A4987"/>
    <w:rsid w:val="009A4A6A"/>
    <w:rsid w:val="009A519C"/>
    <w:rsid w:val="009A707B"/>
    <w:rsid w:val="009A798C"/>
    <w:rsid w:val="009B0E79"/>
    <w:rsid w:val="009B24AA"/>
    <w:rsid w:val="009B3A82"/>
    <w:rsid w:val="009B4CB1"/>
    <w:rsid w:val="009B4DDC"/>
    <w:rsid w:val="009B51A2"/>
    <w:rsid w:val="009B6344"/>
    <w:rsid w:val="009C0396"/>
    <w:rsid w:val="009C0DD5"/>
    <w:rsid w:val="009C0E4C"/>
    <w:rsid w:val="009C0F06"/>
    <w:rsid w:val="009C1378"/>
    <w:rsid w:val="009C22E9"/>
    <w:rsid w:val="009C28EE"/>
    <w:rsid w:val="009C5EA5"/>
    <w:rsid w:val="009C6299"/>
    <w:rsid w:val="009C63F6"/>
    <w:rsid w:val="009C6E95"/>
    <w:rsid w:val="009C708C"/>
    <w:rsid w:val="009C7319"/>
    <w:rsid w:val="009C76B2"/>
    <w:rsid w:val="009D0B80"/>
    <w:rsid w:val="009D16F7"/>
    <w:rsid w:val="009D3466"/>
    <w:rsid w:val="009D431E"/>
    <w:rsid w:val="009D52F7"/>
    <w:rsid w:val="009D579C"/>
    <w:rsid w:val="009D5C1C"/>
    <w:rsid w:val="009D6532"/>
    <w:rsid w:val="009E0F26"/>
    <w:rsid w:val="009E1553"/>
    <w:rsid w:val="009E2867"/>
    <w:rsid w:val="009E33D5"/>
    <w:rsid w:val="009E39A1"/>
    <w:rsid w:val="009E436C"/>
    <w:rsid w:val="009E52FE"/>
    <w:rsid w:val="009E6E1A"/>
    <w:rsid w:val="009E7362"/>
    <w:rsid w:val="009F0865"/>
    <w:rsid w:val="009F09DA"/>
    <w:rsid w:val="009F11D8"/>
    <w:rsid w:val="009F227D"/>
    <w:rsid w:val="009F2561"/>
    <w:rsid w:val="009F26EB"/>
    <w:rsid w:val="009F2895"/>
    <w:rsid w:val="009F28FE"/>
    <w:rsid w:val="009F2D72"/>
    <w:rsid w:val="009F3217"/>
    <w:rsid w:val="009F3311"/>
    <w:rsid w:val="009F4203"/>
    <w:rsid w:val="009F56B5"/>
    <w:rsid w:val="009F578A"/>
    <w:rsid w:val="009F5905"/>
    <w:rsid w:val="009F5DBE"/>
    <w:rsid w:val="009F6113"/>
    <w:rsid w:val="009F71D2"/>
    <w:rsid w:val="009F7D12"/>
    <w:rsid w:val="00A009F8"/>
    <w:rsid w:val="00A00E18"/>
    <w:rsid w:val="00A01798"/>
    <w:rsid w:val="00A01B97"/>
    <w:rsid w:val="00A0267A"/>
    <w:rsid w:val="00A02E2A"/>
    <w:rsid w:val="00A0370A"/>
    <w:rsid w:val="00A03B7D"/>
    <w:rsid w:val="00A06895"/>
    <w:rsid w:val="00A075F5"/>
    <w:rsid w:val="00A077A9"/>
    <w:rsid w:val="00A10A8D"/>
    <w:rsid w:val="00A10B70"/>
    <w:rsid w:val="00A110E6"/>
    <w:rsid w:val="00A113D4"/>
    <w:rsid w:val="00A119AD"/>
    <w:rsid w:val="00A12A00"/>
    <w:rsid w:val="00A17BAF"/>
    <w:rsid w:val="00A17EAF"/>
    <w:rsid w:val="00A202CD"/>
    <w:rsid w:val="00A223F5"/>
    <w:rsid w:val="00A2253B"/>
    <w:rsid w:val="00A23A9A"/>
    <w:rsid w:val="00A24D61"/>
    <w:rsid w:val="00A25258"/>
    <w:rsid w:val="00A26570"/>
    <w:rsid w:val="00A27B37"/>
    <w:rsid w:val="00A30080"/>
    <w:rsid w:val="00A30950"/>
    <w:rsid w:val="00A3131C"/>
    <w:rsid w:val="00A31E7B"/>
    <w:rsid w:val="00A32EC5"/>
    <w:rsid w:val="00A3304F"/>
    <w:rsid w:val="00A33594"/>
    <w:rsid w:val="00A33904"/>
    <w:rsid w:val="00A34191"/>
    <w:rsid w:val="00A347BD"/>
    <w:rsid w:val="00A375B8"/>
    <w:rsid w:val="00A40BEA"/>
    <w:rsid w:val="00A4151A"/>
    <w:rsid w:val="00A41A01"/>
    <w:rsid w:val="00A43375"/>
    <w:rsid w:val="00A436A4"/>
    <w:rsid w:val="00A44BC2"/>
    <w:rsid w:val="00A45C49"/>
    <w:rsid w:val="00A475EF"/>
    <w:rsid w:val="00A4764D"/>
    <w:rsid w:val="00A51130"/>
    <w:rsid w:val="00A51824"/>
    <w:rsid w:val="00A51E9D"/>
    <w:rsid w:val="00A527A6"/>
    <w:rsid w:val="00A53AB9"/>
    <w:rsid w:val="00A53DB2"/>
    <w:rsid w:val="00A556C1"/>
    <w:rsid w:val="00A56909"/>
    <w:rsid w:val="00A56EF7"/>
    <w:rsid w:val="00A56F90"/>
    <w:rsid w:val="00A60012"/>
    <w:rsid w:val="00A603E1"/>
    <w:rsid w:val="00A607A2"/>
    <w:rsid w:val="00A6372E"/>
    <w:rsid w:val="00A653EF"/>
    <w:rsid w:val="00A66254"/>
    <w:rsid w:val="00A66E69"/>
    <w:rsid w:val="00A70415"/>
    <w:rsid w:val="00A70F34"/>
    <w:rsid w:val="00A73121"/>
    <w:rsid w:val="00A7483E"/>
    <w:rsid w:val="00A754FD"/>
    <w:rsid w:val="00A75739"/>
    <w:rsid w:val="00A76CD4"/>
    <w:rsid w:val="00A77B9D"/>
    <w:rsid w:val="00A80D58"/>
    <w:rsid w:val="00A8185D"/>
    <w:rsid w:val="00A81F83"/>
    <w:rsid w:val="00A822F9"/>
    <w:rsid w:val="00A8288D"/>
    <w:rsid w:val="00A83388"/>
    <w:rsid w:val="00A8381C"/>
    <w:rsid w:val="00A844EE"/>
    <w:rsid w:val="00A8513F"/>
    <w:rsid w:val="00A85AE2"/>
    <w:rsid w:val="00A8734C"/>
    <w:rsid w:val="00A90B41"/>
    <w:rsid w:val="00A929A9"/>
    <w:rsid w:val="00A933A0"/>
    <w:rsid w:val="00A93BEC"/>
    <w:rsid w:val="00A94FA3"/>
    <w:rsid w:val="00A95758"/>
    <w:rsid w:val="00A97925"/>
    <w:rsid w:val="00AA0851"/>
    <w:rsid w:val="00AA0A40"/>
    <w:rsid w:val="00AA0C96"/>
    <w:rsid w:val="00AA141F"/>
    <w:rsid w:val="00AA2333"/>
    <w:rsid w:val="00AA23E2"/>
    <w:rsid w:val="00AA286E"/>
    <w:rsid w:val="00AA423F"/>
    <w:rsid w:val="00AA4B18"/>
    <w:rsid w:val="00AA5CB8"/>
    <w:rsid w:val="00AA5D4E"/>
    <w:rsid w:val="00AA621C"/>
    <w:rsid w:val="00AA6F97"/>
    <w:rsid w:val="00AB02BF"/>
    <w:rsid w:val="00AB0B89"/>
    <w:rsid w:val="00AB0D6A"/>
    <w:rsid w:val="00AB2221"/>
    <w:rsid w:val="00AB2516"/>
    <w:rsid w:val="00AB288C"/>
    <w:rsid w:val="00AB3745"/>
    <w:rsid w:val="00AB403F"/>
    <w:rsid w:val="00AB4129"/>
    <w:rsid w:val="00AB4677"/>
    <w:rsid w:val="00AB5EEF"/>
    <w:rsid w:val="00AB6D46"/>
    <w:rsid w:val="00AC01A6"/>
    <w:rsid w:val="00AC3365"/>
    <w:rsid w:val="00AC3B1B"/>
    <w:rsid w:val="00AC3FF8"/>
    <w:rsid w:val="00AC5F4D"/>
    <w:rsid w:val="00AD1600"/>
    <w:rsid w:val="00AD21B5"/>
    <w:rsid w:val="00AD2CA7"/>
    <w:rsid w:val="00AD2EA1"/>
    <w:rsid w:val="00AD3016"/>
    <w:rsid w:val="00AD5391"/>
    <w:rsid w:val="00AD63A6"/>
    <w:rsid w:val="00AD65AF"/>
    <w:rsid w:val="00AD6D8E"/>
    <w:rsid w:val="00AD71FB"/>
    <w:rsid w:val="00AD7EAE"/>
    <w:rsid w:val="00AE0007"/>
    <w:rsid w:val="00AE274D"/>
    <w:rsid w:val="00AE2B74"/>
    <w:rsid w:val="00AE41EF"/>
    <w:rsid w:val="00AE6379"/>
    <w:rsid w:val="00AE6F30"/>
    <w:rsid w:val="00AF2F31"/>
    <w:rsid w:val="00AF3AC5"/>
    <w:rsid w:val="00AF41D6"/>
    <w:rsid w:val="00AF4D67"/>
    <w:rsid w:val="00AF4E9F"/>
    <w:rsid w:val="00AF620C"/>
    <w:rsid w:val="00B00697"/>
    <w:rsid w:val="00B00E59"/>
    <w:rsid w:val="00B017A6"/>
    <w:rsid w:val="00B01FA6"/>
    <w:rsid w:val="00B02F3A"/>
    <w:rsid w:val="00B0343F"/>
    <w:rsid w:val="00B04011"/>
    <w:rsid w:val="00B04043"/>
    <w:rsid w:val="00B04D69"/>
    <w:rsid w:val="00B052A5"/>
    <w:rsid w:val="00B0630C"/>
    <w:rsid w:val="00B07C9C"/>
    <w:rsid w:val="00B07D9B"/>
    <w:rsid w:val="00B11442"/>
    <w:rsid w:val="00B1171E"/>
    <w:rsid w:val="00B12969"/>
    <w:rsid w:val="00B147B5"/>
    <w:rsid w:val="00B16584"/>
    <w:rsid w:val="00B17109"/>
    <w:rsid w:val="00B235E9"/>
    <w:rsid w:val="00B258B2"/>
    <w:rsid w:val="00B26693"/>
    <w:rsid w:val="00B26BA7"/>
    <w:rsid w:val="00B27DD1"/>
    <w:rsid w:val="00B30DE9"/>
    <w:rsid w:val="00B31475"/>
    <w:rsid w:val="00B31E0A"/>
    <w:rsid w:val="00B32D26"/>
    <w:rsid w:val="00B33244"/>
    <w:rsid w:val="00B348A7"/>
    <w:rsid w:val="00B36CB3"/>
    <w:rsid w:val="00B37428"/>
    <w:rsid w:val="00B4284F"/>
    <w:rsid w:val="00B442E9"/>
    <w:rsid w:val="00B46A07"/>
    <w:rsid w:val="00B46B98"/>
    <w:rsid w:val="00B4794E"/>
    <w:rsid w:val="00B50BBE"/>
    <w:rsid w:val="00B50D9F"/>
    <w:rsid w:val="00B53531"/>
    <w:rsid w:val="00B56A28"/>
    <w:rsid w:val="00B57F79"/>
    <w:rsid w:val="00B60CD6"/>
    <w:rsid w:val="00B61326"/>
    <w:rsid w:val="00B62BAD"/>
    <w:rsid w:val="00B63115"/>
    <w:rsid w:val="00B63432"/>
    <w:rsid w:val="00B63653"/>
    <w:rsid w:val="00B63D68"/>
    <w:rsid w:val="00B649D1"/>
    <w:rsid w:val="00B65222"/>
    <w:rsid w:val="00B66826"/>
    <w:rsid w:val="00B67A66"/>
    <w:rsid w:val="00B7093F"/>
    <w:rsid w:val="00B71BB3"/>
    <w:rsid w:val="00B72D41"/>
    <w:rsid w:val="00B731C2"/>
    <w:rsid w:val="00B737BF"/>
    <w:rsid w:val="00B75C41"/>
    <w:rsid w:val="00B76529"/>
    <w:rsid w:val="00B76AC2"/>
    <w:rsid w:val="00B8093F"/>
    <w:rsid w:val="00B80B1E"/>
    <w:rsid w:val="00B80C03"/>
    <w:rsid w:val="00B82BD8"/>
    <w:rsid w:val="00B8350D"/>
    <w:rsid w:val="00B8529F"/>
    <w:rsid w:val="00B856FC"/>
    <w:rsid w:val="00B86260"/>
    <w:rsid w:val="00B862A6"/>
    <w:rsid w:val="00B879D6"/>
    <w:rsid w:val="00B87E36"/>
    <w:rsid w:val="00B9019D"/>
    <w:rsid w:val="00B908BC"/>
    <w:rsid w:val="00B923E9"/>
    <w:rsid w:val="00B93C5D"/>
    <w:rsid w:val="00B95E73"/>
    <w:rsid w:val="00B96609"/>
    <w:rsid w:val="00B97963"/>
    <w:rsid w:val="00BA0182"/>
    <w:rsid w:val="00BA0EE9"/>
    <w:rsid w:val="00BA1425"/>
    <w:rsid w:val="00BA19D4"/>
    <w:rsid w:val="00BA2DB3"/>
    <w:rsid w:val="00BA2E00"/>
    <w:rsid w:val="00BA34EC"/>
    <w:rsid w:val="00BA3CC1"/>
    <w:rsid w:val="00BA464E"/>
    <w:rsid w:val="00BA4CF4"/>
    <w:rsid w:val="00BA5F34"/>
    <w:rsid w:val="00BA791F"/>
    <w:rsid w:val="00BB0811"/>
    <w:rsid w:val="00BB25C6"/>
    <w:rsid w:val="00BB3181"/>
    <w:rsid w:val="00BB3A25"/>
    <w:rsid w:val="00BB4119"/>
    <w:rsid w:val="00BB4532"/>
    <w:rsid w:val="00BB470B"/>
    <w:rsid w:val="00BB5426"/>
    <w:rsid w:val="00BB791D"/>
    <w:rsid w:val="00BC06D3"/>
    <w:rsid w:val="00BC09EF"/>
    <w:rsid w:val="00BC18C1"/>
    <w:rsid w:val="00BC3F4C"/>
    <w:rsid w:val="00BC523A"/>
    <w:rsid w:val="00BC530D"/>
    <w:rsid w:val="00BC59C8"/>
    <w:rsid w:val="00BC6C9F"/>
    <w:rsid w:val="00BC70AC"/>
    <w:rsid w:val="00BC7F5A"/>
    <w:rsid w:val="00BD06EE"/>
    <w:rsid w:val="00BD0EB9"/>
    <w:rsid w:val="00BD1D20"/>
    <w:rsid w:val="00BD2D33"/>
    <w:rsid w:val="00BD329A"/>
    <w:rsid w:val="00BD35CC"/>
    <w:rsid w:val="00BD62BF"/>
    <w:rsid w:val="00BD7D49"/>
    <w:rsid w:val="00BE0D52"/>
    <w:rsid w:val="00BE1A1F"/>
    <w:rsid w:val="00BE2ADD"/>
    <w:rsid w:val="00BE2C8A"/>
    <w:rsid w:val="00BE5E4F"/>
    <w:rsid w:val="00BE5F5A"/>
    <w:rsid w:val="00BE617B"/>
    <w:rsid w:val="00BE6D81"/>
    <w:rsid w:val="00BF11AB"/>
    <w:rsid w:val="00BF13FA"/>
    <w:rsid w:val="00BF146B"/>
    <w:rsid w:val="00BF2640"/>
    <w:rsid w:val="00BF60C0"/>
    <w:rsid w:val="00BF7FBA"/>
    <w:rsid w:val="00C00DE8"/>
    <w:rsid w:val="00C02AE0"/>
    <w:rsid w:val="00C03494"/>
    <w:rsid w:val="00C043EA"/>
    <w:rsid w:val="00C0568D"/>
    <w:rsid w:val="00C05837"/>
    <w:rsid w:val="00C06188"/>
    <w:rsid w:val="00C07114"/>
    <w:rsid w:val="00C07446"/>
    <w:rsid w:val="00C075F8"/>
    <w:rsid w:val="00C10FF1"/>
    <w:rsid w:val="00C117BC"/>
    <w:rsid w:val="00C11E74"/>
    <w:rsid w:val="00C1622D"/>
    <w:rsid w:val="00C16CAC"/>
    <w:rsid w:val="00C20796"/>
    <w:rsid w:val="00C2493C"/>
    <w:rsid w:val="00C254A1"/>
    <w:rsid w:val="00C25E17"/>
    <w:rsid w:val="00C26D2B"/>
    <w:rsid w:val="00C30113"/>
    <w:rsid w:val="00C31F9A"/>
    <w:rsid w:val="00C32DEA"/>
    <w:rsid w:val="00C3310A"/>
    <w:rsid w:val="00C34995"/>
    <w:rsid w:val="00C360BF"/>
    <w:rsid w:val="00C3619E"/>
    <w:rsid w:val="00C40082"/>
    <w:rsid w:val="00C40532"/>
    <w:rsid w:val="00C41967"/>
    <w:rsid w:val="00C43BAE"/>
    <w:rsid w:val="00C444F1"/>
    <w:rsid w:val="00C451BC"/>
    <w:rsid w:val="00C4520E"/>
    <w:rsid w:val="00C462AD"/>
    <w:rsid w:val="00C462EB"/>
    <w:rsid w:val="00C46BF3"/>
    <w:rsid w:val="00C4735E"/>
    <w:rsid w:val="00C513FA"/>
    <w:rsid w:val="00C514D7"/>
    <w:rsid w:val="00C54169"/>
    <w:rsid w:val="00C54882"/>
    <w:rsid w:val="00C54F19"/>
    <w:rsid w:val="00C55303"/>
    <w:rsid w:val="00C57428"/>
    <w:rsid w:val="00C578E1"/>
    <w:rsid w:val="00C57AFB"/>
    <w:rsid w:val="00C60A5F"/>
    <w:rsid w:val="00C615B1"/>
    <w:rsid w:val="00C616C1"/>
    <w:rsid w:val="00C61EE2"/>
    <w:rsid w:val="00C6272A"/>
    <w:rsid w:val="00C64B2C"/>
    <w:rsid w:val="00C64BE3"/>
    <w:rsid w:val="00C65D61"/>
    <w:rsid w:val="00C65DEE"/>
    <w:rsid w:val="00C65FC8"/>
    <w:rsid w:val="00C66C64"/>
    <w:rsid w:val="00C6768C"/>
    <w:rsid w:val="00C7000D"/>
    <w:rsid w:val="00C7073C"/>
    <w:rsid w:val="00C70F7F"/>
    <w:rsid w:val="00C70F99"/>
    <w:rsid w:val="00C71069"/>
    <w:rsid w:val="00C73D22"/>
    <w:rsid w:val="00C76516"/>
    <w:rsid w:val="00C76A9C"/>
    <w:rsid w:val="00C76B57"/>
    <w:rsid w:val="00C77207"/>
    <w:rsid w:val="00C77DA7"/>
    <w:rsid w:val="00C81159"/>
    <w:rsid w:val="00C819D0"/>
    <w:rsid w:val="00C82FC8"/>
    <w:rsid w:val="00C837F7"/>
    <w:rsid w:val="00C8686C"/>
    <w:rsid w:val="00C93927"/>
    <w:rsid w:val="00C9497F"/>
    <w:rsid w:val="00C94BB0"/>
    <w:rsid w:val="00C94C7B"/>
    <w:rsid w:val="00C96C7E"/>
    <w:rsid w:val="00C9794A"/>
    <w:rsid w:val="00C97A57"/>
    <w:rsid w:val="00CA546F"/>
    <w:rsid w:val="00CA59D0"/>
    <w:rsid w:val="00CA5EB7"/>
    <w:rsid w:val="00CA671C"/>
    <w:rsid w:val="00CA6E87"/>
    <w:rsid w:val="00CB2B03"/>
    <w:rsid w:val="00CB2B7F"/>
    <w:rsid w:val="00CB317D"/>
    <w:rsid w:val="00CB48F8"/>
    <w:rsid w:val="00CB6EE8"/>
    <w:rsid w:val="00CB7005"/>
    <w:rsid w:val="00CC0E1D"/>
    <w:rsid w:val="00CC1248"/>
    <w:rsid w:val="00CC1BA5"/>
    <w:rsid w:val="00CC5D50"/>
    <w:rsid w:val="00CC6427"/>
    <w:rsid w:val="00CC7C9A"/>
    <w:rsid w:val="00CD0D39"/>
    <w:rsid w:val="00CD20A3"/>
    <w:rsid w:val="00CD25AB"/>
    <w:rsid w:val="00CD2C8E"/>
    <w:rsid w:val="00CD3A23"/>
    <w:rsid w:val="00CD4CB4"/>
    <w:rsid w:val="00CD4EBD"/>
    <w:rsid w:val="00CD5348"/>
    <w:rsid w:val="00CD5E91"/>
    <w:rsid w:val="00CE04E5"/>
    <w:rsid w:val="00CE0536"/>
    <w:rsid w:val="00CE0D0B"/>
    <w:rsid w:val="00CE17D4"/>
    <w:rsid w:val="00CE2D27"/>
    <w:rsid w:val="00CE3FD6"/>
    <w:rsid w:val="00CE4E28"/>
    <w:rsid w:val="00CE6BC3"/>
    <w:rsid w:val="00CE6CAD"/>
    <w:rsid w:val="00CE6FEF"/>
    <w:rsid w:val="00CE7347"/>
    <w:rsid w:val="00CE7DB2"/>
    <w:rsid w:val="00CF10D3"/>
    <w:rsid w:val="00CF14A1"/>
    <w:rsid w:val="00CF1F0D"/>
    <w:rsid w:val="00CF571B"/>
    <w:rsid w:val="00CF600F"/>
    <w:rsid w:val="00CF6385"/>
    <w:rsid w:val="00CF6783"/>
    <w:rsid w:val="00CF684B"/>
    <w:rsid w:val="00CF68D5"/>
    <w:rsid w:val="00CF68FD"/>
    <w:rsid w:val="00CF701C"/>
    <w:rsid w:val="00CF7826"/>
    <w:rsid w:val="00CF7AB4"/>
    <w:rsid w:val="00D0032A"/>
    <w:rsid w:val="00D00823"/>
    <w:rsid w:val="00D04FFD"/>
    <w:rsid w:val="00D0556E"/>
    <w:rsid w:val="00D05A04"/>
    <w:rsid w:val="00D11597"/>
    <w:rsid w:val="00D11A5C"/>
    <w:rsid w:val="00D12557"/>
    <w:rsid w:val="00D1310B"/>
    <w:rsid w:val="00D1347D"/>
    <w:rsid w:val="00D137F0"/>
    <w:rsid w:val="00D13E59"/>
    <w:rsid w:val="00D14F1F"/>
    <w:rsid w:val="00D16865"/>
    <w:rsid w:val="00D16A51"/>
    <w:rsid w:val="00D1718C"/>
    <w:rsid w:val="00D174BF"/>
    <w:rsid w:val="00D1793A"/>
    <w:rsid w:val="00D2136F"/>
    <w:rsid w:val="00D215B3"/>
    <w:rsid w:val="00D21E46"/>
    <w:rsid w:val="00D23D51"/>
    <w:rsid w:val="00D24ADB"/>
    <w:rsid w:val="00D25756"/>
    <w:rsid w:val="00D25E32"/>
    <w:rsid w:val="00D27186"/>
    <w:rsid w:val="00D3009C"/>
    <w:rsid w:val="00D30C88"/>
    <w:rsid w:val="00D3138E"/>
    <w:rsid w:val="00D31CFE"/>
    <w:rsid w:val="00D31F62"/>
    <w:rsid w:val="00D32747"/>
    <w:rsid w:val="00D32DD5"/>
    <w:rsid w:val="00D36173"/>
    <w:rsid w:val="00D4194D"/>
    <w:rsid w:val="00D4229A"/>
    <w:rsid w:val="00D42E5D"/>
    <w:rsid w:val="00D4410C"/>
    <w:rsid w:val="00D4521C"/>
    <w:rsid w:val="00D46C7C"/>
    <w:rsid w:val="00D46F19"/>
    <w:rsid w:val="00D508F5"/>
    <w:rsid w:val="00D52779"/>
    <w:rsid w:val="00D53E59"/>
    <w:rsid w:val="00D548D8"/>
    <w:rsid w:val="00D55774"/>
    <w:rsid w:val="00D5590B"/>
    <w:rsid w:val="00D56255"/>
    <w:rsid w:val="00D5731F"/>
    <w:rsid w:val="00D60BEF"/>
    <w:rsid w:val="00D619CF"/>
    <w:rsid w:val="00D620A7"/>
    <w:rsid w:val="00D63C11"/>
    <w:rsid w:val="00D63F45"/>
    <w:rsid w:val="00D64848"/>
    <w:rsid w:val="00D672A6"/>
    <w:rsid w:val="00D750B1"/>
    <w:rsid w:val="00D77505"/>
    <w:rsid w:val="00D77C97"/>
    <w:rsid w:val="00D81317"/>
    <w:rsid w:val="00D8178B"/>
    <w:rsid w:val="00D81CDD"/>
    <w:rsid w:val="00D82033"/>
    <w:rsid w:val="00D82E5A"/>
    <w:rsid w:val="00D831DE"/>
    <w:rsid w:val="00D83334"/>
    <w:rsid w:val="00D8427D"/>
    <w:rsid w:val="00D8457F"/>
    <w:rsid w:val="00D87356"/>
    <w:rsid w:val="00D92045"/>
    <w:rsid w:val="00D925D5"/>
    <w:rsid w:val="00D945AF"/>
    <w:rsid w:val="00D9663D"/>
    <w:rsid w:val="00D96B7E"/>
    <w:rsid w:val="00DA087C"/>
    <w:rsid w:val="00DA12AB"/>
    <w:rsid w:val="00DA1AC5"/>
    <w:rsid w:val="00DA2296"/>
    <w:rsid w:val="00DA25C9"/>
    <w:rsid w:val="00DA2713"/>
    <w:rsid w:val="00DA321E"/>
    <w:rsid w:val="00DA3A02"/>
    <w:rsid w:val="00DA77D3"/>
    <w:rsid w:val="00DB0266"/>
    <w:rsid w:val="00DB0453"/>
    <w:rsid w:val="00DB0C81"/>
    <w:rsid w:val="00DB222F"/>
    <w:rsid w:val="00DB27B0"/>
    <w:rsid w:val="00DB2AE0"/>
    <w:rsid w:val="00DB6350"/>
    <w:rsid w:val="00DB691E"/>
    <w:rsid w:val="00DC0AA6"/>
    <w:rsid w:val="00DC3367"/>
    <w:rsid w:val="00DC4274"/>
    <w:rsid w:val="00DC57EC"/>
    <w:rsid w:val="00DC5BD1"/>
    <w:rsid w:val="00DC76DB"/>
    <w:rsid w:val="00DC7C7A"/>
    <w:rsid w:val="00DD0372"/>
    <w:rsid w:val="00DD138C"/>
    <w:rsid w:val="00DD13B1"/>
    <w:rsid w:val="00DD250F"/>
    <w:rsid w:val="00DD43DC"/>
    <w:rsid w:val="00DD4FA3"/>
    <w:rsid w:val="00DD5F6F"/>
    <w:rsid w:val="00DD7BA1"/>
    <w:rsid w:val="00DE0D0F"/>
    <w:rsid w:val="00DE0FBA"/>
    <w:rsid w:val="00DE17E6"/>
    <w:rsid w:val="00DE190F"/>
    <w:rsid w:val="00DE3504"/>
    <w:rsid w:val="00DE4B3E"/>
    <w:rsid w:val="00DE55EF"/>
    <w:rsid w:val="00DE56F1"/>
    <w:rsid w:val="00DE6456"/>
    <w:rsid w:val="00DE6ABC"/>
    <w:rsid w:val="00DE6DC7"/>
    <w:rsid w:val="00DF1C6A"/>
    <w:rsid w:val="00DF1FEF"/>
    <w:rsid w:val="00DF329B"/>
    <w:rsid w:val="00DF4011"/>
    <w:rsid w:val="00DF4439"/>
    <w:rsid w:val="00DF600B"/>
    <w:rsid w:val="00E00511"/>
    <w:rsid w:val="00E009BA"/>
    <w:rsid w:val="00E00F4B"/>
    <w:rsid w:val="00E0194B"/>
    <w:rsid w:val="00E021FE"/>
    <w:rsid w:val="00E0258C"/>
    <w:rsid w:val="00E0331C"/>
    <w:rsid w:val="00E03950"/>
    <w:rsid w:val="00E04113"/>
    <w:rsid w:val="00E066E2"/>
    <w:rsid w:val="00E07D80"/>
    <w:rsid w:val="00E1205E"/>
    <w:rsid w:val="00E1327F"/>
    <w:rsid w:val="00E13CBC"/>
    <w:rsid w:val="00E14278"/>
    <w:rsid w:val="00E200BE"/>
    <w:rsid w:val="00E21629"/>
    <w:rsid w:val="00E2296F"/>
    <w:rsid w:val="00E231BD"/>
    <w:rsid w:val="00E23F01"/>
    <w:rsid w:val="00E2498E"/>
    <w:rsid w:val="00E2677F"/>
    <w:rsid w:val="00E2702C"/>
    <w:rsid w:val="00E30007"/>
    <w:rsid w:val="00E30B22"/>
    <w:rsid w:val="00E3132F"/>
    <w:rsid w:val="00E31DBC"/>
    <w:rsid w:val="00E33103"/>
    <w:rsid w:val="00E339CA"/>
    <w:rsid w:val="00E35A23"/>
    <w:rsid w:val="00E363FC"/>
    <w:rsid w:val="00E40640"/>
    <w:rsid w:val="00E4105C"/>
    <w:rsid w:val="00E42C69"/>
    <w:rsid w:val="00E430F8"/>
    <w:rsid w:val="00E43C1E"/>
    <w:rsid w:val="00E444A4"/>
    <w:rsid w:val="00E44898"/>
    <w:rsid w:val="00E46E74"/>
    <w:rsid w:val="00E47C88"/>
    <w:rsid w:val="00E47EBC"/>
    <w:rsid w:val="00E51EC4"/>
    <w:rsid w:val="00E52219"/>
    <w:rsid w:val="00E53734"/>
    <w:rsid w:val="00E54331"/>
    <w:rsid w:val="00E54D8C"/>
    <w:rsid w:val="00E561A6"/>
    <w:rsid w:val="00E576E5"/>
    <w:rsid w:val="00E62499"/>
    <w:rsid w:val="00E628B0"/>
    <w:rsid w:val="00E62F81"/>
    <w:rsid w:val="00E6410A"/>
    <w:rsid w:val="00E64C33"/>
    <w:rsid w:val="00E66A4B"/>
    <w:rsid w:val="00E66D41"/>
    <w:rsid w:val="00E66D73"/>
    <w:rsid w:val="00E7093D"/>
    <w:rsid w:val="00E73257"/>
    <w:rsid w:val="00E74248"/>
    <w:rsid w:val="00E74481"/>
    <w:rsid w:val="00E748ED"/>
    <w:rsid w:val="00E74D26"/>
    <w:rsid w:val="00E764B8"/>
    <w:rsid w:val="00E7665E"/>
    <w:rsid w:val="00E76743"/>
    <w:rsid w:val="00E76EBE"/>
    <w:rsid w:val="00E81217"/>
    <w:rsid w:val="00E816F4"/>
    <w:rsid w:val="00E8228D"/>
    <w:rsid w:val="00E82425"/>
    <w:rsid w:val="00E83927"/>
    <w:rsid w:val="00E83C07"/>
    <w:rsid w:val="00E851F2"/>
    <w:rsid w:val="00E867E8"/>
    <w:rsid w:val="00E86E63"/>
    <w:rsid w:val="00E87974"/>
    <w:rsid w:val="00E90549"/>
    <w:rsid w:val="00E90C0B"/>
    <w:rsid w:val="00E90DDB"/>
    <w:rsid w:val="00E91E7B"/>
    <w:rsid w:val="00E9325C"/>
    <w:rsid w:val="00E9413A"/>
    <w:rsid w:val="00E94B9F"/>
    <w:rsid w:val="00E9555C"/>
    <w:rsid w:val="00E95D4C"/>
    <w:rsid w:val="00E95F45"/>
    <w:rsid w:val="00E9748D"/>
    <w:rsid w:val="00EA0E47"/>
    <w:rsid w:val="00EA1ACE"/>
    <w:rsid w:val="00EA2A02"/>
    <w:rsid w:val="00EA2AEE"/>
    <w:rsid w:val="00EA3FB1"/>
    <w:rsid w:val="00EA4209"/>
    <w:rsid w:val="00EA5ED0"/>
    <w:rsid w:val="00EA5F34"/>
    <w:rsid w:val="00EA67AF"/>
    <w:rsid w:val="00EA6FD0"/>
    <w:rsid w:val="00EA7305"/>
    <w:rsid w:val="00EA7585"/>
    <w:rsid w:val="00EA77AA"/>
    <w:rsid w:val="00EB01E5"/>
    <w:rsid w:val="00EB15D2"/>
    <w:rsid w:val="00EB4CCD"/>
    <w:rsid w:val="00EB4EDF"/>
    <w:rsid w:val="00EB604B"/>
    <w:rsid w:val="00EB6555"/>
    <w:rsid w:val="00EB67D4"/>
    <w:rsid w:val="00EB682C"/>
    <w:rsid w:val="00EB6899"/>
    <w:rsid w:val="00EB70AE"/>
    <w:rsid w:val="00EB760B"/>
    <w:rsid w:val="00EB79DA"/>
    <w:rsid w:val="00EC0E90"/>
    <w:rsid w:val="00EC2754"/>
    <w:rsid w:val="00EC3761"/>
    <w:rsid w:val="00EC763D"/>
    <w:rsid w:val="00ED0BDA"/>
    <w:rsid w:val="00ED155B"/>
    <w:rsid w:val="00ED4426"/>
    <w:rsid w:val="00ED473C"/>
    <w:rsid w:val="00ED6387"/>
    <w:rsid w:val="00ED7861"/>
    <w:rsid w:val="00ED7A0D"/>
    <w:rsid w:val="00EE2504"/>
    <w:rsid w:val="00EE29E3"/>
    <w:rsid w:val="00EE3BDA"/>
    <w:rsid w:val="00EE3D7D"/>
    <w:rsid w:val="00EE77DE"/>
    <w:rsid w:val="00EF345A"/>
    <w:rsid w:val="00EF3CF9"/>
    <w:rsid w:val="00EF59D0"/>
    <w:rsid w:val="00EF6635"/>
    <w:rsid w:val="00EF665A"/>
    <w:rsid w:val="00F002C9"/>
    <w:rsid w:val="00F03F97"/>
    <w:rsid w:val="00F04175"/>
    <w:rsid w:val="00F06FC9"/>
    <w:rsid w:val="00F10E0E"/>
    <w:rsid w:val="00F11127"/>
    <w:rsid w:val="00F11C0F"/>
    <w:rsid w:val="00F12FFC"/>
    <w:rsid w:val="00F13BCD"/>
    <w:rsid w:val="00F15741"/>
    <w:rsid w:val="00F16758"/>
    <w:rsid w:val="00F173B9"/>
    <w:rsid w:val="00F20348"/>
    <w:rsid w:val="00F20A11"/>
    <w:rsid w:val="00F22B19"/>
    <w:rsid w:val="00F23E1E"/>
    <w:rsid w:val="00F24EAF"/>
    <w:rsid w:val="00F25568"/>
    <w:rsid w:val="00F25FC7"/>
    <w:rsid w:val="00F2788B"/>
    <w:rsid w:val="00F27F01"/>
    <w:rsid w:val="00F314D9"/>
    <w:rsid w:val="00F32BE0"/>
    <w:rsid w:val="00F3342C"/>
    <w:rsid w:val="00F34F01"/>
    <w:rsid w:val="00F36689"/>
    <w:rsid w:val="00F36AF2"/>
    <w:rsid w:val="00F37105"/>
    <w:rsid w:val="00F37421"/>
    <w:rsid w:val="00F404AD"/>
    <w:rsid w:val="00F41A5C"/>
    <w:rsid w:val="00F42493"/>
    <w:rsid w:val="00F43EBF"/>
    <w:rsid w:val="00F4458B"/>
    <w:rsid w:val="00F45512"/>
    <w:rsid w:val="00F45A3A"/>
    <w:rsid w:val="00F4647F"/>
    <w:rsid w:val="00F50A11"/>
    <w:rsid w:val="00F50F6C"/>
    <w:rsid w:val="00F533E4"/>
    <w:rsid w:val="00F534D5"/>
    <w:rsid w:val="00F53B16"/>
    <w:rsid w:val="00F54D1F"/>
    <w:rsid w:val="00F54D2F"/>
    <w:rsid w:val="00F55273"/>
    <w:rsid w:val="00F55912"/>
    <w:rsid w:val="00F5615E"/>
    <w:rsid w:val="00F56CD5"/>
    <w:rsid w:val="00F571CE"/>
    <w:rsid w:val="00F57248"/>
    <w:rsid w:val="00F60702"/>
    <w:rsid w:val="00F60ECB"/>
    <w:rsid w:val="00F635B7"/>
    <w:rsid w:val="00F646BC"/>
    <w:rsid w:val="00F6659A"/>
    <w:rsid w:val="00F7001D"/>
    <w:rsid w:val="00F705B0"/>
    <w:rsid w:val="00F71185"/>
    <w:rsid w:val="00F716CB"/>
    <w:rsid w:val="00F72643"/>
    <w:rsid w:val="00F73D7E"/>
    <w:rsid w:val="00F82178"/>
    <w:rsid w:val="00F82A16"/>
    <w:rsid w:val="00F82F25"/>
    <w:rsid w:val="00F83403"/>
    <w:rsid w:val="00F83706"/>
    <w:rsid w:val="00F838C2"/>
    <w:rsid w:val="00F86637"/>
    <w:rsid w:val="00F869D0"/>
    <w:rsid w:val="00F87307"/>
    <w:rsid w:val="00F8753E"/>
    <w:rsid w:val="00F87D0E"/>
    <w:rsid w:val="00F905A8"/>
    <w:rsid w:val="00F91090"/>
    <w:rsid w:val="00F91B23"/>
    <w:rsid w:val="00F94237"/>
    <w:rsid w:val="00F95895"/>
    <w:rsid w:val="00F95FF6"/>
    <w:rsid w:val="00F9610F"/>
    <w:rsid w:val="00F96431"/>
    <w:rsid w:val="00FA1568"/>
    <w:rsid w:val="00FA1EE7"/>
    <w:rsid w:val="00FA2E88"/>
    <w:rsid w:val="00FA3695"/>
    <w:rsid w:val="00FA3AED"/>
    <w:rsid w:val="00FA442A"/>
    <w:rsid w:val="00FA6795"/>
    <w:rsid w:val="00FA6C76"/>
    <w:rsid w:val="00FA72C5"/>
    <w:rsid w:val="00FB0F49"/>
    <w:rsid w:val="00FB10C0"/>
    <w:rsid w:val="00FB213D"/>
    <w:rsid w:val="00FB26BC"/>
    <w:rsid w:val="00FB2C73"/>
    <w:rsid w:val="00FB305D"/>
    <w:rsid w:val="00FB3B6C"/>
    <w:rsid w:val="00FB4B93"/>
    <w:rsid w:val="00FB4F1B"/>
    <w:rsid w:val="00FC0662"/>
    <w:rsid w:val="00FC1005"/>
    <w:rsid w:val="00FC1153"/>
    <w:rsid w:val="00FC12AB"/>
    <w:rsid w:val="00FC1656"/>
    <w:rsid w:val="00FC355D"/>
    <w:rsid w:val="00FC542C"/>
    <w:rsid w:val="00FC5682"/>
    <w:rsid w:val="00FC6440"/>
    <w:rsid w:val="00FC6C11"/>
    <w:rsid w:val="00FD0E8E"/>
    <w:rsid w:val="00FD2093"/>
    <w:rsid w:val="00FD2655"/>
    <w:rsid w:val="00FD338B"/>
    <w:rsid w:val="00FD3439"/>
    <w:rsid w:val="00FD3D66"/>
    <w:rsid w:val="00FD4CC3"/>
    <w:rsid w:val="00FD623B"/>
    <w:rsid w:val="00FD6E59"/>
    <w:rsid w:val="00FD7AE7"/>
    <w:rsid w:val="00FD7C64"/>
    <w:rsid w:val="00FE0DB1"/>
    <w:rsid w:val="00FE2A22"/>
    <w:rsid w:val="00FE460E"/>
    <w:rsid w:val="00FE4CA2"/>
    <w:rsid w:val="00FE57AB"/>
    <w:rsid w:val="00FE5D4C"/>
    <w:rsid w:val="00FE6430"/>
    <w:rsid w:val="00FE76E2"/>
    <w:rsid w:val="00FF1061"/>
    <w:rsid w:val="00FF206B"/>
    <w:rsid w:val="00FF3835"/>
    <w:rsid w:val="00FF38DB"/>
    <w:rsid w:val="00FF5FF0"/>
    <w:rsid w:val="00FF68B8"/>
    <w:rsid w:val="00FF6AF0"/>
    <w:rsid w:val="00FF76CC"/>
    <w:rsid w:val="00FF7D9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57D1B90"/>
  <w15:docId w15:val="{B1597B06-90F2-4417-ADC8-E8D32B06E8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324C62"/>
    <w:pPr>
      <w:spacing w:after="0" w:line="240" w:lineRule="auto"/>
    </w:pPr>
    <w:rPr>
      <w:rFonts w:ascii="Times New Roman" w:eastAsia="Times New Roman" w:hAnsi="Times New Roman" w:cs="Times New Roman"/>
      <w:sz w:val="24"/>
      <w:szCs w:val="24"/>
    </w:rPr>
  </w:style>
  <w:style w:type="paragraph" w:styleId="Naslov1">
    <w:name w:val="heading 1"/>
    <w:aliases w:val="Numbered - 1,Section,PVO-1"/>
    <w:basedOn w:val="Navaden"/>
    <w:next w:val="Navaden"/>
    <w:link w:val="Naslov1Znak"/>
    <w:uiPriority w:val="9"/>
    <w:qFormat/>
    <w:rsid w:val="00FE460E"/>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aliases w:val="ParaLvl2,PodPoglavje,Poglavje 2,Heading 2 Char1,Heading 2 Char Char"/>
    <w:basedOn w:val="Navaden"/>
    <w:next w:val="Navaden"/>
    <w:link w:val="Naslov2Znak"/>
    <w:uiPriority w:val="9"/>
    <w:unhideWhenUsed/>
    <w:qFormat/>
    <w:rsid w:val="00272C2D"/>
    <w:pPr>
      <w:keepNext/>
      <w:keepLines/>
      <w:spacing w:before="120" w:after="120" w:line="276" w:lineRule="auto"/>
      <w:jc w:val="both"/>
      <w:outlineLvl w:val="1"/>
    </w:pPr>
    <w:rPr>
      <w:rFonts w:ascii="Arial Unicode MS" w:hAnsi="Arial Unicode MS"/>
      <w:b/>
      <w:bCs/>
      <w:color w:val="A6A6A6"/>
      <w:sz w:val="22"/>
      <w:szCs w:val="26"/>
      <w:lang w:eastAsia="zh-TW"/>
    </w:rPr>
  </w:style>
  <w:style w:type="paragraph" w:styleId="Naslov3">
    <w:name w:val="heading 3"/>
    <w:basedOn w:val="Navaden"/>
    <w:next w:val="Navaden"/>
    <w:link w:val="Naslov3Znak"/>
    <w:uiPriority w:val="9"/>
    <w:unhideWhenUsed/>
    <w:qFormat/>
    <w:rsid w:val="00272C2D"/>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Naslov4">
    <w:name w:val="heading 4"/>
    <w:basedOn w:val="Navaden"/>
    <w:next w:val="Navaden"/>
    <w:link w:val="Naslov4Znak"/>
    <w:uiPriority w:val="9"/>
    <w:unhideWhenUsed/>
    <w:qFormat/>
    <w:rsid w:val="00272C2D"/>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paragraph" w:styleId="Naslov5">
    <w:name w:val="heading 5"/>
    <w:basedOn w:val="Navaden"/>
    <w:next w:val="Navaden"/>
    <w:link w:val="Naslov5Znak"/>
    <w:uiPriority w:val="9"/>
    <w:unhideWhenUsed/>
    <w:qFormat/>
    <w:rsid w:val="00272C2D"/>
    <w:pPr>
      <w:keepNext/>
      <w:keepLines/>
      <w:spacing w:before="200" w:line="276" w:lineRule="auto"/>
      <w:outlineLvl w:val="4"/>
    </w:pPr>
    <w:rPr>
      <w:rFonts w:asciiTheme="majorHAnsi" w:eastAsiaTheme="majorEastAsia" w:hAnsiTheme="majorHAnsi" w:cstheme="majorBidi"/>
      <w:color w:val="243F60" w:themeColor="accent1" w:themeShade="7F"/>
      <w:sz w:val="22"/>
      <w:szCs w:val="22"/>
    </w:rPr>
  </w:style>
  <w:style w:type="paragraph" w:styleId="Naslov6">
    <w:name w:val="heading 6"/>
    <w:basedOn w:val="Navaden"/>
    <w:next w:val="Navaden"/>
    <w:link w:val="Naslov6Znak"/>
    <w:uiPriority w:val="9"/>
    <w:unhideWhenUsed/>
    <w:qFormat/>
    <w:rsid w:val="00272C2D"/>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paragraph" w:styleId="Naslov7">
    <w:name w:val="heading 7"/>
    <w:basedOn w:val="Navaden"/>
    <w:next w:val="Navaden"/>
    <w:link w:val="Naslov7Znak"/>
    <w:uiPriority w:val="9"/>
    <w:unhideWhenUsed/>
    <w:qFormat/>
    <w:rsid w:val="00272C2D"/>
    <w:pPr>
      <w:keepNext/>
      <w:keepLines/>
      <w:spacing w:before="200" w:line="276" w:lineRule="auto"/>
      <w:outlineLvl w:val="6"/>
    </w:pPr>
    <w:rPr>
      <w:rFonts w:asciiTheme="majorHAnsi" w:eastAsiaTheme="majorEastAsia" w:hAnsiTheme="majorHAnsi" w:cstheme="majorBidi"/>
      <w:i/>
      <w:iCs/>
      <w:color w:val="404040" w:themeColor="text1" w:themeTint="BF"/>
      <w:sz w:val="22"/>
      <w:szCs w:val="22"/>
    </w:rPr>
  </w:style>
  <w:style w:type="paragraph" w:styleId="Naslov8">
    <w:name w:val="heading 8"/>
    <w:basedOn w:val="Navaden"/>
    <w:next w:val="Navaden"/>
    <w:link w:val="Naslov8Znak"/>
    <w:uiPriority w:val="9"/>
    <w:unhideWhenUsed/>
    <w:qFormat/>
    <w:rsid w:val="00272C2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Naslov9">
    <w:name w:val="heading 9"/>
    <w:basedOn w:val="Navaden"/>
    <w:next w:val="Navaden"/>
    <w:link w:val="Naslov9Znak"/>
    <w:uiPriority w:val="9"/>
    <w:unhideWhenUsed/>
    <w:qFormat/>
    <w:rsid w:val="00272C2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aliases w:val="Numbered - 1 Znak,Section Znak,PVO-1 Znak"/>
    <w:basedOn w:val="Privzetapisavaodstavka"/>
    <w:link w:val="Naslov1"/>
    <w:uiPriority w:val="9"/>
    <w:rsid w:val="00FE460E"/>
    <w:rPr>
      <w:rFonts w:asciiTheme="majorHAnsi" w:eastAsiaTheme="majorEastAsia" w:hAnsiTheme="majorHAnsi" w:cstheme="majorBidi"/>
      <w:b/>
      <w:bCs/>
      <w:color w:val="365F91" w:themeColor="accent1" w:themeShade="BF"/>
      <w:sz w:val="28"/>
      <w:szCs w:val="28"/>
    </w:rPr>
  </w:style>
  <w:style w:type="character" w:customStyle="1" w:styleId="Naslov2Znak">
    <w:name w:val="Naslov 2 Znak"/>
    <w:aliases w:val="ParaLvl2 Znak,PodPoglavje Znak,Poglavje 2 Znak,Heading 2 Char1 Znak,Heading 2 Char Char Znak"/>
    <w:basedOn w:val="Privzetapisavaodstavka"/>
    <w:link w:val="Naslov2"/>
    <w:uiPriority w:val="9"/>
    <w:rsid w:val="00272C2D"/>
    <w:rPr>
      <w:rFonts w:ascii="Arial Unicode MS" w:eastAsia="Times New Roman" w:hAnsi="Arial Unicode MS" w:cs="Times New Roman"/>
      <w:b/>
      <w:bCs/>
      <w:color w:val="A6A6A6"/>
      <w:szCs w:val="26"/>
      <w:lang w:eastAsia="zh-TW"/>
    </w:rPr>
  </w:style>
  <w:style w:type="character" w:customStyle="1" w:styleId="Naslov3Znak">
    <w:name w:val="Naslov 3 Znak"/>
    <w:basedOn w:val="Privzetapisavaodstavka"/>
    <w:link w:val="Naslov3"/>
    <w:uiPriority w:val="9"/>
    <w:rsid w:val="00272C2D"/>
    <w:rPr>
      <w:rFonts w:asciiTheme="majorHAnsi" w:eastAsiaTheme="majorEastAsia" w:hAnsiTheme="majorHAnsi" w:cstheme="majorBidi"/>
      <w:b/>
      <w:bCs/>
      <w:color w:val="4F81BD" w:themeColor="accent1"/>
    </w:rPr>
  </w:style>
  <w:style w:type="character" w:customStyle="1" w:styleId="Naslov4Znak">
    <w:name w:val="Naslov 4 Znak"/>
    <w:basedOn w:val="Privzetapisavaodstavka"/>
    <w:link w:val="Naslov4"/>
    <w:uiPriority w:val="9"/>
    <w:rsid w:val="00272C2D"/>
    <w:rPr>
      <w:rFonts w:asciiTheme="majorHAnsi" w:eastAsiaTheme="majorEastAsia" w:hAnsiTheme="majorHAnsi" w:cstheme="majorBidi"/>
      <w:b/>
      <w:bCs/>
      <w:i/>
      <w:iCs/>
      <w:color w:val="4F81BD" w:themeColor="accent1"/>
    </w:rPr>
  </w:style>
  <w:style w:type="character" w:customStyle="1" w:styleId="Naslov5Znak">
    <w:name w:val="Naslov 5 Znak"/>
    <w:basedOn w:val="Privzetapisavaodstavka"/>
    <w:link w:val="Naslov5"/>
    <w:uiPriority w:val="9"/>
    <w:rsid w:val="00272C2D"/>
    <w:rPr>
      <w:rFonts w:asciiTheme="majorHAnsi" w:eastAsiaTheme="majorEastAsia" w:hAnsiTheme="majorHAnsi" w:cstheme="majorBidi"/>
      <w:color w:val="243F60" w:themeColor="accent1" w:themeShade="7F"/>
    </w:rPr>
  </w:style>
  <w:style w:type="character" w:customStyle="1" w:styleId="Naslov6Znak">
    <w:name w:val="Naslov 6 Znak"/>
    <w:basedOn w:val="Privzetapisavaodstavka"/>
    <w:link w:val="Naslov6"/>
    <w:uiPriority w:val="9"/>
    <w:rsid w:val="00272C2D"/>
    <w:rPr>
      <w:rFonts w:asciiTheme="majorHAnsi" w:eastAsiaTheme="majorEastAsia" w:hAnsiTheme="majorHAnsi" w:cstheme="majorBidi"/>
      <w:i/>
      <w:iCs/>
      <w:color w:val="243F60" w:themeColor="accent1" w:themeShade="7F"/>
    </w:rPr>
  </w:style>
  <w:style w:type="character" w:customStyle="1" w:styleId="Naslov7Znak">
    <w:name w:val="Naslov 7 Znak"/>
    <w:basedOn w:val="Privzetapisavaodstavka"/>
    <w:link w:val="Naslov7"/>
    <w:uiPriority w:val="9"/>
    <w:rsid w:val="00272C2D"/>
    <w:rPr>
      <w:rFonts w:asciiTheme="majorHAnsi" w:eastAsiaTheme="majorEastAsia" w:hAnsiTheme="majorHAnsi" w:cstheme="majorBidi"/>
      <w:i/>
      <w:iCs/>
      <w:color w:val="404040" w:themeColor="text1" w:themeTint="BF"/>
    </w:rPr>
  </w:style>
  <w:style w:type="character" w:customStyle="1" w:styleId="Naslov8Znak">
    <w:name w:val="Naslov 8 Znak"/>
    <w:basedOn w:val="Privzetapisavaodstavka"/>
    <w:link w:val="Naslov8"/>
    <w:uiPriority w:val="9"/>
    <w:rsid w:val="00272C2D"/>
    <w:rPr>
      <w:rFonts w:asciiTheme="majorHAnsi" w:eastAsiaTheme="majorEastAsia" w:hAnsiTheme="majorHAnsi" w:cstheme="majorBidi"/>
      <w:color w:val="404040" w:themeColor="text1" w:themeTint="BF"/>
      <w:sz w:val="20"/>
      <w:szCs w:val="20"/>
    </w:rPr>
  </w:style>
  <w:style w:type="character" w:customStyle="1" w:styleId="Naslov9Znak">
    <w:name w:val="Naslov 9 Znak"/>
    <w:basedOn w:val="Privzetapisavaodstavka"/>
    <w:link w:val="Naslov9"/>
    <w:uiPriority w:val="9"/>
    <w:rsid w:val="00272C2D"/>
    <w:rPr>
      <w:rFonts w:asciiTheme="majorHAnsi" w:eastAsiaTheme="majorEastAsia" w:hAnsiTheme="majorHAnsi" w:cstheme="majorBidi"/>
      <w:i/>
      <w:iCs/>
      <w:color w:val="404040" w:themeColor="text1" w:themeTint="BF"/>
      <w:sz w:val="20"/>
      <w:szCs w:val="20"/>
    </w:rPr>
  </w:style>
  <w:style w:type="paragraph" w:styleId="Besedilooblaka">
    <w:name w:val="Balloon Text"/>
    <w:basedOn w:val="Navaden"/>
    <w:link w:val="BesedilooblakaZnak"/>
    <w:uiPriority w:val="99"/>
    <w:semiHidden/>
    <w:unhideWhenUsed/>
    <w:rsid w:val="005F011A"/>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5F011A"/>
    <w:rPr>
      <w:rFonts w:ascii="Tahoma" w:hAnsi="Tahoma" w:cs="Tahoma"/>
      <w:sz w:val="16"/>
      <w:szCs w:val="16"/>
    </w:rPr>
  </w:style>
  <w:style w:type="paragraph" w:styleId="Glava">
    <w:name w:val="header"/>
    <w:aliases w:val="Header-PR,Header1,Glava Znak Znak Znak Znak"/>
    <w:basedOn w:val="Navaden"/>
    <w:link w:val="GlavaZnak"/>
    <w:uiPriority w:val="99"/>
    <w:unhideWhenUsed/>
    <w:rsid w:val="00F646BC"/>
    <w:pPr>
      <w:tabs>
        <w:tab w:val="center" w:pos="4536"/>
        <w:tab w:val="right" w:pos="9072"/>
      </w:tabs>
    </w:pPr>
    <w:rPr>
      <w:rFonts w:asciiTheme="minorHAnsi" w:eastAsiaTheme="minorEastAsia" w:hAnsiTheme="minorHAnsi" w:cstheme="minorBidi"/>
      <w:sz w:val="22"/>
      <w:szCs w:val="22"/>
    </w:rPr>
  </w:style>
  <w:style w:type="character" w:customStyle="1" w:styleId="GlavaZnak">
    <w:name w:val="Glava Znak"/>
    <w:aliases w:val="Header-PR Znak,Header1 Znak,Glava Znak Znak Znak Znak Znak"/>
    <w:basedOn w:val="Privzetapisavaodstavka"/>
    <w:link w:val="Glava"/>
    <w:uiPriority w:val="99"/>
    <w:rsid w:val="00F646BC"/>
  </w:style>
  <w:style w:type="paragraph" w:styleId="Noga">
    <w:name w:val="footer"/>
    <w:basedOn w:val="Navaden"/>
    <w:link w:val="NogaZnak"/>
    <w:unhideWhenUsed/>
    <w:rsid w:val="00F646BC"/>
    <w:pPr>
      <w:tabs>
        <w:tab w:val="center" w:pos="4536"/>
        <w:tab w:val="right" w:pos="9072"/>
      </w:tabs>
    </w:pPr>
    <w:rPr>
      <w:rFonts w:asciiTheme="minorHAnsi" w:eastAsiaTheme="minorEastAsia" w:hAnsiTheme="minorHAnsi" w:cstheme="minorBidi"/>
      <w:sz w:val="22"/>
      <w:szCs w:val="22"/>
    </w:rPr>
  </w:style>
  <w:style w:type="character" w:customStyle="1" w:styleId="NogaZnak">
    <w:name w:val="Noga Znak"/>
    <w:basedOn w:val="Privzetapisavaodstavka"/>
    <w:link w:val="Noga"/>
    <w:rsid w:val="00F646BC"/>
  </w:style>
  <w:style w:type="table" w:styleId="Tabelamrea">
    <w:name w:val="Table Grid"/>
    <w:basedOn w:val="Navadnatabela"/>
    <w:uiPriority w:val="59"/>
    <w:rsid w:val="00F646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aliases w:val="Odstavek seznama_IP,Seznam_IP_1,za tekst,naslov 1,Bullet 1,Bullet Points,Bullet layer,Colorful List - Accent 11,Dot pt,F5 List Paragraph,Indicator Text,Issue Action POC,List Paragraph Char Char Char,List Paragraph1,List Paragraph2,K1,3"/>
    <w:basedOn w:val="Navaden"/>
    <w:link w:val="OdstavekseznamaZnak"/>
    <w:uiPriority w:val="34"/>
    <w:qFormat/>
    <w:rsid w:val="00A6372E"/>
    <w:pPr>
      <w:spacing w:after="200" w:line="276" w:lineRule="auto"/>
      <w:ind w:left="720"/>
      <w:contextualSpacing/>
    </w:pPr>
    <w:rPr>
      <w:rFonts w:asciiTheme="minorHAnsi" w:eastAsiaTheme="minorEastAsia" w:hAnsiTheme="minorHAnsi" w:cstheme="minorBidi"/>
      <w:sz w:val="22"/>
      <w:szCs w:val="22"/>
    </w:rPr>
  </w:style>
  <w:style w:type="character" w:customStyle="1" w:styleId="OdstavekseznamaZnak">
    <w:name w:val="Odstavek seznama Znak"/>
    <w:aliases w:val="Odstavek seznama_IP Znak,Seznam_IP_1 Znak,za tekst Znak,naslov 1 Znak,Bullet 1 Znak,Bullet Points Znak,Bullet layer Znak,Colorful List - Accent 11 Znak,Dot pt Znak,F5 List Paragraph Znak,Indicator Text Znak,Issue Action POC Znak"/>
    <w:link w:val="Odstavekseznama"/>
    <w:uiPriority w:val="34"/>
    <w:qFormat/>
    <w:locked/>
    <w:rsid w:val="004768C7"/>
  </w:style>
  <w:style w:type="character" w:styleId="Hiperpovezava">
    <w:name w:val="Hyperlink"/>
    <w:basedOn w:val="Privzetapisavaodstavka"/>
    <w:uiPriority w:val="99"/>
    <w:unhideWhenUsed/>
    <w:rsid w:val="000A25C6"/>
    <w:rPr>
      <w:color w:val="0000FF" w:themeColor="hyperlink"/>
      <w:u w:val="single"/>
    </w:rPr>
  </w:style>
  <w:style w:type="paragraph" w:styleId="Napis">
    <w:name w:val="caption"/>
    <w:aliases w:val="TABELA,E-PVO-Tabela-Graf-Slika,Napis Znak2,Napis Znak1 Znak,E-PVO-Tabela-Graf-Slika Znak Znak,TABELA Znak Znak,Napis Znak Znak Znak,E-PVO-Tabela-Graf-Slika Znak1,TABELA Znak1,Slika Znak1,Napis Znak Znak1 Znak Znak Znak Znak,Znak,Slika, Znak"/>
    <w:basedOn w:val="Navaden"/>
    <w:next w:val="Navaden"/>
    <w:link w:val="NapisZnak"/>
    <w:uiPriority w:val="35"/>
    <w:unhideWhenUsed/>
    <w:qFormat/>
    <w:rsid w:val="00BF2640"/>
    <w:pPr>
      <w:spacing w:after="200"/>
    </w:pPr>
    <w:rPr>
      <w:rFonts w:asciiTheme="minorHAnsi" w:eastAsiaTheme="minorEastAsia" w:hAnsiTheme="minorHAnsi" w:cstheme="minorBidi"/>
      <w:b/>
      <w:bCs/>
      <w:color w:val="4F81BD" w:themeColor="accent1"/>
      <w:sz w:val="18"/>
      <w:szCs w:val="18"/>
    </w:rPr>
  </w:style>
  <w:style w:type="paragraph" w:customStyle="1" w:styleId="tevilnatoka">
    <w:name w:val="tevilnatoka"/>
    <w:basedOn w:val="Navaden"/>
    <w:rsid w:val="00C76B57"/>
    <w:pPr>
      <w:spacing w:before="100" w:beforeAutospacing="1" w:after="100" w:afterAutospacing="1"/>
    </w:pPr>
  </w:style>
  <w:style w:type="character" w:customStyle="1" w:styleId="apple-converted-space">
    <w:name w:val="apple-converted-space"/>
    <w:basedOn w:val="Privzetapisavaodstavka"/>
    <w:rsid w:val="00C76B57"/>
  </w:style>
  <w:style w:type="table" w:customStyle="1" w:styleId="Svetlosenenjepoudarek11">
    <w:name w:val="Svetlo senčenje – poudarek 11"/>
    <w:basedOn w:val="Navadnatabela"/>
    <w:uiPriority w:val="60"/>
    <w:rsid w:val="00042BE5"/>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protnaopomba-besedilo">
    <w:name w:val="footnote text"/>
    <w:aliases w:val="Char Char,Sprotna opomba-besedilo,Char Char Char Char,Sprotna opomba - besedilo Znak1,Sprotna opomba - besedilo Znak Znak2,Sprotna opomba - besedilo Znak1 Znak Znak1,Sprotna opomba - besedilo Znak1 Znak Znak Znak,fn"/>
    <w:basedOn w:val="Navaden"/>
    <w:link w:val="Sprotnaopomba-besediloZnak"/>
    <w:uiPriority w:val="99"/>
    <w:rsid w:val="00516687"/>
    <w:pPr>
      <w:spacing w:line="260" w:lineRule="exact"/>
    </w:pPr>
    <w:rPr>
      <w:rFonts w:ascii="Arial" w:hAnsi="Arial"/>
      <w:sz w:val="20"/>
      <w:szCs w:val="20"/>
    </w:rPr>
  </w:style>
  <w:style w:type="character" w:customStyle="1" w:styleId="Sprotnaopomba-besediloZnak">
    <w:name w:val="Sprotna opomba - besedilo Znak"/>
    <w:aliases w:val="Char Char Znak,Sprotna opomba-besedilo Znak,Char Char Char Char Znak,Sprotna opomba - besedilo Znak1 Znak,Sprotna opomba - besedilo Znak Znak2 Znak,Sprotna opomba - besedilo Znak1 Znak Znak1 Znak,fn Znak"/>
    <w:basedOn w:val="Privzetapisavaodstavka"/>
    <w:link w:val="Sprotnaopomba-besedilo"/>
    <w:uiPriority w:val="99"/>
    <w:rsid w:val="00516687"/>
    <w:rPr>
      <w:rFonts w:ascii="Arial" w:eastAsia="Times New Roman" w:hAnsi="Arial" w:cs="Times New Roman"/>
      <w:sz w:val="20"/>
      <w:szCs w:val="20"/>
    </w:rPr>
  </w:style>
  <w:style w:type="character" w:styleId="Sprotnaopomba-sklic">
    <w:name w:val="footnote reference"/>
    <w:aliases w:val="Footnote symbol,Fussnota,Footnote,Footnote reference number,note TESI,SUPERS,EN Footnote Reference,-E Fußnotenzeichen,Times 10 Point,Exposant 3 Point,E...,nota de rodapé,Footnote Reference_LVL6,Footnote Reference_LVL61,Footnot"/>
    <w:uiPriority w:val="99"/>
    <w:qFormat/>
    <w:rsid w:val="00516687"/>
    <w:rPr>
      <w:vertAlign w:val="superscript"/>
    </w:rPr>
  </w:style>
  <w:style w:type="paragraph" w:customStyle="1" w:styleId="lennaslov">
    <w:name w:val="Člen_naslov"/>
    <w:basedOn w:val="Navaden"/>
    <w:qFormat/>
    <w:rsid w:val="00516687"/>
    <w:pPr>
      <w:suppressAutoHyphens/>
      <w:overflowPunct w:val="0"/>
      <w:autoSpaceDE w:val="0"/>
      <w:autoSpaceDN w:val="0"/>
      <w:adjustRightInd w:val="0"/>
      <w:jc w:val="center"/>
      <w:textAlignment w:val="baseline"/>
    </w:pPr>
    <w:rPr>
      <w:rFonts w:ascii="Arial" w:hAnsi="Arial"/>
      <w:b/>
      <w:sz w:val="22"/>
      <w:szCs w:val="22"/>
    </w:rPr>
  </w:style>
  <w:style w:type="table" w:customStyle="1" w:styleId="Tabelasvetelseznam1poudarek11">
    <w:name w:val="Tabela – svetel seznam 1 (poudarek 1)1"/>
    <w:basedOn w:val="Navadnatabela"/>
    <w:uiPriority w:val="46"/>
    <w:rsid w:val="00824F4F"/>
    <w:pPr>
      <w:spacing w:after="0" w:line="240" w:lineRule="auto"/>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eznamIP2">
    <w:name w:val="Seznam_IP_2"/>
    <w:basedOn w:val="Odstavekseznama"/>
    <w:autoRedefine/>
    <w:uiPriority w:val="99"/>
    <w:rsid w:val="00357FA2"/>
    <w:pPr>
      <w:widowControl w:val="0"/>
      <w:numPr>
        <w:numId w:val="4"/>
      </w:numPr>
      <w:autoSpaceDE w:val="0"/>
      <w:autoSpaceDN w:val="0"/>
      <w:adjustRightInd w:val="0"/>
      <w:spacing w:after="240" w:line="300" w:lineRule="exact"/>
      <w:contextualSpacing w:val="0"/>
      <w:jc w:val="both"/>
    </w:pPr>
    <w:rPr>
      <w:rFonts w:ascii="Times New Roman" w:eastAsia="Times New Roman" w:hAnsi="Times New Roman" w:cs="Times New Roman"/>
      <w:bCs/>
      <w:noProof/>
      <w:color w:val="000000"/>
    </w:rPr>
  </w:style>
  <w:style w:type="table" w:customStyle="1" w:styleId="Tabelaseznam2poudarek11">
    <w:name w:val="Tabela – seznam 2 (poudarek 1)1"/>
    <w:basedOn w:val="Navadnatabela"/>
    <w:uiPriority w:val="47"/>
    <w:rsid w:val="00063B2B"/>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aslov">
    <w:name w:val="Title"/>
    <w:basedOn w:val="Navaden"/>
    <w:next w:val="Navaden"/>
    <w:link w:val="NaslovZnak"/>
    <w:uiPriority w:val="10"/>
    <w:qFormat/>
    <w:rsid w:val="00F55912"/>
    <w:pPr>
      <w:pBdr>
        <w:bottom w:val="single" w:sz="18" w:space="4" w:color="A6A6A6" w:themeColor="background1" w:themeShade="A6"/>
      </w:pBdr>
      <w:spacing w:after="120"/>
      <w:contextualSpacing/>
      <w:jc w:val="both"/>
    </w:pPr>
    <w:rPr>
      <w:rFonts w:ascii="Arial Unicode MS" w:eastAsiaTheme="majorEastAsia" w:hAnsi="Arial Unicode MS" w:cstheme="majorBidi"/>
      <w:b/>
      <w:color w:val="FF0000"/>
      <w:spacing w:val="5"/>
      <w:kern w:val="28"/>
      <w:sz w:val="32"/>
      <w:szCs w:val="52"/>
      <w:lang w:eastAsia="zh-TW"/>
    </w:rPr>
  </w:style>
  <w:style w:type="character" w:customStyle="1" w:styleId="NaslovZnak">
    <w:name w:val="Naslov Znak"/>
    <w:basedOn w:val="Privzetapisavaodstavka"/>
    <w:link w:val="Naslov"/>
    <w:uiPriority w:val="10"/>
    <w:rsid w:val="00F55912"/>
    <w:rPr>
      <w:rFonts w:ascii="Arial Unicode MS" w:eastAsiaTheme="majorEastAsia" w:hAnsi="Arial Unicode MS" w:cstheme="majorBidi"/>
      <w:b/>
      <w:color w:val="FF0000"/>
      <w:spacing w:val="5"/>
      <w:kern w:val="28"/>
      <w:sz w:val="32"/>
      <w:szCs w:val="52"/>
      <w:lang w:eastAsia="zh-TW"/>
    </w:rPr>
  </w:style>
  <w:style w:type="paragraph" w:styleId="Podnaslov">
    <w:name w:val="Subtitle"/>
    <w:basedOn w:val="Navaden"/>
    <w:next w:val="Navaden"/>
    <w:link w:val="PodnaslovZnak"/>
    <w:qFormat/>
    <w:rsid w:val="00F55912"/>
    <w:pPr>
      <w:numPr>
        <w:ilvl w:val="1"/>
      </w:numPr>
      <w:spacing w:before="120" w:after="120" w:line="276" w:lineRule="auto"/>
      <w:jc w:val="both"/>
    </w:pPr>
    <w:rPr>
      <w:rFonts w:ascii="Arial Unicode MS" w:eastAsiaTheme="majorEastAsia" w:hAnsi="Arial Unicode MS" w:cstheme="majorBidi"/>
      <w:b/>
      <w:i/>
      <w:iCs/>
      <w:color w:val="000000" w:themeColor="text1"/>
      <w:spacing w:val="15"/>
      <w:sz w:val="20"/>
      <w:lang w:eastAsia="zh-TW"/>
    </w:rPr>
  </w:style>
  <w:style w:type="character" w:customStyle="1" w:styleId="PodnaslovZnak">
    <w:name w:val="Podnaslov Znak"/>
    <w:basedOn w:val="Privzetapisavaodstavka"/>
    <w:link w:val="Podnaslov"/>
    <w:rsid w:val="00F55912"/>
    <w:rPr>
      <w:rFonts w:ascii="Arial Unicode MS" w:eastAsiaTheme="majorEastAsia" w:hAnsi="Arial Unicode MS" w:cstheme="majorBidi"/>
      <w:b/>
      <w:i/>
      <w:iCs/>
      <w:color w:val="000000" w:themeColor="text1"/>
      <w:spacing w:val="15"/>
      <w:sz w:val="20"/>
      <w:szCs w:val="24"/>
      <w:lang w:eastAsia="zh-TW"/>
    </w:rPr>
  </w:style>
  <w:style w:type="character" w:styleId="Intenzivenpoudarek">
    <w:name w:val="Intense Emphasis"/>
    <w:basedOn w:val="Privzetapisavaodstavka"/>
    <w:uiPriority w:val="21"/>
    <w:qFormat/>
    <w:rsid w:val="00F55912"/>
    <w:rPr>
      <w:b/>
      <w:bCs/>
      <w:i/>
      <w:iCs/>
      <w:color w:val="000000" w:themeColor="text1"/>
    </w:rPr>
  </w:style>
  <w:style w:type="character" w:styleId="Neenpoudarek">
    <w:name w:val="Subtle Emphasis"/>
    <w:basedOn w:val="Privzetapisavaodstavka"/>
    <w:uiPriority w:val="19"/>
    <w:qFormat/>
    <w:rsid w:val="00F55912"/>
    <w:rPr>
      <w:i/>
      <w:iCs/>
      <w:color w:val="808080" w:themeColor="text1" w:themeTint="7F"/>
    </w:rPr>
  </w:style>
  <w:style w:type="character" w:styleId="Krepko">
    <w:name w:val="Strong"/>
    <w:basedOn w:val="Privzetapisavaodstavka"/>
    <w:uiPriority w:val="22"/>
    <w:qFormat/>
    <w:rsid w:val="00F55912"/>
    <w:rPr>
      <w:b/>
      <w:bCs/>
    </w:rPr>
  </w:style>
  <w:style w:type="paragraph" w:styleId="Citat">
    <w:name w:val="Quote"/>
    <w:basedOn w:val="Navaden"/>
    <w:next w:val="Navaden"/>
    <w:link w:val="CitatZnak"/>
    <w:uiPriority w:val="29"/>
    <w:qFormat/>
    <w:rsid w:val="00F55912"/>
    <w:pPr>
      <w:spacing w:after="120" w:line="276" w:lineRule="auto"/>
      <w:jc w:val="both"/>
    </w:pPr>
    <w:rPr>
      <w:rFonts w:ascii="Arial Unicode MS" w:eastAsiaTheme="minorEastAsia" w:hAnsi="Arial Unicode MS" w:cstheme="minorBidi"/>
      <w:i/>
      <w:iCs/>
      <w:color w:val="000000" w:themeColor="text1"/>
      <w:sz w:val="20"/>
      <w:szCs w:val="22"/>
      <w:lang w:eastAsia="zh-TW"/>
    </w:rPr>
  </w:style>
  <w:style w:type="character" w:customStyle="1" w:styleId="CitatZnak">
    <w:name w:val="Citat Znak"/>
    <w:basedOn w:val="Privzetapisavaodstavka"/>
    <w:link w:val="Citat"/>
    <w:uiPriority w:val="29"/>
    <w:rsid w:val="00F55912"/>
    <w:rPr>
      <w:rFonts w:ascii="Arial Unicode MS" w:eastAsiaTheme="minorEastAsia" w:hAnsi="Arial Unicode MS"/>
      <w:i/>
      <w:iCs/>
      <w:color w:val="000000" w:themeColor="text1"/>
      <w:sz w:val="20"/>
      <w:lang w:eastAsia="zh-TW"/>
    </w:rPr>
  </w:style>
  <w:style w:type="character" w:styleId="Naslovknjige">
    <w:name w:val="Book Title"/>
    <w:basedOn w:val="Privzetapisavaodstavka"/>
    <w:uiPriority w:val="33"/>
    <w:qFormat/>
    <w:rsid w:val="00F55912"/>
    <w:rPr>
      <w:b/>
      <w:bCs/>
      <w:smallCaps/>
      <w:spacing w:val="5"/>
    </w:rPr>
  </w:style>
  <w:style w:type="paragraph" w:styleId="Intenzivencitat">
    <w:name w:val="Intense Quote"/>
    <w:basedOn w:val="Navaden"/>
    <w:next w:val="Navaden"/>
    <w:link w:val="IntenzivencitatZnak"/>
    <w:uiPriority w:val="30"/>
    <w:qFormat/>
    <w:rsid w:val="00F55912"/>
    <w:pPr>
      <w:pBdr>
        <w:bottom w:val="single" w:sz="4" w:space="4" w:color="A6A6A6" w:themeColor="background1" w:themeShade="A6"/>
      </w:pBdr>
      <w:spacing w:before="200" w:after="280" w:line="276" w:lineRule="auto"/>
      <w:ind w:left="936" w:right="936"/>
      <w:jc w:val="both"/>
    </w:pPr>
    <w:rPr>
      <w:rFonts w:ascii="Arial Unicode MS" w:eastAsiaTheme="minorEastAsia" w:hAnsi="Arial Unicode MS" w:cstheme="minorBidi"/>
      <w:b/>
      <w:bCs/>
      <w:i/>
      <w:iCs/>
      <w:color w:val="A6A6A6" w:themeColor="background1" w:themeShade="A6"/>
      <w:sz w:val="20"/>
      <w:szCs w:val="22"/>
      <w:lang w:eastAsia="zh-TW"/>
    </w:rPr>
  </w:style>
  <w:style w:type="character" w:customStyle="1" w:styleId="IntenzivencitatZnak">
    <w:name w:val="Intenziven citat Znak"/>
    <w:basedOn w:val="Privzetapisavaodstavka"/>
    <w:link w:val="Intenzivencitat"/>
    <w:uiPriority w:val="30"/>
    <w:rsid w:val="00F55912"/>
    <w:rPr>
      <w:rFonts w:ascii="Arial Unicode MS" w:eastAsiaTheme="minorEastAsia" w:hAnsi="Arial Unicode MS"/>
      <w:b/>
      <w:bCs/>
      <w:i/>
      <w:iCs/>
      <w:color w:val="A6A6A6" w:themeColor="background1" w:themeShade="A6"/>
      <w:sz w:val="20"/>
      <w:lang w:eastAsia="zh-TW"/>
    </w:rPr>
  </w:style>
  <w:style w:type="paragraph" w:styleId="Brezrazmikov">
    <w:name w:val="No Spacing"/>
    <w:link w:val="BrezrazmikovZnak"/>
    <w:uiPriority w:val="1"/>
    <w:qFormat/>
    <w:rsid w:val="00F55912"/>
    <w:pPr>
      <w:spacing w:after="0" w:line="240" w:lineRule="auto"/>
      <w:jc w:val="both"/>
    </w:pPr>
    <w:rPr>
      <w:rFonts w:ascii="Arial Unicode MS" w:hAnsi="Arial Unicode MS"/>
      <w:sz w:val="20"/>
      <w:lang w:eastAsia="zh-TW"/>
    </w:rPr>
  </w:style>
  <w:style w:type="character" w:styleId="Pripombasklic">
    <w:name w:val="annotation reference"/>
    <w:basedOn w:val="Privzetapisavaodstavka"/>
    <w:uiPriority w:val="99"/>
    <w:unhideWhenUsed/>
    <w:rsid w:val="00F55912"/>
    <w:rPr>
      <w:sz w:val="16"/>
      <w:szCs w:val="16"/>
    </w:rPr>
  </w:style>
  <w:style w:type="paragraph" w:styleId="Pripombabesedilo">
    <w:name w:val="annotation text"/>
    <w:basedOn w:val="Navaden"/>
    <w:link w:val="PripombabesediloZnak"/>
    <w:uiPriority w:val="99"/>
    <w:unhideWhenUsed/>
    <w:rsid w:val="00F55912"/>
    <w:pPr>
      <w:spacing w:after="120"/>
      <w:jc w:val="both"/>
    </w:pPr>
    <w:rPr>
      <w:rFonts w:ascii="Arial Unicode MS" w:eastAsiaTheme="minorEastAsia" w:hAnsi="Arial Unicode MS" w:cstheme="minorBidi"/>
      <w:sz w:val="20"/>
      <w:szCs w:val="20"/>
      <w:lang w:eastAsia="zh-TW"/>
    </w:rPr>
  </w:style>
  <w:style w:type="character" w:customStyle="1" w:styleId="PripombabesediloZnak">
    <w:name w:val="Pripomba – besedilo Znak"/>
    <w:basedOn w:val="Privzetapisavaodstavka"/>
    <w:link w:val="Pripombabesedilo"/>
    <w:uiPriority w:val="99"/>
    <w:rsid w:val="00F55912"/>
    <w:rPr>
      <w:rFonts w:ascii="Arial Unicode MS" w:eastAsiaTheme="minorEastAsia" w:hAnsi="Arial Unicode MS"/>
      <w:sz w:val="20"/>
      <w:szCs w:val="20"/>
      <w:lang w:eastAsia="zh-TW"/>
    </w:rPr>
  </w:style>
  <w:style w:type="paragraph" w:styleId="Zadevapripombe">
    <w:name w:val="annotation subject"/>
    <w:basedOn w:val="Pripombabesedilo"/>
    <w:next w:val="Pripombabesedilo"/>
    <w:link w:val="ZadevapripombeZnak"/>
    <w:uiPriority w:val="99"/>
    <w:semiHidden/>
    <w:unhideWhenUsed/>
    <w:rsid w:val="00F55912"/>
    <w:rPr>
      <w:b/>
      <w:bCs/>
    </w:rPr>
  </w:style>
  <w:style w:type="character" w:customStyle="1" w:styleId="ZadevapripombeZnak">
    <w:name w:val="Zadeva pripombe Znak"/>
    <w:basedOn w:val="PripombabesediloZnak"/>
    <w:link w:val="Zadevapripombe"/>
    <w:uiPriority w:val="99"/>
    <w:semiHidden/>
    <w:rsid w:val="00F55912"/>
    <w:rPr>
      <w:rFonts w:ascii="Arial Unicode MS" w:eastAsiaTheme="minorEastAsia" w:hAnsi="Arial Unicode MS"/>
      <w:b/>
      <w:bCs/>
      <w:sz w:val="20"/>
      <w:szCs w:val="20"/>
      <w:lang w:eastAsia="zh-TW"/>
    </w:rPr>
  </w:style>
  <w:style w:type="paragraph" w:styleId="Telobesedila">
    <w:name w:val="Body Text"/>
    <w:basedOn w:val="Navaden"/>
    <w:link w:val="TelobesedilaZnak"/>
    <w:rsid w:val="00F55912"/>
    <w:pPr>
      <w:jc w:val="center"/>
    </w:pPr>
    <w:rPr>
      <w:b/>
      <w:bCs/>
      <w:sz w:val="40"/>
      <w:szCs w:val="40"/>
    </w:rPr>
  </w:style>
  <w:style w:type="character" w:customStyle="1" w:styleId="TelobesedilaZnak">
    <w:name w:val="Telo besedila Znak"/>
    <w:basedOn w:val="Privzetapisavaodstavka"/>
    <w:link w:val="Telobesedila"/>
    <w:rsid w:val="00F55912"/>
    <w:rPr>
      <w:rFonts w:ascii="Times New Roman" w:eastAsia="Times New Roman" w:hAnsi="Times New Roman" w:cs="Times New Roman"/>
      <w:b/>
      <w:bCs/>
      <w:sz w:val="40"/>
      <w:szCs w:val="40"/>
    </w:rPr>
  </w:style>
  <w:style w:type="paragraph" w:styleId="Kazalovsebine2">
    <w:name w:val="toc 2"/>
    <w:basedOn w:val="Navaden"/>
    <w:next w:val="Navaden"/>
    <w:autoRedefine/>
    <w:uiPriority w:val="39"/>
    <w:unhideWhenUsed/>
    <w:rsid w:val="00F55912"/>
    <w:pPr>
      <w:spacing w:line="276" w:lineRule="auto"/>
      <w:ind w:left="200"/>
    </w:pPr>
    <w:rPr>
      <w:rFonts w:asciiTheme="minorHAnsi" w:eastAsiaTheme="minorEastAsia" w:hAnsiTheme="minorHAnsi" w:cstheme="minorBidi"/>
      <w:smallCaps/>
      <w:sz w:val="20"/>
      <w:szCs w:val="20"/>
      <w:lang w:eastAsia="zh-TW"/>
    </w:rPr>
  </w:style>
  <w:style w:type="paragraph" w:styleId="Kazalovsebine1">
    <w:name w:val="toc 1"/>
    <w:basedOn w:val="Navaden"/>
    <w:next w:val="Navaden"/>
    <w:autoRedefine/>
    <w:uiPriority w:val="39"/>
    <w:unhideWhenUsed/>
    <w:rsid w:val="00F55912"/>
    <w:pPr>
      <w:spacing w:before="120" w:after="120" w:line="276" w:lineRule="auto"/>
    </w:pPr>
    <w:rPr>
      <w:rFonts w:asciiTheme="minorHAnsi" w:eastAsiaTheme="minorEastAsia" w:hAnsiTheme="minorHAnsi" w:cstheme="minorBidi"/>
      <w:b/>
      <w:bCs/>
      <w:caps/>
      <w:sz w:val="20"/>
      <w:szCs w:val="20"/>
      <w:lang w:eastAsia="zh-TW"/>
    </w:rPr>
  </w:style>
  <w:style w:type="paragraph" w:styleId="Kazalovsebine3">
    <w:name w:val="toc 3"/>
    <w:basedOn w:val="Navaden"/>
    <w:next w:val="Navaden"/>
    <w:autoRedefine/>
    <w:uiPriority w:val="39"/>
    <w:unhideWhenUsed/>
    <w:rsid w:val="00F55912"/>
    <w:pPr>
      <w:spacing w:line="276" w:lineRule="auto"/>
      <w:ind w:left="400"/>
    </w:pPr>
    <w:rPr>
      <w:rFonts w:asciiTheme="minorHAnsi" w:eastAsiaTheme="minorEastAsia" w:hAnsiTheme="minorHAnsi" w:cstheme="minorBidi"/>
      <w:i/>
      <w:iCs/>
      <w:sz w:val="20"/>
      <w:szCs w:val="20"/>
      <w:lang w:eastAsia="zh-TW"/>
    </w:rPr>
  </w:style>
  <w:style w:type="character" w:styleId="Poudarek">
    <w:name w:val="Emphasis"/>
    <w:basedOn w:val="Privzetapisavaodstavka"/>
    <w:uiPriority w:val="20"/>
    <w:qFormat/>
    <w:rsid w:val="00F55912"/>
    <w:rPr>
      <w:i/>
      <w:iCs/>
    </w:rPr>
  </w:style>
  <w:style w:type="character" w:customStyle="1" w:styleId="navadnobesedilo">
    <w:name w:val="navadno_besedilo"/>
    <w:basedOn w:val="Privzetapisavaodstavka"/>
    <w:rsid w:val="00F55912"/>
  </w:style>
  <w:style w:type="character" w:customStyle="1" w:styleId="povezavasiva">
    <w:name w:val="povezava_siva"/>
    <w:basedOn w:val="Privzetapisavaodstavka"/>
    <w:rsid w:val="00F55912"/>
  </w:style>
  <w:style w:type="character" w:customStyle="1" w:styleId="st">
    <w:name w:val="st"/>
    <w:basedOn w:val="Privzetapisavaodstavka"/>
    <w:rsid w:val="00F55912"/>
  </w:style>
  <w:style w:type="character" w:customStyle="1" w:styleId="content">
    <w:name w:val="content"/>
    <w:uiPriority w:val="99"/>
    <w:rsid w:val="00F55912"/>
    <w:rPr>
      <w:rFonts w:cs="Times New Roman"/>
    </w:rPr>
  </w:style>
  <w:style w:type="paragraph" w:styleId="Kazalovsebine4">
    <w:name w:val="toc 4"/>
    <w:basedOn w:val="Navaden"/>
    <w:next w:val="Navaden"/>
    <w:autoRedefine/>
    <w:uiPriority w:val="39"/>
    <w:unhideWhenUsed/>
    <w:rsid w:val="00F55912"/>
    <w:pPr>
      <w:spacing w:line="276" w:lineRule="auto"/>
      <w:ind w:left="600"/>
    </w:pPr>
    <w:rPr>
      <w:rFonts w:asciiTheme="minorHAnsi" w:eastAsiaTheme="minorEastAsia" w:hAnsiTheme="minorHAnsi" w:cstheme="minorBidi"/>
      <w:sz w:val="18"/>
      <w:szCs w:val="18"/>
      <w:lang w:eastAsia="zh-TW"/>
    </w:rPr>
  </w:style>
  <w:style w:type="paragraph" w:styleId="Kazalovsebine5">
    <w:name w:val="toc 5"/>
    <w:basedOn w:val="Navaden"/>
    <w:next w:val="Navaden"/>
    <w:autoRedefine/>
    <w:uiPriority w:val="39"/>
    <w:unhideWhenUsed/>
    <w:rsid w:val="00F55912"/>
    <w:pPr>
      <w:spacing w:line="276" w:lineRule="auto"/>
      <w:ind w:left="800"/>
    </w:pPr>
    <w:rPr>
      <w:rFonts w:asciiTheme="minorHAnsi" w:eastAsiaTheme="minorEastAsia" w:hAnsiTheme="minorHAnsi" w:cstheme="minorBidi"/>
      <w:sz w:val="18"/>
      <w:szCs w:val="18"/>
      <w:lang w:eastAsia="zh-TW"/>
    </w:rPr>
  </w:style>
  <w:style w:type="paragraph" w:styleId="Kazalovsebine6">
    <w:name w:val="toc 6"/>
    <w:basedOn w:val="Navaden"/>
    <w:next w:val="Navaden"/>
    <w:autoRedefine/>
    <w:uiPriority w:val="39"/>
    <w:unhideWhenUsed/>
    <w:rsid w:val="00F55912"/>
    <w:pPr>
      <w:spacing w:line="276" w:lineRule="auto"/>
      <w:ind w:left="1000"/>
    </w:pPr>
    <w:rPr>
      <w:rFonts w:asciiTheme="minorHAnsi" w:eastAsiaTheme="minorEastAsia" w:hAnsiTheme="minorHAnsi" w:cstheme="minorBidi"/>
      <w:sz w:val="18"/>
      <w:szCs w:val="18"/>
      <w:lang w:eastAsia="zh-TW"/>
    </w:rPr>
  </w:style>
  <w:style w:type="paragraph" w:styleId="Kazalovsebine7">
    <w:name w:val="toc 7"/>
    <w:basedOn w:val="Navaden"/>
    <w:next w:val="Navaden"/>
    <w:autoRedefine/>
    <w:uiPriority w:val="39"/>
    <w:unhideWhenUsed/>
    <w:rsid w:val="00F55912"/>
    <w:pPr>
      <w:spacing w:line="276" w:lineRule="auto"/>
      <w:ind w:left="1200"/>
    </w:pPr>
    <w:rPr>
      <w:rFonts w:asciiTheme="minorHAnsi" w:eastAsiaTheme="minorEastAsia" w:hAnsiTheme="minorHAnsi" w:cstheme="minorBidi"/>
      <w:sz w:val="18"/>
      <w:szCs w:val="18"/>
      <w:lang w:eastAsia="zh-TW"/>
    </w:rPr>
  </w:style>
  <w:style w:type="paragraph" w:styleId="Kazalovsebine8">
    <w:name w:val="toc 8"/>
    <w:basedOn w:val="Navaden"/>
    <w:next w:val="Navaden"/>
    <w:autoRedefine/>
    <w:uiPriority w:val="39"/>
    <w:unhideWhenUsed/>
    <w:rsid w:val="00F55912"/>
    <w:pPr>
      <w:spacing w:line="276" w:lineRule="auto"/>
      <w:ind w:left="1400"/>
    </w:pPr>
    <w:rPr>
      <w:rFonts w:asciiTheme="minorHAnsi" w:eastAsiaTheme="minorEastAsia" w:hAnsiTheme="minorHAnsi" w:cstheme="minorBidi"/>
      <w:sz w:val="18"/>
      <w:szCs w:val="18"/>
      <w:lang w:eastAsia="zh-TW"/>
    </w:rPr>
  </w:style>
  <w:style w:type="paragraph" w:styleId="Kazalovsebine9">
    <w:name w:val="toc 9"/>
    <w:basedOn w:val="Navaden"/>
    <w:next w:val="Navaden"/>
    <w:autoRedefine/>
    <w:uiPriority w:val="39"/>
    <w:unhideWhenUsed/>
    <w:rsid w:val="00F55912"/>
    <w:pPr>
      <w:spacing w:line="276" w:lineRule="auto"/>
      <w:ind w:left="1600"/>
    </w:pPr>
    <w:rPr>
      <w:rFonts w:asciiTheme="minorHAnsi" w:eastAsiaTheme="minorEastAsia" w:hAnsiTheme="minorHAnsi" w:cstheme="minorBidi"/>
      <w:sz w:val="18"/>
      <w:szCs w:val="18"/>
      <w:lang w:eastAsia="zh-TW"/>
    </w:rPr>
  </w:style>
  <w:style w:type="paragraph" w:styleId="Kazaloslik">
    <w:name w:val="table of figures"/>
    <w:basedOn w:val="Navaden"/>
    <w:next w:val="Navaden"/>
    <w:uiPriority w:val="99"/>
    <w:unhideWhenUsed/>
    <w:rsid w:val="00F55912"/>
    <w:pPr>
      <w:spacing w:line="276" w:lineRule="auto"/>
      <w:ind w:left="400" w:hanging="400"/>
    </w:pPr>
    <w:rPr>
      <w:rFonts w:asciiTheme="minorHAnsi" w:eastAsiaTheme="minorEastAsia" w:hAnsiTheme="minorHAnsi" w:cstheme="minorBidi"/>
      <w:smallCaps/>
      <w:sz w:val="20"/>
      <w:szCs w:val="20"/>
      <w:lang w:eastAsia="zh-TW"/>
    </w:rPr>
  </w:style>
  <w:style w:type="paragraph" w:customStyle="1" w:styleId="Default">
    <w:name w:val="Default"/>
    <w:rsid w:val="00F55912"/>
    <w:pPr>
      <w:autoSpaceDE w:val="0"/>
      <w:autoSpaceDN w:val="0"/>
      <w:adjustRightInd w:val="0"/>
      <w:spacing w:after="0" w:line="240" w:lineRule="auto"/>
    </w:pPr>
    <w:rPr>
      <w:rFonts w:ascii="Arial" w:eastAsia="Times New Roman" w:hAnsi="Arial" w:cs="Arial"/>
      <w:color w:val="000000"/>
      <w:sz w:val="24"/>
      <w:szCs w:val="24"/>
      <w:lang w:eastAsia="zh-TW"/>
    </w:rPr>
  </w:style>
  <w:style w:type="paragraph" w:styleId="Navadensplet">
    <w:name w:val="Normal (Web)"/>
    <w:basedOn w:val="Navaden"/>
    <w:uiPriority w:val="99"/>
    <w:unhideWhenUsed/>
    <w:rsid w:val="00F55912"/>
    <w:pPr>
      <w:spacing w:before="100" w:beforeAutospacing="1" w:after="100" w:afterAutospacing="1"/>
    </w:pPr>
  </w:style>
  <w:style w:type="paragraph" w:styleId="Oznaenseznam">
    <w:name w:val="List Bullet"/>
    <w:basedOn w:val="Navaden"/>
    <w:uiPriority w:val="99"/>
    <w:unhideWhenUsed/>
    <w:rsid w:val="00F55912"/>
    <w:pPr>
      <w:numPr>
        <w:numId w:val="5"/>
      </w:numPr>
      <w:spacing w:after="120" w:line="276" w:lineRule="auto"/>
      <w:contextualSpacing/>
      <w:jc w:val="both"/>
    </w:pPr>
    <w:rPr>
      <w:rFonts w:ascii="Arial Unicode MS" w:eastAsiaTheme="minorEastAsia" w:hAnsi="Arial Unicode MS" w:cstheme="minorBidi"/>
      <w:sz w:val="20"/>
      <w:szCs w:val="22"/>
      <w:lang w:eastAsia="zh-TW"/>
    </w:rPr>
  </w:style>
  <w:style w:type="table" w:customStyle="1" w:styleId="Tabelabarvniseznam6poudarek11">
    <w:name w:val="Tabela – barvni seznam 6 (poudarek 1)1"/>
    <w:basedOn w:val="Navadnatabela"/>
    <w:uiPriority w:val="51"/>
    <w:rsid w:val="00AD5391"/>
    <w:pPr>
      <w:spacing w:after="0" w:line="240" w:lineRule="auto"/>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evilnatoka1">
    <w:name w:val="tevilnatoka1"/>
    <w:basedOn w:val="Navaden"/>
    <w:rsid w:val="006C431C"/>
    <w:pPr>
      <w:ind w:left="425" w:hanging="425"/>
      <w:jc w:val="both"/>
    </w:pPr>
    <w:rPr>
      <w:rFonts w:ascii="Arial" w:hAnsi="Arial" w:cs="Arial"/>
      <w:sz w:val="22"/>
      <w:szCs w:val="22"/>
    </w:rPr>
  </w:style>
  <w:style w:type="table" w:customStyle="1" w:styleId="LightShading-Accent11">
    <w:name w:val="Light Shading - Accent 11"/>
    <w:basedOn w:val="Navadnatabela"/>
    <w:uiPriority w:val="60"/>
    <w:rsid w:val="006C431C"/>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Svetlosenenjepoudarek12">
    <w:name w:val="Svetlo senčenje – poudarek 12"/>
    <w:basedOn w:val="Navadnatabela"/>
    <w:uiPriority w:val="60"/>
    <w:rsid w:val="001E4D2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navodilavpodboxu">
    <w:name w:val="navodilavpodboxu"/>
    <w:basedOn w:val="Navaden"/>
    <w:semiHidden/>
    <w:rsid w:val="000E48F2"/>
    <w:pPr>
      <w:spacing w:before="100" w:beforeAutospacing="1" w:after="100" w:afterAutospacing="1"/>
    </w:pPr>
  </w:style>
  <w:style w:type="paragraph" w:styleId="NaslovTOC">
    <w:name w:val="TOC Heading"/>
    <w:basedOn w:val="Naslov1"/>
    <w:next w:val="Navaden"/>
    <w:uiPriority w:val="39"/>
    <w:unhideWhenUsed/>
    <w:qFormat/>
    <w:rsid w:val="003836D1"/>
    <w:pPr>
      <w:outlineLvl w:val="9"/>
    </w:pPr>
    <w:rPr>
      <w:lang w:val="en-US"/>
    </w:rPr>
  </w:style>
  <w:style w:type="numbering" w:customStyle="1" w:styleId="WWNum35">
    <w:name w:val="WWNum35"/>
    <w:basedOn w:val="Brezseznama"/>
    <w:rsid w:val="00A436A4"/>
    <w:pPr>
      <w:numPr>
        <w:numId w:val="7"/>
      </w:numPr>
    </w:pPr>
  </w:style>
  <w:style w:type="paragraph" w:customStyle="1" w:styleId="Standard">
    <w:name w:val="Standard"/>
    <w:rsid w:val="00A436A4"/>
    <w:pPr>
      <w:suppressAutoHyphens/>
      <w:autoSpaceDN w:val="0"/>
      <w:spacing w:after="0" w:line="240" w:lineRule="auto"/>
      <w:textAlignment w:val="baseline"/>
    </w:pPr>
    <w:rPr>
      <w:rFonts w:ascii="Times New Roman" w:eastAsia="Times New Roman" w:hAnsi="Times New Roman" w:cs="Times New Roman"/>
      <w:kern w:val="3"/>
      <w:sz w:val="24"/>
      <w:szCs w:val="24"/>
    </w:rPr>
  </w:style>
  <w:style w:type="numbering" w:customStyle="1" w:styleId="WWNum31">
    <w:name w:val="WWNum31"/>
    <w:basedOn w:val="Brezseznama"/>
    <w:rsid w:val="00A436A4"/>
    <w:pPr>
      <w:numPr>
        <w:numId w:val="8"/>
      </w:numPr>
    </w:pPr>
  </w:style>
  <w:style w:type="numbering" w:customStyle="1" w:styleId="WWNum37">
    <w:name w:val="WWNum37"/>
    <w:basedOn w:val="Brezseznama"/>
    <w:rsid w:val="00C7000D"/>
    <w:pPr>
      <w:numPr>
        <w:numId w:val="9"/>
      </w:numPr>
    </w:pPr>
  </w:style>
  <w:style w:type="numbering" w:customStyle="1" w:styleId="WWNum7">
    <w:name w:val="WWNum7"/>
    <w:basedOn w:val="Brezseznama"/>
    <w:rsid w:val="00BC06D3"/>
    <w:pPr>
      <w:numPr>
        <w:numId w:val="10"/>
      </w:numPr>
    </w:pPr>
  </w:style>
  <w:style w:type="numbering" w:customStyle="1" w:styleId="WWNum17">
    <w:name w:val="WWNum17"/>
    <w:basedOn w:val="Brezseznama"/>
    <w:rsid w:val="00AC3B1B"/>
    <w:pPr>
      <w:numPr>
        <w:numId w:val="11"/>
      </w:numPr>
    </w:pPr>
  </w:style>
  <w:style w:type="numbering" w:customStyle="1" w:styleId="WWNum18">
    <w:name w:val="WWNum18"/>
    <w:basedOn w:val="Brezseznama"/>
    <w:rsid w:val="00AC3B1B"/>
    <w:pPr>
      <w:numPr>
        <w:numId w:val="12"/>
      </w:numPr>
    </w:pPr>
  </w:style>
  <w:style w:type="table" w:customStyle="1" w:styleId="Tabelaseznam2poudarek111">
    <w:name w:val="Tabela – seznam 2 (poudarek 1)11"/>
    <w:basedOn w:val="Navadnatabela"/>
    <w:uiPriority w:val="47"/>
    <w:rsid w:val="00F36689"/>
    <w:pPr>
      <w:spacing w:after="0" w:line="240" w:lineRule="auto"/>
    </w:pPr>
    <w:rPr>
      <w:rFonts w:eastAsiaTheme="minorHAnsi"/>
      <w:lang w:eastAsia="en-US"/>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Svetlosenenjepoudarek1">
    <w:name w:val="Light Shading Accent 1"/>
    <w:basedOn w:val="Navadnatabela"/>
    <w:uiPriority w:val="60"/>
    <w:rsid w:val="0020488E"/>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rezrazmikovZnak">
    <w:name w:val="Brez razmikov Znak"/>
    <w:basedOn w:val="Privzetapisavaodstavka"/>
    <w:link w:val="Brezrazmikov"/>
    <w:uiPriority w:val="1"/>
    <w:rsid w:val="003509F8"/>
    <w:rPr>
      <w:rFonts w:ascii="Arial Unicode MS" w:hAnsi="Arial Unicode MS"/>
      <w:sz w:val="20"/>
      <w:lang w:eastAsia="zh-TW"/>
    </w:rPr>
  </w:style>
  <w:style w:type="paragraph" w:styleId="Telobesedila2">
    <w:name w:val="Body Text 2"/>
    <w:basedOn w:val="Navaden"/>
    <w:link w:val="Telobesedila2Znak"/>
    <w:uiPriority w:val="99"/>
    <w:semiHidden/>
    <w:unhideWhenUsed/>
    <w:rsid w:val="000F79A9"/>
    <w:pPr>
      <w:spacing w:after="120" w:line="480" w:lineRule="auto"/>
    </w:pPr>
    <w:rPr>
      <w:rFonts w:asciiTheme="minorHAnsi" w:eastAsiaTheme="minorEastAsia" w:hAnsiTheme="minorHAnsi" w:cstheme="minorBidi"/>
      <w:sz w:val="22"/>
      <w:szCs w:val="22"/>
    </w:rPr>
  </w:style>
  <w:style w:type="character" w:customStyle="1" w:styleId="Telobesedila2Znak">
    <w:name w:val="Telo besedila 2 Znak"/>
    <w:basedOn w:val="Privzetapisavaodstavka"/>
    <w:link w:val="Telobesedila2"/>
    <w:uiPriority w:val="99"/>
    <w:semiHidden/>
    <w:rsid w:val="000F79A9"/>
  </w:style>
  <w:style w:type="character" w:customStyle="1" w:styleId="NapisZnak">
    <w:name w:val="Napis Znak"/>
    <w:aliases w:val="TABELA Znak,E-PVO-Tabela-Graf-Slika Znak,Napis Znak2 Znak,Napis Znak1 Znak Znak,E-PVO-Tabela-Graf-Slika Znak Znak Znak,TABELA Znak Znak Znak,Napis Znak Znak Znak Znak,E-PVO-Tabela-Graf-Slika Znak1 Znak,TABELA Znak1 Znak,Slika Znak1 Znak"/>
    <w:link w:val="Napis"/>
    <w:uiPriority w:val="35"/>
    <w:locked/>
    <w:rsid w:val="00630F5C"/>
    <w:rPr>
      <w:b/>
      <w:bCs/>
      <w:color w:val="4F81BD" w:themeColor="accent1"/>
      <w:sz w:val="18"/>
      <w:szCs w:val="18"/>
    </w:rPr>
  </w:style>
  <w:style w:type="paragraph" w:customStyle="1" w:styleId="font5">
    <w:name w:val="font5"/>
    <w:basedOn w:val="Navaden"/>
    <w:rsid w:val="005A5A99"/>
    <w:pPr>
      <w:spacing w:before="100" w:beforeAutospacing="1" w:after="100" w:afterAutospacing="1"/>
    </w:pPr>
    <w:rPr>
      <w:rFonts w:eastAsia="Arial Unicode MS"/>
      <w:b/>
      <w:bCs/>
      <w:noProof/>
      <w:sz w:val="20"/>
      <w:szCs w:val="20"/>
      <w:lang w:val="de-DE"/>
    </w:rPr>
  </w:style>
  <w:style w:type="paragraph" w:customStyle="1" w:styleId="Tekst">
    <w:name w:val="Tekst"/>
    <w:basedOn w:val="Navaden"/>
    <w:rsid w:val="005A5A99"/>
    <w:pPr>
      <w:suppressAutoHyphens/>
      <w:overflowPunct w:val="0"/>
      <w:autoSpaceDE w:val="0"/>
      <w:textAlignment w:val="baseline"/>
    </w:pPr>
    <w:rPr>
      <w:rFonts w:ascii="Arial" w:hAnsi="Arial" w:cs="Arial"/>
      <w:sz w:val="22"/>
      <w:szCs w:val="22"/>
      <w:lang w:val="en-US" w:eastAsia="ar-SA"/>
    </w:rPr>
  </w:style>
  <w:style w:type="table" w:styleId="Svetlosenenjepoudarek2">
    <w:name w:val="Light Shading Accent 2"/>
    <w:basedOn w:val="Navadnatabela"/>
    <w:uiPriority w:val="60"/>
    <w:rsid w:val="006C5D7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MILOVANTEKSTI">
    <w:name w:val="MILOVAN_TEKSTI"/>
    <w:basedOn w:val="Telobesedila3"/>
    <w:rsid w:val="00141C26"/>
    <w:pPr>
      <w:spacing w:after="0" w:line="240" w:lineRule="auto"/>
      <w:ind w:right="-6"/>
      <w:jc w:val="both"/>
    </w:pPr>
    <w:rPr>
      <w:rFonts w:ascii="Arial" w:eastAsia="Times New Roman" w:hAnsi="Arial" w:cs="Times New Roman"/>
      <w:sz w:val="24"/>
      <w:szCs w:val="24"/>
    </w:rPr>
  </w:style>
  <w:style w:type="paragraph" w:styleId="Telobesedila3">
    <w:name w:val="Body Text 3"/>
    <w:basedOn w:val="Navaden"/>
    <w:link w:val="Telobesedila3Znak"/>
    <w:uiPriority w:val="99"/>
    <w:semiHidden/>
    <w:unhideWhenUsed/>
    <w:rsid w:val="00141C26"/>
    <w:pPr>
      <w:spacing w:after="120" w:line="276" w:lineRule="auto"/>
    </w:pPr>
    <w:rPr>
      <w:rFonts w:asciiTheme="minorHAnsi" w:eastAsiaTheme="minorEastAsia" w:hAnsiTheme="minorHAnsi" w:cstheme="minorBidi"/>
      <w:sz w:val="16"/>
      <w:szCs w:val="16"/>
    </w:rPr>
  </w:style>
  <w:style w:type="character" w:customStyle="1" w:styleId="Telobesedila3Znak">
    <w:name w:val="Telo besedila 3 Znak"/>
    <w:basedOn w:val="Privzetapisavaodstavka"/>
    <w:link w:val="Telobesedila3"/>
    <w:uiPriority w:val="99"/>
    <w:semiHidden/>
    <w:rsid w:val="00141C26"/>
    <w:rPr>
      <w:sz w:val="16"/>
      <w:szCs w:val="16"/>
    </w:rPr>
  </w:style>
  <w:style w:type="paragraph" w:customStyle="1" w:styleId="MILOVANTEKST">
    <w:name w:val="MILOVAN_TEKST"/>
    <w:basedOn w:val="Telobesedila2"/>
    <w:rsid w:val="00141C26"/>
    <w:pPr>
      <w:spacing w:after="0" w:line="240" w:lineRule="auto"/>
      <w:jc w:val="both"/>
    </w:pPr>
    <w:rPr>
      <w:rFonts w:ascii="Arial" w:eastAsia="Times New Roman" w:hAnsi="Arial" w:cs="Times New Roman"/>
      <w:sz w:val="24"/>
      <w:szCs w:val="20"/>
      <w:lang w:val="en-GB"/>
    </w:rPr>
  </w:style>
  <w:style w:type="paragraph" w:customStyle="1" w:styleId="natevanjevrstineoznake">
    <w:name w:val="naštevanje vrstične oznake"/>
    <w:basedOn w:val="Navaden"/>
    <w:rsid w:val="00291373"/>
    <w:pPr>
      <w:numPr>
        <w:numId w:val="14"/>
      </w:numPr>
      <w:suppressAutoHyphens/>
      <w:jc w:val="both"/>
    </w:pPr>
    <w:rPr>
      <w:rFonts w:ascii="Arial" w:hAnsi="Arial" w:cs="Arial"/>
      <w:sz w:val="22"/>
      <w:szCs w:val="20"/>
      <w:lang w:eastAsia="ar-SA"/>
    </w:rPr>
  </w:style>
  <w:style w:type="paragraph" w:customStyle="1" w:styleId="Tabela-IP">
    <w:name w:val="Tabela-IP"/>
    <w:basedOn w:val="Navaden"/>
    <w:next w:val="Navaden"/>
    <w:autoRedefine/>
    <w:uiPriority w:val="99"/>
    <w:rsid w:val="00D30C88"/>
    <w:pPr>
      <w:spacing w:before="200" w:after="120" w:line="240" w:lineRule="atLeast"/>
      <w:jc w:val="both"/>
    </w:pPr>
    <w:rPr>
      <w:rFonts w:ascii="Arial" w:hAnsi="Arial" w:cs="Arial"/>
      <w:b/>
      <w:sz w:val="22"/>
      <w:szCs w:val="22"/>
    </w:rPr>
  </w:style>
  <w:style w:type="table" w:styleId="Svetlamreapoudarek1">
    <w:name w:val="Light Grid Accent 1"/>
    <w:basedOn w:val="Navadnatabela"/>
    <w:uiPriority w:val="62"/>
    <w:rsid w:val="0029624D"/>
    <w:pPr>
      <w:spacing w:after="0" w:line="240" w:lineRule="auto"/>
    </w:pPr>
    <w:rPr>
      <w:rFonts w:eastAsiaTheme="minorHAns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Tabelaseznam4poudarek1">
    <w:name w:val="List Table 4 Accent 1"/>
    <w:basedOn w:val="Navadnatabela"/>
    <w:uiPriority w:val="49"/>
    <w:rsid w:val="00E576E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elaseznam3poudarek1">
    <w:name w:val="List Table 3 Accent 1"/>
    <w:basedOn w:val="Navadnatabela"/>
    <w:uiPriority w:val="48"/>
    <w:rsid w:val="00DB6350"/>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DIIPNASLOV2">
    <w:name w:val="DIIP NASLOV 2"/>
    <w:basedOn w:val="Naslov1"/>
    <w:qFormat/>
    <w:rsid w:val="00D215B3"/>
    <w:pPr>
      <w:numPr>
        <w:ilvl w:val="1"/>
        <w:numId w:val="21"/>
      </w:numPr>
    </w:pPr>
    <w:rPr>
      <w:sz w:val="24"/>
      <w:lang w:eastAsia="en-US"/>
    </w:rPr>
  </w:style>
  <w:style w:type="paragraph" w:customStyle="1" w:styleId="DIIPNASLOV1">
    <w:name w:val="DIIP NASLOV 1"/>
    <w:basedOn w:val="Naslov1"/>
    <w:qFormat/>
    <w:rsid w:val="00D215B3"/>
    <w:pPr>
      <w:numPr>
        <w:numId w:val="21"/>
      </w:numPr>
    </w:pPr>
    <w:rPr>
      <w:lang w:eastAsia="en-US"/>
    </w:rPr>
  </w:style>
  <w:style w:type="table" w:customStyle="1" w:styleId="Tabelaseznam3poudarek11">
    <w:name w:val="Tabela – seznam 3 (poudarek 1)1"/>
    <w:basedOn w:val="Navadnatabela"/>
    <w:uiPriority w:val="48"/>
    <w:rsid w:val="00C94BB0"/>
    <w:pPr>
      <w:spacing w:after="0" w:line="240" w:lineRule="auto"/>
    </w:pPr>
    <w:rPr>
      <w:rFonts w:eastAsiaTheme="minorHAnsi"/>
      <w:lang w:eastAsia="en-U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UnresolvedMention1">
    <w:name w:val="Unresolved Mention1"/>
    <w:basedOn w:val="Privzetapisavaodstavka"/>
    <w:uiPriority w:val="99"/>
    <w:semiHidden/>
    <w:unhideWhenUsed/>
    <w:rsid w:val="008E6B89"/>
    <w:rPr>
      <w:color w:val="605E5C"/>
      <w:shd w:val="clear" w:color="auto" w:fill="E1DFDD"/>
    </w:rPr>
  </w:style>
  <w:style w:type="character" w:customStyle="1" w:styleId="Nerazreenaomemba1">
    <w:name w:val="Nerazrešena omemba1"/>
    <w:basedOn w:val="Privzetapisavaodstavka"/>
    <w:uiPriority w:val="99"/>
    <w:semiHidden/>
    <w:unhideWhenUsed/>
    <w:rsid w:val="00B16584"/>
    <w:rPr>
      <w:color w:val="605E5C"/>
      <w:shd w:val="clear" w:color="auto" w:fill="E1DFDD"/>
    </w:rPr>
  </w:style>
  <w:style w:type="table" w:styleId="Srednjesenenje1poudarek1">
    <w:name w:val="Medium Shading 1 Accent 1"/>
    <w:basedOn w:val="Navadnatabela"/>
    <w:uiPriority w:val="63"/>
    <w:rsid w:val="00014F7B"/>
    <w:pPr>
      <w:spacing w:after="0" w:line="240" w:lineRule="auto"/>
    </w:pPr>
    <w:rPr>
      <w:rFonts w:eastAsiaTheme="minorHAnsi"/>
      <w:lang w:eastAsia="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Revizija">
    <w:name w:val="Revision"/>
    <w:hidden/>
    <w:uiPriority w:val="99"/>
    <w:semiHidden/>
    <w:rsid w:val="00963505"/>
    <w:pPr>
      <w:spacing w:after="0" w:line="240" w:lineRule="auto"/>
    </w:pPr>
    <w:rPr>
      <w:rFonts w:ascii="Times New Roman" w:eastAsia="Times New Roman" w:hAnsi="Times New Roman" w:cs="Times New Roman"/>
      <w:sz w:val="24"/>
      <w:szCs w:val="24"/>
    </w:rPr>
  </w:style>
  <w:style w:type="character" w:customStyle="1" w:styleId="UnresolvedMention2">
    <w:name w:val="Unresolved Mention2"/>
    <w:basedOn w:val="Privzetapisavaodstavka"/>
    <w:uiPriority w:val="99"/>
    <w:semiHidden/>
    <w:unhideWhenUsed/>
    <w:rsid w:val="00F91B23"/>
    <w:rPr>
      <w:color w:val="605E5C"/>
      <w:shd w:val="clear" w:color="auto" w:fill="E1DFDD"/>
    </w:rPr>
  </w:style>
  <w:style w:type="table" w:customStyle="1" w:styleId="MediumShading1-Accent11">
    <w:name w:val="Medium Shading 1 - Accent 11"/>
    <w:basedOn w:val="Navadnatabela"/>
    <w:next w:val="Srednjesenenje1poudarek1"/>
    <w:uiPriority w:val="63"/>
    <w:rsid w:val="008455B0"/>
    <w:pPr>
      <w:spacing w:after="0" w:line="240" w:lineRule="auto"/>
    </w:pPr>
    <w:rPr>
      <w:rFonts w:ascii="Arial" w:eastAsia="Arial" w:hAnsi="Arial" w:cs="Times New Roman"/>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Nerazreenaomemba">
    <w:name w:val="Unresolved Mention"/>
    <w:basedOn w:val="Privzetapisavaodstavka"/>
    <w:uiPriority w:val="99"/>
    <w:semiHidden/>
    <w:unhideWhenUsed/>
    <w:rsid w:val="00752466"/>
    <w:rPr>
      <w:color w:val="605E5C"/>
      <w:shd w:val="clear" w:color="auto" w:fill="E1DFDD"/>
    </w:rPr>
  </w:style>
  <w:style w:type="table" w:customStyle="1" w:styleId="TableNormal1">
    <w:name w:val="Table Normal1"/>
    <w:rsid w:val="006154DD"/>
    <w:rPr>
      <w:rFonts w:ascii="Calibri" w:eastAsia="Calibri" w:hAnsi="Calibri" w:cs="Calibri"/>
    </w:rPr>
    <w:tblPr>
      <w:tblCellMar>
        <w:top w:w="0" w:type="dxa"/>
        <w:left w:w="0" w:type="dxa"/>
        <w:bottom w:w="0" w:type="dxa"/>
        <w:right w:w="0" w:type="dxa"/>
      </w:tblCellMar>
    </w:tblPr>
  </w:style>
  <w:style w:type="table" w:customStyle="1" w:styleId="Svetlosenenjepoudarek13">
    <w:name w:val="Svetlo senčenje – poudarek 13"/>
    <w:basedOn w:val="Navadnatabela"/>
    <w:uiPriority w:val="60"/>
    <w:rsid w:val="006154DD"/>
    <w:pPr>
      <w:spacing w:after="0" w:line="240" w:lineRule="auto"/>
    </w:pPr>
    <w:rPr>
      <w:rFonts w:ascii="Calibri" w:eastAsia="Calibri" w:hAnsi="Calibri" w:cs="Calibri"/>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xl31">
    <w:name w:val="xl31"/>
    <w:basedOn w:val="Navaden"/>
    <w:rsid w:val="006154DD"/>
    <w:pPr>
      <w:pBdr>
        <w:left w:val="single" w:sz="6" w:space="0" w:color="auto"/>
        <w:bottom w:val="single" w:sz="6" w:space="0" w:color="auto"/>
      </w:pBdr>
      <w:overflowPunct w:val="0"/>
      <w:autoSpaceDE w:val="0"/>
      <w:autoSpaceDN w:val="0"/>
      <w:adjustRightInd w:val="0"/>
      <w:spacing w:before="100" w:after="100"/>
      <w:textAlignment w:val="baseline"/>
    </w:pPr>
    <w:rPr>
      <w:szCs w:val="20"/>
      <w:lang w:eastAsia="en-US"/>
    </w:rPr>
  </w:style>
  <w:style w:type="table" w:customStyle="1" w:styleId="TableGrid">
    <w:name w:val="TableGrid"/>
    <w:rsid w:val="006154DD"/>
    <w:pPr>
      <w:spacing w:after="0" w:line="240" w:lineRule="auto"/>
    </w:pPr>
    <w:rPr>
      <w:rFonts w:ascii="Calibri" w:eastAsia="Calibri" w:hAnsi="Calibri" w:cs="Calibri"/>
    </w:rPr>
    <w:tblPr>
      <w:tblCellMar>
        <w:top w:w="0" w:type="dxa"/>
        <w:left w:w="0" w:type="dxa"/>
        <w:bottom w:w="0" w:type="dxa"/>
        <w:right w:w="0" w:type="dxa"/>
      </w:tblCellMar>
    </w:tblPr>
  </w:style>
  <w:style w:type="table" w:customStyle="1" w:styleId="Tabelamrea1">
    <w:name w:val="Tabela – mreža1"/>
    <w:basedOn w:val="Navadnatabela"/>
    <w:next w:val="Tabelamrea"/>
    <w:uiPriority w:val="59"/>
    <w:rsid w:val="006154DD"/>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rsticnaoznaka">
    <w:name w:val="vrsticna oznaka"/>
    <w:basedOn w:val="Navaden"/>
    <w:rsid w:val="006154DD"/>
    <w:pPr>
      <w:numPr>
        <w:numId w:val="156"/>
      </w:numPr>
      <w:jc w:val="both"/>
    </w:pPr>
    <w:rPr>
      <w:rFonts w:ascii="Arial" w:hAnsi="Arial" w:cs="Arial"/>
    </w:rPr>
  </w:style>
  <w:style w:type="paragraph" w:customStyle="1" w:styleId="bodytext">
    <w:name w:val="bodytext"/>
    <w:basedOn w:val="Navaden"/>
    <w:rsid w:val="006154DD"/>
    <w:pPr>
      <w:spacing w:after="300" w:line="270" w:lineRule="atLeast"/>
    </w:pPr>
    <w:rPr>
      <w:color w:val="434E4F"/>
      <w:sz w:val="18"/>
      <w:szCs w:val="18"/>
    </w:rPr>
  </w:style>
  <w:style w:type="character" w:styleId="SledenaHiperpovezava">
    <w:name w:val="FollowedHyperlink"/>
    <w:basedOn w:val="Privzetapisavaodstavka"/>
    <w:uiPriority w:val="99"/>
    <w:semiHidden/>
    <w:unhideWhenUsed/>
    <w:rsid w:val="006154DD"/>
    <w:rPr>
      <w:color w:val="800080" w:themeColor="followedHyperlink"/>
      <w:u w:val="single"/>
    </w:rPr>
  </w:style>
  <w:style w:type="character" w:customStyle="1" w:styleId="lrzxr">
    <w:name w:val="lrzxr"/>
    <w:basedOn w:val="Privzetapisavaodstavka"/>
    <w:rsid w:val="006154DD"/>
  </w:style>
  <w:style w:type="character" w:styleId="tevilkastrani">
    <w:name w:val="page number"/>
    <w:basedOn w:val="Privzetapisavaodstavka"/>
    <w:semiHidden/>
    <w:unhideWhenUsed/>
    <w:rsid w:val="006154DD"/>
  </w:style>
  <w:style w:type="paragraph" w:styleId="Golobesedilo">
    <w:name w:val="Plain Text"/>
    <w:basedOn w:val="Navaden"/>
    <w:link w:val="GolobesediloZnak"/>
    <w:uiPriority w:val="99"/>
    <w:semiHidden/>
    <w:unhideWhenUsed/>
    <w:rsid w:val="006154DD"/>
    <w:pPr>
      <w:spacing w:after="200" w:line="276" w:lineRule="auto"/>
    </w:pPr>
    <w:rPr>
      <w:rFonts w:asciiTheme="minorHAnsi" w:eastAsiaTheme="minorEastAsia" w:hAnsiTheme="minorHAnsi" w:cstheme="minorBidi"/>
      <w:sz w:val="22"/>
      <w:szCs w:val="21"/>
      <w:lang w:val="en-US" w:eastAsia="en-US"/>
    </w:rPr>
  </w:style>
  <w:style w:type="character" w:customStyle="1" w:styleId="GolobesediloZnak">
    <w:name w:val="Golo besedilo Znak"/>
    <w:basedOn w:val="Privzetapisavaodstavka"/>
    <w:link w:val="Golobesedilo"/>
    <w:uiPriority w:val="99"/>
    <w:semiHidden/>
    <w:rsid w:val="006154DD"/>
    <w:rPr>
      <w:szCs w:val="21"/>
      <w:lang w:val="en-US" w:eastAsia="en-US"/>
    </w:rPr>
  </w:style>
  <w:style w:type="paragraph" w:styleId="Konnaopomba-besedilo">
    <w:name w:val="endnote text"/>
    <w:basedOn w:val="Navaden"/>
    <w:link w:val="Konnaopomba-besediloZnak"/>
    <w:uiPriority w:val="99"/>
    <w:semiHidden/>
    <w:unhideWhenUsed/>
    <w:rsid w:val="006154DD"/>
    <w:rPr>
      <w:sz w:val="20"/>
      <w:szCs w:val="20"/>
    </w:rPr>
  </w:style>
  <w:style w:type="character" w:customStyle="1" w:styleId="Konnaopomba-besediloZnak">
    <w:name w:val="Končna opomba - besedilo Znak"/>
    <w:basedOn w:val="Privzetapisavaodstavka"/>
    <w:link w:val="Konnaopomba-besedilo"/>
    <w:uiPriority w:val="99"/>
    <w:semiHidden/>
    <w:rsid w:val="006154DD"/>
    <w:rPr>
      <w:rFonts w:ascii="Times New Roman" w:eastAsia="Times New Roman" w:hAnsi="Times New Roman" w:cs="Times New Roman"/>
      <w:sz w:val="20"/>
      <w:szCs w:val="20"/>
    </w:rPr>
  </w:style>
  <w:style w:type="character" w:styleId="Konnaopomba-sklic">
    <w:name w:val="endnote reference"/>
    <w:basedOn w:val="Privzetapisavaodstavka"/>
    <w:uiPriority w:val="99"/>
    <w:semiHidden/>
    <w:unhideWhenUsed/>
    <w:rsid w:val="006154DD"/>
    <w:rPr>
      <w:vertAlign w:val="superscript"/>
    </w:rPr>
  </w:style>
  <w:style w:type="paragraph" w:styleId="Navaden-zamik">
    <w:name w:val="Normal Indent"/>
    <w:aliases w:val="Normal Indent Char,Normal Indent Char Char,Normal Indent Char1 Char,Normal Indent Char1"/>
    <w:basedOn w:val="Navaden"/>
    <w:uiPriority w:val="99"/>
    <w:rsid w:val="006154DD"/>
    <w:pPr>
      <w:numPr>
        <w:numId w:val="158"/>
      </w:numPr>
      <w:tabs>
        <w:tab w:val="left" w:pos="0"/>
        <w:tab w:val="left" w:pos="567"/>
      </w:tabs>
      <w:overflowPunct w:val="0"/>
      <w:autoSpaceDE w:val="0"/>
      <w:autoSpaceDN w:val="0"/>
      <w:adjustRightInd w:val="0"/>
      <w:spacing w:before="48" w:after="48"/>
      <w:textAlignment w:val="baseline"/>
    </w:pPr>
    <w:rPr>
      <w:rFonts w:ascii="Arial" w:hAnsi="Arial"/>
      <w:sz w:val="16"/>
      <w:szCs w:val="20"/>
      <w:lang w:val="en-GB" w:eastAsia="sr-Cyrl-CS"/>
    </w:rPr>
  </w:style>
  <w:style w:type="paragraph" w:customStyle="1" w:styleId="FSTablica">
    <w:name w:val="FS Tablica"/>
    <w:basedOn w:val="Oznaenseznam"/>
    <w:autoRedefine/>
    <w:qFormat/>
    <w:rsid w:val="006154DD"/>
    <w:pPr>
      <w:numPr>
        <w:numId w:val="0"/>
      </w:numPr>
      <w:tabs>
        <w:tab w:val="left" w:pos="1276"/>
      </w:tabs>
      <w:spacing w:after="0" w:line="240" w:lineRule="auto"/>
      <w:ind w:left="1276" w:hanging="1276"/>
      <w:contextualSpacing w:val="0"/>
    </w:pPr>
    <w:rPr>
      <w:rFonts w:asciiTheme="minorHAnsi" w:eastAsia="Times New Roman" w:hAnsiTheme="minorHAnsi" w:cs="Times New Roman"/>
      <w:bCs/>
      <w:szCs w:val="18"/>
      <w:lang w:eastAsia="hr-HR"/>
    </w:rPr>
  </w:style>
  <w:style w:type="paragraph" w:customStyle="1" w:styleId="msonormal0">
    <w:name w:val="msonormal"/>
    <w:basedOn w:val="Navaden"/>
    <w:rsid w:val="006154DD"/>
    <w:pPr>
      <w:spacing w:before="100" w:beforeAutospacing="1" w:after="100" w:afterAutospacing="1"/>
    </w:pPr>
  </w:style>
  <w:style w:type="paragraph" w:customStyle="1" w:styleId="xl76">
    <w:name w:val="xl76"/>
    <w:basedOn w:val="Navaden"/>
    <w:rsid w:val="006154D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77">
    <w:name w:val="xl77"/>
    <w:basedOn w:val="Navaden"/>
    <w:rsid w:val="006154D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78">
    <w:name w:val="xl78"/>
    <w:basedOn w:val="Navaden"/>
    <w:rsid w:val="006154DD"/>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79">
    <w:name w:val="xl79"/>
    <w:basedOn w:val="Navaden"/>
    <w:rsid w:val="006154DD"/>
    <w:pPr>
      <w:pBdr>
        <w:left w:val="single" w:sz="4" w:space="0" w:color="auto"/>
        <w:bottom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80">
    <w:name w:val="xl80"/>
    <w:basedOn w:val="Navaden"/>
    <w:rsid w:val="006154DD"/>
    <w:pPr>
      <w:pBdr>
        <w:left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81">
    <w:name w:val="xl81"/>
    <w:basedOn w:val="Navaden"/>
    <w:rsid w:val="006154DD"/>
    <w:pPr>
      <w:pBdr>
        <w:left w:val="single" w:sz="4" w:space="0" w:color="auto"/>
        <w:right w:val="single" w:sz="4" w:space="0" w:color="auto"/>
      </w:pBdr>
      <w:shd w:val="clear" w:color="000000" w:fill="D9D9D9"/>
      <w:spacing w:before="100" w:beforeAutospacing="1" w:after="100" w:afterAutospacing="1"/>
      <w:textAlignment w:val="top"/>
    </w:pPr>
    <w:rPr>
      <w:b/>
      <w:bCs/>
      <w:sz w:val="16"/>
      <w:szCs w:val="16"/>
    </w:rPr>
  </w:style>
  <w:style w:type="paragraph" w:customStyle="1" w:styleId="xl82">
    <w:name w:val="xl82"/>
    <w:basedOn w:val="Navaden"/>
    <w:rsid w:val="006154DD"/>
    <w:pPr>
      <w:spacing w:before="100" w:beforeAutospacing="1" w:after="100" w:afterAutospacing="1"/>
      <w:textAlignment w:val="top"/>
    </w:pPr>
    <w:rPr>
      <w:sz w:val="16"/>
      <w:szCs w:val="16"/>
    </w:rPr>
  </w:style>
  <w:style w:type="paragraph" w:customStyle="1" w:styleId="xl83">
    <w:name w:val="xl83"/>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84">
    <w:name w:val="xl84"/>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sz w:val="16"/>
      <w:szCs w:val="16"/>
    </w:rPr>
  </w:style>
  <w:style w:type="paragraph" w:customStyle="1" w:styleId="xl85">
    <w:name w:val="xl85"/>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86">
    <w:name w:val="xl86"/>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87">
    <w:name w:val="xl87"/>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88">
    <w:name w:val="xl88"/>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89">
    <w:name w:val="xl89"/>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90">
    <w:name w:val="xl90"/>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top"/>
    </w:pPr>
    <w:rPr>
      <w:b/>
      <w:bCs/>
      <w:sz w:val="16"/>
      <w:szCs w:val="16"/>
    </w:rPr>
  </w:style>
  <w:style w:type="paragraph" w:customStyle="1" w:styleId="xl91">
    <w:name w:val="xl91"/>
    <w:basedOn w:val="Navaden"/>
    <w:rsid w:val="006154D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b/>
      <w:bCs/>
      <w:sz w:val="16"/>
      <w:szCs w:val="16"/>
    </w:rPr>
  </w:style>
  <w:style w:type="paragraph" w:customStyle="1" w:styleId="xl92">
    <w:name w:val="xl92"/>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sz w:val="16"/>
      <w:szCs w:val="16"/>
    </w:rPr>
  </w:style>
  <w:style w:type="paragraph" w:customStyle="1" w:styleId="xl93">
    <w:name w:val="xl93"/>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sz w:val="16"/>
      <w:szCs w:val="16"/>
    </w:rPr>
  </w:style>
  <w:style w:type="paragraph" w:customStyle="1" w:styleId="xl94">
    <w:name w:val="xl94"/>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i/>
      <w:iCs/>
      <w:sz w:val="16"/>
      <w:szCs w:val="16"/>
    </w:rPr>
  </w:style>
  <w:style w:type="paragraph" w:customStyle="1" w:styleId="xl95">
    <w:name w:val="xl95"/>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i/>
      <w:iCs/>
      <w:color w:val="4472C4"/>
      <w:sz w:val="16"/>
      <w:szCs w:val="16"/>
    </w:rPr>
  </w:style>
  <w:style w:type="paragraph" w:customStyle="1" w:styleId="xl96">
    <w:name w:val="xl96"/>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sz w:val="16"/>
      <w:szCs w:val="16"/>
    </w:rPr>
  </w:style>
  <w:style w:type="paragraph" w:customStyle="1" w:styleId="xl97">
    <w:name w:val="xl97"/>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sz w:val="16"/>
      <w:szCs w:val="16"/>
    </w:rPr>
  </w:style>
  <w:style w:type="paragraph" w:customStyle="1" w:styleId="xl98">
    <w:name w:val="xl98"/>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rPr>
  </w:style>
  <w:style w:type="paragraph" w:customStyle="1" w:styleId="xl99">
    <w:name w:val="xl99"/>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16"/>
      <w:szCs w:val="16"/>
    </w:rPr>
  </w:style>
  <w:style w:type="paragraph" w:customStyle="1" w:styleId="xl100">
    <w:name w:val="xl100"/>
    <w:basedOn w:val="Navaden"/>
    <w:rsid w:val="006154DD"/>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top"/>
    </w:pPr>
    <w:rPr>
      <w:b/>
      <w:bCs/>
      <w:sz w:val="16"/>
      <w:szCs w:val="16"/>
    </w:rPr>
  </w:style>
  <w:style w:type="paragraph" w:customStyle="1" w:styleId="xl101">
    <w:name w:val="xl101"/>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rPr>
  </w:style>
  <w:style w:type="paragraph" w:customStyle="1" w:styleId="xl102">
    <w:name w:val="xl102"/>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textAlignment w:val="top"/>
    </w:pPr>
    <w:rPr>
      <w:b/>
      <w:bCs/>
      <w:sz w:val="16"/>
      <w:szCs w:val="16"/>
    </w:rPr>
  </w:style>
  <w:style w:type="paragraph" w:customStyle="1" w:styleId="xl103">
    <w:name w:val="xl103"/>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right"/>
      <w:textAlignment w:val="top"/>
    </w:pPr>
    <w:rPr>
      <w:i/>
      <w:iCs/>
      <w:sz w:val="16"/>
      <w:szCs w:val="16"/>
    </w:rPr>
  </w:style>
  <w:style w:type="paragraph" w:customStyle="1" w:styleId="xl104">
    <w:name w:val="xl104"/>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i/>
      <w:iCs/>
      <w:color w:val="4472C4"/>
      <w:sz w:val="16"/>
      <w:szCs w:val="16"/>
    </w:rPr>
  </w:style>
  <w:style w:type="paragraph" w:customStyle="1" w:styleId="xl105">
    <w:name w:val="xl105"/>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right"/>
      <w:textAlignment w:val="top"/>
    </w:pPr>
    <w:rPr>
      <w:sz w:val="16"/>
      <w:szCs w:val="16"/>
    </w:rPr>
  </w:style>
  <w:style w:type="paragraph" w:customStyle="1" w:styleId="xl106">
    <w:name w:val="xl106"/>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right"/>
      <w:textAlignment w:val="top"/>
    </w:pPr>
    <w:rPr>
      <w:sz w:val="16"/>
      <w:szCs w:val="16"/>
    </w:rPr>
  </w:style>
  <w:style w:type="paragraph" w:customStyle="1" w:styleId="xl107">
    <w:name w:val="xl107"/>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b/>
      <w:bCs/>
      <w:sz w:val="16"/>
      <w:szCs w:val="16"/>
    </w:rPr>
  </w:style>
  <w:style w:type="paragraph" w:customStyle="1" w:styleId="xl108">
    <w:name w:val="xl108"/>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top"/>
    </w:pPr>
    <w:rPr>
      <w:b/>
      <w:bCs/>
      <w:sz w:val="16"/>
      <w:szCs w:val="16"/>
    </w:rPr>
  </w:style>
  <w:style w:type="paragraph" w:customStyle="1" w:styleId="xl109">
    <w:name w:val="xl109"/>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top"/>
    </w:pPr>
    <w:rPr>
      <w:b/>
      <w:bCs/>
      <w:sz w:val="16"/>
      <w:szCs w:val="16"/>
    </w:rPr>
  </w:style>
  <w:style w:type="paragraph" w:customStyle="1" w:styleId="xl110">
    <w:name w:val="xl110"/>
    <w:basedOn w:val="Navaden"/>
    <w:rsid w:val="006154DD"/>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top"/>
    </w:pPr>
    <w:rPr>
      <w:b/>
      <w:bCs/>
      <w:sz w:val="16"/>
      <w:szCs w:val="16"/>
    </w:rPr>
  </w:style>
  <w:style w:type="paragraph" w:customStyle="1" w:styleId="xl111">
    <w:name w:val="xl111"/>
    <w:basedOn w:val="Navaden"/>
    <w:rsid w:val="006154DD"/>
    <w:pPr>
      <w:pBdr>
        <w:left w:val="single" w:sz="4" w:space="0" w:color="auto"/>
        <w:right w:val="single" w:sz="4" w:space="0" w:color="auto"/>
      </w:pBdr>
      <w:shd w:val="clear" w:color="000000" w:fill="BFBFBF"/>
      <w:spacing w:before="100" w:beforeAutospacing="1" w:after="100" w:afterAutospacing="1"/>
      <w:jc w:val="right"/>
      <w:textAlignment w:val="top"/>
    </w:pPr>
    <w:rPr>
      <w:b/>
      <w:bCs/>
      <w:sz w:val="16"/>
      <w:szCs w:val="16"/>
    </w:rPr>
  </w:style>
  <w:style w:type="paragraph" w:customStyle="1" w:styleId="xl112">
    <w:name w:val="xl112"/>
    <w:basedOn w:val="Navaden"/>
    <w:rsid w:val="006154DD"/>
    <w:pPr>
      <w:pBdr>
        <w:left w:val="single" w:sz="4" w:space="0" w:color="auto"/>
        <w:right w:val="single" w:sz="4" w:space="0" w:color="auto"/>
      </w:pBdr>
      <w:shd w:val="clear" w:color="000000" w:fill="BFBFBF"/>
      <w:spacing w:before="100" w:beforeAutospacing="1" w:after="100" w:afterAutospacing="1"/>
      <w:jc w:val="right"/>
      <w:textAlignment w:val="top"/>
    </w:pPr>
    <w:rPr>
      <w:b/>
      <w:bCs/>
      <w:sz w:val="16"/>
      <w:szCs w:val="16"/>
    </w:rPr>
  </w:style>
  <w:style w:type="paragraph" w:customStyle="1" w:styleId="xl113">
    <w:name w:val="xl113"/>
    <w:basedOn w:val="Navaden"/>
    <w:rsid w:val="006154DD"/>
    <w:pPr>
      <w:pBdr>
        <w:top w:val="single" w:sz="4" w:space="0" w:color="auto"/>
        <w:left w:val="single" w:sz="4" w:space="0" w:color="auto"/>
        <w:bottom w:val="single" w:sz="4" w:space="0" w:color="auto"/>
        <w:right w:val="single" w:sz="4" w:space="0" w:color="auto"/>
      </w:pBdr>
      <w:shd w:val="clear" w:color="000000" w:fill="FFFFA7"/>
      <w:spacing w:before="100" w:beforeAutospacing="1" w:after="100" w:afterAutospacing="1"/>
      <w:textAlignment w:val="top"/>
    </w:pPr>
    <w:rPr>
      <w:b/>
      <w:bCs/>
      <w:sz w:val="16"/>
      <w:szCs w:val="16"/>
    </w:rPr>
  </w:style>
  <w:style w:type="paragraph" w:customStyle="1" w:styleId="xl114">
    <w:name w:val="xl114"/>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top"/>
    </w:pPr>
    <w:rPr>
      <w:b/>
      <w:bCs/>
      <w:sz w:val="16"/>
      <w:szCs w:val="16"/>
    </w:rPr>
  </w:style>
  <w:style w:type="paragraph" w:customStyle="1" w:styleId="xl115">
    <w:name w:val="xl115"/>
    <w:basedOn w:val="Navaden"/>
    <w:rsid w:val="006154DD"/>
    <w:pPr>
      <w:pBdr>
        <w:top w:val="single" w:sz="4" w:space="0" w:color="auto"/>
        <w:left w:val="single" w:sz="4" w:space="0" w:color="auto"/>
        <w:bottom w:val="single" w:sz="4" w:space="0" w:color="auto"/>
        <w:right w:val="single" w:sz="4" w:space="0" w:color="auto"/>
      </w:pBdr>
      <w:shd w:val="clear" w:color="000000" w:fill="FFDC79"/>
      <w:spacing w:before="100" w:beforeAutospacing="1" w:after="100" w:afterAutospacing="1"/>
      <w:textAlignment w:val="top"/>
    </w:pPr>
    <w:rPr>
      <w:b/>
      <w:bCs/>
      <w:sz w:val="16"/>
      <w:szCs w:val="16"/>
    </w:rPr>
  </w:style>
  <w:style w:type="paragraph" w:customStyle="1" w:styleId="xl116">
    <w:name w:val="xl116"/>
    <w:basedOn w:val="Navaden"/>
    <w:rsid w:val="006154D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top"/>
    </w:pPr>
    <w:rPr>
      <w:b/>
      <w:bCs/>
      <w:sz w:val="16"/>
      <w:szCs w:val="16"/>
    </w:rPr>
  </w:style>
  <w:style w:type="paragraph" w:customStyle="1" w:styleId="xl117">
    <w:name w:val="xl117"/>
    <w:basedOn w:val="Navaden"/>
    <w:rsid w:val="006154DD"/>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right"/>
      <w:textAlignment w:val="top"/>
    </w:pPr>
    <w:rPr>
      <w:sz w:val="16"/>
      <w:szCs w:val="16"/>
    </w:rPr>
  </w:style>
  <w:style w:type="paragraph" w:customStyle="1" w:styleId="xl118">
    <w:name w:val="xl118"/>
    <w:basedOn w:val="Navaden"/>
    <w:rsid w:val="006154D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textAlignment w:val="top"/>
    </w:pPr>
    <w:rPr>
      <w:b/>
      <w:bCs/>
      <w:i/>
      <w:iCs/>
      <w:sz w:val="16"/>
      <w:szCs w:val="16"/>
    </w:rPr>
  </w:style>
  <w:style w:type="paragraph" w:customStyle="1" w:styleId="xl119">
    <w:name w:val="xl119"/>
    <w:basedOn w:val="Navaden"/>
    <w:rsid w:val="006154DD"/>
    <w:pPr>
      <w:pBdr>
        <w:top w:val="single" w:sz="4" w:space="0" w:color="auto"/>
        <w:left w:val="single" w:sz="4" w:space="0" w:color="auto"/>
        <w:bottom w:val="single" w:sz="4" w:space="0" w:color="auto"/>
        <w:right w:val="single" w:sz="4" w:space="0" w:color="auto"/>
      </w:pBdr>
      <w:shd w:val="clear" w:color="000000" w:fill="FFD966"/>
      <w:spacing w:before="100" w:beforeAutospacing="1" w:after="100" w:afterAutospacing="1"/>
      <w:textAlignment w:val="top"/>
    </w:pPr>
    <w:rPr>
      <w:b/>
      <w:bCs/>
      <w:sz w:val="16"/>
      <w:szCs w:val="16"/>
    </w:rPr>
  </w:style>
  <w:style w:type="paragraph" w:customStyle="1" w:styleId="xl120">
    <w:name w:val="xl120"/>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sz w:val="16"/>
      <w:szCs w:val="16"/>
    </w:rPr>
  </w:style>
  <w:style w:type="paragraph" w:customStyle="1" w:styleId="xl121">
    <w:name w:val="xl121"/>
    <w:basedOn w:val="Navaden"/>
    <w:rsid w:val="006154DD"/>
    <w:pPr>
      <w:spacing w:before="100" w:beforeAutospacing="1" w:after="100" w:afterAutospacing="1"/>
      <w:textAlignment w:val="top"/>
    </w:pPr>
    <w:rPr>
      <w:sz w:val="16"/>
      <w:szCs w:val="16"/>
    </w:rPr>
  </w:style>
  <w:style w:type="paragraph" w:customStyle="1" w:styleId="xl122">
    <w:name w:val="xl122"/>
    <w:basedOn w:val="Navaden"/>
    <w:rsid w:val="006154DD"/>
    <w:pPr>
      <w:spacing w:before="100" w:beforeAutospacing="1" w:after="100" w:afterAutospacing="1"/>
      <w:textAlignment w:val="top"/>
    </w:pPr>
    <w:rPr>
      <w:sz w:val="16"/>
      <w:szCs w:val="16"/>
    </w:rPr>
  </w:style>
  <w:style w:type="paragraph" w:customStyle="1" w:styleId="Naslov2PodPoglavjePoglavje2">
    <w:name w:val="Naslov 2.PodPoglavje.Poglavje 2"/>
    <w:basedOn w:val="Navaden"/>
    <w:next w:val="Navaden"/>
    <w:rsid w:val="006154DD"/>
    <w:pPr>
      <w:keepNext/>
      <w:numPr>
        <w:numId w:val="159"/>
      </w:numPr>
      <w:autoSpaceDE w:val="0"/>
      <w:autoSpaceDN w:val="0"/>
      <w:jc w:val="center"/>
    </w:pPr>
    <w:rPr>
      <w:b/>
      <w:bCs/>
      <w:sz w:val="36"/>
      <w:szCs w:val="36"/>
    </w:rPr>
  </w:style>
  <w:style w:type="character" w:styleId="Besedilooznabemesta">
    <w:name w:val="Placeholder Text"/>
    <w:basedOn w:val="Privzetapisavaodstavka"/>
    <w:uiPriority w:val="99"/>
    <w:semiHidden/>
    <w:rsid w:val="006154DD"/>
    <w:rPr>
      <w:color w:val="808080"/>
    </w:rPr>
  </w:style>
  <w:style w:type="paragraph" w:customStyle="1" w:styleId="nastevanje3">
    <w:name w:val="nastevanje3"/>
    <w:basedOn w:val="Navaden"/>
    <w:rsid w:val="006154DD"/>
    <w:pPr>
      <w:keepLines/>
      <w:numPr>
        <w:numId w:val="165"/>
      </w:numPr>
      <w:spacing w:after="160" w:line="259" w:lineRule="auto"/>
      <w:jc w:val="both"/>
    </w:pPr>
  </w:style>
  <w:style w:type="table" w:customStyle="1" w:styleId="TableGrid1">
    <w:name w:val="Table Grid1"/>
    <w:basedOn w:val="Navadnatabela"/>
    <w:next w:val="Tabelamrea"/>
    <w:uiPriority w:val="59"/>
    <w:rsid w:val="006154DD"/>
    <w:pPr>
      <w:spacing w:after="0" w:line="240" w:lineRule="auto"/>
    </w:pPr>
    <w:rPr>
      <w:rFonts w:ascii="Arial" w:eastAsia="Times New Roman"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poudarek111">
    <w:name w:val="Svetlo senčenje – poudarek 111"/>
    <w:basedOn w:val="Navadnatabela"/>
    <w:uiPriority w:val="60"/>
    <w:rsid w:val="006154DD"/>
    <w:pPr>
      <w:spacing w:after="0" w:line="240" w:lineRule="auto"/>
    </w:pPr>
    <w:rPr>
      <w:rFonts w:ascii="Arial" w:eastAsia="Times New Roman" w:hAnsi="Arial"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elasvetelseznam1poudarek111">
    <w:name w:val="Tabela – svetel seznam 1 (poudarek 1)11"/>
    <w:basedOn w:val="Navadnatabela"/>
    <w:uiPriority w:val="46"/>
    <w:rsid w:val="006154DD"/>
    <w:pPr>
      <w:spacing w:after="0" w:line="240" w:lineRule="auto"/>
    </w:pPr>
    <w:rPr>
      <w:rFonts w:ascii="Arial" w:eastAsia="Times New Roman" w:hAnsi="Arial" w:cs="Times New Roman"/>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eznam2poudarek112">
    <w:name w:val="Tabela – seznam 2 (poudarek 1)12"/>
    <w:basedOn w:val="Navadnatabela"/>
    <w:uiPriority w:val="47"/>
    <w:rsid w:val="006154DD"/>
    <w:pPr>
      <w:spacing w:after="0" w:line="240" w:lineRule="auto"/>
    </w:pPr>
    <w:rPr>
      <w:rFonts w:ascii="Arial" w:eastAsia="Times New Roman" w:hAnsi="Arial" w:cs="Times New Roman"/>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barvniseznam6poudarek111">
    <w:name w:val="Tabela – barvni seznam 6 (poudarek 1)11"/>
    <w:basedOn w:val="Navadnatabela"/>
    <w:uiPriority w:val="51"/>
    <w:rsid w:val="006154DD"/>
    <w:pPr>
      <w:spacing w:after="0" w:line="240" w:lineRule="auto"/>
    </w:pPr>
    <w:rPr>
      <w:rFonts w:ascii="Arial" w:eastAsia="Times New Roman" w:hAnsi="Arial" w:cs="Times New Roman"/>
      <w:color w:val="365F91"/>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Shading-Accent111">
    <w:name w:val="Light Shading - Accent 111"/>
    <w:basedOn w:val="Navadnatabela"/>
    <w:uiPriority w:val="60"/>
    <w:rsid w:val="006154DD"/>
    <w:pPr>
      <w:spacing w:after="0" w:line="240" w:lineRule="auto"/>
    </w:pPr>
    <w:rPr>
      <w:rFonts w:ascii="Arial" w:eastAsia="Times New Roman" w:hAnsi="Arial"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Svetlosenenjepoudarek121">
    <w:name w:val="Svetlo senčenje – poudarek 121"/>
    <w:basedOn w:val="Navadnatabela"/>
    <w:uiPriority w:val="60"/>
    <w:rsid w:val="006154DD"/>
    <w:pPr>
      <w:spacing w:after="0" w:line="240" w:lineRule="auto"/>
    </w:pPr>
    <w:rPr>
      <w:rFonts w:ascii="Arial" w:eastAsia="Times New Roman" w:hAnsi="Arial"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WWNum351">
    <w:name w:val="WWNum351"/>
    <w:basedOn w:val="Brezseznama"/>
    <w:rsid w:val="006154DD"/>
  </w:style>
  <w:style w:type="numbering" w:customStyle="1" w:styleId="WWNum311">
    <w:name w:val="WWNum311"/>
    <w:basedOn w:val="Brezseznama"/>
    <w:rsid w:val="006154DD"/>
  </w:style>
  <w:style w:type="numbering" w:customStyle="1" w:styleId="WWNum371">
    <w:name w:val="WWNum371"/>
    <w:basedOn w:val="Brezseznama"/>
    <w:rsid w:val="006154DD"/>
  </w:style>
  <w:style w:type="numbering" w:customStyle="1" w:styleId="WWNum71">
    <w:name w:val="WWNum71"/>
    <w:basedOn w:val="Brezseznama"/>
    <w:rsid w:val="006154DD"/>
  </w:style>
  <w:style w:type="numbering" w:customStyle="1" w:styleId="WWNum171">
    <w:name w:val="WWNum171"/>
    <w:basedOn w:val="Brezseznama"/>
    <w:rsid w:val="006154DD"/>
  </w:style>
  <w:style w:type="numbering" w:customStyle="1" w:styleId="WWNum181">
    <w:name w:val="WWNum181"/>
    <w:basedOn w:val="Brezseznama"/>
    <w:rsid w:val="006154DD"/>
  </w:style>
  <w:style w:type="table" w:customStyle="1" w:styleId="Tabelaseznam2poudarek1111">
    <w:name w:val="Tabela – seznam 2 (poudarek 1)111"/>
    <w:basedOn w:val="Navadnatabela"/>
    <w:uiPriority w:val="47"/>
    <w:rsid w:val="006154DD"/>
    <w:pPr>
      <w:spacing w:after="0" w:line="240" w:lineRule="auto"/>
    </w:pPr>
    <w:rPr>
      <w:rFonts w:ascii="Arial" w:eastAsia="Arial" w:hAnsi="Arial" w:cs="Times New Roman"/>
      <w:lang w:eastAsia="en-US"/>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ghtShading-Accent12">
    <w:name w:val="Light Shading - Accent 12"/>
    <w:basedOn w:val="Navadnatabela"/>
    <w:next w:val="Svetlosenenjepoudarek1"/>
    <w:uiPriority w:val="60"/>
    <w:rsid w:val="006154DD"/>
    <w:pPr>
      <w:spacing w:after="0" w:line="240" w:lineRule="auto"/>
    </w:pPr>
    <w:rPr>
      <w:rFonts w:ascii="Arial" w:eastAsia="Times New Roman" w:hAnsi="Arial"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Navadnatabela"/>
    <w:next w:val="Svetlosenenjepoudarek2"/>
    <w:uiPriority w:val="60"/>
    <w:rsid w:val="006154DD"/>
    <w:pPr>
      <w:spacing w:after="0" w:line="240" w:lineRule="auto"/>
    </w:pPr>
    <w:rPr>
      <w:rFonts w:ascii="Arial" w:eastAsia="Times New Roman" w:hAnsi="Arial" w:cs="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11">
    <w:name w:val="Light Grid - Accent 11"/>
    <w:basedOn w:val="Navadnatabela"/>
    <w:next w:val="Svetlamreapoudarek1"/>
    <w:uiPriority w:val="62"/>
    <w:rsid w:val="006154DD"/>
    <w:pPr>
      <w:spacing w:after="0" w:line="240" w:lineRule="auto"/>
    </w:pPr>
    <w:rPr>
      <w:rFonts w:ascii="Arial" w:eastAsia="Arial" w:hAnsi="Arial" w:cs="Times New Roman"/>
      <w:lang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w:eastAsia="Times New Roman" w:hAnsi="Arial"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w:eastAsia="Times New Roman" w:hAnsi="Arial"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w:eastAsia="Times New Roman" w:hAnsi="Arial" w:cs="Times New Roman"/>
        <w:b/>
        <w:bCs/>
      </w:rPr>
    </w:tblStylePr>
    <w:tblStylePr w:type="lastCol">
      <w:rPr>
        <w:rFonts w:ascii="Arial" w:eastAsia="Times New Roman" w:hAnsi="Arial"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
    <w:name w:val="Light List - Accent 11"/>
    <w:basedOn w:val="Navadnatabela"/>
    <w:next w:val="Svetelseznampoudarek1"/>
    <w:uiPriority w:val="61"/>
    <w:rsid w:val="006154DD"/>
    <w:pPr>
      <w:spacing w:after="0" w:line="240" w:lineRule="auto"/>
    </w:pPr>
    <w:rPr>
      <w:rFonts w:ascii="Arial" w:eastAsia="Arial" w:hAnsi="Arial" w:cs="Times New Roman"/>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ColorfulGrid-Accent11">
    <w:name w:val="Colorful Grid - Accent 11"/>
    <w:basedOn w:val="Navadnatabela"/>
    <w:next w:val="Barvnamreapoudarek1"/>
    <w:uiPriority w:val="73"/>
    <w:rsid w:val="006154DD"/>
    <w:pPr>
      <w:spacing w:after="0" w:line="240" w:lineRule="auto"/>
    </w:pPr>
    <w:rPr>
      <w:rFonts w:ascii="Arial" w:eastAsia="Arial" w:hAnsi="Arial" w:cs="Times New Roman"/>
      <w:color w:val="000000"/>
      <w:lang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MediumList1-Accent11">
    <w:name w:val="Medium List 1 - Accent 11"/>
    <w:basedOn w:val="Navadnatabela"/>
    <w:next w:val="Srednjiseznam1poudarek1"/>
    <w:uiPriority w:val="65"/>
    <w:rsid w:val="006154DD"/>
    <w:pPr>
      <w:spacing w:after="0" w:line="240" w:lineRule="auto"/>
    </w:pPr>
    <w:rPr>
      <w:rFonts w:ascii="Arial" w:eastAsia="Arial" w:hAnsi="Arial" w:cs="Times New Roman"/>
      <w:color w:val="000000"/>
      <w:lang w:eastAsia="en-US"/>
    </w:rPr>
    <w:tblPr>
      <w:tblStyleRowBandSize w:val="1"/>
      <w:tblStyleColBandSize w:val="1"/>
      <w:tblBorders>
        <w:top w:val="single" w:sz="8" w:space="0" w:color="4F81BD"/>
        <w:bottom w:val="single" w:sz="8" w:space="0" w:color="4F81BD"/>
      </w:tblBorders>
    </w:tblPr>
    <w:tblStylePr w:type="firstRow">
      <w:rPr>
        <w:rFonts w:ascii="Arial" w:eastAsia="Times New Roman" w:hAnsi="Arial"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LightList-Accent21">
    <w:name w:val="Light List - Accent 21"/>
    <w:basedOn w:val="Navadnatabela"/>
    <w:next w:val="Svetelseznampoudarek2"/>
    <w:uiPriority w:val="61"/>
    <w:rsid w:val="006154DD"/>
    <w:pPr>
      <w:spacing w:after="0" w:line="240" w:lineRule="auto"/>
    </w:pPr>
    <w:rPr>
      <w:rFonts w:ascii="Arial" w:eastAsia="Arial" w:hAnsi="Arial" w:cs="Times New Roman"/>
      <w:lang w:eastAsia="en-US"/>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Slog3">
    <w:name w:val="Slog3"/>
    <w:basedOn w:val="Navaden"/>
    <w:link w:val="Slog3Znak"/>
    <w:qFormat/>
    <w:rsid w:val="006154DD"/>
    <w:pPr>
      <w:tabs>
        <w:tab w:val="num" w:pos="1440"/>
      </w:tabs>
      <w:spacing w:after="300" w:line="288" w:lineRule="auto"/>
      <w:ind w:left="1440" w:hanging="720"/>
      <w:jc w:val="both"/>
    </w:pPr>
    <w:rPr>
      <w:rFonts w:ascii="FFScalaSans" w:hAnsi="FFScalaSans"/>
      <w:b/>
      <w:bCs/>
      <w:color w:val="808080"/>
      <w:spacing w:val="5"/>
      <w:kern w:val="28"/>
      <w:lang w:val="en-US" w:eastAsia="en-US"/>
    </w:rPr>
  </w:style>
  <w:style w:type="character" w:customStyle="1" w:styleId="Slog3Znak">
    <w:name w:val="Slog3 Znak"/>
    <w:link w:val="Slog3"/>
    <w:rsid w:val="006154DD"/>
    <w:rPr>
      <w:rFonts w:ascii="FFScalaSans" w:eastAsia="Times New Roman" w:hAnsi="FFScalaSans" w:cs="Times New Roman"/>
      <w:b/>
      <w:bCs/>
      <w:color w:val="808080"/>
      <w:spacing w:val="5"/>
      <w:kern w:val="28"/>
      <w:sz w:val="24"/>
      <w:szCs w:val="24"/>
      <w:lang w:val="en-US" w:eastAsia="en-US"/>
    </w:rPr>
  </w:style>
  <w:style w:type="table" w:customStyle="1" w:styleId="MediumShading1-Accent12">
    <w:name w:val="Medium Shading 1 - Accent 12"/>
    <w:basedOn w:val="Navadnatabela"/>
    <w:next w:val="Srednjesenenje1poudarek1"/>
    <w:uiPriority w:val="63"/>
    <w:rsid w:val="006154DD"/>
    <w:pPr>
      <w:spacing w:after="0" w:line="240" w:lineRule="auto"/>
    </w:pPr>
    <w:rPr>
      <w:rFonts w:ascii="Arial" w:eastAsia="Arial" w:hAnsi="Arial" w:cs="Times New Roman"/>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m7715964312177854160msolistparagraph">
    <w:name w:val="m_7715964312177854160msolistparagraph"/>
    <w:basedOn w:val="Navaden"/>
    <w:rsid w:val="006154DD"/>
    <w:pPr>
      <w:spacing w:before="100" w:beforeAutospacing="1" w:after="100" w:afterAutospacing="1"/>
    </w:pPr>
  </w:style>
  <w:style w:type="paragraph" w:customStyle="1" w:styleId="Slog9">
    <w:name w:val="Slog9"/>
    <w:basedOn w:val="Navaden"/>
    <w:rsid w:val="006154DD"/>
    <w:pPr>
      <w:keepNext/>
      <w:numPr>
        <w:ilvl w:val="3"/>
        <w:numId w:val="168"/>
      </w:numPr>
      <w:tabs>
        <w:tab w:val="left" w:pos="1134"/>
        <w:tab w:val="left" w:pos="1843"/>
        <w:tab w:val="decimal" w:pos="3686"/>
        <w:tab w:val="decimal" w:pos="5670"/>
      </w:tabs>
      <w:outlineLvl w:val="3"/>
    </w:pPr>
    <w:rPr>
      <w:rFonts w:ascii="Tahoma" w:hAnsi="Tahoma"/>
      <w:b/>
      <w:lang w:eastAsia="de-DE"/>
    </w:rPr>
  </w:style>
  <w:style w:type="paragraph" w:customStyle="1" w:styleId="xl65">
    <w:name w:val="xl65"/>
    <w:basedOn w:val="Navaden"/>
    <w:rsid w:val="006154DD"/>
    <w:pPr>
      <w:spacing w:before="100" w:beforeAutospacing="1" w:after="100" w:afterAutospacing="1"/>
    </w:pPr>
    <w:rPr>
      <w:rFonts w:ascii="Arial" w:hAnsi="Arial" w:cs="Arial"/>
      <w:sz w:val="20"/>
      <w:szCs w:val="20"/>
    </w:rPr>
  </w:style>
  <w:style w:type="paragraph" w:customStyle="1" w:styleId="xl66">
    <w:name w:val="xl66"/>
    <w:basedOn w:val="Navaden"/>
    <w:rsid w:val="006154DD"/>
    <w:pPr>
      <w:spacing w:before="100" w:beforeAutospacing="1" w:after="100" w:afterAutospacing="1"/>
    </w:pPr>
    <w:rPr>
      <w:rFonts w:ascii="Arial" w:hAnsi="Arial" w:cs="Arial"/>
      <w:sz w:val="20"/>
      <w:szCs w:val="20"/>
    </w:rPr>
  </w:style>
  <w:style w:type="paragraph" w:customStyle="1" w:styleId="xl67">
    <w:name w:val="xl67"/>
    <w:basedOn w:val="Navaden"/>
    <w:rsid w:val="006154DD"/>
    <w:pPr>
      <w:spacing w:before="100" w:beforeAutospacing="1" w:after="100" w:afterAutospacing="1"/>
    </w:pPr>
    <w:rPr>
      <w:rFonts w:ascii="Arial" w:hAnsi="Arial" w:cs="Arial"/>
      <w:b/>
      <w:bCs/>
      <w:sz w:val="20"/>
      <w:szCs w:val="20"/>
    </w:rPr>
  </w:style>
  <w:style w:type="paragraph" w:customStyle="1" w:styleId="xl68">
    <w:name w:val="xl68"/>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69">
    <w:name w:val="xl69"/>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70">
    <w:name w:val="xl70"/>
    <w:basedOn w:val="Navaden"/>
    <w:rsid w:val="006154DD"/>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rPr>
  </w:style>
  <w:style w:type="paragraph" w:customStyle="1" w:styleId="xl71">
    <w:name w:val="xl71"/>
    <w:basedOn w:val="Navaden"/>
    <w:rsid w:val="006154DD"/>
    <w:pPr>
      <w:pBdr>
        <w:top w:val="single" w:sz="4" w:space="0" w:color="auto"/>
        <w:left w:val="single" w:sz="4" w:space="0" w:color="auto"/>
        <w:bottom w:val="single" w:sz="4" w:space="0" w:color="auto"/>
        <w:right w:val="single" w:sz="4" w:space="0" w:color="auto"/>
      </w:pBdr>
      <w:shd w:val="clear" w:color="000000" w:fill="DAE9F8"/>
      <w:spacing w:before="100" w:beforeAutospacing="1" w:after="100" w:afterAutospacing="1"/>
    </w:pPr>
    <w:rPr>
      <w:rFonts w:ascii="Arial" w:hAnsi="Arial" w:cs="Arial"/>
      <w:b/>
      <w:bCs/>
      <w:sz w:val="20"/>
      <w:szCs w:val="20"/>
    </w:rPr>
  </w:style>
  <w:style w:type="paragraph" w:customStyle="1" w:styleId="xl72">
    <w:name w:val="xl72"/>
    <w:basedOn w:val="Navaden"/>
    <w:rsid w:val="006154DD"/>
    <w:pPr>
      <w:pBdr>
        <w:top w:val="single" w:sz="4" w:space="0" w:color="auto"/>
        <w:left w:val="single" w:sz="4" w:space="0" w:color="auto"/>
        <w:bottom w:val="single" w:sz="4" w:space="0" w:color="auto"/>
        <w:right w:val="single" w:sz="4" w:space="0" w:color="auto"/>
      </w:pBdr>
      <w:shd w:val="clear" w:color="000000" w:fill="DAE9F8"/>
      <w:spacing w:before="100" w:beforeAutospacing="1" w:after="100" w:afterAutospacing="1"/>
    </w:pPr>
    <w:rPr>
      <w:rFonts w:ascii="Arial" w:hAnsi="Arial" w:cs="Arial"/>
      <w:b/>
      <w:bCs/>
      <w:sz w:val="20"/>
      <w:szCs w:val="20"/>
    </w:rPr>
  </w:style>
  <w:style w:type="paragraph" w:customStyle="1" w:styleId="xl73">
    <w:name w:val="xl73"/>
    <w:basedOn w:val="Navaden"/>
    <w:rsid w:val="006154D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Arial" w:hAnsi="Arial" w:cs="Arial"/>
      <w:b/>
      <w:bCs/>
      <w:sz w:val="20"/>
      <w:szCs w:val="20"/>
    </w:rPr>
  </w:style>
  <w:style w:type="paragraph" w:customStyle="1" w:styleId="xl74">
    <w:name w:val="xl74"/>
    <w:basedOn w:val="Navaden"/>
    <w:rsid w:val="006154D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Arial" w:hAnsi="Arial" w:cs="Arial"/>
      <w:b/>
      <w:bCs/>
      <w:sz w:val="20"/>
      <w:szCs w:val="20"/>
    </w:rPr>
  </w:style>
  <w:style w:type="paragraph" w:customStyle="1" w:styleId="xl75">
    <w:name w:val="xl75"/>
    <w:basedOn w:val="Navaden"/>
    <w:rsid w:val="006154D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Arial" w:hAnsi="Arial" w:cs="Arial"/>
      <w:b/>
      <w:bCs/>
      <w:sz w:val="20"/>
      <w:szCs w:val="20"/>
    </w:rPr>
  </w:style>
  <w:style w:type="paragraph" w:customStyle="1" w:styleId="pf0">
    <w:name w:val="pf0"/>
    <w:basedOn w:val="Navaden"/>
    <w:rsid w:val="006154DD"/>
    <w:pPr>
      <w:spacing w:before="100" w:beforeAutospacing="1" w:after="100" w:afterAutospacing="1"/>
      <w:ind w:left="360"/>
    </w:pPr>
  </w:style>
  <w:style w:type="character" w:customStyle="1" w:styleId="cf01">
    <w:name w:val="cf01"/>
    <w:basedOn w:val="Privzetapisavaodstavka"/>
    <w:rsid w:val="006154DD"/>
    <w:rPr>
      <w:rFonts w:ascii="Segoe UI" w:hAnsi="Segoe UI" w:cs="Segoe UI" w:hint="default"/>
      <w:color w:val="111111"/>
      <w:sz w:val="18"/>
      <w:szCs w:val="18"/>
    </w:rPr>
  </w:style>
  <w:style w:type="character" w:customStyle="1" w:styleId="relative">
    <w:name w:val="relative"/>
    <w:basedOn w:val="Privzetapisavaodstavka"/>
    <w:rsid w:val="006154DD"/>
  </w:style>
  <w:style w:type="character" w:customStyle="1" w:styleId="ms-1">
    <w:name w:val="ms-1"/>
    <w:basedOn w:val="Privzetapisavaodstavka"/>
    <w:rsid w:val="006154DD"/>
  </w:style>
  <w:style w:type="character" w:customStyle="1" w:styleId="max-w-full">
    <w:name w:val="max-w-full"/>
    <w:basedOn w:val="Privzetapisavaodstavka"/>
    <w:rsid w:val="006154DD"/>
  </w:style>
  <w:style w:type="table" w:styleId="Svetelseznampoudarek1">
    <w:name w:val="Light List Accent 1"/>
    <w:basedOn w:val="Navadnatabela"/>
    <w:uiPriority w:val="61"/>
    <w:unhideWhenUsed/>
    <w:rsid w:val="006154DD"/>
    <w:pPr>
      <w:spacing w:after="0" w:line="240" w:lineRule="auto"/>
    </w:pPr>
    <w:rPr>
      <w:rFonts w:ascii="Calibri" w:eastAsia="Calibri" w:hAnsi="Calibri" w:cs="Calibri"/>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Barvnamreapoudarek1">
    <w:name w:val="Colorful Grid Accent 1"/>
    <w:basedOn w:val="Navadnatabela"/>
    <w:uiPriority w:val="73"/>
    <w:unhideWhenUsed/>
    <w:rsid w:val="006154DD"/>
    <w:pPr>
      <w:spacing w:after="0" w:line="240" w:lineRule="auto"/>
    </w:pPr>
    <w:rPr>
      <w:rFonts w:ascii="Calibri" w:eastAsia="Calibri" w:hAnsi="Calibri" w:cs="Calibri"/>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rednjiseznam1poudarek1">
    <w:name w:val="Medium List 1 Accent 1"/>
    <w:basedOn w:val="Navadnatabela"/>
    <w:uiPriority w:val="65"/>
    <w:unhideWhenUsed/>
    <w:rsid w:val="006154DD"/>
    <w:pPr>
      <w:spacing w:after="0" w:line="240" w:lineRule="auto"/>
    </w:pPr>
    <w:rPr>
      <w:rFonts w:ascii="Calibri" w:eastAsia="Calibri" w:hAnsi="Calibri" w:cs="Calibri"/>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Svetelseznampoudarek2">
    <w:name w:val="Light List Accent 2"/>
    <w:basedOn w:val="Navadnatabela"/>
    <w:uiPriority w:val="61"/>
    <w:unhideWhenUsed/>
    <w:rsid w:val="006154DD"/>
    <w:pPr>
      <w:spacing w:after="0" w:line="240" w:lineRule="auto"/>
    </w:pPr>
    <w:rPr>
      <w:rFonts w:ascii="Calibri" w:eastAsia="Calibri" w:hAnsi="Calibri" w:cs="Calibri"/>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6196">
      <w:bodyDiv w:val="1"/>
      <w:marLeft w:val="0"/>
      <w:marRight w:val="0"/>
      <w:marTop w:val="0"/>
      <w:marBottom w:val="0"/>
      <w:divBdr>
        <w:top w:val="none" w:sz="0" w:space="0" w:color="auto"/>
        <w:left w:val="none" w:sz="0" w:space="0" w:color="auto"/>
        <w:bottom w:val="none" w:sz="0" w:space="0" w:color="auto"/>
        <w:right w:val="none" w:sz="0" w:space="0" w:color="auto"/>
      </w:divBdr>
    </w:div>
    <w:div w:id="4132026">
      <w:bodyDiv w:val="1"/>
      <w:marLeft w:val="0"/>
      <w:marRight w:val="0"/>
      <w:marTop w:val="0"/>
      <w:marBottom w:val="0"/>
      <w:divBdr>
        <w:top w:val="none" w:sz="0" w:space="0" w:color="auto"/>
        <w:left w:val="none" w:sz="0" w:space="0" w:color="auto"/>
        <w:bottom w:val="none" w:sz="0" w:space="0" w:color="auto"/>
        <w:right w:val="none" w:sz="0" w:space="0" w:color="auto"/>
      </w:divBdr>
    </w:div>
    <w:div w:id="34934236">
      <w:bodyDiv w:val="1"/>
      <w:marLeft w:val="0"/>
      <w:marRight w:val="0"/>
      <w:marTop w:val="0"/>
      <w:marBottom w:val="0"/>
      <w:divBdr>
        <w:top w:val="none" w:sz="0" w:space="0" w:color="auto"/>
        <w:left w:val="none" w:sz="0" w:space="0" w:color="auto"/>
        <w:bottom w:val="none" w:sz="0" w:space="0" w:color="auto"/>
        <w:right w:val="none" w:sz="0" w:space="0" w:color="auto"/>
      </w:divBdr>
    </w:div>
    <w:div w:id="41636888">
      <w:bodyDiv w:val="1"/>
      <w:marLeft w:val="0"/>
      <w:marRight w:val="0"/>
      <w:marTop w:val="0"/>
      <w:marBottom w:val="0"/>
      <w:divBdr>
        <w:top w:val="none" w:sz="0" w:space="0" w:color="auto"/>
        <w:left w:val="none" w:sz="0" w:space="0" w:color="auto"/>
        <w:bottom w:val="none" w:sz="0" w:space="0" w:color="auto"/>
        <w:right w:val="none" w:sz="0" w:space="0" w:color="auto"/>
      </w:divBdr>
    </w:div>
    <w:div w:id="45034484">
      <w:bodyDiv w:val="1"/>
      <w:marLeft w:val="0"/>
      <w:marRight w:val="0"/>
      <w:marTop w:val="0"/>
      <w:marBottom w:val="0"/>
      <w:divBdr>
        <w:top w:val="none" w:sz="0" w:space="0" w:color="auto"/>
        <w:left w:val="none" w:sz="0" w:space="0" w:color="auto"/>
        <w:bottom w:val="none" w:sz="0" w:space="0" w:color="auto"/>
        <w:right w:val="none" w:sz="0" w:space="0" w:color="auto"/>
      </w:divBdr>
    </w:div>
    <w:div w:id="47388393">
      <w:bodyDiv w:val="1"/>
      <w:marLeft w:val="0"/>
      <w:marRight w:val="0"/>
      <w:marTop w:val="0"/>
      <w:marBottom w:val="0"/>
      <w:divBdr>
        <w:top w:val="none" w:sz="0" w:space="0" w:color="auto"/>
        <w:left w:val="none" w:sz="0" w:space="0" w:color="auto"/>
        <w:bottom w:val="none" w:sz="0" w:space="0" w:color="auto"/>
        <w:right w:val="none" w:sz="0" w:space="0" w:color="auto"/>
      </w:divBdr>
    </w:div>
    <w:div w:id="55975131">
      <w:bodyDiv w:val="1"/>
      <w:marLeft w:val="0"/>
      <w:marRight w:val="0"/>
      <w:marTop w:val="0"/>
      <w:marBottom w:val="0"/>
      <w:divBdr>
        <w:top w:val="none" w:sz="0" w:space="0" w:color="auto"/>
        <w:left w:val="none" w:sz="0" w:space="0" w:color="auto"/>
        <w:bottom w:val="none" w:sz="0" w:space="0" w:color="auto"/>
        <w:right w:val="none" w:sz="0" w:space="0" w:color="auto"/>
      </w:divBdr>
    </w:div>
    <w:div w:id="71053630">
      <w:bodyDiv w:val="1"/>
      <w:marLeft w:val="0"/>
      <w:marRight w:val="0"/>
      <w:marTop w:val="0"/>
      <w:marBottom w:val="0"/>
      <w:divBdr>
        <w:top w:val="none" w:sz="0" w:space="0" w:color="auto"/>
        <w:left w:val="none" w:sz="0" w:space="0" w:color="auto"/>
        <w:bottom w:val="none" w:sz="0" w:space="0" w:color="auto"/>
        <w:right w:val="none" w:sz="0" w:space="0" w:color="auto"/>
      </w:divBdr>
    </w:div>
    <w:div w:id="72164184">
      <w:bodyDiv w:val="1"/>
      <w:marLeft w:val="0"/>
      <w:marRight w:val="0"/>
      <w:marTop w:val="0"/>
      <w:marBottom w:val="0"/>
      <w:divBdr>
        <w:top w:val="none" w:sz="0" w:space="0" w:color="auto"/>
        <w:left w:val="none" w:sz="0" w:space="0" w:color="auto"/>
        <w:bottom w:val="none" w:sz="0" w:space="0" w:color="auto"/>
        <w:right w:val="none" w:sz="0" w:space="0" w:color="auto"/>
      </w:divBdr>
    </w:div>
    <w:div w:id="80104517">
      <w:bodyDiv w:val="1"/>
      <w:marLeft w:val="0"/>
      <w:marRight w:val="0"/>
      <w:marTop w:val="0"/>
      <w:marBottom w:val="0"/>
      <w:divBdr>
        <w:top w:val="none" w:sz="0" w:space="0" w:color="auto"/>
        <w:left w:val="none" w:sz="0" w:space="0" w:color="auto"/>
        <w:bottom w:val="none" w:sz="0" w:space="0" w:color="auto"/>
        <w:right w:val="none" w:sz="0" w:space="0" w:color="auto"/>
      </w:divBdr>
    </w:div>
    <w:div w:id="90398951">
      <w:bodyDiv w:val="1"/>
      <w:marLeft w:val="0"/>
      <w:marRight w:val="0"/>
      <w:marTop w:val="0"/>
      <w:marBottom w:val="0"/>
      <w:divBdr>
        <w:top w:val="none" w:sz="0" w:space="0" w:color="auto"/>
        <w:left w:val="none" w:sz="0" w:space="0" w:color="auto"/>
        <w:bottom w:val="none" w:sz="0" w:space="0" w:color="auto"/>
        <w:right w:val="none" w:sz="0" w:space="0" w:color="auto"/>
      </w:divBdr>
    </w:div>
    <w:div w:id="116990316">
      <w:bodyDiv w:val="1"/>
      <w:marLeft w:val="0"/>
      <w:marRight w:val="0"/>
      <w:marTop w:val="0"/>
      <w:marBottom w:val="0"/>
      <w:divBdr>
        <w:top w:val="none" w:sz="0" w:space="0" w:color="auto"/>
        <w:left w:val="none" w:sz="0" w:space="0" w:color="auto"/>
        <w:bottom w:val="none" w:sz="0" w:space="0" w:color="auto"/>
        <w:right w:val="none" w:sz="0" w:space="0" w:color="auto"/>
      </w:divBdr>
    </w:div>
    <w:div w:id="120543599">
      <w:bodyDiv w:val="1"/>
      <w:marLeft w:val="0"/>
      <w:marRight w:val="0"/>
      <w:marTop w:val="0"/>
      <w:marBottom w:val="0"/>
      <w:divBdr>
        <w:top w:val="none" w:sz="0" w:space="0" w:color="auto"/>
        <w:left w:val="none" w:sz="0" w:space="0" w:color="auto"/>
        <w:bottom w:val="none" w:sz="0" w:space="0" w:color="auto"/>
        <w:right w:val="none" w:sz="0" w:space="0" w:color="auto"/>
      </w:divBdr>
    </w:div>
    <w:div w:id="121387921">
      <w:bodyDiv w:val="1"/>
      <w:marLeft w:val="0"/>
      <w:marRight w:val="0"/>
      <w:marTop w:val="0"/>
      <w:marBottom w:val="0"/>
      <w:divBdr>
        <w:top w:val="none" w:sz="0" w:space="0" w:color="auto"/>
        <w:left w:val="none" w:sz="0" w:space="0" w:color="auto"/>
        <w:bottom w:val="none" w:sz="0" w:space="0" w:color="auto"/>
        <w:right w:val="none" w:sz="0" w:space="0" w:color="auto"/>
      </w:divBdr>
    </w:div>
    <w:div w:id="137115331">
      <w:bodyDiv w:val="1"/>
      <w:marLeft w:val="0"/>
      <w:marRight w:val="0"/>
      <w:marTop w:val="0"/>
      <w:marBottom w:val="0"/>
      <w:divBdr>
        <w:top w:val="none" w:sz="0" w:space="0" w:color="auto"/>
        <w:left w:val="none" w:sz="0" w:space="0" w:color="auto"/>
        <w:bottom w:val="none" w:sz="0" w:space="0" w:color="auto"/>
        <w:right w:val="none" w:sz="0" w:space="0" w:color="auto"/>
      </w:divBdr>
    </w:div>
    <w:div w:id="144245523">
      <w:bodyDiv w:val="1"/>
      <w:marLeft w:val="0"/>
      <w:marRight w:val="0"/>
      <w:marTop w:val="0"/>
      <w:marBottom w:val="0"/>
      <w:divBdr>
        <w:top w:val="none" w:sz="0" w:space="0" w:color="auto"/>
        <w:left w:val="none" w:sz="0" w:space="0" w:color="auto"/>
        <w:bottom w:val="none" w:sz="0" w:space="0" w:color="auto"/>
        <w:right w:val="none" w:sz="0" w:space="0" w:color="auto"/>
      </w:divBdr>
    </w:div>
    <w:div w:id="151337422">
      <w:bodyDiv w:val="1"/>
      <w:marLeft w:val="0"/>
      <w:marRight w:val="0"/>
      <w:marTop w:val="0"/>
      <w:marBottom w:val="0"/>
      <w:divBdr>
        <w:top w:val="none" w:sz="0" w:space="0" w:color="auto"/>
        <w:left w:val="none" w:sz="0" w:space="0" w:color="auto"/>
        <w:bottom w:val="none" w:sz="0" w:space="0" w:color="auto"/>
        <w:right w:val="none" w:sz="0" w:space="0" w:color="auto"/>
      </w:divBdr>
    </w:div>
    <w:div w:id="156532080">
      <w:bodyDiv w:val="1"/>
      <w:marLeft w:val="0"/>
      <w:marRight w:val="0"/>
      <w:marTop w:val="0"/>
      <w:marBottom w:val="0"/>
      <w:divBdr>
        <w:top w:val="none" w:sz="0" w:space="0" w:color="auto"/>
        <w:left w:val="none" w:sz="0" w:space="0" w:color="auto"/>
        <w:bottom w:val="none" w:sz="0" w:space="0" w:color="auto"/>
        <w:right w:val="none" w:sz="0" w:space="0" w:color="auto"/>
      </w:divBdr>
    </w:div>
    <w:div w:id="157038136">
      <w:bodyDiv w:val="1"/>
      <w:marLeft w:val="0"/>
      <w:marRight w:val="0"/>
      <w:marTop w:val="0"/>
      <w:marBottom w:val="0"/>
      <w:divBdr>
        <w:top w:val="none" w:sz="0" w:space="0" w:color="auto"/>
        <w:left w:val="none" w:sz="0" w:space="0" w:color="auto"/>
        <w:bottom w:val="none" w:sz="0" w:space="0" w:color="auto"/>
        <w:right w:val="none" w:sz="0" w:space="0" w:color="auto"/>
      </w:divBdr>
    </w:div>
    <w:div w:id="160387462">
      <w:bodyDiv w:val="1"/>
      <w:marLeft w:val="0"/>
      <w:marRight w:val="0"/>
      <w:marTop w:val="0"/>
      <w:marBottom w:val="0"/>
      <w:divBdr>
        <w:top w:val="none" w:sz="0" w:space="0" w:color="auto"/>
        <w:left w:val="none" w:sz="0" w:space="0" w:color="auto"/>
        <w:bottom w:val="none" w:sz="0" w:space="0" w:color="auto"/>
        <w:right w:val="none" w:sz="0" w:space="0" w:color="auto"/>
      </w:divBdr>
    </w:div>
    <w:div w:id="160778909">
      <w:bodyDiv w:val="1"/>
      <w:marLeft w:val="0"/>
      <w:marRight w:val="0"/>
      <w:marTop w:val="0"/>
      <w:marBottom w:val="0"/>
      <w:divBdr>
        <w:top w:val="none" w:sz="0" w:space="0" w:color="auto"/>
        <w:left w:val="none" w:sz="0" w:space="0" w:color="auto"/>
        <w:bottom w:val="none" w:sz="0" w:space="0" w:color="auto"/>
        <w:right w:val="none" w:sz="0" w:space="0" w:color="auto"/>
      </w:divBdr>
    </w:div>
    <w:div w:id="187835395">
      <w:bodyDiv w:val="1"/>
      <w:marLeft w:val="0"/>
      <w:marRight w:val="0"/>
      <w:marTop w:val="0"/>
      <w:marBottom w:val="0"/>
      <w:divBdr>
        <w:top w:val="none" w:sz="0" w:space="0" w:color="auto"/>
        <w:left w:val="none" w:sz="0" w:space="0" w:color="auto"/>
        <w:bottom w:val="none" w:sz="0" w:space="0" w:color="auto"/>
        <w:right w:val="none" w:sz="0" w:space="0" w:color="auto"/>
      </w:divBdr>
    </w:div>
    <w:div w:id="196158535">
      <w:bodyDiv w:val="1"/>
      <w:marLeft w:val="0"/>
      <w:marRight w:val="0"/>
      <w:marTop w:val="0"/>
      <w:marBottom w:val="0"/>
      <w:divBdr>
        <w:top w:val="none" w:sz="0" w:space="0" w:color="auto"/>
        <w:left w:val="none" w:sz="0" w:space="0" w:color="auto"/>
        <w:bottom w:val="none" w:sz="0" w:space="0" w:color="auto"/>
        <w:right w:val="none" w:sz="0" w:space="0" w:color="auto"/>
      </w:divBdr>
    </w:div>
    <w:div w:id="216094326">
      <w:bodyDiv w:val="1"/>
      <w:marLeft w:val="0"/>
      <w:marRight w:val="0"/>
      <w:marTop w:val="0"/>
      <w:marBottom w:val="0"/>
      <w:divBdr>
        <w:top w:val="none" w:sz="0" w:space="0" w:color="auto"/>
        <w:left w:val="none" w:sz="0" w:space="0" w:color="auto"/>
        <w:bottom w:val="none" w:sz="0" w:space="0" w:color="auto"/>
        <w:right w:val="none" w:sz="0" w:space="0" w:color="auto"/>
      </w:divBdr>
    </w:div>
    <w:div w:id="230238092">
      <w:bodyDiv w:val="1"/>
      <w:marLeft w:val="0"/>
      <w:marRight w:val="0"/>
      <w:marTop w:val="0"/>
      <w:marBottom w:val="0"/>
      <w:divBdr>
        <w:top w:val="none" w:sz="0" w:space="0" w:color="auto"/>
        <w:left w:val="none" w:sz="0" w:space="0" w:color="auto"/>
        <w:bottom w:val="none" w:sz="0" w:space="0" w:color="auto"/>
        <w:right w:val="none" w:sz="0" w:space="0" w:color="auto"/>
      </w:divBdr>
    </w:div>
    <w:div w:id="234751606">
      <w:bodyDiv w:val="1"/>
      <w:marLeft w:val="0"/>
      <w:marRight w:val="0"/>
      <w:marTop w:val="0"/>
      <w:marBottom w:val="0"/>
      <w:divBdr>
        <w:top w:val="none" w:sz="0" w:space="0" w:color="auto"/>
        <w:left w:val="none" w:sz="0" w:space="0" w:color="auto"/>
        <w:bottom w:val="none" w:sz="0" w:space="0" w:color="auto"/>
        <w:right w:val="none" w:sz="0" w:space="0" w:color="auto"/>
      </w:divBdr>
      <w:divsChild>
        <w:div w:id="95293938">
          <w:marLeft w:val="-225"/>
          <w:marRight w:val="-225"/>
          <w:marTop w:val="0"/>
          <w:marBottom w:val="120"/>
          <w:divBdr>
            <w:top w:val="none" w:sz="0" w:space="0" w:color="auto"/>
            <w:left w:val="none" w:sz="0" w:space="0" w:color="auto"/>
            <w:bottom w:val="none" w:sz="0" w:space="0" w:color="auto"/>
            <w:right w:val="none" w:sz="0" w:space="0" w:color="auto"/>
          </w:divBdr>
          <w:divsChild>
            <w:div w:id="331103476">
              <w:marLeft w:val="0"/>
              <w:marRight w:val="0"/>
              <w:marTop w:val="0"/>
              <w:marBottom w:val="0"/>
              <w:divBdr>
                <w:top w:val="none" w:sz="0" w:space="0" w:color="auto"/>
                <w:left w:val="none" w:sz="0" w:space="0" w:color="auto"/>
                <w:bottom w:val="none" w:sz="0" w:space="0" w:color="auto"/>
                <w:right w:val="none" w:sz="0" w:space="0" w:color="auto"/>
              </w:divBdr>
              <w:divsChild>
                <w:div w:id="1090662158">
                  <w:marLeft w:val="0"/>
                  <w:marRight w:val="0"/>
                  <w:marTop w:val="0"/>
                  <w:marBottom w:val="0"/>
                  <w:divBdr>
                    <w:top w:val="none" w:sz="0" w:space="0" w:color="auto"/>
                    <w:left w:val="none" w:sz="0" w:space="0" w:color="auto"/>
                    <w:bottom w:val="none" w:sz="0" w:space="0" w:color="auto"/>
                    <w:right w:val="none" w:sz="0" w:space="0" w:color="auto"/>
                  </w:divBdr>
                </w:div>
                <w:div w:id="112658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582">
          <w:marLeft w:val="-225"/>
          <w:marRight w:val="-225"/>
          <w:marTop w:val="0"/>
          <w:marBottom w:val="120"/>
          <w:divBdr>
            <w:top w:val="none" w:sz="0" w:space="0" w:color="auto"/>
            <w:left w:val="none" w:sz="0" w:space="0" w:color="auto"/>
            <w:bottom w:val="none" w:sz="0" w:space="0" w:color="auto"/>
            <w:right w:val="none" w:sz="0" w:space="0" w:color="auto"/>
          </w:divBdr>
          <w:divsChild>
            <w:div w:id="897126261">
              <w:marLeft w:val="0"/>
              <w:marRight w:val="0"/>
              <w:marTop w:val="0"/>
              <w:marBottom w:val="0"/>
              <w:divBdr>
                <w:top w:val="none" w:sz="0" w:space="0" w:color="auto"/>
                <w:left w:val="none" w:sz="0" w:space="0" w:color="auto"/>
                <w:bottom w:val="none" w:sz="0" w:space="0" w:color="auto"/>
                <w:right w:val="none" w:sz="0" w:space="0" w:color="auto"/>
              </w:divBdr>
              <w:divsChild>
                <w:div w:id="1146775018">
                  <w:marLeft w:val="0"/>
                  <w:marRight w:val="0"/>
                  <w:marTop w:val="0"/>
                  <w:marBottom w:val="0"/>
                  <w:divBdr>
                    <w:top w:val="none" w:sz="0" w:space="0" w:color="auto"/>
                    <w:left w:val="none" w:sz="0" w:space="0" w:color="auto"/>
                    <w:bottom w:val="none" w:sz="0" w:space="0" w:color="auto"/>
                    <w:right w:val="none" w:sz="0" w:space="0" w:color="auto"/>
                  </w:divBdr>
                </w:div>
                <w:div w:id="186767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2263">
          <w:marLeft w:val="-225"/>
          <w:marRight w:val="-225"/>
          <w:marTop w:val="0"/>
          <w:marBottom w:val="120"/>
          <w:divBdr>
            <w:top w:val="none" w:sz="0" w:space="0" w:color="auto"/>
            <w:left w:val="none" w:sz="0" w:space="0" w:color="auto"/>
            <w:bottom w:val="none" w:sz="0" w:space="0" w:color="auto"/>
            <w:right w:val="none" w:sz="0" w:space="0" w:color="auto"/>
          </w:divBdr>
          <w:divsChild>
            <w:div w:id="1366368642">
              <w:marLeft w:val="0"/>
              <w:marRight w:val="0"/>
              <w:marTop w:val="0"/>
              <w:marBottom w:val="0"/>
              <w:divBdr>
                <w:top w:val="none" w:sz="0" w:space="0" w:color="auto"/>
                <w:left w:val="none" w:sz="0" w:space="0" w:color="auto"/>
                <w:bottom w:val="none" w:sz="0" w:space="0" w:color="auto"/>
                <w:right w:val="none" w:sz="0" w:space="0" w:color="auto"/>
              </w:divBdr>
              <w:divsChild>
                <w:div w:id="100271064">
                  <w:marLeft w:val="0"/>
                  <w:marRight w:val="0"/>
                  <w:marTop w:val="0"/>
                  <w:marBottom w:val="0"/>
                  <w:divBdr>
                    <w:top w:val="none" w:sz="0" w:space="0" w:color="auto"/>
                    <w:left w:val="none" w:sz="0" w:space="0" w:color="auto"/>
                    <w:bottom w:val="none" w:sz="0" w:space="0" w:color="auto"/>
                    <w:right w:val="none" w:sz="0" w:space="0" w:color="auto"/>
                  </w:divBdr>
                </w:div>
                <w:div w:id="1941405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867206">
          <w:marLeft w:val="-225"/>
          <w:marRight w:val="-225"/>
          <w:marTop w:val="0"/>
          <w:marBottom w:val="120"/>
          <w:divBdr>
            <w:top w:val="none" w:sz="0" w:space="0" w:color="auto"/>
            <w:left w:val="none" w:sz="0" w:space="0" w:color="auto"/>
            <w:bottom w:val="none" w:sz="0" w:space="0" w:color="auto"/>
            <w:right w:val="none" w:sz="0" w:space="0" w:color="auto"/>
          </w:divBdr>
          <w:divsChild>
            <w:div w:id="179710896">
              <w:marLeft w:val="0"/>
              <w:marRight w:val="0"/>
              <w:marTop w:val="0"/>
              <w:marBottom w:val="0"/>
              <w:divBdr>
                <w:top w:val="none" w:sz="0" w:space="0" w:color="auto"/>
                <w:left w:val="none" w:sz="0" w:space="0" w:color="auto"/>
                <w:bottom w:val="none" w:sz="0" w:space="0" w:color="auto"/>
                <w:right w:val="none" w:sz="0" w:space="0" w:color="auto"/>
              </w:divBdr>
              <w:divsChild>
                <w:div w:id="2086418299">
                  <w:marLeft w:val="0"/>
                  <w:marRight w:val="0"/>
                  <w:marTop w:val="0"/>
                  <w:marBottom w:val="0"/>
                  <w:divBdr>
                    <w:top w:val="none" w:sz="0" w:space="0" w:color="auto"/>
                    <w:left w:val="none" w:sz="0" w:space="0" w:color="auto"/>
                    <w:bottom w:val="none" w:sz="0" w:space="0" w:color="auto"/>
                    <w:right w:val="none" w:sz="0" w:space="0" w:color="auto"/>
                  </w:divBdr>
                </w:div>
                <w:div w:id="208941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348515">
          <w:marLeft w:val="-225"/>
          <w:marRight w:val="-225"/>
          <w:marTop w:val="0"/>
          <w:marBottom w:val="120"/>
          <w:divBdr>
            <w:top w:val="none" w:sz="0" w:space="0" w:color="auto"/>
            <w:left w:val="none" w:sz="0" w:space="0" w:color="auto"/>
            <w:bottom w:val="none" w:sz="0" w:space="0" w:color="auto"/>
            <w:right w:val="none" w:sz="0" w:space="0" w:color="auto"/>
          </w:divBdr>
          <w:divsChild>
            <w:div w:id="1441219072">
              <w:marLeft w:val="0"/>
              <w:marRight w:val="0"/>
              <w:marTop w:val="0"/>
              <w:marBottom w:val="0"/>
              <w:divBdr>
                <w:top w:val="none" w:sz="0" w:space="0" w:color="auto"/>
                <w:left w:val="none" w:sz="0" w:space="0" w:color="auto"/>
                <w:bottom w:val="none" w:sz="0" w:space="0" w:color="auto"/>
                <w:right w:val="none" w:sz="0" w:space="0" w:color="auto"/>
              </w:divBdr>
              <w:divsChild>
                <w:div w:id="124549104">
                  <w:marLeft w:val="0"/>
                  <w:marRight w:val="0"/>
                  <w:marTop w:val="0"/>
                  <w:marBottom w:val="0"/>
                  <w:divBdr>
                    <w:top w:val="none" w:sz="0" w:space="0" w:color="auto"/>
                    <w:left w:val="none" w:sz="0" w:space="0" w:color="auto"/>
                    <w:bottom w:val="none" w:sz="0" w:space="0" w:color="auto"/>
                    <w:right w:val="none" w:sz="0" w:space="0" w:color="auto"/>
                  </w:divBdr>
                </w:div>
                <w:div w:id="182250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438165">
          <w:marLeft w:val="-225"/>
          <w:marRight w:val="-225"/>
          <w:marTop w:val="0"/>
          <w:marBottom w:val="120"/>
          <w:divBdr>
            <w:top w:val="none" w:sz="0" w:space="0" w:color="auto"/>
            <w:left w:val="none" w:sz="0" w:space="0" w:color="auto"/>
            <w:bottom w:val="none" w:sz="0" w:space="0" w:color="auto"/>
            <w:right w:val="none" w:sz="0" w:space="0" w:color="auto"/>
          </w:divBdr>
          <w:divsChild>
            <w:div w:id="2067606194">
              <w:marLeft w:val="0"/>
              <w:marRight w:val="0"/>
              <w:marTop w:val="0"/>
              <w:marBottom w:val="0"/>
              <w:divBdr>
                <w:top w:val="none" w:sz="0" w:space="0" w:color="auto"/>
                <w:left w:val="none" w:sz="0" w:space="0" w:color="auto"/>
                <w:bottom w:val="none" w:sz="0" w:space="0" w:color="auto"/>
                <w:right w:val="none" w:sz="0" w:space="0" w:color="auto"/>
              </w:divBdr>
              <w:divsChild>
                <w:div w:id="959072454">
                  <w:marLeft w:val="0"/>
                  <w:marRight w:val="0"/>
                  <w:marTop w:val="0"/>
                  <w:marBottom w:val="0"/>
                  <w:divBdr>
                    <w:top w:val="none" w:sz="0" w:space="0" w:color="auto"/>
                    <w:left w:val="none" w:sz="0" w:space="0" w:color="auto"/>
                    <w:bottom w:val="none" w:sz="0" w:space="0" w:color="auto"/>
                    <w:right w:val="none" w:sz="0" w:space="0" w:color="auto"/>
                  </w:divBdr>
                </w:div>
                <w:div w:id="125339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10333">
          <w:marLeft w:val="-225"/>
          <w:marRight w:val="-225"/>
          <w:marTop w:val="0"/>
          <w:marBottom w:val="120"/>
          <w:divBdr>
            <w:top w:val="none" w:sz="0" w:space="0" w:color="auto"/>
            <w:left w:val="none" w:sz="0" w:space="0" w:color="auto"/>
            <w:bottom w:val="none" w:sz="0" w:space="0" w:color="auto"/>
            <w:right w:val="none" w:sz="0" w:space="0" w:color="auto"/>
          </w:divBdr>
          <w:divsChild>
            <w:div w:id="1667438731">
              <w:marLeft w:val="0"/>
              <w:marRight w:val="0"/>
              <w:marTop w:val="0"/>
              <w:marBottom w:val="0"/>
              <w:divBdr>
                <w:top w:val="none" w:sz="0" w:space="0" w:color="auto"/>
                <w:left w:val="none" w:sz="0" w:space="0" w:color="auto"/>
                <w:bottom w:val="none" w:sz="0" w:space="0" w:color="auto"/>
                <w:right w:val="none" w:sz="0" w:space="0" w:color="auto"/>
              </w:divBdr>
              <w:divsChild>
                <w:div w:id="1101411317">
                  <w:marLeft w:val="0"/>
                  <w:marRight w:val="0"/>
                  <w:marTop w:val="0"/>
                  <w:marBottom w:val="0"/>
                  <w:divBdr>
                    <w:top w:val="none" w:sz="0" w:space="0" w:color="auto"/>
                    <w:left w:val="none" w:sz="0" w:space="0" w:color="auto"/>
                    <w:bottom w:val="none" w:sz="0" w:space="0" w:color="auto"/>
                    <w:right w:val="none" w:sz="0" w:space="0" w:color="auto"/>
                  </w:divBdr>
                </w:div>
                <w:div w:id="1271014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945345">
          <w:marLeft w:val="-225"/>
          <w:marRight w:val="-225"/>
          <w:marTop w:val="0"/>
          <w:marBottom w:val="120"/>
          <w:divBdr>
            <w:top w:val="none" w:sz="0" w:space="0" w:color="auto"/>
            <w:left w:val="none" w:sz="0" w:space="0" w:color="auto"/>
            <w:bottom w:val="none" w:sz="0" w:space="0" w:color="auto"/>
            <w:right w:val="none" w:sz="0" w:space="0" w:color="auto"/>
          </w:divBdr>
          <w:divsChild>
            <w:div w:id="1698702366">
              <w:marLeft w:val="0"/>
              <w:marRight w:val="0"/>
              <w:marTop w:val="0"/>
              <w:marBottom w:val="0"/>
              <w:divBdr>
                <w:top w:val="none" w:sz="0" w:space="0" w:color="auto"/>
                <w:left w:val="none" w:sz="0" w:space="0" w:color="auto"/>
                <w:bottom w:val="none" w:sz="0" w:space="0" w:color="auto"/>
                <w:right w:val="none" w:sz="0" w:space="0" w:color="auto"/>
              </w:divBdr>
              <w:divsChild>
                <w:div w:id="663170881">
                  <w:marLeft w:val="0"/>
                  <w:marRight w:val="0"/>
                  <w:marTop w:val="0"/>
                  <w:marBottom w:val="0"/>
                  <w:divBdr>
                    <w:top w:val="none" w:sz="0" w:space="0" w:color="auto"/>
                    <w:left w:val="none" w:sz="0" w:space="0" w:color="auto"/>
                    <w:bottom w:val="none" w:sz="0" w:space="0" w:color="auto"/>
                    <w:right w:val="none" w:sz="0" w:space="0" w:color="auto"/>
                  </w:divBdr>
                </w:div>
                <w:div w:id="20210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882743">
          <w:marLeft w:val="-225"/>
          <w:marRight w:val="-225"/>
          <w:marTop w:val="0"/>
          <w:marBottom w:val="120"/>
          <w:divBdr>
            <w:top w:val="none" w:sz="0" w:space="0" w:color="auto"/>
            <w:left w:val="none" w:sz="0" w:space="0" w:color="auto"/>
            <w:bottom w:val="none" w:sz="0" w:space="0" w:color="auto"/>
            <w:right w:val="none" w:sz="0" w:space="0" w:color="auto"/>
          </w:divBdr>
          <w:divsChild>
            <w:div w:id="355158416">
              <w:marLeft w:val="0"/>
              <w:marRight w:val="0"/>
              <w:marTop w:val="0"/>
              <w:marBottom w:val="0"/>
              <w:divBdr>
                <w:top w:val="none" w:sz="0" w:space="0" w:color="auto"/>
                <w:left w:val="none" w:sz="0" w:space="0" w:color="auto"/>
                <w:bottom w:val="none" w:sz="0" w:space="0" w:color="auto"/>
                <w:right w:val="none" w:sz="0" w:space="0" w:color="auto"/>
              </w:divBdr>
              <w:divsChild>
                <w:div w:id="1072653119">
                  <w:marLeft w:val="0"/>
                  <w:marRight w:val="0"/>
                  <w:marTop w:val="0"/>
                  <w:marBottom w:val="0"/>
                  <w:divBdr>
                    <w:top w:val="none" w:sz="0" w:space="0" w:color="auto"/>
                    <w:left w:val="none" w:sz="0" w:space="0" w:color="auto"/>
                    <w:bottom w:val="none" w:sz="0" w:space="0" w:color="auto"/>
                    <w:right w:val="none" w:sz="0" w:space="0" w:color="auto"/>
                  </w:divBdr>
                </w:div>
                <w:div w:id="189152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665623">
          <w:marLeft w:val="-225"/>
          <w:marRight w:val="-225"/>
          <w:marTop w:val="0"/>
          <w:marBottom w:val="120"/>
          <w:divBdr>
            <w:top w:val="none" w:sz="0" w:space="0" w:color="auto"/>
            <w:left w:val="none" w:sz="0" w:space="0" w:color="auto"/>
            <w:bottom w:val="none" w:sz="0" w:space="0" w:color="auto"/>
            <w:right w:val="none" w:sz="0" w:space="0" w:color="auto"/>
          </w:divBdr>
          <w:divsChild>
            <w:div w:id="1070151064">
              <w:marLeft w:val="0"/>
              <w:marRight w:val="0"/>
              <w:marTop w:val="0"/>
              <w:marBottom w:val="0"/>
              <w:divBdr>
                <w:top w:val="none" w:sz="0" w:space="0" w:color="auto"/>
                <w:left w:val="none" w:sz="0" w:space="0" w:color="auto"/>
                <w:bottom w:val="none" w:sz="0" w:space="0" w:color="auto"/>
                <w:right w:val="none" w:sz="0" w:space="0" w:color="auto"/>
              </w:divBdr>
              <w:divsChild>
                <w:div w:id="557057756">
                  <w:marLeft w:val="0"/>
                  <w:marRight w:val="0"/>
                  <w:marTop w:val="0"/>
                  <w:marBottom w:val="0"/>
                  <w:divBdr>
                    <w:top w:val="none" w:sz="0" w:space="0" w:color="auto"/>
                    <w:left w:val="none" w:sz="0" w:space="0" w:color="auto"/>
                    <w:bottom w:val="none" w:sz="0" w:space="0" w:color="auto"/>
                    <w:right w:val="none" w:sz="0" w:space="0" w:color="auto"/>
                  </w:divBdr>
                </w:div>
                <w:div w:id="76704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097839">
          <w:marLeft w:val="-225"/>
          <w:marRight w:val="-225"/>
          <w:marTop w:val="0"/>
          <w:marBottom w:val="120"/>
          <w:divBdr>
            <w:top w:val="none" w:sz="0" w:space="0" w:color="auto"/>
            <w:left w:val="none" w:sz="0" w:space="0" w:color="auto"/>
            <w:bottom w:val="none" w:sz="0" w:space="0" w:color="auto"/>
            <w:right w:val="none" w:sz="0" w:space="0" w:color="auto"/>
          </w:divBdr>
          <w:divsChild>
            <w:div w:id="1645507070">
              <w:marLeft w:val="0"/>
              <w:marRight w:val="0"/>
              <w:marTop w:val="0"/>
              <w:marBottom w:val="0"/>
              <w:divBdr>
                <w:top w:val="none" w:sz="0" w:space="0" w:color="auto"/>
                <w:left w:val="none" w:sz="0" w:space="0" w:color="auto"/>
                <w:bottom w:val="none" w:sz="0" w:space="0" w:color="auto"/>
                <w:right w:val="none" w:sz="0" w:space="0" w:color="auto"/>
              </w:divBdr>
              <w:divsChild>
                <w:div w:id="501360552">
                  <w:marLeft w:val="0"/>
                  <w:marRight w:val="0"/>
                  <w:marTop w:val="0"/>
                  <w:marBottom w:val="0"/>
                  <w:divBdr>
                    <w:top w:val="none" w:sz="0" w:space="0" w:color="auto"/>
                    <w:left w:val="none" w:sz="0" w:space="0" w:color="auto"/>
                    <w:bottom w:val="none" w:sz="0" w:space="0" w:color="auto"/>
                    <w:right w:val="none" w:sz="0" w:space="0" w:color="auto"/>
                  </w:divBdr>
                </w:div>
                <w:div w:id="162715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941985">
          <w:marLeft w:val="-225"/>
          <w:marRight w:val="-225"/>
          <w:marTop w:val="0"/>
          <w:marBottom w:val="120"/>
          <w:divBdr>
            <w:top w:val="none" w:sz="0" w:space="0" w:color="auto"/>
            <w:left w:val="none" w:sz="0" w:space="0" w:color="auto"/>
            <w:bottom w:val="none" w:sz="0" w:space="0" w:color="auto"/>
            <w:right w:val="none" w:sz="0" w:space="0" w:color="auto"/>
          </w:divBdr>
          <w:divsChild>
            <w:div w:id="722095414">
              <w:marLeft w:val="0"/>
              <w:marRight w:val="0"/>
              <w:marTop w:val="0"/>
              <w:marBottom w:val="0"/>
              <w:divBdr>
                <w:top w:val="none" w:sz="0" w:space="0" w:color="auto"/>
                <w:left w:val="none" w:sz="0" w:space="0" w:color="auto"/>
                <w:bottom w:val="none" w:sz="0" w:space="0" w:color="auto"/>
                <w:right w:val="none" w:sz="0" w:space="0" w:color="auto"/>
              </w:divBdr>
              <w:divsChild>
                <w:div w:id="999426366">
                  <w:marLeft w:val="0"/>
                  <w:marRight w:val="0"/>
                  <w:marTop w:val="0"/>
                  <w:marBottom w:val="0"/>
                  <w:divBdr>
                    <w:top w:val="none" w:sz="0" w:space="0" w:color="auto"/>
                    <w:left w:val="none" w:sz="0" w:space="0" w:color="auto"/>
                    <w:bottom w:val="none" w:sz="0" w:space="0" w:color="auto"/>
                    <w:right w:val="none" w:sz="0" w:space="0" w:color="auto"/>
                  </w:divBdr>
                </w:div>
                <w:div w:id="126164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17213">
          <w:marLeft w:val="-225"/>
          <w:marRight w:val="-225"/>
          <w:marTop w:val="0"/>
          <w:marBottom w:val="120"/>
          <w:divBdr>
            <w:top w:val="none" w:sz="0" w:space="0" w:color="auto"/>
            <w:left w:val="none" w:sz="0" w:space="0" w:color="auto"/>
            <w:bottom w:val="none" w:sz="0" w:space="0" w:color="auto"/>
            <w:right w:val="none" w:sz="0" w:space="0" w:color="auto"/>
          </w:divBdr>
          <w:divsChild>
            <w:div w:id="456141558">
              <w:marLeft w:val="0"/>
              <w:marRight w:val="0"/>
              <w:marTop w:val="0"/>
              <w:marBottom w:val="0"/>
              <w:divBdr>
                <w:top w:val="none" w:sz="0" w:space="0" w:color="auto"/>
                <w:left w:val="none" w:sz="0" w:space="0" w:color="auto"/>
                <w:bottom w:val="none" w:sz="0" w:space="0" w:color="auto"/>
                <w:right w:val="none" w:sz="0" w:space="0" w:color="auto"/>
              </w:divBdr>
              <w:divsChild>
                <w:div w:id="1616599784">
                  <w:marLeft w:val="0"/>
                  <w:marRight w:val="0"/>
                  <w:marTop w:val="0"/>
                  <w:marBottom w:val="0"/>
                  <w:divBdr>
                    <w:top w:val="none" w:sz="0" w:space="0" w:color="auto"/>
                    <w:left w:val="none" w:sz="0" w:space="0" w:color="auto"/>
                    <w:bottom w:val="none" w:sz="0" w:space="0" w:color="auto"/>
                    <w:right w:val="none" w:sz="0" w:space="0" w:color="auto"/>
                  </w:divBdr>
                </w:div>
                <w:div w:id="1924796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075050">
          <w:marLeft w:val="-225"/>
          <w:marRight w:val="-225"/>
          <w:marTop w:val="0"/>
          <w:marBottom w:val="120"/>
          <w:divBdr>
            <w:top w:val="none" w:sz="0" w:space="0" w:color="auto"/>
            <w:left w:val="none" w:sz="0" w:space="0" w:color="auto"/>
            <w:bottom w:val="none" w:sz="0" w:space="0" w:color="auto"/>
            <w:right w:val="none" w:sz="0" w:space="0" w:color="auto"/>
          </w:divBdr>
          <w:divsChild>
            <w:div w:id="596181127">
              <w:marLeft w:val="0"/>
              <w:marRight w:val="0"/>
              <w:marTop w:val="0"/>
              <w:marBottom w:val="0"/>
              <w:divBdr>
                <w:top w:val="none" w:sz="0" w:space="0" w:color="auto"/>
                <w:left w:val="none" w:sz="0" w:space="0" w:color="auto"/>
                <w:bottom w:val="none" w:sz="0" w:space="0" w:color="auto"/>
                <w:right w:val="none" w:sz="0" w:space="0" w:color="auto"/>
              </w:divBdr>
              <w:divsChild>
                <w:div w:id="159543475">
                  <w:marLeft w:val="0"/>
                  <w:marRight w:val="0"/>
                  <w:marTop w:val="0"/>
                  <w:marBottom w:val="0"/>
                  <w:divBdr>
                    <w:top w:val="none" w:sz="0" w:space="0" w:color="auto"/>
                    <w:left w:val="none" w:sz="0" w:space="0" w:color="auto"/>
                    <w:bottom w:val="none" w:sz="0" w:space="0" w:color="auto"/>
                    <w:right w:val="none" w:sz="0" w:space="0" w:color="auto"/>
                  </w:divBdr>
                </w:div>
                <w:div w:id="40483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7385">
          <w:marLeft w:val="-225"/>
          <w:marRight w:val="-225"/>
          <w:marTop w:val="0"/>
          <w:marBottom w:val="120"/>
          <w:divBdr>
            <w:top w:val="none" w:sz="0" w:space="0" w:color="auto"/>
            <w:left w:val="none" w:sz="0" w:space="0" w:color="auto"/>
            <w:bottom w:val="none" w:sz="0" w:space="0" w:color="auto"/>
            <w:right w:val="none" w:sz="0" w:space="0" w:color="auto"/>
          </w:divBdr>
          <w:divsChild>
            <w:div w:id="1544563416">
              <w:marLeft w:val="0"/>
              <w:marRight w:val="0"/>
              <w:marTop w:val="0"/>
              <w:marBottom w:val="0"/>
              <w:divBdr>
                <w:top w:val="none" w:sz="0" w:space="0" w:color="auto"/>
                <w:left w:val="none" w:sz="0" w:space="0" w:color="auto"/>
                <w:bottom w:val="none" w:sz="0" w:space="0" w:color="auto"/>
                <w:right w:val="none" w:sz="0" w:space="0" w:color="auto"/>
              </w:divBdr>
              <w:divsChild>
                <w:div w:id="1264260810">
                  <w:marLeft w:val="0"/>
                  <w:marRight w:val="0"/>
                  <w:marTop w:val="0"/>
                  <w:marBottom w:val="0"/>
                  <w:divBdr>
                    <w:top w:val="none" w:sz="0" w:space="0" w:color="auto"/>
                    <w:left w:val="none" w:sz="0" w:space="0" w:color="auto"/>
                    <w:bottom w:val="none" w:sz="0" w:space="0" w:color="auto"/>
                    <w:right w:val="none" w:sz="0" w:space="0" w:color="auto"/>
                  </w:divBdr>
                </w:div>
                <w:div w:id="168057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614426">
          <w:marLeft w:val="-225"/>
          <w:marRight w:val="-225"/>
          <w:marTop w:val="0"/>
          <w:marBottom w:val="120"/>
          <w:divBdr>
            <w:top w:val="none" w:sz="0" w:space="0" w:color="auto"/>
            <w:left w:val="none" w:sz="0" w:space="0" w:color="auto"/>
            <w:bottom w:val="none" w:sz="0" w:space="0" w:color="auto"/>
            <w:right w:val="none" w:sz="0" w:space="0" w:color="auto"/>
          </w:divBdr>
          <w:divsChild>
            <w:div w:id="1664888457">
              <w:marLeft w:val="0"/>
              <w:marRight w:val="0"/>
              <w:marTop w:val="0"/>
              <w:marBottom w:val="0"/>
              <w:divBdr>
                <w:top w:val="none" w:sz="0" w:space="0" w:color="auto"/>
                <w:left w:val="none" w:sz="0" w:space="0" w:color="auto"/>
                <w:bottom w:val="none" w:sz="0" w:space="0" w:color="auto"/>
                <w:right w:val="none" w:sz="0" w:space="0" w:color="auto"/>
              </w:divBdr>
              <w:divsChild>
                <w:div w:id="276567733">
                  <w:marLeft w:val="0"/>
                  <w:marRight w:val="0"/>
                  <w:marTop w:val="0"/>
                  <w:marBottom w:val="0"/>
                  <w:divBdr>
                    <w:top w:val="none" w:sz="0" w:space="0" w:color="auto"/>
                    <w:left w:val="none" w:sz="0" w:space="0" w:color="auto"/>
                    <w:bottom w:val="none" w:sz="0" w:space="0" w:color="auto"/>
                    <w:right w:val="none" w:sz="0" w:space="0" w:color="auto"/>
                  </w:divBdr>
                </w:div>
                <w:div w:id="6978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459744">
          <w:marLeft w:val="-225"/>
          <w:marRight w:val="-225"/>
          <w:marTop w:val="0"/>
          <w:marBottom w:val="120"/>
          <w:divBdr>
            <w:top w:val="none" w:sz="0" w:space="0" w:color="auto"/>
            <w:left w:val="none" w:sz="0" w:space="0" w:color="auto"/>
            <w:bottom w:val="none" w:sz="0" w:space="0" w:color="auto"/>
            <w:right w:val="none" w:sz="0" w:space="0" w:color="auto"/>
          </w:divBdr>
          <w:divsChild>
            <w:div w:id="1302805213">
              <w:marLeft w:val="0"/>
              <w:marRight w:val="0"/>
              <w:marTop w:val="0"/>
              <w:marBottom w:val="0"/>
              <w:divBdr>
                <w:top w:val="none" w:sz="0" w:space="0" w:color="auto"/>
                <w:left w:val="none" w:sz="0" w:space="0" w:color="auto"/>
                <w:bottom w:val="none" w:sz="0" w:space="0" w:color="auto"/>
                <w:right w:val="none" w:sz="0" w:space="0" w:color="auto"/>
              </w:divBdr>
              <w:divsChild>
                <w:div w:id="247545696">
                  <w:marLeft w:val="0"/>
                  <w:marRight w:val="0"/>
                  <w:marTop w:val="0"/>
                  <w:marBottom w:val="0"/>
                  <w:divBdr>
                    <w:top w:val="none" w:sz="0" w:space="0" w:color="auto"/>
                    <w:left w:val="none" w:sz="0" w:space="0" w:color="auto"/>
                    <w:bottom w:val="none" w:sz="0" w:space="0" w:color="auto"/>
                    <w:right w:val="none" w:sz="0" w:space="0" w:color="auto"/>
                  </w:divBdr>
                </w:div>
                <w:div w:id="2095933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758078">
          <w:marLeft w:val="-225"/>
          <w:marRight w:val="-225"/>
          <w:marTop w:val="0"/>
          <w:marBottom w:val="120"/>
          <w:divBdr>
            <w:top w:val="none" w:sz="0" w:space="0" w:color="auto"/>
            <w:left w:val="none" w:sz="0" w:space="0" w:color="auto"/>
            <w:bottom w:val="none" w:sz="0" w:space="0" w:color="auto"/>
            <w:right w:val="none" w:sz="0" w:space="0" w:color="auto"/>
          </w:divBdr>
          <w:divsChild>
            <w:div w:id="681858346">
              <w:marLeft w:val="0"/>
              <w:marRight w:val="0"/>
              <w:marTop w:val="0"/>
              <w:marBottom w:val="0"/>
              <w:divBdr>
                <w:top w:val="none" w:sz="0" w:space="0" w:color="auto"/>
                <w:left w:val="none" w:sz="0" w:space="0" w:color="auto"/>
                <w:bottom w:val="none" w:sz="0" w:space="0" w:color="auto"/>
                <w:right w:val="none" w:sz="0" w:space="0" w:color="auto"/>
              </w:divBdr>
              <w:divsChild>
                <w:div w:id="287202222">
                  <w:marLeft w:val="0"/>
                  <w:marRight w:val="0"/>
                  <w:marTop w:val="0"/>
                  <w:marBottom w:val="0"/>
                  <w:divBdr>
                    <w:top w:val="none" w:sz="0" w:space="0" w:color="auto"/>
                    <w:left w:val="none" w:sz="0" w:space="0" w:color="auto"/>
                    <w:bottom w:val="none" w:sz="0" w:space="0" w:color="auto"/>
                    <w:right w:val="none" w:sz="0" w:space="0" w:color="auto"/>
                  </w:divBdr>
                </w:div>
                <w:div w:id="143250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139103">
          <w:marLeft w:val="-225"/>
          <w:marRight w:val="-225"/>
          <w:marTop w:val="0"/>
          <w:marBottom w:val="120"/>
          <w:divBdr>
            <w:top w:val="none" w:sz="0" w:space="0" w:color="auto"/>
            <w:left w:val="none" w:sz="0" w:space="0" w:color="auto"/>
            <w:bottom w:val="none" w:sz="0" w:space="0" w:color="auto"/>
            <w:right w:val="none" w:sz="0" w:space="0" w:color="auto"/>
          </w:divBdr>
          <w:divsChild>
            <w:div w:id="1103723021">
              <w:marLeft w:val="0"/>
              <w:marRight w:val="0"/>
              <w:marTop w:val="0"/>
              <w:marBottom w:val="0"/>
              <w:divBdr>
                <w:top w:val="none" w:sz="0" w:space="0" w:color="auto"/>
                <w:left w:val="none" w:sz="0" w:space="0" w:color="auto"/>
                <w:bottom w:val="none" w:sz="0" w:space="0" w:color="auto"/>
                <w:right w:val="none" w:sz="0" w:space="0" w:color="auto"/>
              </w:divBdr>
              <w:divsChild>
                <w:div w:id="391970835">
                  <w:marLeft w:val="0"/>
                  <w:marRight w:val="0"/>
                  <w:marTop w:val="0"/>
                  <w:marBottom w:val="0"/>
                  <w:divBdr>
                    <w:top w:val="none" w:sz="0" w:space="0" w:color="auto"/>
                    <w:left w:val="none" w:sz="0" w:space="0" w:color="auto"/>
                    <w:bottom w:val="none" w:sz="0" w:space="0" w:color="auto"/>
                    <w:right w:val="none" w:sz="0" w:space="0" w:color="auto"/>
                  </w:divBdr>
                </w:div>
                <w:div w:id="1509950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98566">
          <w:marLeft w:val="-225"/>
          <w:marRight w:val="-225"/>
          <w:marTop w:val="0"/>
          <w:marBottom w:val="120"/>
          <w:divBdr>
            <w:top w:val="none" w:sz="0" w:space="0" w:color="auto"/>
            <w:left w:val="none" w:sz="0" w:space="0" w:color="auto"/>
            <w:bottom w:val="none" w:sz="0" w:space="0" w:color="auto"/>
            <w:right w:val="none" w:sz="0" w:space="0" w:color="auto"/>
          </w:divBdr>
          <w:divsChild>
            <w:div w:id="2130733807">
              <w:marLeft w:val="0"/>
              <w:marRight w:val="0"/>
              <w:marTop w:val="0"/>
              <w:marBottom w:val="0"/>
              <w:divBdr>
                <w:top w:val="none" w:sz="0" w:space="0" w:color="auto"/>
                <w:left w:val="none" w:sz="0" w:space="0" w:color="auto"/>
                <w:bottom w:val="none" w:sz="0" w:space="0" w:color="auto"/>
                <w:right w:val="none" w:sz="0" w:space="0" w:color="auto"/>
              </w:divBdr>
              <w:divsChild>
                <w:div w:id="1241135157">
                  <w:marLeft w:val="0"/>
                  <w:marRight w:val="0"/>
                  <w:marTop w:val="0"/>
                  <w:marBottom w:val="0"/>
                  <w:divBdr>
                    <w:top w:val="none" w:sz="0" w:space="0" w:color="auto"/>
                    <w:left w:val="none" w:sz="0" w:space="0" w:color="auto"/>
                    <w:bottom w:val="none" w:sz="0" w:space="0" w:color="auto"/>
                    <w:right w:val="none" w:sz="0" w:space="0" w:color="auto"/>
                  </w:divBdr>
                </w:div>
                <w:div w:id="1471634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09780">
          <w:marLeft w:val="-225"/>
          <w:marRight w:val="-225"/>
          <w:marTop w:val="0"/>
          <w:marBottom w:val="120"/>
          <w:divBdr>
            <w:top w:val="none" w:sz="0" w:space="0" w:color="auto"/>
            <w:left w:val="none" w:sz="0" w:space="0" w:color="auto"/>
            <w:bottom w:val="none" w:sz="0" w:space="0" w:color="auto"/>
            <w:right w:val="none" w:sz="0" w:space="0" w:color="auto"/>
          </w:divBdr>
          <w:divsChild>
            <w:div w:id="1444883095">
              <w:marLeft w:val="0"/>
              <w:marRight w:val="0"/>
              <w:marTop w:val="0"/>
              <w:marBottom w:val="0"/>
              <w:divBdr>
                <w:top w:val="none" w:sz="0" w:space="0" w:color="auto"/>
                <w:left w:val="none" w:sz="0" w:space="0" w:color="auto"/>
                <w:bottom w:val="none" w:sz="0" w:space="0" w:color="auto"/>
                <w:right w:val="none" w:sz="0" w:space="0" w:color="auto"/>
              </w:divBdr>
              <w:divsChild>
                <w:div w:id="529880893">
                  <w:marLeft w:val="0"/>
                  <w:marRight w:val="0"/>
                  <w:marTop w:val="0"/>
                  <w:marBottom w:val="0"/>
                  <w:divBdr>
                    <w:top w:val="none" w:sz="0" w:space="0" w:color="auto"/>
                    <w:left w:val="none" w:sz="0" w:space="0" w:color="auto"/>
                    <w:bottom w:val="none" w:sz="0" w:space="0" w:color="auto"/>
                    <w:right w:val="none" w:sz="0" w:space="0" w:color="auto"/>
                  </w:divBdr>
                </w:div>
                <w:div w:id="59548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709528">
          <w:marLeft w:val="-225"/>
          <w:marRight w:val="-225"/>
          <w:marTop w:val="0"/>
          <w:marBottom w:val="120"/>
          <w:divBdr>
            <w:top w:val="none" w:sz="0" w:space="0" w:color="auto"/>
            <w:left w:val="none" w:sz="0" w:space="0" w:color="auto"/>
            <w:bottom w:val="none" w:sz="0" w:space="0" w:color="auto"/>
            <w:right w:val="none" w:sz="0" w:space="0" w:color="auto"/>
          </w:divBdr>
          <w:divsChild>
            <w:div w:id="506870498">
              <w:marLeft w:val="0"/>
              <w:marRight w:val="0"/>
              <w:marTop w:val="0"/>
              <w:marBottom w:val="0"/>
              <w:divBdr>
                <w:top w:val="none" w:sz="0" w:space="0" w:color="auto"/>
                <w:left w:val="none" w:sz="0" w:space="0" w:color="auto"/>
                <w:bottom w:val="none" w:sz="0" w:space="0" w:color="auto"/>
                <w:right w:val="none" w:sz="0" w:space="0" w:color="auto"/>
              </w:divBdr>
              <w:divsChild>
                <w:div w:id="143189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941839">
      <w:bodyDiv w:val="1"/>
      <w:marLeft w:val="0"/>
      <w:marRight w:val="0"/>
      <w:marTop w:val="0"/>
      <w:marBottom w:val="0"/>
      <w:divBdr>
        <w:top w:val="none" w:sz="0" w:space="0" w:color="auto"/>
        <w:left w:val="none" w:sz="0" w:space="0" w:color="auto"/>
        <w:bottom w:val="none" w:sz="0" w:space="0" w:color="auto"/>
        <w:right w:val="none" w:sz="0" w:space="0" w:color="auto"/>
      </w:divBdr>
    </w:div>
    <w:div w:id="241722119">
      <w:bodyDiv w:val="1"/>
      <w:marLeft w:val="0"/>
      <w:marRight w:val="0"/>
      <w:marTop w:val="0"/>
      <w:marBottom w:val="0"/>
      <w:divBdr>
        <w:top w:val="none" w:sz="0" w:space="0" w:color="auto"/>
        <w:left w:val="none" w:sz="0" w:space="0" w:color="auto"/>
        <w:bottom w:val="none" w:sz="0" w:space="0" w:color="auto"/>
        <w:right w:val="none" w:sz="0" w:space="0" w:color="auto"/>
      </w:divBdr>
    </w:div>
    <w:div w:id="244416123">
      <w:bodyDiv w:val="1"/>
      <w:marLeft w:val="0"/>
      <w:marRight w:val="0"/>
      <w:marTop w:val="0"/>
      <w:marBottom w:val="0"/>
      <w:divBdr>
        <w:top w:val="none" w:sz="0" w:space="0" w:color="auto"/>
        <w:left w:val="none" w:sz="0" w:space="0" w:color="auto"/>
        <w:bottom w:val="none" w:sz="0" w:space="0" w:color="auto"/>
        <w:right w:val="none" w:sz="0" w:space="0" w:color="auto"/>
      </w:divBdr>
    </w:div>
    <w:div w:id="251475737">
      <w:bodyDiv w:val="1"/>
      <w:marLeft w:val="0"/>
      <w:marRight w:val="0"/>
      <w:marTop w:val="0"/>
      <w:marBottom w:val="0"/>
      <w:divBdr>
        <w:top w:val="none" w:sz="0" w:space="0" w:color="auto"/>
        <w:left w:val="none" w:sz="0" w:space="0" w:color="auto"/>
        <w:bottom w:val="none" w:sz="0" w:space="0" w:color="auto"/>
        <w:right w:val="none" w:sz="0" w:space="0" w:color="auto"/>
      </w:divBdr>
    </w:div>
    <w:div w:id="284846689">
      <w:bodyDiv w:val="1"/>
      <w:marLeft w:val="0"/>
      <w:marRight w:val="0"/>
      <w:marTop w:val="0"/>
      <w:marBottom w:val="0"/>
      <w:divBdr>
        <w:top w:val="none" w:sz="0" w:space="0" w:color="auto"/>
        <w:left w:val="none" w:sz="0" w:space="0" w:color="auto"/>
        <w:bottom w:val="none" w:sz="0" w:space="0" w:color="auto"/>
        <w:right w:val="none" w:sz="0" w:space="0" w:color="auto"/>
      </w:divBdr>
    </w:div>
    <w:div w:id="292251271">
      <w:bodyDiv w:val="1"/>
      <w:marLeft w:val="0"/>
      <w:marRight w:val="0"/>
      <w:marTop w:val="0"/>
      <w:marBottom w:val="0"/>
      <w:divBdr>
        <w:top w:val="none" w:sz="0" w:space="0" w:color="auto"/>
        <w:left w:val="none" w:sz="0" w:space="0" w:color="auto"/>
        <w:bottom w:val="none" w:sz="0" w:space="0" w:color="auto"/>
        <w:right w:val="none" w:sz="0" w:space="0" w:color="auto"/>
      </w:divBdr>
    </w:div>
    <w:div w:id="300040013">
      <w:bodyDiv w:val="1"/>
      <w:marLeft w:val="0"/>
      <w:marRight w:val="0"/>
      <w:marTop w:val="0"/>
      <w:marBottom w:val="0"/>
      <w:divBdr>
        <w:top w:val="none" w:sz="0" w:space="0" w:color="auto"/>
        <w:left w:val="none" w:sz="0" w:space="0" w:color="auto"/>
        <w:bottom w:val="none" w:sz="0" w:space="0" w:color="auto"/>
        <w:right w:val="none" w:sz="0" w:space="0" w:color="auto"/>
      </w:divBdr>
    </w:div>
    <w:div w:id="307177155">
      <w:bodyDiv w:val="1"/>
      <w:marLeft w:val="0"/>
      <w:marRight w:val="0"/>
      <w:marTop w:val="0"/>
      <w:marBottom w:val="0"/>
      <w:divBdr>
        <w:top w:val="none" w:sz="0" w:space="0" w:color="auto"/>
        <w:left w:val="none" w:sz="0" w:space="0" w:color="auto"/>
        <w:bottom w:val="none" w:sz="0" w:space="0" w:color="auto"/>
        <w:right w:val="none" w:sz="0" w:space="0" w:color="auto"/>
      </w:divBdr>
    </w:div>
    <w:div w:id="309604789">
      <w:bodyDiv w:val="1"/>
      <w:marLeft w:val="0"/>
      <w:marRight w:val="0"/>
      <w:marTop w:val="0"/>
      <w:marBottom w:val="0"/>
      <w:divBdr>
        <w:top w:val="none" w:sz="0" w:space="0" w:color="auto"/>
        <w:left w:val="none" w:sz="0" w:space="0" w:color="auto"/>
        <w:bottom w:val="none" w:sz="0" w:space="0" w:color="auto"/>
        <w:right w:val="none" w:sz="0" w:space="0" w:color="auto"/>
      </w:divBdr>
      <w:divsChild>
        <w:div w:id="1415127072">
          <w:marLeft w:val="0"/>
          <w:marRight w:val="0"/>
          <w:marTop w:val="0"/>
          <w:marBottom w:val="0"/>
          <w:divBdr>
            <w:top w:val="none" w:sz="0" w:space="0" w:color="auto"/>
            <w:left w:val="none" w:sz="0" w:space="0" w:color="auto"/>
            <w:bottom w:val="none" w:sz="0" w:space="0" w:color="auto"/>
            <w:right w:val="none" w:sz="0" w:space="0" w:color="auto"/>
          </w:divBdr>
        </w:div>
      </w:divsChild>
    </w:div>
    <w:div w:id="311564687">
      <w:bodyDiv w:val="1"/>
      <w:marLeft w:val="0"/>
      <w:marRight w:val="0"/>
      <w:marTop w:val="0"/>
      <w:marBottom w:val="0"/>
      <w:divBdr>
        <w:top w:val="none" w:sz="0" w:space="0" w:color="auto"/>
        <w:left w:val="none" w:sz="0" w:space="0" w:color="auto"/>
        <w:bottom w:val="none" w:sz="0" w:space="0" w:color="auto"/>
        <w:right w:val="none" w:sz="0" w:space="0" w:color="auto"/>
      </w:divBdr>
    </w:div>
    <w:div w:id="351028867">
      <w:bodyDiv w:val="1"/>
      <w:marLeft w:val="0"/>
      <w:marRight w:val="0"/>
      <w:marTop w:val="0"/>
      <w:marBottom w:val="0"/>
      <w:divBdr>
        <w:top w:val="none" w:sz="0" w:space="0" w:color="auto"/>
        <w:left w:val="none" w:sz="0" w:space="0" w:color="auto"/>
        <w:bottom w:val="none" w:sz="0" w:space="0" w:color="auto"/>
        <w:right w:val="none" w:sz="0" w:space="0" w:color="auto"/>
      </w:divBdr>
    </w:div>
    <w:div w:id="352994631">
      <w:bodyDiv w:val="1"/>
      <w:marLeft w:val="0"/>
      <w:marRight w:val="0"/>
      <w:marTop w:val="0"/>
      <w:marBottom w:val="0"/>
      <w:divBdr>
        <w:top w:val="none" w:sz="0" w:space="0" w:color="auto"/>
        <w:left w:val="none" w:sz="0" w:space="0" w:color="auto"/>
        <w:bottom w:val="none" w:sz="0" w:space="0" w:color="auto"/>
        <w:right w:val="none" w:sz="0" w:space="0" w:color="auto"/>
      </w:divBdr>
    </w:div>
    <w:div w:id="356199168">
      <w:bodyDiv w:val="1"/>
      <w:marLeft w:val="0"/>
      <w:marRight w:val="0"/>
      <w:marTop w:val="0"/>
      <w:marBottom w:val="0"/>
      <w:divBdr>
        <w:top w:val="none" w:sz="0" w:space="0" w:color="auto"/>
        <w:left w:val="none" w:sz="0" w:space="0" w:color="auto"/>
        <w:bottom w:val="none" w:sz="0" w:space="0" w:color="auto"/>
        <w:right w:val="none" w:sz="0" w:space="0" w:color="auto"/>
      </w:divBdr>
    </w:div>
    <w:div w:id="357783248">
      <w:bodyDiv w:val="1"/>
      <w:marLeft w:val="0"/>
      <w:marRight w:val="0"/>
      <w:marTop w:val="0"/>
      <w:marBottom w:val="0"/>
      <w:divBdr>
        <w:top w:val="none" w:sz="0" w:space="0" w:color="auto"/>
        <w:left w:val="none" w:sz="0" w:space="0" w:color="auto"/>
        <w:bottom w:val="none" w:sz="0" w:space="0" w:color="auto"/>
        <w:right w:val="none" w:sz="0" w:space="0" w:color="auto"/>
      </w:divBdr>
    </w:div>
    <w:div w:id="366181889">
      <w:bodyDiv w:val="1"/>
      <w:marLeft w:val="0"/>
      <w:marRight w:val="0"/>
      <w:marTop w:val="0"/>
      <w:marBottom w:val="0"/>
      <w:divBdr>
        <w:top w:val="none" w:sz="0" w:space="0" w:color="auto"/>
        <w:left w:val="none" w:sz="0" w:space="0" w:color="auto"/>
        <w:bottom w:val="none" w:sz="0" w:space="0" w:color="auto"/>
        <w:right w:val="none" w:sz="0" w:space="0" w:color="auto"/>
      </w:divBdr>
    </w:div>
    <w:div w:id="429665272">
      <w:bodyDiv w:val="1"/>
      <w:marLeft w:val="0"/>
      <w:marRight w:val="0"/>
      <w:marTop w:val="0"/>
      <w:marBottom w:val="0"/>
      <w:divBdr>
        <w:top w:val="none" w:sz="0" w:space="0" w:color="auto"/>
        <w:left w:val="none" w:sz="0" w:space="0" w:color="auto"/>
        <w:bottom w:val="none" w:sz="0" w:space="0" w:color="auto"/>
        <w:right w:val="none" w:sz="0" w:space="0" w:color="auto"/>
      </w:divBdr>
    </w:div>
    <w:div w:id="436294277">
      <w:bodyDiv w:val="1"/>
      <w:marLeft w:val="0"/>
      <w:marRight w:val="0"/>
      <w:marTop w:val="0"/>
      <w:marBottom w:val="0"/>
      <w:divBdr>
        <w:top w:val="none" w:sz="0" w:space="0" w:color="auto"/>
        <w:left w:val="none" w:sz="0" w:space="0" w:color="auto"/>
        <w:bottom w:val="none" w:sz="0" w:space="0" w:color="auto"/>
        <w:right w:val="none" w:sz="0" w:space="0" w:color="auto"/>
      </w:divBdr>
    </w:div>
    <w:div w:id="514418115">
      <w:bodyDiv w:val="1"/>
      <w:marLeft w:val="0"/>
      <w:marRight w:val="0"/>
      <w:marTop w:val="0"/>
      <w:marBottom w:val="0"/>
      <w:divBdr>
        <w:top w:val="none" w:sz="0" w:space="0" w:color="auto"/>
        <w:left w:val="none" w:sz="0" w:space="0" w:color="auto"/>
        <w:bottom w:val="none" w:sz="0" w:space="0" w:color="auto"/>
        <w:right w:val="none" w:sz="0" w:space="0" w:color="auto"/>
      </w:divBdr>
    </w:div>
    <w:div w:id="568420449">
      <w:bodyDiv w:val="1"/>
      <w:marLeft w:val="0"/>
      <w:marRight w:val="0"/>
      <w:marTop w:val="0"/>
      <w:marBottom w:val="0"/>
      <w:divBdr>
        <w:top w:val="none" w:sz="0" w:space="0" w:color="auto"/>
        <w:left w:val="none" w:sz="0" w:space="0" w:color="auto"/>
        <w:bottom w:val="none" w:sz="0" w:space="0" w:color="auto"/>
        <w:right w:val="none" w:sz="0" w:space="0" w:color="auto"/>
      </w:divBdr>
    </w:div>
    <w:div w:id="570846827">
      <w:bodyDiv w:val="1"/>
      <w:marLeft w:val="0"/>
      <w:marRight w:val="0"/>
      <w:marTop w:val="0"/>
      <w:marBottom w:val="0"/>
      <w:divBdr>
        <w:top w:val="none" w:sz="0" w:space="0" w:color="auto"/>
        <w:left w:val="none" w:sz="0" w:space="0" w:color="auto"/>
        <w:bottom w:val="none" w:sz="0" w:space="0" w:color="auto"/>
        <w:right w:val="none" w:sz="0" w:space="0" w:color="auto"/>
      </w:divBdr>
    </w:div>
    <w:div w:id="572277130">
      <w:bodyDiv w:val="1"/>
      <w:marLeft w:val="0"/>
      <w:marRight w:val="0"/>
      <w:marTop w:val="0"/>
      <w:marBottom w:val="0"/>
      <w:divBdr>
        <w:top w:val="none" w:sz="0" w:space="0" w:color="auto"/>
        <w:left w:val="none" w:sz="0" w:space="0" w:color="auto"/>
        <w:bottom w:val="none" w:sz="0" w:space="0" w:color="auto"/>
        <w:right w:val="none" w:sz="0" w:space="0" w:color="auto"/>
      </w:divBdr>
    </w:div>
    <w:div w:id="575628719">
      <w:bodyDiv w:val="1"/>
      <w:marLeft w:val="0"/>
      <w:marRight w:val="0"/>
      <w:marTop w:val="0"/>
      <w:marBottom w:val="0"/>
      <w:divBdr>
        <w:top w:val="none" w:sz="0" w:space="0" w:color="auto"/>
        <w:left w:val="none" w:sz="0" w:space="0" w:color="auto"/>
        <w:bottom w:val="none" w:sz="0" w:space="0" w:color="auto"/>
        <w:right w:val="none" w:sz="0" w:space="0" w:color="auto"/>
      </w:divBdr>
    </w:div>
    <w:div w:id="578173487">
      <w:bodyDiv w:val="1"/>
      <w:marLeft w:val="0"/>
      <w:marRight w:val="0"/>
      <w:marTop w:val="0"/>
      <w:marBottom w:val="0"/>
      <w:divBdr>
        <w:top w:val="none" w:sz="0" w:space="0" w:color="auto"/>
        <w:left w:val="none" w:sz="0" w:space="0" w:color="auto"/>
        <w:bottom w:val="none" w:sz="0" w:space="0" w:color="auto"/>
        <w:right w:val="none" w:sz="0" w:space="0" w:color="auto"/>
      </w:divBdr>
    </w:div>
    <w:div w:id="589390792">
      <w:bodyDiv w:val="1"/>
      <w:marLeft w:val="0"/>
      <w:marRight w:val="0"/>
      <w:marTop w:val="0"/>
      <w:marBottom w:val="0"/>
      <w:divBdr>
        <w:top w:val="none" w:sz="0" w:space="0" w:color="auto"/>
        <w:left w:val="none" w:sz="0" w:space="0" w:color="auto"/>
        <w:bottom w:val="none" w:sz="0" w:space="0" w:color="auto"/>
        <w:right w:val="none" w:sz="0" w:space="0" w:color="auto"/>
      </w:divBdr>
    </w:div>
    <w:div w:id="589775699">
      <w:bodyDiv w:val="1"/>
      <w:marLeft w:val="0"/>
      <w:marRight w:val="0"/>
      <w:marTop w:val="0"/>
      <w:marBottom w:val="0"/>
      <w:divBdr>
        <w:top w:val="none" w:sz="0" w:space="0" w:color="auto"/>
        <w:left w:val="none" w:sz="0" w:space="0" w:color="auto"/>
        <w:bottom w:val="none" w:sz="0" w:space="0" w:color="auto"/>
        <w:right w:val="none" w:sz="0" w:space="0" w:color="auto"/>
      </w:divBdr>
    </w:div>
    <w:div w:id="602539415">
      <w:bodyDiv w:val="1"/>
      <w:marLeft w:val="0"/>
      <w:marRight w:val="0"/>
      <w:marTop w:val="0"/>
      <w:marBottom w:val="0"/>
      <w:divBdr>
        <w:top w:val="none" w:sz="0" w:space="0" w:color="auto"/>
        <w:left w:val="none" w:sz="0" w:space="0" w:color="auto"/>
        <w:bottom w:val="none" w:sz="0" w:space="0" w:color="auto"/>
        <w:right w:val="none" w:sz="0" w:space="0" w:color="auto"/>
      </w:divBdr>
    </w:div>
    <w:div w:id="621573949">
      <w:bodyDiv w:val="1"/>
      <w:marLeft w:val="0"/>
      <w:marRight w:val="0"/>
      <w:marTop w:val="0"/>
      <w:marBottom w:val="0"/>
      <w:divBdr>
        <w:top w:val="none" w:sz="0" w:space="0" w:color="auto"/>
        <w:left w:val="none" w:sz="0" w:space="0" w:color="auto"/>
        <w:bottom w:val="none" w:sz="0" w:space="0" w:color="auto"/>
        <w:right w:val="none" w:sz="0" w:space="0" w:color="auto"/>
      </w:divBdr>
    </w:div>
    <w:div w:id="623122849">
      <w:bodyDiv w:val="1"/>
      <w:marLeft w:val="0"/>
      <w:marRight w:val="0"/>
      <w:marTop w:val="0"/>
      <w:marBottom w:val="0"/>
      <w:divBdr>
        <w:top w:val="none" w:sz="0" w:space="0" w:color="auto"/>
        <w:left w:val="none" w:sz="0" w:space="0" w:color="auto"/>
        <w:bottom w:val="none" w:sz="0" w:space="0" w:color="auto"/>
        <w:right w:val="none" w:sz="0" w:space="0" w:color="auto"/>
      </w:divBdr>
    </w:div>
    <w:div w:id="628781961">
      <w:bodyDiv w:val="1"/>
      <w:marLeft w:val="0"/>
      <w:marRight w:val="0"/>
      <w:marTop w:val="0"/>
      <w:marBottom w:val="0"/>
      <w:divBdr>
        <w:top w:val="none" w:sz="0" w:space="0" w:color="auto"/>
        <w:left w:val="none" w:sz="0" w:space="0" w:color="auto"/>
        <w:bottom w:val="none" w:sz="0" w:space="0" w:color="auto"/>
        <w:right w:val="none" w:sz="0" w:space="0" w:color="auto"/>
      </w:divBdr>
    </w:div>
    <w:div w:id="667442750">
      <w:bodyDiv w:val="1"/>
      <w:marLeft w:val="0"/>
      <w:marRight w:val="0"/>
      <w:marTop w:val="0"/>
      <w:marBottom w:val="0"/>
      <w:divBdr>
        <w:top w:val="none" w:sz="0" w:space="0" w:color="auto"/>
        <w:left w:val="none" w:sz="0" w:space="0" w:color="auto"/>
        <w:bottom w:val="none" w:sz="0" w:space="0" w:color="auto"/>
        <w:right w:val="none" w:sz="0" w:space="0" w:color="auto"/>
      </w:divBdr>
    </w:div>
    <w:div w:id="671907724">
      <w:bodyDiv w:val="1"/>
      <w:marLeft w:val="0"/>
      <w:marRight w:val="0"/>
      <w:marTop w:val="0"/>
      <w:marBottom w:val="0"/>
      <w:divBdr>
        <w:top w:val="none" w:sz="0" w:space="0" w:color="auto"/>
        <w:left w:val="none" w:sz="0" w:space="0" w:color="auto"/>
        <w:bottom w:val="none" w:sz="0" w:space="0" w:color="auto"/>
        <w:right w:val="none" w:sz="0" w:space="0" w:color="auto"/>
      </w:divBdr>
    </w:div>
    <w:div w:id="672999009">
      <w:bodyDiv w:val="1"/>
      <w:marLeft w:val="0"/>
      <w:marRight w:val="0"/>
      <w:marTop w:val="0"/>
      <w:marBottom w:val="0"/>
      <w:divBdr>
        <w:top w:val="none" w:sz="0" w:space="0" w:color="auto"/>
        <w:left w:val="none" w:sz="0" w:space="0" w:color="auto"/>
        <w:bottom w:val="none" w:sz="0" w:space="0" w:color="auto"/>
        <w:right w:val="none" w:sz="0" w:space="0" w:color="auto"/>
      </w:divBdr>
    </w:div>
    <w:div w:id="674917482">
      <w:bodyDiv w:val="1"/>
      <w:marLeft w:val="0"/>
      <w:marRight w:val="0"/>
      <w:marTop w:val="0"/>
      <w:marBottom w:val="0"/>
      <w:divBdr>
        <w:top w:val="none" w:sz="0" w:space="0" w:color="auto"/>
        <w:left w:val="none" w:sz="0" w:space="0" w:color="auto"/>
        <w:bottom w:val="none" w:sz="0" w:space="0" w:color="auto"/>
        <w:right w:val="none" w:sz="0" w:space="0" w:color="auto"/>
      </w:divBdr>
    </w:div>
    <w:div w:id="690649250">
      <w:bodyDiv w:val="1"/>
      <w:marLeft w:val="0"/>
      <w:marRight w:val="0"/>
      <w:marTop w:val="0"/>
      <w:marBottom w:val="0"/>
      <w:divBdr>
        <w:top w:val="none" w:sz="0" w:space="0" w:color="auto"/>
        <w:left w:val="none" w:sz="0" w:space="0" w:color="auto"/>
        <w:bottom w:val="none" w:sz="0" w:space="0" w:color="auto"/>
        <w:right w:val="none" w:sz="0" w:space="0" w:color="auto"/>
      </w:divBdr>
    </w:div>
    <w:div w:id="703678030">
      <w:bodyDiv w:val="1"/>
      <w:marLeft w:val="0"/>
      <w:marRight w:val="0"/>
      <w:marTop w:val="0"/>
      <w:marBottom w:val="0"/>
      <w:divBdr>
        <w:top w:val="none" w:sz="0" w:space="0" w:color="auto"/>
        <w:left w:val="none" w:sz="0" w:space="0" w:color="auto"/>
        <w:bottom w:val="none" w:sz="0" w:space="0" w:color="auto"/>
        <w:right w:val="none" w:sz="0" w:space="0" w:color="auto"/>
      </w:divBdr>
      <w:divsChild>
        <w:div w:id="1732197024">
          <w:marLeft w:val="0"/>
          <w:marRight w:val="0"/>
          <w:marTop w:val="0"/>
          <w:marBottom w:val="120"/>
          <w:divBdr>
            <w:top w:val="none" w:sz="0" w:space="0" w:color="auto"/>
            <w:left w:val="none" w:sz="0" w:space="0" w:color="auto"/>
            <w:bottom w:val="none" w:sz="0" w:space="0" w:color="auto"/>
            <w:right w:val="none" w:sz="0" w:space="0" w:color="auto"/>
          </w:divBdr>
        </w:div>
        <w:div w:id="612907294">
          <w:marLeft w:val="0"/>
          <w:marRight w:val="0"/>
          <w:marTop w:val="0"/>
          <w:marBottom w:val="120"/>
          <w:divBdr>
            <w:top w:val="none" w:sz="0" w:space="0" w:color="auto"/>
            <w:left w:val="none" w:sz="0" w:space="0" w:color="auto"/>
            <w:bottom w:val="none" w:sz="0" w:space="0" w:color="auto"/>
            <w:right w:val="none" w:sz="0" w:space="0" w:color="auto"/>
          </w:divBdr>
        </w:div>
        <w:div w:id="1184441792">
          <w:marLeft w:val="0"/>
          <w:marRight w:val="0"/>
          <w:marTop w:val="0"/>
          <w:marBottom w:val="120"/>
          <w:divBdr>
            <w:top w:val="none" w:sz="0" w:space="0" w:color="auto"/>
            <w:left w:val="none" w:sz="0" w:space="0" w:color="auto"/>
            <w:bottom w:val="none" w:sz="0" w:space="0" w:color="auto"/>
            <w:right w:val="none" w:sz="0" w:space="0" w:color="auto"/>
          </w:divBdr>
        </w:div>
        <w:div w:id="1321537605">
          <w:marLeft w:val="0"/>
          <w:marRight w:val="0"/>
          <w:marTop w:val="0"/>
          <w:marBottom w:val="120"/>
          <w:divBdr>
            <w:top w:val="none" w:sz="0" w:space="0" w:color="auto"/>
            <w:left w:val="none" w:sz="0" w:space="0" w:color="auto"/>
            <w:bottom w:val="none" w:sz="0" w:space="0" w:color="auto"/>
            <w:right w:val="none" w:sz="0" w:space="0" w:color="auto"/>
          </w:divBdr>
        </w:div>
        <w:div w:id="1000544892">
          <w:marLeft w:val="0"/>
          <w:marRight w:val="0"/>
          <w:marTop w:val="0"/>
          <w:marBottom w:val="120"/>
          <w:divBdr>
            <w:top w:val="none" w:sz="0" w:space="0" w:color="auto"/>
            <w:left w:val="none" w:sz="0" w:space="0" w:color="auto"/>
            <w:bottom w:val="none" w:sz="0" w:space="0" w:color="auto"/>
            <w:right w:val="none" w:sz="0" w:space="0" w:color="auto"/>
          </w:divBdr>
        </w:div>
      </w:divsChild>
    </w:div>
    <w:div w:id="709843501">
      <w:bodyDiv w:val="1"/>
      <w:marLeft w:val="0"/>
      <w:marRight w:val="0"/>
      <w:marTop w:val="0"/>
      <w:marBottom w:val="0"/>
      <w:divBdr>
        <w:top w:val="none" w:sz="0" w:space="0" w:color="auto"/>
        <w:left w:val="none" w:sz="0" w:space="0" w:color="auto"/>
        <w:bottom w:val="none" w:sz="0" w:space="0" w:color="auto"/>
        <w:right w:val="none" w:sz="0" w:space="0" w:color="auto"/>
      </w:divBdr>
    </w:div>
    <w:div w:id="716053105">
      <w:bodyDiv w:val="1"/>
      <w:marLeft w:val="0"/>
      <w:marRight w:val="0"/>
      <w:marTop w:val="0"/>
      <w:marBottom w:val="0"/>
      <w:divBdr>
        <w:top w:val="none" w:sz="0" w:space="0" w:color="auto"/>
        <w:left w:val="none" w:sz="0" w:space="0" w:color="auto"/>
        <w:bottom w:val="none" w:sz="0" w:space="0" w:color="auto"/>
        <w:right w:val="none" w:sz="0" w:space="0" w:color="auto"/>
      </w:divBdr>
    </w:div>
    <w:div w:id="729572622">
      <w:bodyDiv w:val="1"/>
      <w:marLeft w:val="0"/>
      <w:marRight w:val="0"/>
      <w:marTop w:val="0"/>
      <w:marBottom w:val="0"/>
      <w:divBdr>
        <w:top w:val="none" w:sz="0" w:space="0" w:color="auto"/>
        <w:left w:val="none" w:sz="0" w:space="0" w:color="auto"/>
        <w:bottom w:val="none" w:sz="0" w:space="0" w:color="auto"/>
        <w:right w:val="none" w:sz="0" w:space="0" w:color="auto"/>
      </w:divBdr>
    </w:div>
    <w:div w:id="734595229">
      <w:bodyDiv w:val="1"/>
      <w:marLeft w:val="0"/>
      <w:marRight w:val="0"/>
      <w:marTop w:val="0"/>
      <w:marBottom w:val="0"/>
      <w:divBdr>
        <w:top w:val="none" w:sz="0" w:space="0" w:color="auto"/>
        <w:left w:val="none" w:sz="0" w:space="0" w:color="auto"/>
        <w:bottom w:val="none" w:sz="0" w:space="0" w:color="auto"/>
        <w:right w:val="none" w:sz="0" w:space="0" w:color="auto"/>
      </w:divBdr>
    </w:div>
    <w:div w:id="736903292">
      <w:bodyDiv w:val="1"/>
      <w:marLeft w:val="0"/>
      <w:marRight w:val="0"/>
      <w:marTop w:val="0"/>
      <w:marBottom w:val="0"/>
      <w:divBdr>
        <w:top w:val="none" w:sz="0" w:space="0" w:color="auto"/>
        <w:left w:val="none" w:sz="0" w:space="0" w:color="auto"/>
        <w:bottom w:val="none" w:sz="0" w:space="0" w:color="auto"/>
        <w:right w:val="none" w:sz="0" w:space="0" w:color="auto"/>
      </w:divBdr>
    </w:div>
    <w:div w:id="737050151">
      <w:bodyDiv w:val="1"/>
      <w:marLeft w:val="0"/>
      <w:marRight w:val="0"/>
      <w:marTop w:val="0"/>
      <w:marBottom w:val="0"/>
      <w:divBdr>
        <w:top w:val="none" w:sz="0" w:space="0" w:color="auto"/>
        <w:left w:val="none" w:sz="0" w:space="0" w:color="auto"/>
        <w:bottom w:val="none" w:sz="0" w:space="0" w:color="auto"/>
        <w:right w:val="none" w:sz="0" w:space="0" w:color="auto"/>
      </w:divBdr>
    </w:div>
    <w:div w:id="745614632">
      <w:bodyDiv w:val="1"/>
      <w:marLeft w:val="0"/>
      <w:marRight w:val="0"/>
      <w:marTop w:val="0"/>
      <w:marBottom w:val="0"/>
      <w:divBdr>
        <w:top w:val="none" w:sz="0" w:space="0" w:color="auto"/>
        <w:left w:val="none" w:sz="0" w:space="0" w:color="auto"/>
        <w:bottom w:val="none" w:sz="0" w:space="0" w:color="auto"/>
        <w:right w:val="none" w:sz="0" w:space="0" w:color="auto"/>
      </w:divBdr>
    </w:div>
    <w:div w:id="754979800">
      <w:bodyDiv w:val="1"/>
      <w:marLeft w:val="0"/>
      <w:marRight w:val="0"/>
      <w:marTop w:val="0"/>
      <w:marBottom w:val="0"/>
      <w:divBdr>
        <w:top w:val="none" w:sz="0" w:space="0" w:color="auto"/>
        <w:left w:val="none" w:sz="0" w:space="0" w:color="auto"/>
        <w:bottom w:val="none" w:sz="0" w:space="0" w:color="auto"/>
        <w:right w:val="none" w:sz="0" w:space="0" w:color="auto"/>
      </w:divBdr>
    </w:div>
    <w:div w:id="783504894">
      <w:bodyDiv w:val="1"/>
      <w:marLeft w:val="0"/>
      <w:marRight w:val="0"/>
      <w:marTop w:val="0"/>
      <w:marBottom w:val="0"/>
      <w:divBdr>
        <w:top w:val="none" w:sz="0" w:space="0" w:color="auto"/>
        <w:left w:val="none" w:sz="0" w:space="0" w:color="auto"/>
        <w:bottom w:val="none" w:sz="0" w:space="0" w:color="auto"/>
        <w:right w:val="none" w:sz="0" w:space="0" w:color="auto"/>
      </w:divBdr>
    </w:div>
    <w:div w:id="793866972">
      <w:bodyDiv w:val="1"/>
      <w:marLeft w:val="0"/>
      <w:marRight w:val="0"/>
      <w:marTop w:val="0"/>
      <w:marBottom w:val="0"/>
      <w:divBdr>
        <w:top w:val="none" w:sz="0" w:space="0" w:color="auto"/>
        <w:left w:val="none" w:sz="0" w:space="0" w:color="auto"/>
        <w:bottom w:val="none" w:sz="0" w:space="0" w:color="auto"/>
        <w:right w:val="none" w:sz="0" w:space="0" w:color="auto"/>
      </w:divBdr>
    </w:div>
    <w:div w:id="800924262">
      <w:bodyDiv w:val="1"/>
      <w:marLeft w:val="0"/>
      <w:marRight w:val="0"/>
      <w:marTop w:val="0"/>
      <w:marBottom w:val="0"/>
      <w:divBdr>
        <w:top w:val="none" w:sz="0" w:space="0" w:color="auto"/>
        <w:left w:val="none" w:sz="0" w:space="0" w:color="auto"/>
        <w:bottom w:val="none" w:sz="0" w:space="0" w:color="auto"/>
        <w:right w:val="none" w:sz="0" w:space="0" w:color="auto"/>
      </w:divBdr>
    </w:div>
    <w:div w:id="807478509">
      <w:bodyDiv w:val="1"/>
      <w:marLeft w:val="0"/>
      <w:marRight w:val="0"/>
      <w:marTop w:val="0"/>
      <w:marBottom w:val="0"/>
      <w:divBdr>
        <w:top w:val="none" w:sz="0" w:space="0" w:color="auto"/>
        <w:left w:val="none" w:sz="0" w:space="0" w:color="auto"/>
        <w:bottom w:val="none" w:sz="0" w:space="0" w:color="auto"/>
        <w:right w:val="none" w:sz="0" w:space="0" w:color="auto"/>
      </w:divBdr>
    </w:div>
    <w:div w:id="847213078">
      <w:bodyDiv w:val="1"/>
      <w:marLeft w:val="0"/>
      <w:marRight w:val="0"/>
      <w:marTop w:val="0"/>
      <w:marBottom w:val="0"/>
      <w:divBdr>
        <w:top w:val="none" w:sz="0" w:space="0" w:color="auto"/>
        <w:left w:val="none" w:sz="0" w:space="0" w:color="auto"/>
        <w:bottom w:val="none" w:sz="0" w:space="0" w:color="auto"/>
        <w:right w:val="none" w:sz="0" w:space="0" w:color="auto"/>
      </w:divBdr>
    </w:div>
    <w:div w:id="869105037">
      <w:bodyDiv w:val="1"/>
      <w:marLeft w:val="0"/>
      <w:marRight w:val="0"/>
      <w:marTop w:val="0"/>
      <w:marBottom w:val="0"/>
      <w:divBdr>
        <w:top w:val="none" w:sz="0" w:space="0" w:color="auto"/>
        <w:left w:val="none" w:sz="0" w:space="0" w:color="auto"/>
        <w:bottom w:val="none" w:sz="0" w:space="0" w:color="auto"/>
        <w:right w:val="none" w:sz="0" w:space="0" w:color="auto"/>
      </w:divBdr>
    </w:div>
    <w:div w:id="889221238">
      <w:bodyDiv w:val="1"/>
      <w:marLeft w:val="0"/>
      <w:marRight w:val="0"/>
      <w:marTop w:val="0"/>
      <w:marBottom w:val="0"/>
      <w:divBdr>
        <w:top w:val="none" w:sz="0" w:space="0" w:color="auto"/>
        <w:left w:val="none" w:sz="0" w:space="0" w:color="auto"/>
        <w:bottom w:val="none" w:sz="0" w:space="0" w:color="auto"/>
        <w:right w:val="none" w:sz="0" w:space="0" w:color="auto"/>
      </w:divBdr>
    </w:div>
    <w:div w:id="930312439">
      <w:bodyDiv w:val="1"/>
      <w:marLeft w:val="0"/>
      <w:marRight w:val="0"/>
      <w:marTop w:val="0"/>
      <w:marBottom w:val="0"/>
      <w:divBdr>
        <w:top w:val="none" w:sz="0" w:space="0" w:color="auto"/>
        <w:left w:val="none" w:sz="0" w:space="0" w:color="auto"/>
        <w:bottom w:val="none" w:sz="0" w:space="0" w:color="auto"/>
        <w:right w:val="none" w:sz="0" w:space="0" w:color="auto"/>
      </w:divBdr>
    </w:div>
    <w:div w:id="937375447">
      <w:bodyDiv w:val="1"/>
      <w:marLeft w:val="0"/>
      <w:marRight w:val="0"/>
      <w:marTop w:val="0"/>
      <w:marBottom w:val="0"/>
      <w:divBdr>
        <w:top w:val="none" w:sz="0" w:space="0" w:color="auto"/>
        <w:left w:val="none" w:sz="0" w:space="0" w:color="auto"/>
        <w:bottom w:val="none" w:sz="0" w:space="0" w:color="auto"/>
        <w:right w:val="none" w:sz="0" w:space="0" w:color="auto"/>
      </w:divBdr>
    </w:div>
    <w:div w:id="938954622">
      <w:bodyDiv w:val="1"/>
      <w:marLeft w:val="0"/>
      <w:marRight w:val="0"/>
      <w:marTop w:val="0"/>
      <w:marBottom w:val="0"/>
      <w:divBdr>
        <w:top w:val="none" w:sz="0" w:space="0" w:color="auto"/>
        <w:left w:val="none" w:sz="0" w:space="0" w:color="auto"/>
        <w:bottom w:val="none" w:sz="0" w:space="0" w:color="auto"/>
        <w:right w:val="none" w:sz="0" w:space="0" w:color="auto"/>
      </w:divBdr>
      <w:divsChild>
        <w:div w:id="1520195955">
          <w:marLeft w:val="45"/>
          <w:marRight w:val="45"/>
          <w:marTop w:val="15"/>
          <w:marBottom w:val="0"/>
          <w:divBdr>
            <w:top w:val="none" w:sz="0" w:space="0" w:color="auto"/>
            <w:left w:val="none" w:sz="0" w:space="0" w:color="auto"/>
            <w:bottom w:val="none" w:sz="0" w:space="0" w:color="auto"/>
            <w:right w:val="none" w:sz="0" w:space="0" w:color="auto"/>
          </w:divBdr>
          <w:divsChild>
            <w:div w:id="136467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408695">
      <w:bodyDiv w:val="1"/>
      <w:marLeft w:val="0"/>
      <w:marRight w:val="0"/>
      <w:marTop w:val="0"/>
      <w:marBottom w:val="0"/>
      <w:divBdr>
        <w:top w:val="none" w:sz="0" w:space="0" w:color="auto"/>
        <w:left w:val="none" w:sz="0" w:space="0" w:color="auto"/>
        <w:bottom w:val="none" w:sz="0" w:space="0" w:color="auto"/>
        <w:right w:val="none" w:sz="0" w:space="0" w:color="auto"/>
      </w:divBdr>
    </w:div>
    <w:div w:id="994189684">
      <w:bodyDiv w:val="1"/>
      <w:marLeft w:val="0"/>
      <w:marRight w:val="0"/>
      <w:marTop w:val="0"/>
      <w:marBottom w:val="0"/>
      <w:divBdr>
        <w:top w:val="none" w:sz="0" w:space="0" w:color="auto"/>
        <w:left w:val="none" w:sz="0" w:space="0" w:color="auto"/>
        <w:bottom w:val="none" w:sz="0" w:space="0" w:color="auto"/>
        <w:right w:val="none" w:sz="0" w:space="0" w:color="auto"/>
      </w:divBdr>
    </w:div>
    <w:div w:id="1000277998">
      <w:bodyDiv w:val="1"/>
      <w:marLeft w:val="0"/>
      <w:marRight w:val="0"/>
      <w:marTop w:val="0"/>
      <w:marBottom w:val="0"/>
      <w:divBdr>
        <w:top w:val="none" w:sz="0" w:space="0" w:color="auto"/>
        <w:left w:val="none" w:sz="0" w:space="0" w:color="auto"/>
        <w:bottom w:val="none" w:sz="0" w:space="0" w:color="auto"/>
        <w:right w:val="none" w:sz="0" w:space="0" w:color="auto"/>
      </w:divBdr>
    </w:div>
    <w:div w:id="1006707399">
      <w:bodyDiv w:val="1"/>
      <w:marLeft w:val="0"/>
      <w:marRight w:val="0"/>
      <w:marTop w:val="0"/>
      <w:marBottom w:val="0"/>
      <w:divBdr>
        <w:top w:val="none" w:sz="0" w:space="0" w:color="auto"/>
        <w:left w:val="none" w:sz="0" w:space="0" w:color="auto"/>
        <w:bottom w:val="none" w:sz="0" w:space="0" w:color="auto"/>
        <w:right w:val="none" w:sz="0" w:space="0" w:color="auto"/>
      </w:divBdr>
    </w:div>
    <w:div w:id="1014964840">
      <w:bodyDiv w:val="1"/>
      <w:marLeft w:val="0"/>
      <w:marRight w:val="0"/>
      <w:marTop w:val="0"/>
      <w:marBottom w:val="0"/>
      <w:divBdr>
        <w:top w:val="none" w:sz="0" w:space="0" w:color="auto"/>
        <w:left w:val="none" w:sz="0" w:space="0" w:color="auto"/>
        <w:bottom w:val="none" w:sz="0" w:space="0" w:color="auto"/>
        <w:right w:val="none" w:sz="0" w:space="0" w:color="auto"/>
      </w:divBdr>
    </w:div>
    <w:div w:id="1045760548">
      <w:bodyDiv w:val="1"/>
      <w:marLeft w:val="0"/>
      <w:marRight w:val="0"/>
      <w:marTop w:val="0"/>
      <w:marBottom w:val="0"/>
      <w:divBdr>
        <w:top w:val="none" w:sz="0" w:space="0" w:color="auto"/>
        <w:left w:val="none" w:sz="0" w:space="0" w:color="auto"/>
        <w:bottom w:val="none" w:sz="0" w:space="0" w:color="auto"/>
        <w:right w:val="none" w:sz="0" w:space="0" w:color="auto"/>
      </w:divBdr>
    </w:div>
    <w:div w:id="1054500968">
      <w:bodyDiv w:val="1"/>
      <w:marLeft w:val="0"/>
      <w:marRight w:val="0"/>
      <w:marTop w:val="0"/>
      <w:marBottom w:val="0"/>
      <w:divBdr>
        <w:top w:val="none" w:sz="0" w:space="0" w:color="auto"/>
        <w:left w:val="none" w:sz="0" w:space="0" w:color="auto"/>
        <w:bottom w:val="none" w:sz="0" w:space="0" w:color="auto"/>
        <w:right w:val="none" w:sz="0" w:space="0" w:color="auto"/>
      </w:divBdr>
    </w:div>
    <w:div w:id="1079256995">
      <w:bodyDiv w:val="1"/>
      <w:marLeft w:val="0"/>
      <w:marRight w:val="0"/>
      <w:marTop w:val="0"/>
      <w:marBottom w:val="0"/>
      <w:divBdr>
        <w:top w:val="none" w:sz="0" w:space="0" w:color="auto"/>
        <w:left w:val="none" w:sz="0" w:space="0" w:color="auto"/>
        <w:bottom w:val="none" w:sz="0" w:space="0" w:color="auto"/>
        <w:right w:val="none" w:sz="0" w:space="0" w:color="auto"/>
      </w:divBdr>
    </w:div>
    <w:div w:id="1079907583">
      <w:bodyDiv w:val="1"/>
      <w:marLeft w:val="0"/>
      <w:marRight w:val="0"/>
      <w:marTop w:val="0"/>
      <w:marBottom w:val="0"/>
      <w:divBdr>
        <w:top w:val="none" w:sz="0" w:space="0" w:color="auto"/>
        <w:left w:val="none" w:sz="0" w:space="0" w:color="auto"/>
        <w:bottom w:val="none" w:sz="0" w:space="0" w:color="auto"/>
        <w:right w:val="none" w:sz="0" w:space="0" w:color="auto"/>
      </w:divBdr>
    </w:div>
    <w:div w:id="1086998881">
      <w:bodyDiv w:val="1"/>
      <w:marLeft w:val="0"/>
      <w:marRight w:val="0"/>
      <w:marTop w:val="0"/>
      <w:marBottom w:val="0"/>
      <w:divBdr>
        <w:top w:val="none" w:sz="0" w:space="0" w:color="auto"/>
        <w:left w:val="none" w:sz="0" w:space="0" w:color="auto"/>
        <w:bottom w:val="none" w:sz="0" w:space="0" w:color="auto"/>
        <w:right w:val="none" w:sz="0" w:space="0" w:color="auto"/>
      </w:divBdr>
    </w:div>
    <w:div w:id="1101610636">
      <w:bodyDiv w:val="1"/>
      <w:marLeft w:val="0"/>
      <w:marRight w:val="0"/>
      <w:marTop w:val="0"/>
      <w:marBottom w:val="0"/>
      <w:divBdr>
        <w:top w:val="none" w:sz="0" w:space="0" w:color="auto"/>
        <w:left w:val="none" w:sz="0" w:space="0" w:color="auto"/>
        <w:bottom w:val="none" w:sz="0" w:space="0" w:color="auto"/>
        <w:right w:val="none" w:sz="0" w:space="0" w:color="auto"/>
      </w:divBdr>
    </w:div>
    <w:div w:id="1118723478">
      <w:bodyDiv w:val="1"/>
      <w:marLeft w:val="0"/>
      <w:marRight w:val="0"/>
      <w:marTop w:val="0"/>
      <w:marBottom w:val="0"/>
      <w:divBdr>
        <w:top w:val="none" w:sz="0" w:space="0" w:color="auto"/>
        <w:left w:val="none" w:sz="0" w:space="0" w:color="auto"/>
        <w:bottom w:val="none" w:sz="0" w:space="0" w:color="auto"/>
        <w:right w:val="none" w:sz="0" w:space="0" w:color="auto"/>
      </w:divBdr>
    </w:div>
    <w:div w:id="1123038816">
      <w:bodyDiv w:val="1"/>
      <w:marLeft w:val="0"/>
      <w:marRight w:val="0"/>
      <w:marTop w:val="0"/>
      <w:marBottom w:val="0"/>
      <w:divBdr>
        <w:top w:val="none" w:sz="0" w:space="0" w:color="auto"/>
        <w:left w:val="none" w:sz="0" w:space="0" w:color="auto"/>
        <w:bottom w:val="none" w:sz="0" w:space="0" w:color="auto"/>
        <w:right w:val="none" w:sz="0" w:space="0" w:color="auto"/>
      </w:divBdr>
    </w:div>
    <w:div w:id="1128469514">
      <w:bodyDiv w:val="1"/>
      <w:marLeft w:val="0"/>
      <w:marRight w:val="0"/>
      <w:marTop w:val="0"/>
      <w:marBottom w:val="0"/>
      <w:divBdr>
        <w:top w:val="none" w:sz="0" w:space="0" w:color="auto"/>
        <w:left w:val="none" w:sz="0" w:space="0" w:color="auto"/>
        <w:bottom w:val="none" w:sz="0" w:space="0" w:color="auto"/>
        <w:right w:val="none" w:sz="0" w:space="0" w:color="auto"/>
      </w:divBdr>
    </w:div>
    <w:div w:id="1134910460">
      <w:bodyDiv w:val="1"/>
      <w:marLeft w:val="0"/>
      <w:marRight w:val="0"/>
      <w:marTop w:val="0"/>
      <w:marBottom w:val="0"/>
      <w:divBdr>
        <w:top w:val="none" w:sz="0" w:space="0" w:color="auto"/>
        <w:left w:val="none" w:sz="0" w:space="0" w:color="auto"/>
        <w:bottom w:val="none" w:sz="0" w:space="0" w:color="auto"/>
        <w:right w:val="none" w:sz="0" w:space="0" w:color="auto"/>
      </w:divBdr>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
    <w:div w:id="1144588911">
      <w:bodyDiv w:val="1"/>
      <w:marLeft w:val="0"/>
      <w:marRight w:val="0"/>
      <w:marTop w:val="0"/>
      <w:marBottom w:val="0"/>
      <w:divBdr>
        <w:top w:val="none" w:sz="0" w:space="0" w:color="auto"/>
        <w:left w:val="none" w:sz="0" w:space="0" w:color="auto"/>
        <w:bottom w:val="none" w:sz="0" w:space="0" w:color="auto"/>
        <w:right w:val="none" w:sz="0" w:space="0" w:color="auto"/>
      </w:divBdr>
    </w:div>
    <w:div w:id="1153334580">
      <w:bodyDiv w:val="1"/>
      <w:marLeft w:val="0"/>
      <w:marRight w:val="0"/>
      <w:marTop w:val="0"/>
      <w:marBottom w:val="0"/>
      <w:divBdr>
        <w:top w:val="none" w:sz="0" w:space="0" w:color="auto"/>
        <w:left w:val="none" w:sz="0" w:space="0" w:color="auto"/>
        <w:bottom w:val="none" w:sz="0" w:space="0" w:color="auto"/>
        <w:right w:val="none" w:sz="0" w:space="0" w:color="auto"/>
      </w:divBdr>
    </w:div>
    <w:div w:id="1154100185">
      <w:bodyDiv w:val="1"/>
      <w:marLeft w:val="0"/>
      <w:marRight w:val="0"/>
      <w:marTop w:val="0"/>
      <w:marBottom w:val="0"/>
      <w:divBdr>
        <w:top w:val="none" w:sz="0" w:space="0" w:color="auto"/>
        <w:left w:val="none" w:sz="0" w:space="0" w:color="auto"/>
        <w:bottom w:val="none" w:sz="0" w:space="0" w:color="auto"/>
        <w:right w:val="none" w:sz="0" w:space="0" w:color="auto"/>
      </w:divBdr>
    </w:div>
    <w:div w:id="1155030246">
      <w:bodyDiv w:val="1"/>
      <w:marLeft w:val="0"/>
      <w:marRight w:val="0"/>
      <w:marTop w:val="0"/>
      <w:marBottom w:val="0"/>
      <w:divBdr>
        <w:top w:val="none" w:sz="0" w:space="0" w:color="auto"/>
        <w:left w:val="none" w:sz="0" w:space="0" w:color="auto"/>
        <w:bottom w:val="none" w:sz="0" w:space="0" w:color="auto"/>
        <w:right w:val="none" w:sz="0" w:space="0" w:color="auto"/>
      </w:divBdr>
    </w:div>
    <w:div w:id="1211574708">
      <w:bodyDiv w:val="1"/>
      <w:marLeft w:val="0"/>
      <w:marRight w:val="0"/>
      <w:marTop w:val="0"/>
      <w:marBottom w:val="0"/>
      <w:divBdr>
        <w:top w:val="none" w:sz="0" w:space="0" w:color="auto"/>
        <w:left w:val="none" w:sz="0" w:space="0" w:color="auto"/>
        <w:bottom w:val="none" w:sz="0" w:space="0" w:color="auto"/>
        <w:right w:val="none" w:sz="0" w:space="0" w:color="auto"/>
      </w:divBdr>
    </w:div>
    <w:div w:id="1222984886">
      <w:bodyDiv w:val="1"/>
      <w:marLeft w:val="0"/>
      <w:marRight w:val="0"/>
      <w:marTop w:val="0"/>
      <w:marBottom w:val="0"/>
      <w:divBdr>
        <w:top w:val="none" w:sz="0" w:space="0" w:color="auto"/>
        <w:left w:val="none" w:sz="0" w:space="0" w:color="auto"/>
        <w:bottom w:val="none" w:sz="0" w:space="0" w:color="auto"/>
        <w:right w:val="none" w:sz="0" w:space="0" w:color="auto"/>
      </w:divBdr>
    </w:div>
    <w:div w:id="1235121847">
      <w:bodyDiv w:val="1"/>
      <w:marLeft w:val="0"/>
      <w:marRight w:val="0"/>
      <w:marTop w:val="0"/>
      <w:marBottom w:val="0"/>
      <w:divBdr>
        <w:top w:val="none" w:sz="0" w:space="0" w:color="auto"/>
        <w:left w:val="none" w:sz="0" w:space="0" w:color="auto"/>
        <w:bottom w:val="none" w:sz="0" w:space="0" w:color="auto"/>
        <w:right w:val="none" w:sz="0" w:space="0" w:color="auto"/>
      </w:divBdr>
    </w:div>
    <w:div w:id="1237279688">
      <w:bodyDiv w:val="1"/>
      <w:marLeft w:val="0"/>
      <w:marRight w:val="0"/>
      <w:marTop w:val="0"/>
      <w:marBottom w:val="0"/>
      <w:divBdr>
        <w:top w:val="none" w:sz="0" w:space="0" w:color="auto"/>
        <w:left w:val="none" w:sz="0" w:space="0" w:color="auto"/>
        <w:bottom w:val="none" w:sz="0" w:space="0" w:color="auto"/>
        <w:right w:val="none" w:sz="0" w:space="0" w:color="auto"/>
      </w:divBdr>
    </w:div>
    <w:div w:id="1262294384">
      <w:bodyDiv w:val="1"/>
      <w:marLeft w:val="0"/>
      <w:marRight w:val="0"/>
      <w:marTop w:val="0"/>
      <w:marBottom w:val="0"/>
      <w:divBdr>
        <w:top w:val="none" w:sz="0" w:space="0" w:color="auto"/>
        <w:left w:val="none" w:sz="0" w:space="0" w:color="auto"/>
        <w:bottom w:val="none" w:sz="0" w:space="0" w:color="auto"/>
        <w:right w:val="none" w:sz="0" w:space="0" w:color="auto"/>
      </w:divBdr>
    </w:div>
    <w:div w:id="1269463487">
      <w:bodyDiv w:val="1"/>
      <w:marLeft w:val="0"/>
      <w:marRight w:val="0"/>
      <w:marTop w:val="0"/>
      <w:marBottom w:val="0"/>
      <w:divBdr>
        <w:top w:val="none" w:sz="0" w:space="0" w:color="auto"/>
        <w:left w:val="none" w:sz="0" w:space="0" w:color="auto"/>
        <w:bottom w:val="none" w:sz="0" w:space="0" w:color="auto"/>
        <w:right w:val="none" w:sz="0" w:space="0" w:color="auto"/>
      </w:divBdr>
    </w:div>
    <w:div w:id="1301183173">
      <w:bodyDiv w:val="1"/>
      <w:marLeft w:val="0"/>
      <w:marRight w:val="0"/>
      <w:marTop w:val="0"/>
      <w:marBottom w:val="0"/>
      <w:divBdr>
        <w:top w:val="none" w:sz="0" w:space="0" w:color="auto"/>
        <w:left w:val="none" w:sz="0" w:space="0" w:color="auto"/>
        <w:bottom w:val="none" w:sz="0" w:space="0" w:color="auto"/>
        <w:right w:val="none" w:sz="0" w:space="0" w:color="auto"/>
      </w:divBdr>
    </w:div>
    <w:div w:id="1304968468">
      <w:bodyDiv w:val="1"/>
      <w:marLeft w:val="0"/>
      <w:marRight w:val="0"/>
      <w:marTop w:val="0"/>
      <w:marBottom w:val="0"/>
      <w:divBdr>
        <w:top w:val="none" w:sz="0" w:space="0" w:color="auto"/>
        <w:left w:val="none" w:sz="0" w:space="0" w:color="auto"/>
        <w:bottom w:val="none" w:sz="0" w:space="0" w:color="auto"/>
        <w:right w:val="none" w:sz="0" w:space="0" w:color="auto"/>
      </w:divBdr>
    </w:div>
    <w:div w:id="1325667055">
      <w:bodyDiv w:val="1"/>
      <w:marLeft w:val="0"/>
      <w:marRight w:val="0"/>
      <w:marTop w:val="0"/>
      <w:marBottom w:val="0"/>
      <w:divBdr>
        <w:top w:val="none" w:sz="0" w:space="0" w:color="auto"/>
        <w:left w:val="none" w:sz="0" w:space="0" w:color="auto"/>
        <w:bottom w:val="none" w:sz="0" w:space="0" w:color="auto"/>
        <w:right w:val="none" w:sz="0" w:space="0" w:color="auto"/>
      </w:divBdr>
    </w:div>
    <w:div w:id="1330720460">
      <w:bodyDiv w:val="1"/>
      <w:marLeft w:val="0"/>
      <w:marRight w:val="0"/>
      <w:marTop w:val="0"/>
      <w:marBottom w:val="0"/>
      <w:divBdr>
        <w:top w:val="none" w:sz="0" w:space="0" w:color="auto"/>
        <w:left w:val="none" w:sz="0" w:space="0" w:color="auto"/>
        <w:bottom w:val="none" w:sz="0" w:space="0" w:color="auto"/>
        <w:right w:val="none" w:sz="0" w:space="0" w:color="auto"/>
      </w:divBdr>
    </w:div>
    <w:div w:id="1345594921">
      <w:bodyDiv w:val="1"/>
      <w:marLeft w:val="0"/>
      <w:marRight w:val="0"/>
      <w:marTop w:val="0"/>
      <w:marBottom w:val="0"/>
      <w:divBdr>
        <w:top w:val="none" w:sz="0" w:space="0" w:color="auto"/>
        <w:left w:val="none" w:sz="0" w:space="0" w:color="auto"/>
        <w:bottom w:val="none" w:sz="0" w:space="0" w:color="auto"/>
        <w:right w:val="none" w:sz="0" w:space="0" w:color="auto"/>
      </w:divBdr>
    </w:div>
    <w:div w:id="1369795882">
      <w:bodyDiv w:val="1"/>
      <w:marLeft w:val="0"/>
      <w:marRight w:val="0"/>
      <w:marTop w:val="0"/>
      <w:marBottom w:val="0"/>
      <w:divBdr>
        <w:top w:val="none" w:sz="0" w:space="0" w:color="auto"/>
        <w:left w:val="none" w:sz="0" w:space="0" w:color="auto"/>
        <w:bottom w:val="none" w:sz="0" w:space="0" w:color="auto"/>
        <w:right w:val="none" w:sz="0" w:space="0" w:color="auto"/>
      </w:divBdr>
    </w:div>
    <w:div w:id="1373771793">
      <w:bodyDiv w:val="1"/>
      <w:marLeft w:val="0"/>
      <w:marRight w:val="0"/>
      <w:marTop w:val="0"/>
      <w:marBottom w:val="0"/>
      <w:divBdr>
        <w:top w:val="none" w:sz="0" w:space="0" w:color="auto"/>
        <w:left w:val="none" w:sz="0" w:space="0" w:color="auto"/>
        <w:bottom w:val="none" w:sz="0" w:space="0" w:color="auto"/>
        <w:right w:val="none" w:sz="0" w:space="0" w:color="auto"/>
      </w:divBdr>
    </w:div>
    <w:div w:id="1379478040">
      <w:bodyDiv w:val="1"/>
      <w:marLeft w:val="0"/>
      <w:marRight w:val="0"/>
      <w:marTop w:val="0"/>
      <w:marBottom w:val="0"/>
      <w:divBdr>
        <w:top w:val="none" w:sz="0" w:space="0" w:color="auto"/>
        <w:left w:val="none" w:sz="0" w:space="0" w:color="auto"/>
        <w:bottom w:val="none" w:sz="0" w:space="0" w:color="auto"/>
        <w:right w:val="none" w:sz="0" w:space="0" w:color="auto"/>
      </w:divBdr>
    </w:div>
    <w:div w:id="1403989139">
      <w:bodyDiv w:val="1"/>
      <w:marLeft w:val="0"/>
      <w:marRight w:val="0"/>
      <w:marTop w:val="0"/>
      <w:marBottom w:val="0"/>
      <w:divBdr>
        <w:top w:val="none" w:sz="0" w:space="0" w:color="auto"/>
        <w:left w:val="none" w:sz="0" w:space="0" w:color="auto"/>
        <w:bottom w:val="none" w:sz="0" w:space="0" w:color="auto"/>
        <w:right w:val="none" w:sz="0" w:space="0" w:color="auto"/>
      </w:divBdr>
    </w:div>
    <w:div w:id="1441141872">
      <w:bodyDiv w:val="1"/>
      <w:marLeft w:val="0"/>
      <w:marRight w:val="0"/>
      <w:marTop w:val="0"/>
      <w:marBottom w:val="0"/>
      <w:divBdr>
        <w:top w:val="none" w:sz="0" w:space="0" w:color="auto"/>
        <w:left w:val="none" w:sz="0" w:space="0" w:color="auto"/>
        <w:bottom w:val="none" w:sz="0" w:space="0" w:color="auto"/>
        <w:right w:val="none" w:sz="0" w:space="0" w:color="auto"/>
      </w:divBdr>
    </w:div>
    <w:div w:id="1441602529">
      <w:bodyDiv w:val="1"/>
      <w:marLeft w:val="0"/>
      <w:marRight w:val="0"/>
      <w:marTop w:val="0"/>
      <w:marBottom w:val="0"/>
      <w:divBdr>
        <w:top w:val="none" w:sz="0" w:space="0" w:color="auto"/>
        <w:left w:val="none" w:sz="0" w:space="0" w:color="auto"/>
        <w:bottom w:val="none" w:sz="0" w:space="0" w:color="auto"/>
        <w:right w:val="none" w:sz="0" w:space="0" w:color="auto"/>
      </w:divBdr>
    </w:div>
    <w:div w:id="1443916996">
      <w:bodyDiv w:val="1"/>
      <w:marLeft w:val="0"/>
      <w:marRight w:val="0"/>
      <w:marTop w:val="0"/>
      <w:marBottom w:val="0"/>
      <w:divBdr>
        <w:top w:val="none" w:sz="0" w:space="0" w:color="auto"/>
        <w:left w:val="none" w:sz="0" w:space="0" w:color="auto"/>
        <w:bottom w:val="none" w:sz="0" w:space="0" w:color="auto"/>
        <w:right w:val="none" w:sz="0" w:space="0" w:color="auto"/>
      </w:divBdr>
    </w:div>
    <w:div w:id="1456675696">
      <w:bodyDiv w:val="1"/>
      <w:marLeft w:val="0"/>
      <w:marRight w:val="0"/>
      <w:marTop w:val="0"/>
      <w:marBottom w:val="0"/>
      <w:divBdr>
        <w:top w:val="none" w:sz="0" w:space="0" w:color="auto"/>
        <w:left w:val="none" w:sz="0" w:space="0" w:color="auto"/>
        <w:bottom w:val="none" w:sz="0" w:space="0" w:color="auto"/>
        <w:right w:val="none" w:sz="0" w:space="0" w:color="auto"/>
      </w:divBdr>
    </w:div>
    <w:div w:id="1461150954">
      <w:bodyDiv w:val="1"/>
      <w:marLeft w:val="0"/>
      <w:marRight w:val="0"/>
      <w:marTop w:val="0"/>
      <w:marBottom w:val="0"/>
      <w:divBdr>
        <w:top w:val="none" w:sz="0" w:space="0" w:color="auto"/>
        <w:left w:val="none" w:sz="0" w:space="0" w:color="auto"/>
        <w:bottom w:val="none" w:sz="0" w:space="0" w:color="auto"/>
        <w:right w:val="none" w:sz="0" w:space="0" w:color="auto"/>
      </w:divBdr>
    </w:div>
    <w:div w:id="1478839968">
      <w:bodyDiv w:val="1"/>
      <w:marLeft w:val="0"/>
      <w:marRight w:val="0"/>
      <w:marTop w:val="0"/>
      <w:marBottom w:val="0"/>
      <w:divBdr>
        <w:top w:val="none" w:sz="0" w:space="0" w:color="auto"/>
        <w:left w:val="none" w:sz="0" w:space="0" w:color="auto"/>
        <w:bottom w:val="none" w:sz="0" w:space="0" w:color="auto"/>
        <w:right w:val="none" w:sz="0" w:space="0" w:color="auto"/>
      </w:divBdr>
    </w:div>
    <w:div w:id="1479495740">
      <w:bodyDiv w:val="1"/>
      <w:marLeft w:val="0"/>
      <w:marRight w:val="0"/>
      <w:marTop w:val="0"/>
      <w:marBottom w:val="0"/>
      <w:divBdr>
        <w:top w:val="none" w:sz="0" w:space="0" w:color="auto"/>
        <w:left w:val="none" w:sz="0" w:space="0" w:color="auto"/>
        <w:bottom w:val="none" w:sz="0" w:space="0" w:color="auto"/>
        <w:right w:val="none" w:sz="0" w:space="0" w:color="auto"/>
      </w:divBdr>
    </w:div>
    <w:div w:id="1481120981">
      <w:bodyDiv w:val="1"/>
      <w:marLeft w:val="0"/>
      <w:marRight w:val="0"/>
      <w:marTop w:val="0"/>
      <w:marBottom w:val="0"/>
      <w:divBdr>
        <w:top w:val="none" w:sz="0" w:space="0" w:color="auto"/>
        <w:left w:val="none" w:sz="0" w:space="0" w:color="auto"/>
        <w:bottom w:val="none" w:sz="0" w:space="0" w:color="auto"/>
        <w:right w:val="none" w:sz="0" w:space="0" w:color="auto"/>
      </w:divBdr>
    </w:div>
    <w:div w:id="1490752772">
      <w:bodyDiv w:val="1"/>
      <w:marLeft w:val="0"/>
      <w:marRight w:val="0"/>
      <w:marTop w:val="0"/>
      <w:marBottom w:val="0"/>
      <w:divBdr>
        <w:top w:val="none" w:sz="0" w:space="0" w:color="auto"/>
        <w:left w:val="none" w:sz="0" w:space="0" w:color="auto"/>
        <w:bottom w:val="none" w:sz="0" w:space="0" w:color="auto"/>
        <w:right w:val="none" w:sz="0" w:space="0" w:color="auto"/>
      </w:divBdr>
    </w:div>
    <w:div w:id="1492452585">
      <w:bodyDiv w:val="1"/>
      <w:marLeft w:val="0"/>
      <w:marRight w:val="0"/>
      <w:marTop w:val="0"/>
      <w:marBottom w:val="0"/>
      <w:divBdr>
        <w:top w:val="none" w:sz="0" w:space="0" w:color="auto"/>
        <w:left w:val="none" w:sz="0" w:space="0" w:color="auto"/>
        <w:bottom w:val="none" w:sz="0" w:space="0" w:color="auto"/>
        <w:right w:val="none" w:sz="0" w:space="0" w:color="auto"/>
      </w:divBdr>
    </w:div>
    <w:div w:id="1496720975">
      <w:bodyDiv w:val="1"/>
      <w:marLeft w:val="0"/>
      <w:marRight w:val="0"/>
      <w:marTop w:val="0"/>
      <w:marBottom w:val="0"/>
      <w:divBdr>
        <w:top w:val="none" w:sz="0" w:space="0" w:color="auto"/>
        <w:left w:val="none" w:sz="0" w:space="0" w:color="auto"/>
        <w:bottom w:val="none" w:sz="0" w:space="0" w:color="auto"/>
        <w:right w:val="none" w:sz="0" w:space="0" w:color="auto"/>
      </w:divBdr>
    </w:div>
    <w:div w:id="1501963974">
      <w:bodyDiv w:val="1"/>
      <w:marLeft w:val="0"/>
      <w:marRight w:val="0"/>
      <w:marTop w:val="0"/>
      <w:marBottom w:val="0"/>
      <w:divBdr>
        <w:top w:val="none" w:sz="0" w:space="0" w:color="auto"/>
        <w:left w:val="none" w:sz="0" w:space="0" w:color="auto"/>
        <w:bottom w:val="none" w:sz="0" w:space="0" w:color="auto"/>
        <w:right w:val="none" w:sz="0" w:space="0" w:color="auto"/>
      </w:divBdr>
    </w:div>
    <w:div w:id="1528451057">
      <w:bodyDiv w:val="1"/>
      <w:marLeft w:val="0"/>
      <w:marRight w:val="0"/>
      <w:marTop w:val="0"/>
      <w:marBottom w:val="0"/>
      <w:divBdr>
        <w:top w:val="none" w:sz="0" w:space="0" w:color="auto"/>
        <w:left w:val="none" w:sz="0" w:space="0" w:color="auto"/>
        <w:bottom w:val="none" w:sz="0" w:space="0" w:color="auto"/>
        <w:right w:val="none" w:sz="0" w:space="0" w:color="auto"/>
      </w:divBdr>
    </w:div>
    <w:div w:id="1532038077">
      <w:bodyDiv w:val="1"/>
      <w:marLeft w:val="0"/>
      <w:marRight w:val="0"/>
      <w:marTop w:val="0"/>
      <w:marBottom w:val="0"/>
      <w:divBdr>
        <w:top w:val="none" w:sz="0" w:space="0" w:color="auto"/>
        <w:left w:val="none" w:sz="0" w:space="0" w:color="auto"/>
        <w:bottom w:val="none" w:sz="0" w:space="0" w:color="auto"/>
        <w:right w:val="none" w:sz="0" w:space="0" w:color="auto"/>
      </w:divBdr>
    </w:div>
    <w:div w:id="1532376177">
      <w:bodyDiv w:val="1"/>
      <w:marLeft w:val="0"/>
      <w:marRight w:val="0"/>
      <w:marTop w:val="0"/>
      <w:marBottom w:val="0"/>
      <w:divBdr>
        <w:top w:val="none" w:sz="0" w:space="0" w:color="auto"/>
        <w:left w:val="none" w:sz="0" w:space="0" w:color="auto"/>
        <w:bottom w:val="none" w:sz="0" w:space="0" w:color="auto"/>
        <w:right w:val="none" w:sz="0" w:space="0" w:color="auto"/>
      </w:divBdr>
    </w:div>
    <w:div w:id="1536969489">
      <w:bodyDiv w:val="1"/>
      <w:marLeft w:val="0"/>
      <w:marRight w:val="0"/>
      <w:marTop w:val="0"/>
      <w:marBottom w:val="0"/>
      <w:divBdr>
        <w:top w:val="none" w:sz="0" w:space="0" w:color="auto"/>
        <w:left w:val="none" w:sz="0" w:space="0" w:color="auto"/>
        <w:bottom w:val="none" w:sz="0" w:space="0" w:color="auto"/>
        <w:right w:val="none" w:sz="0" w:space="0" w:color="auto"/>
      </w:divBdr>
    </w:div>
    <w:div w:id="1544636616">
      <w:bodyDiv w:val="1"/>
      <w:marLeft w:val="0"/>
      <w:marRight w:val="0"/>
      <w:marTop w:val="0"/>
      <w:marBottom w:val="0"/>
      <w:divBdr>
        <w:top w:val="none" w:sz="0" w:space="0" w:color="auto"/>
        <w:left w:val="none" w:sz="0" w:space="0" w:color="auto"/>
        <w:bottom w:val="none" w:sz="0" w:space="0" w:color="auto"/>
        <w:right w:val="none" w:sz="0" w:space="0" w:color="auto"/>
      </w:divBdr>
    </w:div>
    <w:div w:id="1548882188">
      <w:bodyDiv w:val="1"/>
      <w:marLeft w:val="0"/>
      <w:marRight w:val="0"/>
      <w:marTop w:val="0"/>
      <w:marBottom w:val="0"/>
      <w:divBdr>
        <w:top w:val="none" w:sz="0" w:space="0" w:color="auto"/>
        <w:left w:val="none" w:sz="0" w:space="0" w:color="auto"/>
        <w:bottom w:val="none" w:sz="0" w:space="0" w:color="auto"/>
        <w:right w:val="none" w:sz="0" w:space="0" w:color="auto"/>
      </w:divBdr>
    </w:div>
    <w:div w:id="1567060137">
      <w:bodyDiv w:val="1"/>
      <w:marLeft w:val="0"/>
      <w:marRight w:val="0"/>
      <w:marTop w:val="0"/>
      <w:marBottom w:val="0"/>
      <w:divBdr>
        <w:top w:val="none" w:sz="0" w:space="0" w:color="auto"/>
        <w:left w:val="none" w:sz="0" w:space="0" w:color="auto"/>
        <w:bottom w:val="none" w:sz="0" w:space="0" w:color="auto"/>
        <w:right w:val="none" w:sz="0" w:space="0" w:color="auto"/>
      </w:divBdr>
    </w:div>
    <w:div w:id="1567834869">
      <w:bodyDiv w:val="1"/>
      <w:marLeft w:val="0"/>
      <w:marRight w:val="0"/>
      <w:marTop w:val="0"/>
      <w:marBottom w:val="0"/>
      <w:divBdr>
        <w:top w:val="none" w:sz="0" w:space="0" w:color="auto"/>
        <w:left w:val="none" w:sz="0" w:space="0" w:color="auto"/>
        <w:bottom w:val="none" w:sz="0" w:space="0" w:color="auto"/>
        <w:right w:val="none" w:sz="0" w:space="0" w:color="auto"/>
      </w:divBdr>
    </w:div>
    <w:div w:id="1574899307">
      <w:bodyDiv w:val="1"/>
      <w:marLeft w:val="0"/>
      <w:marRight w:val="0"/>
      <w:marTop w:val="0"/>
      <w:marBottom w:val="0"/>
      <w:divBdr>
        <w:top w:val="none" w:sz="0" w:space="0" w:color="auto"/>
        <w:left w:val="none" w:sz="0" w:space="0" w:color="auto"/>
        <w:bottom w:val="none" w:sz="0" w:space="0" w:color="auto"/>
        <w:right w:val="none" w:sz="0" w:space="0" w:color="auto"/>
      </w:divBdr>
    </w:div>
    <w:div w:id="1595867500">
      <w:bodyDiv w:val="1"/>
      <w:marLeft w:val="0"/>
      <w:marRight w:val="0"/>
      <w:marTop w:val="0"/>
      <w:marBottom w:val="0"/>
      <w:divBdr>
        <w:top w:val="none" w:sz="0" w:space="0" w:color="auto"/>
        <w:left w:val="none" w:sz="0" w:space="0" w:color="auto"/>
        <w:bottom w:val="none" w:sz="0" w:space="0" w:color="auto"/>
        <w:right w:val="none" w:sz="0" w:space="0" w:color="auto"/>
      </w:divBdr>
    </w:div>
    <w:div w:id="1599604804">
      <w:bodyDiv w:val="1"/>
      <w:marLeft w:val="0"/>
      <w:marRight w:val="0"/>
      <w:marTop w:val="0"/>
      <w:marBottom w:val="0"/>
      <w:divBdr>
        <w:top w:val="none" w:sz="0" w:space="0" w:color="auto"/>
        <w:left w:val="none" w:sz="0" w:space="0" w:color="auto"/>
        <w:bottom w:val="none" w:sz="0" w:space="0" w:color="auto"/>
        <w:right w:val="none" w:sz="0" w:space="0" w:color="auto"/>
      </w:divBdr>
    </w:div>
    <w:div w:id="1606158698">
      <w:bodyDiv w:val="1"/>
      <w:marLeft w:val="0"/>
      <w:marRight w:val="0"/>
      <w:marTop w:val="0"/>
      <w:marBottom w:val="0"/>
      <w:divBdr>
        <w:top w:val="none" w:sz="0" w:space="0" w:color="auto"/>
        <w:left w:val="none" w:sz="0" w:space="0" w:color="auto"/>
        <w:bottom w:val="none" w:sz="0" w:space="0" w:color="auto"/>
        <w:right w:val="none" w:sz="0" w:space="0" w:color="auto"/>
      </w:divBdr>
    </w:div>
    <w:div w:id="1610694438">
      <w:bodyDiv w:val="1"/>
      <w:marLeft w:val="0"/>
      <w:marRight w:val="0"/>
      <w:marTop w:val="0"/>
      <w:marBottom w:val="0"/>
      <w:divBdr>
        <w:top w:val="none" w:sz="0" w:space="0" w:color="auto"/>
        <w:left w:val="none" w:sz="0" w:space="0" w:color="auto"/>
        <w:bottom w:val="none" w:sz="0" w:space="0" w:color="auto"/>
        <w:right w:val="none" w:sz="0" w:space="0" w:color="auto"/>
      </w:divBdr>
    </w:div>
    <w:div w:id="1617447814">
      <w:bodyDiv w:val="1"/>
      <w:marLeft w:val="0"/>
      <w:marRight w:val="0"/>
      <w:marTop w:val="0"/>
      <w:marBottom w:val="0"/>
      <w:divBdr>
        <w:top w:val="none" w:sz="0" w:space="0" w:color="auto"/>
        <w:left w:val="none" w:sz="0" w:space="0" w:color="auto"/>
        <w:bottom w:val="none" w:sz="0" w:space="0" w:color="auto"/>
        <w:right w:val="none" w:sz="0" w:space="0" w:color="auto"/>
      </w:divBdr>
    </w:div>
    <w:div w:id="1620188161">
      <w:bodyDiv w:val="1"/>
      <w:marLeft w:val="0"/>
      <w:marRight w:val="0"/>
      <w:marTop w:val="0"/>
      <w:marBottom w:val="0"/>
      <w:divBdr>
        <w:top w:val="none" w:sz="0" w:space="0" w:color="auto"/>
        <w:left w:val="none" w:sz="0" w:space="0" w:color="auto"/>
        <w:bottom w:val="none" w:sz="0" w:space="0" w:color="auto"/>
        <w:right w:val="none" w:sz="0" w:space="0" w:color="auto"/>
      </w:divBdr>
    </w:div>
    <w:div w:id="1626809188">
      <w:bodyDiv w:val="1"/>
      <w:marLeft w:val="0"/>
      <w:marRight w:val="0"/>
      <w:marTop w:val="0"/>
      <w:marBottom w:val="0"/>
      <w:divBdr>
        <w:top w:val="none" w:sz="0" w:space="0" w:color="auto"/>
        <w:left w:val="none" w:sz="0" w:space="0" w:color="auto"/>
        <w:bottom w:val="none" w:sz="0" w:space="0" w:color="auto"/>
        <w:right w:val="none" w:sz="0" w:space="0" w:color="auto"/>
      </w:divBdr>
    </w:div>
    <w:div w:id="1632395475">
      <w:bodyDiv w:val="1"/>
      <w:marLeft w:val="0"/>
      <w:marRight w:val="0"/>
      <w:marTop w:val="0"/>
      <w:marBottom w:val="0"/>
      <w:divBdr>
        <w:top w:val="none" w:sz="0" w:space="0" w:color="auto"/>
        <w:left w:val="none" w:sz="0" w:space="0" w:color="auto"/>
        <w:bottom w:val="none" w:sz="0" w:space="0" w:color="auto"/>
        <w:right w:val="none" w:sz="0" w:space="0" w:color="auto"/>
      </w:divBdr>
    </w:div>
    <w:div w:id="1634753600">
      <w:bodyDiv w:val="1"/>
      <w:marLeft w:val="0"/>
      <w:marRight w:val="0"/>
      <w:marTop w:val="0"/>
      <w:marBottom w:val="0"/>
      <w:divBdr>
        <w:top w:val="none" w:sz="0" w:space="0" w:color="auto"/>
        <w:left w:val="none" w:sz="0" w:space="0" w:color="auto"/>
        <w:bottom w:val="none" w:sz="0" w:space="0" w:color="auto"/>
        <w:right w:val="none" w:sz="0" w:space="0" w:color="auto"/>
      </w:divBdr>
    </w:div>
    <w:div w:id="1645740760">
      <w:bodyDiv w:val="1"/>
      <w:marLeft w:val="0"/>
      <w:marRight w:val="0"/>
      <w:marTop w:val="0"/>
      <w:marBottom w:val="0"/>
      <w:divBdr>
        <w:top w:val="none" w:sz="0" w:space="0" w:color="auto"/>
        <w:left w:val="none" w:sz="0" w:space="0" w:color="auto"/>
        <w:bottom w:val="none" w:sz="0" w:space="0" w:color="auto"/>
        <w:right w:val="none" w:sz="0" w:space="0" w:color="auto"/>
      </w:divBdr>
    </w:div>
    <w:div w:id="1646348322">
      <w:bodyDiv w:val="1"/>
      <w:marLeft w:val="0"/>
      <w:marRight w:val="0"/>
      <w:marTop w:val="0"/>
      <w:marBottom w:val="0"/>
      <w:divBdr>
        <w:top w:val="none" w:sz="0" w:space="0" w:color="auto"/>
        <w:left w:val="none" w:sz="0" w:space="0" w:color="auto"/>
        <w:bottom w:val="none" w:sz="0" w:space="0" w:color="auto"/>
        <w:right w:val="none" w:sz="0" w:space="0" w:color="auto"/>
      </w:divBdr>
    </w:div>
    <w:div w:id="1650136222">
      <w:bodyDiv w:val="1"/>
      <w:marLeft w:val="0"/>
      <w:marRight w:val="0"/>
      <w:marTop w:val="0"/>
      <w:marBottom w:val="0"/>
      <w:divBdr>
        <w:top w:val="none" w:sz="0" w:space="0" w:color="auto"/>
        <w:left w:val="none" w:sz="0" w:space="0" w:color="auto"/>
        <w:bottom w:val="none" w:sz="0" w:space="0" w:color="auto"/>
        <w:right w:val="none" w:sz="0" w:space="0" w:color="auto"/>
      </w:divBdr>
    </w:div>
    <w:div w:id="1652784211">
      <w:bodyDiv w:val="1"/>
      <w:marLeft w:val="0"/>
      <w:marRight w:val="0"/>
      <w:marTop w:val="0"/>
      <w:marBottom w:val="0"/>
      <w:divBdr>
        <w:top w:val="none" w:sz="0" w:space="0" w:color="auto"/>
        <w:left w:val="none" w:sz="0" w:space="0" w:color="auto"/>
        <w:bottom w:val="none" w:sz="0" w:space="0" w:color="auto"/>
        <w:right w:val="none" w:sz="0" w:space="0" w:color="auto"/>
      </w:divBdr>
    </w:div>
    <w:div w:id="1653484717">
      <w:bodyDiv w:val="1"/>
      <w:marLeft w:val="0"/>
      <w:marRight w:val="0"/>
      <w:marTop w:val="0"/>
      <w:marBottom w:val="0"/>
      <w:divBdr>
        <w:top w:val="none" w:sz="0" w:space="0" w:color="auto"/>
        <w:left w:val="none" w:sz="0" w:space="0" w:color="auto"/>
        <w:bottom w:val="none" w:sz="0" w:space="0" w:color="auto"/>
        <w:right w:val="none" w:sz="0" w:space="0" w:color="auto"/>
      </w:divBdr>
    </w:div>
    <w:div w:id="1658413884">
      <w:bodyDiv w:val="1"/>
      <w:marLeft w:val="0"/>
      <w:marRight w:val="0"/>
      <w:marTop w:val="0"/>
      <w:marBottom w:val="0"/>
      <w:divBdr>
        <w:top w:val="none" w:sz="0" w:space="0" w:color="auto"/>
        <w:left w:val="none" w:sz="0" w:space="0" w:color="auto"/>
        <w:bottom w:val="none" w:sz="0" w:space="0" w:color="auto"/>
        <w:right w:val="none" w:sz="0" w:space="0" w:color="auto"/>
      </w:divBdr>
    </w:div>
    <w:div w:id="1665863072">
      <w:bodyDiv w:val="1"/>
      <w:marLeft w:val="0"/>
      <w:marRight w:val="0"/>
      <w:marTop w:val="0"/>
      <w:marBottom w:val="0"/>
      <w:divBdr>
        <w:top w:val="none" w:sz="0" w:space="0" w:color="auto"/>
        <w:left w:val="none" w:sz="0" w:space="0" w:color="auto"/>
        <w:bottom w:val="none" w:sz="0" w:space="0" w:color="auto"/>
        <w:right w:val="none" w:sz="0" w:space="0" w:color="auto"/>
      </w:divBdr>
    </w:div>
    <w:div w:id="1676030140">
      <w:bodyDiv w:val="1"/>
      <w:marLeft w:val="0"/>
      <w:marRight w:val="0"/>
      <w:marTop w:val="0"/>
      <w:marBottom w:val="0"/>
      <w:divBdr>
        <w:top w:val="none" w:sz="0" w:space="0" w:color="auto"/>
        <w:left w:val="none" w:sz="0" w:space="0" w:color="auto"/>
        <w:bottom w:val="none" w:sz="0" w:space="0" w:color="auto"/>
        <w:right w:val="none" w:sz="0" w:space="0" w:color="auto"/>
      </w:divBdr>
    </w:div>
    <w:div w:id="1705204942">
      <w:bodyDiv w:val="1"/>
      <w:marLeft w:val="0"/>
      <w:marRight w:val="0"/>
      <w:marTop w:val="0"/>
      <w:marBottom w:val="0"/>
      <w:divBdr>
        <w:top w:val="none" w:sz="0" w:space="0" w:color="auto"/>
        <w:left w:val="none" w:sz="0" w:space="0" w:color="auto"/>
        <w:bottom w:val="none" w:sz="0" w:space="0" w:color="auto"/>
        <w:right w:val="none" w:sz="0" w:space="0" w:color="auto"/>
      </w:divBdr>
    </w:div>
    <w:div w:id="1709799448">
      <w:bodyDiv w:val="1"/>
      <w:marLeft w:val="0"/>
      <w:marRight w:val="0"/>
      <w:marTop w:val="0"/>
      <w:marBottom w:val="0"/>
      <w:divBdr>
        <w:top w:val="none" w:sz="0" w:space="0" w:color="auto"/>
        <w:left w:val="none" w:sz="0" w:space="0" w:color="auto"/>
        <w:bottom w:val="none" w:sz="0" w:space="0" w:color="auto"/>
        <w:right w:val="none" w:sz="0" w:space="0" w:color="auto"/>
      </w:divBdr>
    </w:div>
    <w:div w:id="1713650278">
      <w:bodyDiv w:val="1"/>
      <w:marLeft w:val="0"/>
      <w:marRight w:val="0"/>
      <w:marTop w:val="0"/>
      <w:marBottom w:val="0"/>
      <w:divBdr>
        <w:top w:val="none" w:sz="0" w:space="0" w:color="auto"/>
        <w:left w:val="none" w:sz="0" w:space="0" w:color="auto"/>
        <w:bottom w:val="none" w:sz="0" w:space="0" w:color="auto"/>
        <w:right w:val="none" w:sz="0" w:space="0" w:color="auto"/>
      </w:divBdr>
    </w:div>
    <w:div w:id="1718897502">
      <w:bodyDiv w:val="1"/>
      <w:marLeft w:val="0"/>
      <w:marRight w:val="0"/>
      <w:marTop w:val="0"/>
      <w:marBottom w:val="0"/>
      <w:divBdr>
        <w:top w:val="none" w:sz="0" w:space="0" w:color="auto"/>
        <w:left w:val="none" w:sz="0" w:space="0" w:color="auto"/>
        <w:bottom w:val="none" w:sz="0" w:space="0" w:color="auto"/>
        <w:right w:val="none" w:sz="0" w:space="0" w:color="auto"/>
      </w:divBdr>
    </w:div>
    <w:div w:id="1782841731">
      <w:bodyDiv w:val="1"/>
      <w:marLeft w:val="0"/>
      <w:marRight w:val="0"/>
      <w:marTop w:val="0"/>
      <w:marBottom w:val="0"/>
      <w:divBdr>
        <w:top w:val="none" w:sz="0" w:space="0" w:color="auto"/>
        <w:left w:val="none" w:sz="0" w:space="0" w:color="auto"/>
        <w:bottom w:val="none" w:sz="0" w:space="0" w:color="auto"/>
        <w:right w:val="none" w:sz="0" w:space="0" w:color="auto"/>
      </w:divBdr>
    </w:div>
    <w:div w:id="1838956733">
      <w:bodyDiv w:val="1"/>
      <w:marLeft w:val="0"/>
      <w:marRight w:val="0"/>
      <w:marTop w:val="0"/>
      <w:marBottom w:val="0"/>
      <w:divBdr>
        <w:top w:val="none" w:sz="0" w:space="0" w:color="auto"/>
        <w:left w:val="none" w:sz="0" w:space="0" w:color="auto"/>
        <w:bottom w:val="none" w:sz="0" w:space="0" w:color="auto"/>
        <w:right w:val="none" w:sz="0" w:space="0" w:color="auto"/>
      </w:divBdr>
    </w:div>
    <w:div w:id="1880972135">
      <w:bodyDiv w:val="1"/>
      <w:marLeft w:val="0"/>
      <w:marRight w:val="0"/>
      <w:marTop w:val="0"/>
      <w:marBottom w:val="0"/>
      <w:divBdr>
        <w:top w:val="none" w:sz="0" w:space="0" w:color="auto"/>
        <w:left w:val="none" w:sz="0" w:space="0" w:color="auto"/>
        <w:bottom w:val="none" w:sz="0" w:space="0" w:color="auto"/>
        <w:right w:val="none" w:sz="0" w:space="0" w:color="auto"/>
      </w:divBdr>
    </w:div>
    <w:div w:id="1892378766">
      <w:bodyDiv w:val="1"/>
      <w:marLeft w:val="0"/>
      <w:marRight w:val="0"/>
      <w:marTop w:val="0"/>
      <w:marBottom w:val="0"/>
      <w:divBdr>
        <w:top w:val="none" w:sz="0" w:space="0" w:color="auto"/>
        <w:left w:val="none" w:sz="0" w:space="0" w:color="auto"/>
        <w:bottom w:val="none" w:sz="0" w:space="0" w:color="auto"/>
        <w:right w:val="none" w:sz="0" w:space="0" w:color="auto"/>
      </w:divBdr>
    </w:div>
    <w:div w:id="1898083296">
      <w:bodyDiv w:val="1"/>
      <w:marLeft w:val="0"/>
      <w:marRight w:val="0"/>
      <w:marTop w:val="0"/>
      <w:marBottom w:val="0"/>
      <w:divBdr>
        <w:top w:val="none" w:sz="0" w:space="0" w:color="auto"/>
        <w:left w:val="none" w:sz="0" w:space="0" w:color="auto"/>
        <w:bottom w:val="none" w:sz="0" w:space="0" w:color="auto"/>
        <w:right w:val="none" w:sz="0" w:space="0" w:color="auto"/>
      </w:divBdr>
    </w:div>
    <w:div w:id="1898779840">
      <w:bodyDiv w:val="1"/>
      <w:marLeft w:val="0"/>
      <w:marRight w:val="0"/>
      <w:marTop w:val="0"/>
      <w:marBottom w:val="0"/>
      <w:divBdr>
        <w:top w:val="none" w:sz="0" w:space="0" w:color="auto"/>
        <w:left w:val="none" w:sz="0" w:space="0" w:color="auto"/>
        <w:bottom w:val="none" w:sz="0" w:space="0" w:color="auto"/>
        <w:right w:val="none" w:sz="0" w:space="0" w:color="auto"/>
      </w:divBdr>
    </w:div>
    <w:div w:id="1917668945">
      <w:bodyDiv w:val="1"/>
      <w:marLeft w:val="0"/>
      <w:marRight w:val="0"/>
      <w:marTop w:val="0"/>
      <w:marBottom w:val="0"/>
      <w:divBdr>
        <w:top w:val="none" w:sz="0" w:space="0" w:color="auto"/>
        <w:left w:val="none" w:sz="0" w:space="0" w:color="auto"/>
        <w:bottom w:val="none" w:sz="0" w:space="0" w:color="auto"/>
        <w:right w:val="none" w:sz="0" w:space="0" w:color="auto"/>
      </w:divBdr>
    </w:div>
    <w:div w:id="1924800509">
      <w:bodyDiv w:val="1"/>
      <w:marLeft w:val="0"/>
      <w:marRight w:val="0"/>
      <w:marTop w:val="0"/>
      <w:marBottom w:val="0"/>
      <w:divBdr>
        <w:top w:val="none" w:sz="0" w:space="0" w:color="auto"/>
        <w:left w:val="none" w:sz="0" w:space="0" w:color="auto"/>
        <w:bottom w:val="none" w:sz="0" w:space="0" w:color="auto"/>
        <w:right w:val="none" w:sz="0" w:space="0" w:color="auto"/>
      </w:divBdr>
    </w:div>
    <w:div w:id="1932198654">
      <w:bodyDiv w:val="1"/>
      <w:marLeft w:val="0"/>
      <w:marRight w:val="0"/>
      <w:marTop w:val="0"/>
      <w:marBottom w:val="0"/>
      <w:divBdr>
        <w:top w:val="none" w:sz="0" w:space="0" w:color="auto"/>
        <w:left w:val="none" w:sz="0" w:space="0" w:color="auto"/>
        <w:bottom w:val="none" w:sz="0" w:space="0" w:color="auto"/>
        <w:right w:val="none" w:sz="0" w:space="0" w:color="auto"/>
      </w:divBdr>
    </w:div>
    <w:div w:id="2011517664">
      <w:bodyDiv w:val="1"/>
      <w:marLeft w:val="0"/>
      <w:marRight w:val="0"/>
      <w:marTop w:val="0"/>
      <w:marBottom w:val="0"/>
      <w:divBdr>
        <w:top w:val="none" w:sz="0" w:space="0" w:color="auto"/>
        <w:left w:val="none" w:sz="0" w:space="0" w:color="auto"/>
        <w:bottom w:val="none" w:sz="0" w:space="0" w:color="auto"/>
        <w:right w:val="none" w:sz="0" w:space="0" w:color="auto"/>
      </w:divBdr>
    </w:div>
    <w:div w:id="2018194526">
      <w:bodyDiv w:val="1"/>
      <w:marLeft w:val="0"/>
      <w:marRight w:val="0"/>
      <w:marTop w:val="0"/>
      <w:marBottom w:val="0"/>
      <w:divBdr>
        <w:top w:val="none" w:sz="0" w:space="0" w:color="auto"/>
        <w:left w:val="none" w:sz="0" w:space="0" w:color="auto"/>
        <w:bottom w:val="none" w:sz="0" w:space="0" w:color="auto"/>
        <w:right w:val="none" w:sz="0" w:space="0" w:color="auto"/>
      </w:divBdr>
    </w:div>
    <w:div w:id="2027708980">
      <w:bodyDiv w:val="1"/>
      <w:marLeft w:val="0"/>
      <w:marRight w:val="0"/>
      <w:marTop w:val="0"/>
      <w:marBottom w:val="0"/>
      <w:divBdr>
        <w:top w:val="none" w:sz="0" w:space="0" w:color="auto"/>
        <w:left w:val="none" w:sz="0" w:space="0" w:color="auto"/>
        <w:bottom w:val="none" w:sz="0" w:space="0" w:color="auto"/>
        <w:right w:val="none" w:sz="0" w:space="0" w:color="auto"/>
      </w:divBdr>
    </w:div>
    <w:div w:id="2032753751">
      <w:bodyDiv w:val="1"/>
      <w:marLeft w:val="0"/>
      <w:marRight w:val="0"/>
      <w:marTop w:val="0"/>
      <w:marBottom w:val="0"/>
      <w:divBdr>
        <w:top w:val="none" w:sz="0" w:space="0" w:color="auto"/>
        <w:left w:val="none" w:sz="0" w:space="0" w:color="auto"/>
        <w:bottom w:val="none" w:sz="0" w:space="0" w:color="auto"/>
        <w:right w:val="none" w:sz="0" w:space="0" w:color="auto"/>
      </w:divBdr>
    </w:div>
    <w:div w:id="2041084210">
      <w:bodyDiv w:val="1"/>
      <w:marLeft w:val="0"/>
      <w:marRight w:val="0"/>
      <w:marTop w:val="0"/>
      <w:marBottom w:val="0"/>
      <w:divBdr>
        <w:top w:val="none" w:sz="0" w:space="0" w:color="auto"/>
        <w:left w:val="none" w:sz="0" w:space="0" w:color="auto"/>
        <w:bottom w:val="none" w:sz="0" w:space="0" w:color="auto"/>
        <w:right w:val="none" w:sz="0" w:space="0" w:color="auto"/>
      </w:divBdr>
    </w:div>
    <w:div w:id="2046101269">
      <w:bodyDiv w:val="1"/>
      <w:marLeft w:val="0"/>
      <w:marRight w:val="0"/>
      <w:marTop w:val="0"/>
      <w:marBottom w:val="0"/>
      <w:divBdr>
        <w:top w:val="none" w:sz="0" w:space="0" w:color="auto"/>
        <w:left w:val="none" w:sz="0" w:space="0" w:color="auto"/>
        <w:bottom w:val="none" w:sz="0" w:space="0" w:color="auto"/>
        <w:right w:val="none" w:sz="0" w:space="0" w:color="auto"/>
      </w:divBdr>
    </w:div>
    <w:div w:id="2047679775">
      <w:bodyDiv w:val="1"/>
      <w:marLeft w:val="0"/>
      <w:marRight w:val="0"/>
      <w:marTop w:val="0"/>
      <w:marBottom w:val="0"/>
      <w:divBdr>
        <w:top w:val="none" w:sz="0" w:space="0" w:color="auto"/>
        <w:left w:val="none" w:sz="0" w:space="0" w:color="auto"/>
        <w:bottom w:val="none" w:sz="0" w:space="0" w:color="auto"/>
        <w:right w:val="none" w:sz="0" w:space="0" w:color="auto"/>
      </w:divBdr>
    </w:div>
    <w:div w:id="2059160051">
      <w:bodyDiv w:val="1"/>
      <w:marLeft w:val="0"/>
      <w:marRight w:val="0"/>
      <w:marTop w:val="0"/>
      <w:marBottom w:val="0"/>
      <w:divBdr>
        <w:top w:val="none" w:sz="0" w:space="0" w:color="auto"/>
        <w:left w:val="none" w:sz="0" w:space="0" w:color="auto"/>
        <w:bottom w:val="none" w:sz="0" w:space="0" w:color="auto"/>
        <w:right w:val="none" w:sz="0" w:space="0" w:color="auto"/>
      </w:divBdr>
    </w:div>
    <w:div w:id="2062246065">
      <w:bodyDiv w:val="1"/>
      <w:marLeft w:val="0"/>
      <w:marRight w:val="0"/>
      <w:marTop w:val="0"/>
      <w:marBottom w:val="0"/>
      <w:divBdr>
        <w:top w:val="none" w:sz="0" w:space="0" w:color="auto"/>
        <w:left w:val="none" w:sz="0" w:space="0" w:color="auto"/>
        <w:bottom w:val="none" w:sz="0" w:space="0" w:color="auto"/>
        <w:right w:val="none" w:sz="0" w:space="0" w:color="auto"/>
      </w:divBdr>
    </w:div>
    <w:div w:id="2126844381">
      <w:bodyDiv w:val="1"/>
      <w:marLeft w:val="0"/>
      <w:marRight w:val="0"/>
      <w:marTop w:val="0"/>
      <w:marBottom w:val="0"/>
      <w:divBdr>
        <w:top w:val="none" w:sz="0" w:space="0" w:color="auto"/>
        <w:left w:val="none" w:sz="0" w:space="0" w:color="auto"/>
        <w:bottom w:val="none" w:sz="0" w:space="0" w:color="auto"/>
        <w:right w:val="none" w:sz="0" w:space="0" w:color="auto"/>
      </w:divBdr>
    </w:div>
    <w:div w:id="2135634434">
      <w:bodyDiv w:val="1"/>
      <w:marLeft w:val="0"/>
      <w:marRight w:val="0"/>
      <w:marTop w:val="0"/>
      <w:marBottom w:val="0"/>
      <w:divBdr>
        <w:top w:val="none" w:sz="0" w:space="0" w:color="auto"/>
        <w:left w:val="none" w:sz="0" w:space="0" w:color="auto"/>
        <w:bottom w:val="none" w:sz="0" w:space="0" w:color="auto"/>
        <w:right w:val="none" w:sz="0" w:space="0" w:color="auto"/>
      </w:divBdr>
    </w:div>
    <w:div w:id="21402939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obcina-ig.si/index.php?option=com_content&amp;view=article&amp;id=58&amp;Itemid=86&amp;lang=sl" TargetMode="External"/><Relationship Id="rId21" Type="http://schemas.openxmlformats.org/officeDocument/2006/relationships/hyperlink" Target="http://www.obcina-ig.si/index.php?option=com_content&amp;view=article&amp;id=65&amp;Itemid=93&amp;lang=sl" TargetMode="External"/><Relationship Id="rId42" Type="http://schemas.openxmlformats.org/officeDocument/2006/relationships/hyperlink" Target="http://www.obcina-ig.si/index.php?option=com_content&amp;view=article&amp;id=58&amp;Itemid=86&amp;lang=sl" TargetMode="External"/><Relationship Id="rId47" Type="http://schemas.openxmlformats.org/officeDocument/2006/relationships/hyperlink" Target="https://www.obcina-ig.si/obcina/katalog-informacij-javnega-znacaja/" TargetMode="External"/><Relationship Id="rId63" Type="http://schemas.openxmlformats.org/officeDocument/2006/relationships/image" Target="media/image14.png"/><Relationship Id="rId68" Type="http://schemas.openxmlformats.org/officeDocument/2006/relationships/hyperlink" Target="https://www.uradni-list.si/glasilo-uradni-list-rs/vsebina/2015-01-3570" TargetMode="External"/><Relationship Id="rId84" Type="http://schemas.openxmlformats.org/officeDocument/2006/relationships/image" Target="media/image25.png"/><Relationship Id="rId89" Type="http://schemas.openxmlformats.org/officeDocument/2006/relationships/image" Target="media/image27.emf"/><Relationship Id="rId112"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header" Target="header11.xml"/><Relationship Id="rId11" Type="http://schemas.openxmlformats.org/officeDocument/2006/relationships/image" Target="media/image2.emf"/><Relationship Id="rId37" Type="http://schemas.openxmlformats.org/officeDocument/2006/relationships/hyperlink" Target="http://www.obcina-ig.si/index.php?option=com_content&amp;view=article&amp;id=57&amp;Itemid=85&amp;lang=sl" TargetMode="External"/><Relationship Id="rId53" Type="http://schemas.openxmlformats.org/officeDocument/2006/relationships/hyperlink" Target="https://www.uradni-list.si/glasilo-uradni-list-rs/vsebina/2022-01-2511" TargetMode="External"/><Relationship Id="rId58" Type="http://schemas.openxmlformats.org/officeDocument/2006/relationships/image" Target="media/image9.png"/><Relationship Id="rId74" Type="http://schemas.openxmlformats.org/officeDocument/2006/relationships/hyperlink" Target="https://www.uradni-list.si/glasilo-uradni-list-rs/vsebina/2023-01-0530" TargetMode="External"/><Relationship Id="rId79" Type="http://schemas.openxmlformats.org/officeDocument/2006/relationships/header" Target="header1.xml"/><Relationship Id="rId102" Type="http://schemas.openxmlformats.org/officeDocument/2006/relationships/header" Target="header9.xml"/><Relationship Id="rId5" Type="http://schemas.openxmlformats.org/officeDocument/2006/relationships/settings" Target="settings.xml"/><Relationship Id="rId90" Type="http://schemas.openxmlformats.org/officeDocument/2006/relationships/image" Target="media/image28.emf"/><Relationship Id="rId95" Type="http://schemas.openxmlformats.org/officeDocument/2006/relationships/image" Target="media/image33.jpeg"/><Relationship Id="rId22" Type="http://schemas.openxmlformats.org/officeDocument/2006/relationships/hyperlink" Target="http://www.obcina-ig.si/index.php?option=com_content&amp;view=article&amp;id=63&amp;Itemid=91&amp;lang=sl" TargetMode="External"/><Relationship Id="rId27" Type="http://schemas.openxmlformats.org/officeDocument/2006/relationships/hyperlink" Target="http://www.obcina-ig.si/index.php?option=com_content&amp;view=article&amp;id=61&amp;Itemid=89&amp;lang=sl" TargetMode="External"/><Relationship Id="rId43" Type="http://schemas.openxmlformats.org/officeDocument/2006/relationships/hyperlink" Target="http://www.obcina-ig.si/index.php?option=com_content&amp;view=article&amp;id=58&amp;Itemid=86&amp;lang=sl" TargetMode="External"/><Relationship Id="rId48" Type="http://schemas.openxmlformats.org/officeDocument/2006/relationships/hyperlink" Target="https://www.uradni-list.si/glasilo-uradni-list-rs/vsebina/2015-01-3570" TargetMode="External"/><Relationship Id="rId64" Type="http://schemas.openxmlformats.org/officeDocument/2006/relationships/image" Target="media/image15.png"/><Relationship Id="rId69" Type="http://schemas.openxmlformats.org/officeDocument/2006/relationships/hyperlink" Target="https://www.uradni-list.si/glasilo-uradni-list-rs/vsebina/2018-01-0588" TargetMode="External"/><Relationship Id="rId113" Type="http://schemas.openxmlformats.org/officeDocument/2006/relationships/theme" Target="theme/theme1.xml"/><Relationship Id="rId80" Type="http://schemas.openxmlformats.org/officeDocument/2006/relationships/header" Target="header2.xml"/><Relationship Id="rId85" Type="http://schemas.openxmlformats.org/officeDocument/2006/relationships/header" Target="header3.xml"/><Relationship Id="rId12" Type="http://schemas.openxmlformats.org/officeDocument/2006/relationships/image" Target="media/image3.jpeg"/><Relationship Id="rId17" Type="http://schemas.openxmlformats.org/officeDocument/2006/relationships/hyperlink" Target="http://www.obcina-ig.si/index.php?option=com_content&amp;view=article&amp;id=67&amp;Itemid=95&amp;lang=sl" TargetMode="External"/><Relationship Id="rId38" Type="http://schemas.openxmlformats.org/officeDocument/2006/relationships/hyperlink" Target="http://www.obcina-ig.si/index.php?option=com_content&amp;view=article&amp;id=65&amp;Itemid=93&amp;lang=sl" TargetMode="External"/><Relationship Id="rId59" Type="http://schemas.openxmlformats.org/officeDocument/2006/relationships/image" Target="media/image10.png"/><Relationship Id="rId103" Type="http://schemas.openxmlformats.org/officeDocument/2006/relationships/image" Target="media/image37.png"/><Relationship Id="rId108" Type="http://schemas.openxmlformats.org/officeDocument/2006/relationships/header" Target="header12.xml"/><Relationship Id="rId54" Type="http://schemas.openxmlformats.org/officeDocument/2006/relationships/hyperlink" Target="https://www.uradni-list.si/glasilo-uradni-list-rs/vsebina/2023-01-0530" TargetMode="External"/><Relationship Id="rId70" Type="http://schemas.openxmlformats.org/officeDocument/2006/relationships/hyperlink" Target="https://www.uradni-list.si/glasilo-uradni-list-rs/vsebina/2021-01-2575" TargetMode="External"/><Relationship Id="rId75" Type="http://schemas.openxmlformats.org/officeDocument/2006/relationships/hyperlink" Target="https://www.uradni-list.si/glasilo-uradni-list-rs/vsebina/2023-01-2599" TargetMode="External"/><Relationship Id="rId91" Type="http://schemas.openxmlformats.org/officeDocument/2006/relationships/image" Target="media/image29.emf"/><Relationship Id="rId9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www.obcina-ig.si/index.php?option=com_content&amp;view=article&amp;id=59&amp;Itemid=87&amp;lang=sl" TargetMode="External"/><Relationship Id="rId28" Type="http://schemas.openxmlformats.org/officeDocument/2006/relationships/hyperlink" Target="http://www.obcina-ig.si/index.php?option=com_content&amp;view=article&amp;id=62&amp;Itemid=90&amp;lang=sl" TargetMode="External"/><Relationship Id="rId36" Type="http://schemas.openxmlformats.org/officeDocument/2006/relationships/hyperlink" Target="http://www.obcina-ig.si/index.php?option=com_content&amp;view=article&amp;id=49&amp;Itemid=81&amp;lang=sl" TargetMode="External"/><Relationship Id="rId49" Type="http://schemas.openxmlformats.org/officeDocument/2006/relationships/hyperlink" Target="https://www.uradni-list.si/glasilo-uradni-list-rs/vsebina/2018-01-0588" TargetMode="External"/><Relationship Id="rId57" Type="http://schemas.openxmlformats.org/officeDocument/2006/relationships/image" Target="media/image8.png"/><Relationship Id="rId106" Type="http://schemas.openxmlformats.org/officeDocument/2006/relationships/header" Target="header10.xml"/><Relationship Id="rId10" Type="http://schemas.openxmlformats.org/officeDocument/2006/relationships/footer" Target="footer1.xml"/><Relationship Id="rId44" Type="http://schemas.openxmlformats.org/officeDocument/2006/relationships/hyperlink" Target="http://www.obcina-ig.si/index.php?option=com_content&amp;view=article&amp;id=61&amp;Itemid=89&amp;lang=sl" TargetMode="External"/><Relationship Id="rId52" Type="http://schemas.openxmlformats.org/officeDocument/2006/relationships/hyperlink" Target="https://www.uradni-list.si/glasilo-uradni-list-rs/vsebina/2022-01-1705" TargetMode="External"/><Relationship Id="rId60" Type="http://schemas.openxmlformats.org/officeDocument/2006/relationships/image" Target="media/image11.png"/><Relationship Id="rId65" Type="http://schemas.openxmlformats.org/officeDocument/2006/relationships/image" Target="media/image16.png"/><Relationship Id="rId73" Type="http://schemas.openxmlformats.org/officeDocument/2006/relationships/hyperlink" Target="https://www.uradni-list.si/glasilo-uradni-list-rs/vsebina/2022-01-2511" TargetMode="External"/><Relationship Id="rId78" Type="http://schemas.openxmlformats.org/officeDocument/2006/relationships/image" Target="media/image21.jpeg"/><Relationship Id="rId81" Type="http://schemas.openxmlformats.org/officeDocument/2006/relationships/image" Target="media/image22.png"/><Relationship Id="rId86" Type="http://schemas.openxmlformats.org/officeDocument/2006/relationships/header" Target="header4.xml"/><Relationship Id="rId94" Type="http://schemas.openxmlformats.org/officeDocument/2006/relationships/image" Target="media/image32.jpeg"/><Relationship Id="rId99" Type="http://schemas.openxmlformats.org/officeDocument/2006/relationships/image" Target="media/image35.emf"/><Relationship Id="rId101" Type="http://schemas.openxmlformats.org/officeDocument/2006/relationships/header" Target="header8.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jpg"/><Relationship Id="rId18" Type="http://schemas.openxmlformats.org/officeDocument/2006/relationships/hyperlink" Target="http://www.obcina-ig.si/index.php?option=com_content&amp;view=article&amp;id=48&amp;Itemid=80&amp;lang=sl" TargetMode="External"/><Relationship Id="rId39" Type="http://schemas.openxmlformats.org/officeDocument/2006/relationships/hyperlink" Target="http://www.obcina-ig.si/index.php?option=com_content&amp;view=article&amp;id=63&amp;Itemid=91&amp;lang=sl" TargetMode="External"/><Relationship Id="rId109" Type="http://schemas.openxmlformats.org/officeDocument/2006/relationships/header" Target="header13.xml"/><Relationship Id="rId34" Type="http://schemas.openxmlformats.org/officeDocument/2006/relationships/hyperlink" Target="http://www.obcina-ig.si/index.php?option=com_content&amp;view=article&amp;id=67&amp;Itemid=95&amp;lang=sl" TargetMode="External"/><Relationship Id="rId50" Type="http://schemas.openxmlformats.org/officeDocument/2006/relationships/hyperlink" Target="https://www.uradni-list.si/glasilo-uradni-list-rs/vsebina/2021-01-2575" TargetMode="External"/><Relationship Id="rId55" Type="http://schemas.openxmlformats.org/officeDocument/2006/relationships/hyperlink" Target="https://www.uradni-list.si/glasilo-uradni-list-rs/vsebina/2023-01-2599" TargetMode="External"/><Relationship Id="rId76" Type="http://schemas.openxmlformats.org/officeDocument/2006/relationships/image" Target="media/image19.jpeg"/><Relationship Id="rId97" Type="http://schemas.openxmlformats.org/officeDocument/2006/relationships/header" Target="header7.xml"/><Relationship Id="rId104" Type="http://schemas.openxmlformats.org/officeDocument/2006/relationships/oleObject" Target="embeddings/oleObject1.bin"/><Relationship Id="rId7" Type="http://schemas.openxmlformats.org/officeDocument/2006/relationships/footnotes" Target="footnotes.xml"/><Relationship Id="rId71" Type="http://schemas.openxmlformats.org/officeDocument/2006/relationships/hyperlink" Target="https://www.uradni-list.si/glasilo-uradni-list-rs/vsebina/2022-01-0107" TargetMode="External"/><Relationship Id="rId92" Type="http://schemas.openxmlformats.org/officeDocument/2006/relationships/image" Target="media/image30.emf"/><Relationship Id="rId2" Type="http://schemas.openxmlformats.org/officeDocument/2006/relationships/customXml" Target="../customXml/item2.xml"/><Relationship Id="rId29" Type="http://schemas.openxmlformats.org/officeDocument/2006/relationships/hyperlink" Target="http://www.obcina-ig.si/index.php?option=com_content&amp;view=article&amp;id=66&amp;Itemid=94&amp;lang=sl" TargetMode="External"/><Relationship Id="rId24" Type="http://schemas.openxmlformats.org/officeDocument/2006/relationships/hyperlink" Target="http://www.obcina-ig.si/index.php?option=com_content&amp;view=article&amp;id=64&amp;Itemid=92&amp;lang=sl" TargetMode="External"/><Relationship Id="rId40" Type="http://schemas.openxmlformats.org/officeDocument/2006/relationships/hyperlink" Target="http://www.obcina-ig.si/index.php?option=com_content&amp;view=article&amp;id=59&amp;Itemid=87&amp;lang=sl" TargetMode="External"/><Relationship Id="rId45" Type="http://schemas.openxmlformats.org/officeDocument/2006/relationships/hyperlink" Target="http://www.obcina-ig.si/index.php?option=com_content&amp;view=article&amp;id=62&amp;Itemid=90&amp;lang=sl" TargetMode="External"/><Relationship Id="rId66" Type="http://schemas.openxmlformats.org/officeDocument/2006/relationships/image" Target="media/image17.png"/><Relationship Id="rId87" Type="http://schemas.openxmlformats.org/officeDocument/2006/relationships/header" Target="header5.xml"/><Relationship Id="rId110" Type="http://schemas.openxmlformats.org/officeDocument/2006/relationships/header" Target="header14.xml"/><Relationship Id="rId61" Type="http://schemas.openxmlformats.org/officeDocument/2006/relationships/image" Target="media/image12.png"/><Relationship Id="rId82" Type="http://schemas.openxmlformats.org/officeDocument/2006/relationships/image" Target="media/image23.jpeg"/><Relationship Id="rId19" Type="http://schemas.openxmlformats.org/officeDocument/2006/relationships/hyperlink" Target="http://www.obcina-ig.si/index.php?option=com_content&amp;view=article&amp;id=49&amp;Itemid=81&amp;lang=sl" TargetMode="External"/><Relationship Id="rId14" Type="http://schemas.openxmlformats.org/officeDocument/2006/relationships/image" Target="media/image5.jpeg"/><Relationship Id="rId35" Type="http://schemas.openxmlformats.org/officeDocument/2006/relationships/hyperlink" Target="http://www.obcina-ig.si/index.php?option=com_content&amp;view=article&amp;id=48&amp;Itemid=80&amp;lang=sl" TargetMode="External"/><Relationship Id="rId56" Type="http://schemas.openxmlformats.org/officeDocument/2006/relationships/image" Target="media/image7.jpeg"/><Relationship Id="rId77" Type="http://schemas.openxmlformats.org/officeDocument/2006/relationships/image" Target="media/image20.png"/><Relationship Id="rId100" Type="http://schemas.openxmlformats.org/officeDocument/2006/relationships/image" Target="media/image36.emf"/><Relationship Id="rId105"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hyperlink" Target="https://www.uradni-list.si/glasilo-uradni-list-rs/vsebina/2022-01-0107" TargetMode="External"/><Relationship Id="rId72" Type="http://schemas.openxmlformats.org/officeDocument/2006/relationships/hyperlink" Target="https://www.uradni-list.si/glasilo-uradni-list-rs/vsebina/2022-01-1705" TargetMode="External"/><Relationship Id="rId93" Type="http://schemas.openxmlformats.org/officeDocument/2006/relationships/image" Target="media/image31.emf"/><Relationship Id="rId98" Type="http://schemas.openxmlformats.org/officeDocument/2006/relationships/image" Target="media/image34.emf"/><Relationship Id="rId3" Type="http://schemas.openxmlformats.org/officeDocument/2006/relationships/numbering" Target="numbering.xml"/><Relationship Id="rId25" Type="http://schemas.openxmlformats.org/officeDocument/2006/relationships/hyperlink" Target="http://www.obcina-ig.si/index.php?option=com_content&amp;view=article&amp;id=58&amp;Itemid=86&amp;lang=sl" TargetMode="External"/><Relationship Id="rId46" Type="http://schemas.openxmlformats.org/officeDocument/2006/relationships/hyperlink" Target="http://www.obcina-ig.si/index.php?option=com_content&amp;view=article&amp;id=66&amp;Itemid=94&amp;lang=sl" TargetMode="External"/><Relationship Id="rId67" Type="http://schemas.openxmlformats.org/officeDocument/2006/relationships/image" Target="media/image18.png"/><Relationship Id="rId20" Type="http://schemas.openxmlformats.org/officeDocument/2006/relationships/hyperlink" Target="http://www.obcina-ig.si/index.php?option=com_content&amp;view=article&amp;id=57&amp;Itemid=85&amp;lang=sl" TargetMode="External"/><Relationship Id="rId41" Type="http://schemas.openxmlformats.org/officeDocument/2006/relationships/hyperlink" Target="http://www.obcina-ig.si/index.php?option=com_content&amp;view=article&amp;id=64&amp;Itemid=92&amp;lang=sl" TargetMode="External"/><Relationship Id="rId62" Type="http://schemas.openxmlformats.org/officeDocument/2006/relationships/image" Target="media/image13.png"/><Relationship Id="rId83" Type="http://schemas.openxmlformats.org/officeDocument/2006/relationships/image" Target="media/image24.jpeg"/><Relationship Id="rId88" Type="http://schemas.openxmlformats.org/officeDocument/2006/relationships/image" Target="media/image26.emf"/><Relationship Id="rId111" Type="http://schemas.openxmlformats.org/officeDocument/2006/relationships/header" Target="header15.xml"/></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2017-02-18T00:00:00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9570F74-5C2F-4294-8F0F-D4C1C7EC1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132</Pages>
  <Words>39806</Words>
  <Characters>226897</Characters>
  <Application>Microsoft Office Word</Application>
  <DocSecurity>0</DocSecurity>
  <Lines>1890</Lines>
  <Paragraphs>532</Paragraphs>
  <ScaleCrop>false</ScaleCrop>
  <HeadingPairs>
    <vt:vector size="6" baseType="variant">
      <vt:variant>
        <vt:lpstr>Naslov</vt:lpstr>
      </vt:variant>
      <vt:variant>
        <vt:i4>1</vt:i4>
      </vt:variant>
      <vt:variant>
        <vt:lpstr>Title</vt:lpstr>
      </vt:variant>
      <vt:variant>
        <vt:i4>1</vt:i4>
      </vt:variant>
      <vt:variant>
        <vt:lpstr>Headings</vt:lpstr>
      </vt:variant>
      <vt:variant>
        <vt:i4>42</vt:i4>
      </vt:variant>
    </vt:vector>
  </HeadingPairs>
  <TitlesOfParts>
    <vt:vector size="44" baseType="lpstr">
      <vt:lpstr>INVESTICIJSKI PROGRAM: SPA MAESTOSO</vt:lpstr>
      <vt:lpstr>INVESTICIJSKI PROGRAM: SPA MAESTOSO</vt:lpstr>
      <vt:lpstr>UVODNO POJASNILO</vt:lpstr>
      <vt:lpstr>    O investitorju</vt:lpstr>
      <vt:lpstr>    O upravljavcu</vt:lpstr>
      <vt:lpstr>    Predstavitev izdelovalca investicijskega programa</vt:lpstr>
      <vt:lpstr>    Namen in cilj investicijskega projekta</vt:lpstr>
      <vt:lpstr>    Obdelava variant</vt:lpstr>
      <vt:lpstr>    Varianta »brez investicije«</vt:lpstr>
      <vt:lpstr>    Varianta »z investicijo«</vt:lpstr>
      <vt:lpstr>    Povzetek dokumenta identifikacije investicijskega projekta</vt:lpstr>
      <vt:lpstr>    Povzetek predinvesticijske zasnove</vt:lpstr>
      <vt:lpstr>    Spremembe v fazi izdelave investicijske dokumentacije</vt:lpstr>
      <vt:lpstr>POVZETEK INVESTICIJSKEGA PROGRAMA</vt:lpstr>
      <vt:lpstr>    Namen in cilji investicije </vt:lpstr>
      <vt:lpstr>    Spisek strokovnih podlag</vt:lpstr>
      <vt:lpstr>    Opredelitev vrste projekta </vt:lpstr>
      <vt:lpstr>    Opredelitev vrste investicijskega naročila (ukrepa) </vt:lpstr>
      <vt:lpstr>    Navedba odgovornih oseb</vt:lpstr>
      <vt:lpstr>    Predvidena organizacija in izvedba projekta</vt:lpstr>
      <vt:lpstr>    Prikaz ocenjene vrednosti investicije ter predvidena finančna konstrukcija </vt:lpstr>
      <vt:lpstr>    Način in postopek izbire izvajalcev</vt:lpstr>
      <vt:lpstr>    Časovni načrt vseh aktivnosti</vt:lpstr>
      <vt:lpstr>    Seznam že pripravljene in potrebne dokumentacije</vt:lpstr>
      <vt:lpstr>    Način končnega prevzema in vzpostavitve obratovanja in vzdrževanja</vt:lpstr>
      <vt:lpstr>    Zbirni prikaz rezultatov izračunov ter utemeljitev upravičenosti investicijskega</vt:lpstr>
      <vt:lpstr>OSNOVNI PODATKI O INVESTITORJU IN UPRAVLJAVCU, PARTNERJU IN IZDELOVALCU INVESTIC</vt:lpstr>
      <vt:lpstr>    Osnovni podatki o investitorju</vt:lpstr>
      <vt:lpstr>    Osnovni podatki o naročniku in upravljavcu</vt:lpstr>
      <vt:lpstr>    Osnovni podatki o izdelovalcu investicijske dokumentacije </vt:lpstr>
      <vt:lpstr>ANALIZA OBSTOJEČEGA STANJA </vt:lpstr>
      <vt:lpstr>    Analiza stanja turizma v Sloveniji </vt:lpstr>
      <vt:lpstr>    Analiza stanja turizma v Obalno-kraški regiji </vt:lpstr>
      <vt:lpstr>OSNOVNI PODATKI O KOBILARNI LIPICA </vt:lpstr>
      <vt:lpstr>    Obstoječe stanje hotela Maestoso</vt:lpstr>
      <vt:lpstr>    Razlogi za investicijsko namero in prikaz potreb, ki jih bo zadovoljevala invest</vt:lpstr>
      <vt:lpstr>    Usklajenosti investicijskega projekta z državnim strateškim razvojnim dokumentom</vt:lpstr>
      <vt:lpstr>    Strategija razvoja Slovenije 2030</vt:lpstr>
      <vt:lpstr>    Strategija slovenskega turizma 2022-2028 </vt:lpstr>
      <vt:lpstr>    Vizija Slovenije 2050</vt:lpstr>
      <vt:lpstr>    Strategija prostorskega razvoja Slovenije (SPRS)</vt:lpstr>
      <vt:lpstr>    Strategija razvoja in trženja turizma destinacije Kras in Brkini 2022–2028</vt:lpstr>
      <vt:lpstr>ANALIZA TRŽNIH MOŽNOSTI </vt:lpstr>
      <vt:lpstr>TEHNIČNO-TEHNOLOŠKI DEL</vt:lpstr>
    </vt:vector>
  </TitlesOfParts>
  <Company/>
  <LinksUpToDate>false</LinksUpToDate>
  <CharactersWithSpaces>266171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INVESTICIJSKI PROGRAM: SPA MAESTOSO</dc:title>
  <dc:subject>RAZVOJ IN VZDRŽEVANJE APLIKACIJE SOCIALNA AKTIVACIJA</dc:subject>
  <dc:creator>Martina Magajna</dc:creator>
  <cp:lastModifiedBy>Marjetka Pintarič Župec</cp:lastModifiedBy>
  <cp:revision>3</cp:revision>
  <cp:lastPrinted>2025-09-24T06:28:00Z</cp:lastPrinted>
  <dcterms:created xsi:type="dcterms:W3CDTF">2025-09-29T08:20:00Z</dcterms:created>
  <dcterms:modified xsi:type="dcterms:W3CDTF">2025-09-29T08:25:00Z</dcterms:modified>
</cp:coreProperties>
</file>